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755D8" w14:textId="77777777" w:rsidR="003A3633" w:rsidRPr="003A3633" w:rsidRDefault="003A3633" w:rsidP="003A3633">
      <w:pPr>
        <w:spacing w:after="0"/>
        <w:rPr>
          <w:rFonts w:ascii="Arial" w:eastAsia="Arial" w:hAnsi="Arial" w:cs="Arial"/>
          <w:b/>
          <w:bCs/>
          <w:i/>
          <w:iCs/>
          <w:sz w:val="24"/>
          <w:szCs w:val="24"/>
          <w:u w:val="single"/>
          <w:lang w:val="en-US"/>
        </w:rPr>
      </w:pPr>
      <w:r w:rsidRPr="003A3633">
        <w:rPr>
          <w:rFonts w:ascii="Arial" w:eastAsia="Arial" w:hAnsi="Arial" w:cs="Arial"/>
          <w:b/>
          <w:bCs/>
          <w:i/>
          <w:iCs/>
          <w:sz w:val="24"/>
          <w:szCs w:val="24"/>
          <w:u w:val="single"/>
          <w:lang w:val="en-US"/>
        </w:rPr>
        <w:t>Original Research Article</w:t>
      </w:r>
    </w:p>
    <w:p w14:paraId="42ABDB13" w14:textId="77777777" w:rsidR="00500799" w:rsidRDefault="00EE5FF7">
      <w:pPr>
        <w:spacing w:after="0"/>
        <w:rPr>
          <w:rFonts w:ascii="Arial" w:eastAsia="Arial" w:hAnsi="Arial" w:cs="Arial"/>
          <w:b/>
          <w:sz w:val="24"/>
          <w:szCs w:val="24"/>
        </w:rPr>
      </w:pPr>
      <w:r>
        <w:rPr>
          <w:rFonts w:ascii="Arial" w:eastAsia="Arial" w:hAnsi="Arial" w:cs="Arial"/>
          <w:b/>
          <w:sz w:val="24"/>
          <w:szCs w:val="24"/>
        </w:rPr>
        <w:t xml:space="preserve">Impact of insect’s infestation in various packaging materials on Indigenous millet </w:t>
      </w:r>
      <w:proofErr w:type="spellStart"/>
      <w:r>
        <w:rPr>
          <w:rFonts w:ascii="Arial" w:eastAsia="Arial" w:hAnsi="Arial" w:cs="Arial"/>
          <w:b/>
          <w:sz w:val="24"/>
          <w:szCs w:val="24"/>
        </w:rPr>
        <w:t>Kodo</w:t>
      </w:r>
      <w:proofErr w:type="spellEnd"/>
      <w:r>
        <w:rPr>
          <w:rFonts w:ascii="Arial" w:eastAsia="Arial" w:hAnsi="Arial" w:cs="Arial"/>
          <w:b/>
          <w:sz w:val="24"/>
          <w:szCs w:val="24"/>
        </w:rPr>
        <w:t xml:space="preserve"> (</w:t>
      </w:r>
      <w:proofErr w:type="spellStart"/>
      <w:r>
        <w:rPr>
          <w:rFonts w:ascii="Arial" w:eastAsia="Arial" w:hAnsi="Arial" w:cs="Arial"/>
          <w:b/>
          <w:i/>
          <w:sz w:val="24"/>
          <w:szCs w:val="24"/>
        </w:rPr>
        <w:t>Paspalum</w:t>
      </w:r>
      <w:proofErr w:type="spellEnd"/>
      <w:r>
        <w:rPr>
          <w:rFonts w:ascii="Arial" w:eastAsia="Arial" w:hAnsi="Arial" w:cs="Arial"/>
          <w:b/>
          <w:i/>
          <w:sz w:val="24"/>
          <w:szCs w:val="24"/>
        </w:rPr>
        <w:t xml:space="preserve"> </w:t>
      </w:r>
      <w:proofErr w:type="spellStart"/>
      <w:r>
        <w:rPr>
          <w:rFonts w:ascii="Arial" w:eastAsia="Arial" w:hAnsi="Arial" w:cs="Arial"/>
          <w:b/>
          <w:i/>
          <w:sz w:val="24"/>
          <w:szCs w:val="24"/>
        </w:rPr>
        <w:t>scrobiculatum</w:t>
      </w:r>
      <w:proofErr w:type="spellEnd"/>
      <w:r>
        <w:rPr>
          <w:rFonts w:ascii="Arial" w:eastAsia="Arial" w:hAnsi="Arial" w:cs="Arial"/>
          <w:b/>
          <w:sz w:val="24"/>
          <w:szCs w:val="24"/>
        </w:rPr>
        <w:t>)</w:t>
      </w:r>
      <w:r>
        <w:rPr>
          <w:rFonts w:ascii="Arial" w:eastAsia="Arial" w:hAnsi="Arial" w:cs="Arial"/>
          <w:sz w:val="24"/>
          <w:szCs w:val="24"/>
        </w:rPr>
        <w:t xml:space="preserve"> </w:t>
      </w:r>
      <w:proofErr w:type="spellStart"/>
      <w:r>
        <w:rPr>
          <w:rFonts w:ascii="Arial" w:eastAsia="Arial" w:hAnsi="Arial" w:cs="Arial"/>
          <w:b/>
          <w:sz w:val="24"/>
          <w:szCs w:val="24"/>
        </w:rPr>
        <w:t>physico</w:t>
      </w:r>
      <w:proofErr w:type="spellEnd"/>
      <w:r>
        <w:rPr>
          <w:rFonts w:ascii="Arial" w:eastAsia="Arial" w:hAnsi="Arial" w:cs="Arial"/>
          <w:b/>
          <w:sz w:val="24"/>
          <w:szCs w:val="24"/>
        </w:rPr>
        <w:t>-chemical quality</w:t>
      </w:r>
    </w:p>
    <w:p w14:paraId="1A7CA854" w14:textId="5F0C9AC9" w:rsidR="00FB1136" w:rsidRDefault="00FB1136">
      <w:pPr>
        <w:spacing w:after="0"/>
        <w:jc w:val="right"/>
        <w:rPr>
          <w:rFonts w:ascii="Arial" w:eastAsia="Arial" w:hAnsi="Arial" w:cs="Arial"/>
          <w:sz w:val="24"/>
          <w:szCs w:val="24"/>
        </w:rPr>
      </w:pPr>
    </w:p>
    <w:p w14:paraId="019B0503" w14:textId="77777777" w:rsidR="00A95730" w:rsidRDefault="00A95730">
      <w:pPr>
        <w:spacing w:after="0"/>
        <w:jc w:val="right"/>
        <w:rPr>
          <w:rFonts w:ascii="Arial" w:eastAsia="Arial" w:hAnsi="Arial" w:cs="Arial"/>
          <w:sz w:val="24"/>
          <w:szCs w:val="24"/>
        </w:rPr>
      </w:pPr>
    </w:p>
    <w:p w14:paraId="64CCAD3A" w14:textId="77777777" w:rsidR="00500799" w:rsidRDefault="00EE5FF7">
      <w:pPr>
        <w:pBdr>
          <w:top w:val="nil"/>
          <w:left w:val="nil"/>
          <w:bottom w:val="nil"/>
          <w:right w:val="nil"/>
          <w:between w:val="nil"/>
        </w:pBdr>
        <w:rPr>
          <w:rFonts w:ascii="Arial" w:eastAsia="Arial" w:hAnsi="Arial" w:cs="Arial"/>
          <w:b/>
          <w:sz w:val="24"/>
          <w:szCs w:val="24"/>
          <w:u w:val="single"/>
        </w:rPr>
      </w:pPr>
      <w:r>
        <w:rPr>
          <w:rFonts w:ascii="Arial" w:eastAsia="Arial" w:hAnsi="Arial" w:cs="Arial"/>
          <w:b/>
          <w:sz w:val="24"/>
          <w:szCs w:val="24"/>
          <w:u w:val="single"/>
        </w:rPr>
        <w:t>______________________________________________________________________</w:t>
      </w:r>
    </w:p>
    <w:p w14:paraId="1B1E7179" w14:textId="77777777" w:rsidR="00500799" w:rsidRDefault="00EE5FF7">
      <w:pPr>
        <w:pBdr>
          <w:top w:val="nil"/>
          <w:left w:val="nil"/>
          <w:bottom w:val="nil"/>
          <w:right w:val="nil"/>
          <w:between w:val="nil"/>
        </w:pBdr>
        <w:jc w:val="center"/>
        <w:rPr>
          <w:rFonts w:ascii="Arial" w:eastAsia="Arial" w:hAnsi="Arial" w:cs="Arial"/>
          <w:b/>
          <w:color w:val="000000"/>
          <w:u w:val="single"/>
        </w:rPr>
      </w:pPr>
      <w:r>
        <w:rPr>
          <w:rFonts w:ascii="Arial" w:eastAsia="Arial" w:hAnsi="Arial" w:cs="Arial"/>
          <w:b/>
          <w:color w:val="000000"/>
          <w:u w:val="single"/>
        </w:rPr>
        <w:t>Abstract</w:t>
      </w:r>
    </w:p>
    <w:p w14:paraId="79F3FBE8" w14:textId="77777777" w:rsidR="00500799" w:rsidRDefault="00EE5FF7">
      <w:pPr>
        <w:shd w:val="clear" w:color="auto" w:fill="FFFFFF"/>
        <w:spacing w:before="220" w:after="220"/>
        <w:jc w:val="both"/>
        <w:rPr>
          <w:rFonts w:ascii="Arial" w:eastAsia="Arial" w:hAnsi="Arial" w:cs="Arial"/>
          <w:sz w:val="20"/>
          <w:szCs w:val="20"/>
        </w:rPr>
      </w:pPr>
      <w:r>
        <w:rPr>
          <w:rFonts w:ascii="Arial" w:eastAsia="Arial" w:hAnsi="Arial" w:cs="Arial"/>
          <w:sz w:val="20"/>
          <w:szCs w:val="20"/>
        </w:rPr>
        <w:t xml:space="preserve">In India, one of the main reasons for grain losses during storage is insect infestation. The current study examined how insects were stored in various packaging materials and how infestation affected the physical and chemical properties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Insects and pests that attack kodo millet include the </w:t>
      </w:r>
      <w:proofErr w:type="spellStart"/>
      <w:r>
        <w:rPr>
          <w:rFonts w:ascii="Arial" w:eastAsia="Arial" w:hAnsi="Arial" w:cs="Arial"/>
          <w:sz w:val="20"/>
          <w:szCs w:val="20"/>
        </w:rPr>
        <w:t>khapra</w:t>
      </w:r>
      <w:proofErr w:type="spellEnd"/>
      <w:r>
        <w:rPr>
          <w:rFonts w:ascii="Arial" w:eastAsia="Arial" w:hAnsi="Arial" w:cs="Arial"/>
          <w:sz w:val="20"/>
          <w:szCs w:val="20"/>
        </w:rPr>
        <w:t xml:space="preserve"> beetle (Trogoderma </w:t>
      </w:r>
      <w:proofErr w:type="spellStart"/>
      <w:r>
        <w:rPr>
          <w:rFonts w:ascii="Arial" w:eastAsia="Arial" w:hAnsi="Arial" w:cs="Arial"/>
          <w:sz w:val="20"/>
          <w:szCs w:val="20"/>
        </w:rPr>
        <w:t>granarium</w:t>
      </w:r>
      <w:proofErr w:type="spellEnd"/>
      <w:r>
        <w:rPr>
          <w:rFonts w:ascii="Arial" w:eastAsia="Arial" w:hAnsi="Arial" w:cs="Arial"/>
          <w:sz w:val="20"/>
          <w:szCs w:val="20"/>
        </w:rPr>
        <w:t xml:space="preserve">), rice weevil (Sitophilus </w:t>
      </w:r>
      <w:proofErr w:type="spellStart"/>
      <w:r>
        <w:rPr>
          <w:rFonts w:ascii="Arial" w:eastAsia="Arial" w:hAnsi="Arial" w:cs="Arial"/>
          <w:sz w:val="20"/>
          <w:szCs w:val="20"/>
        </w:rPr>
        <w:t>oryzae</w:t>
      </w:r>
      <w:proofErr w:type="spellEnd"/>
      <w:r>
        <w:rPr>
          <w:rFonts w:ascii="Arial" w:eastAsia="Arial" w:hAnsi="Arial" w:cs="Arial"/>
          <w:sz w:val="20"/>
          <w:szCs w:val="20"/>
        </w:rPr>
        <w:t>), grain moth (</w:t>
      </w:r>
      <w:proofErr w:type="spellStart"/>
      <w:r>
        <w:rPr>
          <w:rFonts w:ascii="Arial" w:eastAsia="Arial" w:hAnsi="Arial" w:cs="Arial"/>
          <w:sz w:val="20"/>
          <w:szCs w:val="20"/>
        </w:rPr>
        <w:t>Sitotroga</w:t>
      </w:r>
      <w:proofErr w:type="spellEnd"/>
      <w:r>
        <w:rPr>
          <w:rFonts w:ascii="Arial" w:eastAsia="Arial" w:hAnsi="Arial" w:cs="Arial"/>
          <w:sz w:val="20"/>
          <w:szCs w:val="20"/>
        </w:rPr>
        <w:t xml:space="preserve"> </w:t>
      </w:r>
      <w:proofErr w:type="spellStart"/>
      <w:r>
        <w:rPr>
          <w:rFonts w:ascii="Arial" w:eastAsia="Arial" w:hAnsi="Arial" w:cs="Arial"/>
          <w:sz w:val="20"/>
          <w:szCs w:val="20"/>
        </w:rPr>
        <w:t>cerealella</w:t>
      </w:r>
      <w:proofErr w:type="spellEnd"/>
      <w:r>
        <w:rPr>
          <w:rFonts w:ascii="Arial" w:eastAsia="Arial" w:hAnsi="Arial" w:cs="Arial"/>
          <w:sz w:val="20"/>
          <w:szCs w:val="20"/>
        </w:rPr>
        <w:t>), and flour beetle (</w:t>
      </w:r>
      <w:proofErr w:type="spellStart"/>
      <w:r>
        <w:rPr>
          <w:rFonts w:ascii="Arial" w:eastAsia="Arial" w:hAnsi="Arial" w:cs="Arial"/>
          <w:sz w:val="20"/>
          <w:szCs w:val="20"/>
        </w:rPr>
        <w:t>Tribolium</w:t>
      </w:r>
      <w:proofErr w:type="spellEnd"/>
      <w:r>
        <w:rPr>
          <w:rFonts w:ascii="Arial" w:eastAsia="Arial" w:hAnsi="Arial" w:cs="Arial"/>
          <w:sz w:val="20"/>
          <w:szCs w:val="20"/>
        </w:rPr>
        <w:t xml:space="preserve">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These pests and mites cause losses in both the quantity and quality of nutrients during the storage period. The current investigation focused on grain storage tests, quality trait analysis, and post-harvest practices. After being dehulled and ground on a </w:t>
      </w:r>
      <w:proofErr w:type="spellStart"/>
      <w:r>
        <w:rPr>
          <w:rFonts w:ascii="Arial" w:eastAsia="Arial" w:hAnsi="Arial" w:cs="Arial"/>
          <w:sz w:val="20"/>
          <w:szCs w:val="20"/>
        </w:rPr>
        <w:t>Perfura</w:t>
      </w:r>
      <w:proofErr w:type="spellEnd"/>
      <w:r>
        <w:rPr>
          <w:rFonts w:ascii="Arial" w:eastAsia="Arial" w:hAnsi="Arial" w:cs="Arial"/>
          <w:sz w:val="20"/>
          <w:szCs w:val="20"/>
        </w:rPr>
        <w:t xml:space="preserve"> dehulling and milling machine, raw kodo grains were kept at room temperature during different storage periods (0, 60, 120, and 180 days) in a range of packaging methods (such as vacuum packing, LDPE, HDPE, and gunny bags). The products' physical and chemical properties were assessed, together with the relevant insect observations. According to the data collected, samples packed in gunny bags appeared to contain the majority of insects during the six-month period, whereas samples packed in vacuums showed no </w:t>
      </w:r>
      <w:proofErr w:type="spellStart"/>
      <w:r>
        <w:rPr>
          <w:rFonts w:ascii="Arial" w:eastAsia="Arial" w:hAnsi="Arial" w:cs="Arial"/>
          <w:sz w:val="20"/>
          <w:szCs w:val="20"/>
        </w:rPr>
        <w:t>change.According</w:t>
      </w:r>
      <w:proofErr w:type="spellEnd"/>
      <w:r>
        <w:rPr>
          <w:rFonts w:ascii="Arial" w:eastAsia="Arial" w:hAnsi="Arial" w:cs="Arial"/>
          <w:sz w:val="20"/>
          <w:szCs w:val="20"/>
        </w:rPr>
        <w:t xml:space="preserve"> to the findings, six months of storage was when biophysical qualities changed, not when samples were vacuum-packed. As a result, during the six-month storage at the studies, it was found that the vacuum-packed kodo millet samples showed significant results for all of their quality characteristics.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can be stored for longer by using vacuum packaging since it preserves their physico-chemical composition.</w:t>
      </w:r>
    </w:p>
    <w:p w14:paraId="2013E207" w14:textId="77777777" w:rsidR="00500799" w:rsidRDefault="00EE5FF7">
      <w:pPr>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Kodo millet, Insect pests, LDPE, HDPE and Vacuum packaging.</w:t>
      </w:r>
    </w:p>
    <w:p w14:paraId="35D2EC01" w14:textId="77777777" w:rsidR="00500799" w:rsidRDefault="00EE5FF7">
      <w:pPr>
        <w:numPr>
          <w:ilvl w:val="0"/>
          <w:numId w:val="4"/>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Introduction</w:t>
      </w:r>
    </w:p>
    <w:p w14:paraId="77B4A472" w14:textId="77777777" w:rsidR="00500799" w:rsidRDefault="00EE5FF7">
      <w:pPr>
        <w:pBdr>
          <w:top w:val="nil"/>
          <w:left w:val="nil"/>
          <w:bottom w:val="nil"/>
          <w:right w:val="nil"/>
          <w:between w:val="nil"/>
        </w:pBdr>
        <w:ind w:firstLine="720"/>
        <w:jc w:val="both"/>
        <w:rPr>
          <w:rFonts w:ascii="Arial" w:eastAsia="Arial" w:hAnsi="Arial" w:cs="Arial"/>
          <w:color w:val="000000"/>
          <w:sz w:val="20"/>
          <w:szCs w:val="20"/>
        </w:rPr>
      </w:pPr>
      <w:proofErr w:type="spellStart"/>
      <w:r>
        <w:rPr>
          <w:rFonts w:ascii="Arial" w:eastAsia="Arial" w:hAnsi="Arial" w:cs="Arial"/>
          <w:color w:val="000000"/>
          <w:sz w:val="20"/>
          <w:szCs w:val="20"/>
        </w:rPr>
        <w:t>Kodo</w:t>
      </w:r>
      <w:proofErr w:type="spellEnd"/>
      <w:r>
        <w:rPr>
          <w:rFonts w:ascii="Arial" w:eastAsia="Arial" w:hAnsi="Arial" w:cs="Arial"/>
          <w:color w:val="000000"/>
          <w:sz w:val="20"/>
          <w:szCs w:val="20"/>
        </w:rPr>
        <w:t xml:space="preserve"> millet (</w:t>
      </w:r>
      <w:proofErr w:type="spellStart"/>
      <w:r>
        <w:rPr>
          <w:rFonts w:ascii="Arial" w:eastAsia="Arial" w:hAnsi="Arial" w:cs="Arial"/>
          <w:i/>
          <w:color w:val="000000"/>
          <w:sz w:val="20"/>
          <w:szCs w:val="20"/>
        </w:rPr>
        <w:t>Paspalum</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scrobiculatum</w:t>
      </w:r>
      <w:proofErr w:type="spellEnd"/>
      <w:r>
        <w:rPr>
          <w:rFonts w:ascii="Arial" w:eastAsia="Arial" w:hAnsi="Arial" w:cs="Arial"/>
          <w:i/>
          <w:color w:val="000000"/>
          <w:sz w:val="20"/>
          <w:szCs w:val="20"/>
        </w:rPr>
        <w:t xml:space="preserve"> L</w:t>
      </w:r>
      <w:r>
        <w:rPr>
          <w:rFonts w:ascii="Arial" w:eastAsia="Arial" w:hAnsi="Arial" w:cs="Arial"/>
          <w:color w:val="000000"/>
          <w:sz w:val="20"/>
          <w:szCs w:val="20"/>
        </w:rPr>
        <w:t xml:space="preserve">) is grown as a cereal in India only; although the wild grass is a wide spread tropical weed. The crop has been grown for at least 3000 years, </w:t>
      </w:r>
      <w:r>
        <w:rPr>
          <w:rFonts w:ascii="Arial" w:eastAsia="Arial" w:hAnsi="Arial" w:cs="Arial"/>
          <w:sz w:val="20"/>
          <w:szCs w:val="20"/>
        </w:rPr>
        <w:t>but could</w:t>
      </w:r>
      <w:r>
        <w:rPr>
          <w:rFonts w:ascii="Arial" w:eastAsia="Arial" w:hAnsi="Arial" w:cs="Arial"/>
          <w:color w:val="000000"/>
          <w:sz w:val="20"/>
          <w:szCs w:val="20"/>
        </w:rPr>
        <w:t xml:space="preserve"> not find any clear racial differentiation. Wild weeds and cultivated types merged in all the characters </w:t>
      </w:r>
      <w:r>
        <w:rPr>
          <w:rFonts w:ascii="Arial" w:eastAsia="Arial" w:hAnsi="Arial" w:cs="Arial"/>
          <w:sz w:val="20"/>
          <w:szCs w:val="20"/>
        </w:rPr>
        <w:t>studied. Kodo</w:t>
      </w:r>
      <w:r>
        <w:rPr>
          <w:rFonts w:ascii="Arial" w:eastAsia="Arial" w:hAnsi="Arial" w:cs="Arial"/>
          <w:color w:val="000000"/>
          <w:sz w:val="20"/>
          <w:szCs w:val="20"/>
        </w:rPr>
        <w:t xml:space="preserve"> millet is said to be poisonous after rain. This could be due to a fungal infection. Winnowed clear healthy grain seems to pose no health problems (Hegde &amp; Chandra, 2005). </w:t>
      </w:r>
    </w:p>
    <w:p w14:paraId="6815B18F" w14:textId="77777777" w:rsidR="00500799" w:rsidRDefault="00EE5FF7">
      <w:pPr>
        <w:pBdr>
          <w:top w:val="nil"/>
          <w:left w:val="nil"/>
          <w:bottom w:val="nil"/>
          <w:right w:val="nil"/>
          <w:between w:val="nil"/>
        </w:pBdr>
        <w:ind w:firstLine="720"/>
        <w:jc w:val="both"/>
        <w:rPr>
          <w:rFonts w:ascii="Arial" w:eastAsia="Arial" w:hAnsi="Arial" w:cs="Arial"/>
          <w:color w:val="252525"/>
          <w:sz w:val="20"/>
          <w:szCs w:val="20"/>
        </w:rPr>
      </w:pPr>
      <w:r>
        <w:rPr>
          <w:rFonts w:ascii="Arial" w:eastAsia="Arial" w:hAnsi="Arial" w:cs="Arial"/>
          <w:color w:val="000000"/>
          <w:sz w:val="20"/>
          <w:szCs w:val="20"/>
        </w:rPr>
        <w:t>Due to its intriguing protein and mineral content, Kodo millet is another significant minor millet variety that is very essential in the tribal areas of India (Neelam, Kanchan, &amp; Alka, 2013). It is a crucial crop of the Deccan plateau and is said to have been cultivated in India, millets are cultivated in an area of 12.45 million hectares, producing 15.53 million Tons with a yield of 1247 kg/ha. It is interesting to note that; India is the topmost producer of Barnyard (99.9%), Finger (53.3%), Kodo (100%), little millet (100%) and pearl millet (44.5%), producing about 12.46 million metric tons from an area of 8.87 million ha (Kumar, Patel, Naik, &amp; Mishra, 2016). Madhya Pradesh, Maharashtra, Uttar Pradesh, Himachal Pradesh, Gujarat, Karnataka, and portions of Tamil Nadu are the principal growing regions. Because of its robust outer shell, which enables it to thrive even in high-drought areas, it is regarded as the toughest millet grain (</w:t>
      </w:r>
      <w:proofErr w:type="gramStart"/>
      <w:r>
        <w:rPr>
          <w:rFonts w:ascii="Arial" w:eastAsia="Arial" w:hAnsi="Arial" w:cs="Arial"/>
          <w:color w:val="000000"/>
          <w:sz w:val="20"/>
          <w:szCs w:val="20"/>
        </w:rPr>
        <w:t>Sharma,  Handa</w:t>
      </w:r>
      <w:proofErr w:type="gramEnd"/>
      <w:r>
        <w:rPr>
          <w:rFonts w:ascii="Arial" w:eastAsia="Arial" w:hAnsi="Arial" w:cs="Arial"/>
          <w:color w:val="000000"/>
          <w:sz w:val="20"/>
          <w:szCs w:val="20"/>
        </w:rPr>
        <w:t>, &amp; Pathania, 2017). The seeds require around five to six months to fully mature (</w:t>
      </w:r>
      <w:proofErr w:type="spellStart"/>
      <w:r>
        <w:rPr>
          <w:rFonts w:ascii="Arial" w:eastAsia="Arial" w:hAnsi="Arial" w:cs="Arial"/>
          <w:color w:val="000000"/>
          <w:sz w:val="20"/>
          <w:szCs w:val="20"/>
        </w:rPr>
        <w:t>Rachie</w:t>
      </w:r>
      <w:proofErr w:type="spellEnd"/>
      <w:r>
        <w:rPr>
          <w:rFonts w:ascii="Arial" w:eastAsia="Arial" w:hAnsi="Arial" w:cs="Arial"/>
          <w:color w:val="000000"/>
          <w:sz w:val="20"/>
          <w:szCs w:val="20"/>
        </w:rPr>
        <w:t>, 1975), which, when compared to other millet cultivars, generally has the longest agricultural production (FAO, 2001).</w:t>
      </w:r>
      <w:r>
        <w:rPr>
          <w:rFonts w:ascii="Arial" w:eastAsia="Arial" w:hAnsi="Arial" w:cs="Arial"/>
          <w:color w:val="252525"/>
          <w:sz w:val="20"/>
          <w:szCs w:val="20"/>
        </w:rPr>
        <w:t xml:space="preserve"> </w:t>
      </w:r>
    </w:p>
    <w:p w14:paraId="23499670" w14:textId="77777777" w:rsidR="00500799" w:rsidRDefault="00EE5FF7">
      <w:pPr>
        <w:pBdr>
          <w:top w:val="nil"/>
          <w:left w:val="nil"/>
          <w:bottom w:val="nil"/>
          <w:right w:val="nil"/>
          <w:between w:val="nil"/>
        </w:pBdr>
        <w:ind w:firstLine="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Millets contain the bioactive phytochemicals </w:t>
      </w:r>
      <w:proofErr w:type="spellStart"/>
      <w:r>
        <w:rPr>
          <w:rFonts w:ascii="Arial" w:eastAsia="Arial" w:hAnsi="Arial" w:cs="Arial"/>
          <w:color w:val="000000"/>
          <w:sz w:val="20"/>
          <w:szCs w:val="20"/>
        </w:rPr>
        <w:t>feraxans</w:t>
      </w:r>
      <w:proofErr w:type="spellEnd"/>
      <w:r>
        <w:rPr>
          <w:rFonts w:ascii="Arial" w:eastAsia="Arial" w:hAnsi="Arial" w:cs="Arial"/>
          <w:color w:val="000000"/>
          <w:sz w:val="20"/>
          <w:szCs w:val="20"/>
        </w:rPr>
        <w:t xml:space="preserve">, lignans, glucan, inulin, resistant starch, sterols, and phenolic compounds (such as ferulic acid, caffeic acid, and quercetin). Studies have revealed that polyphenols have anti-oxidative, anti-carcinogenic, anti-inflammatory, antiviral, and neuroprotective characteristics, all of which have been shown to be beneficial in the treatment and prevention of diseases like cancer, cardiovascular disease, diabetes, high blood pressure, high cholesterol, inflammatory diseases, metabolic syndrome, and Parkinson's disease (Dayakar </w:t>
      </w:r>
      <w:r>
        <w:rPr>
          <w:rFonts w:ascii="Arial" w:eastAsia="Arial" w:hAnsi="Arial" w:cs="Arial"/>
          <w:i/>
          <w:color w:val="000000"/>
          <w:sz w:val="20"/>
          <w:szCs w:val="20"/>
        </w:rPr>
        <w:t>et al.,</w:t>
      </w:r>
      <w:r>
        <w:rPr>
          <w:rFonts w:ascii="Arial" w:eastAsia="Arial" w:hAnsi="Arial" w:cs="Arial"/>
          <w:color w:val="000000"/>
          <w:sz w:val="20"/>
          <w:szCs w:val="20"/>
        </w:rPr>
        <w:t xml:space="preserve"> 2018).</w:t>
      </w:r>
    </w:p>
    <w:p w14:paraId="591D1835" w14:textId="77777777" w:rsidR="00500799" w:rsidRDefault="00EE5FF7">
      <w:pPr>
        <w:pBdr>
          <w:top w:val="nil"/>
          <w:left w:val="nil"/>
          <w:bottom w:val="nil"/>
          <w:right w:val="nil"/>
          <w:between w:val="nil"/>
        </w:pBdr>
        <w:ind w:firstLine="720"/>
        <w:jc w:val="both"/>
        <w:rPr>
          <w:rFonts w:ascii="Arial" w:eastAsia="Arial" w:hAnsi="Arial" w:cs="Arial"/>
          <w:color w:val="000000"/>
          <w:sz w:val="20"/>
          <w:szCs w:val="20"/>
        </w:rPr>
      </w:pPr>
      <w:r>
        <w:rPr>
          <w:rFonts w:ascii="Arial" w:eastAsia="Arial" w:hAnsi="Arial" w:cs="Arial"/>
          <w:color w:val="000000"/>
          <w:sz w:val="20"/>
          <w:szCs w:val="20"/>
        </w:rPr>
        <w:t>Post-harvest management is an essential part of achieving high-quality grain to meet specific market requirements. Food hygiene regulations apply to stored grain, which must be protected from mould, bacteria, rodent, bird, and insect damage, while pesticide residues must not exceed UK statutory levels (</w:t>
      </w:r>
      <w:proofErr w:type="spellStart"/>
      <w:r>
        <w:rPr>
          <w:rFonts w:ascii="Arial" w:eastAsia="Arial" w:hAnsi="Arial" w:cs="Arial"/>
          <w:color w:val="000000"/>
          <w:sz w:val="20"/>
          <w:szCs w:val="20"/>
        </w:rPr>
        <w:t>Goodingm</w:t>
      </w:r>
      <w:proofErr w:type="spellEnd"/>
      <w:r>
        <w:rPr>
          <w:rFonts w:ascii="Arial" w:eastAsia="Arial" w:hAnsi="Arial" w:cs="Arial"/>
          <w:color w:val="000000"/>
          <w:sz w:val="20"/>
          <w:szCs w:val="20"/>
        </w:rPr>
        <w:t xml:space="preserve"> and Davies, 1997). These standards form the basis of recently introduced quality assurance schemes, combining all facets of grain production from field to store and on to the mill.</w:t>
      </w:r>
    </w:p>
    <w:p w14:paraId="4C369B12" w14:textId="77777777" w:rsidR="00500799" w:rsidRDefault="00EE5FF7">
      <w:pPr>
        <w:numPr>
          <w:ilvl w:val="0"/>
          <w:numId w:val="4"/>
        </w:numPr>
        <w:spacing w:after="0"/>
        <w:jc w:val="both"/>
        <w:rPr>
          <w:rFonts w:ascii="Arial" w:eastAsia="Arial" w:hAnsi="Arial" w:cs="Arial"/>
          <w:b/>
        </w:rPr>
      </w:pPr>
      <w:r>
        <w:rPr>
          <w:rFonts w:ascii="Arial" w:eastAsia="Arial" w:hAnsi="Arial" w:cs="Arial"/>
          <w:b/>
        </w:rPr>
        <w:t>MATERIALS AND METHODS</w:t>
      </w:r>
    </w:p>
    <w:p w14:paraId="65E7D801" w14:textId="77777777" w:rsidR="00500799" w:rsidRDefault="00EE5FF7">
      <w:pPr>
        <w:spacing w:after="0"/>
        <w:ind w:firstLine="720"/>
        <w:jc w:val="both"/>
        <w:rPr>
          <w:rFonts w:ascii="Arial" w:eastAsia="Arial" w:hAnsi="Arial" w:cs="Arial"/>
          <w:sz w:val="20"/>
          <w:szCs w:val="20"/>
        </w:rPr>
      </w:pPr>
      <w:r>
        <w:rPr>
          <w:rFonts w:ascii="Arial" w:eastAsia="Arial" w:hAnsi="Arial" w:cs="Arial"/>
          <w:sz w:val="20"/>
          <w:szCs w:val="20"/>
        </w:rPr>
        <w:t xml:space="preserve">To conduct the experiment Kodo millet were procured from the different blocks of Mandla and </w:t>
      </w:r>
      <w:proofErr w:type="spellStart"/>
      <w:r>
        <w:rPr>
          <w:rFonts w:ascii="Arial" w:eastAsia="Arial" w:hAnsi="Arial" w:cs="Arial"/>
          <w:sz w:val="20"/>
          <w:szCs w:val="20"/>
        </w:rPr>
        <w:t>Dindori</w:t>
      </w:r>
      <w:proofErr w:type="spellEnd"/>
      <w:r>
        <w:rPr>
          <w:rFonts w:ascii="Arial" w:eastAsia="Arial" w:hAnsi="Arial" w:cs="Arial"/>
          <w:sz w:val="20"/>
          <w:szCs w:val="20"/>
        </w:rPr>
        <w:t xml:space="preserve"> district of Madhya Pradesh. The sample materials were properly cleaned, graded hulled and milled by </w:t>
      </w:r>
      <w:proofErr w:type="spellStart"/>
      <w:r>
        <w:rPr>
          <w:rFonts w:ascii="Arial" w:eastAsia="Arial" w:hAnsi="Arial" w:cs="Arial"/>
          <w:sz w:val="20"/>
          <w:szCs w:val="20"/>
        </w:rPr>
        <w:t>perfura</w:t>
      </w:r>
      <w:proofErr w:type="spellEnd"/>
      <w:r>
        <w:rPr>
          <w:rFonts w:ascii="Arial" w:eastAsia="Arial" w:hAnsi="Arial" w:cs="Arial"/>
          <w:sz w:val="20"/>
          <w:szCs w:val="20"/>
        </w:rPr>
        <w:t xml:space="preserve">, hulling and milling machine then properly packed in (gunny bags, LDPE, HDPE, &amp; Vacuumed pack) and stored at ambient room temperature for further use in experiments. </w:t>
      </w:r>
    </w:p>
    <w:p w14:paraId="0A568FBC" w14:textId="77777777" w:rsidR="00500799" w:rsidRDefault="00500799">
      <w:pPr>
        <w:spacing w:after="0"/>
        <w:jc w:val="both"/>
        <w:rPr>
          <w:rFonts w:ascii="Arial" w:eastAsia="Arial" w:hAnsi="Arial" w:cs="Arial"/>
          <w:b/>
          <w:color w:val="252525"/>
          <w:sz w:val="24"/>
          <w:szCs w:val="24"/>
        </w:rPr>
      </w:pPr>
    </w:p>
    <w:p w14:paraId="35D4CBF5" w14:textId="77777777"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Tab.1 Experimental plan of evaluation of kodo millet in different Packaging Materials during storage period</w:t>
      </w:r>
    </w:p>
    <w:tbl>
      <w:tblPr>
        <w:tblStyle w:val="a"/>
        <w:tblpPr w:leftFromText="180" w:rightFromText="180" w:vertAnchor="text" w:tblpX="153" w:tblpY="159"/>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9"/>
        <w:gridCol w:w="1676"/>
        <w:gridCol w:w="2353"/>
        <w:gridCol w:w="1129"/>
        <w:gridCol w:w="847"/>
        <w:gridCol w:w="847"/>
        <w:gridCol w:w="1412"/>
      </w:tblGrid>
      <w:tr w:rsidR="00500799" w14:paraId="728AB358" w14:textId="77777777">
        <w:trPr>
          <w:trHeight w:val="186"/>
        </w:trPr>
        <w:tc>
          <w:tcPr>
            <w:tcW w:w="789" w:type="dxa"/>
            <w:vAlign w:val="center"/>
          </w:tcPr>
          <w:p w14:paraId="3FA1335F"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 N.</w:t>
            </w:r>
          </w:p>
        </w:tc>
        <w:tc>
          <w:tcPr>
            <w:tcW w:w="1676" w:type="dxa"/>
            <w:vAlign w:val="center"/>
          </w:tcPr>
          <w:p w14:paraId="263C9449"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sz w:val="20"/>
                <w:szCs w:val="20"/>
              </w:rPr>
              <w:t>Storage structures</w:t>
            </w:r>
          </w:p>
        </w:tc>
        <w:tc>
          <w:tcPr>
            <w:tcW w:w="2353" w:type="dxa"/>
            <w:vAlign w:val="center"/>
          </w:tcPr>
          <w:p w14:paraId="7D11870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Opening secured/tight cover</w:t>
            </w:r>
          </w:p>
        </w:tc>
        <w:tc>
          <w:tcPr>
            <w:tcW w:w="1129" w:type="dxa"/>
            <w:vAlign w:val="center"/>
          </w:tcPr>
          <w:p w14:paraId="24757DC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Moisture proof</w:t>
            </w:r>
          </w:p>
        </w:tc>
        <w:tc>
          <w:tcPr>
            <w:tcW w:w="847" w:type="dxa"/>
            <w:vAlign w:val="center"/>
          </w:tcPr>
          <w:p w14:paraId="4A66B5D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Insect proof</w:t>
            </w:r>
          </w:p>
        </w:tc>
        <w:tc>
          <w:tcPr>
            <w:tcW w:w="847" w:type="dxa"/>
            <w:vAlign w:val="center"/>
          </w:tcPr>
          <w:p w14:paraId="615A2F86"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O</w:t>
            </w:r>
            <w:r>
              <w:rPr>
                <w:rFonts w:ascii="Arial" w:eastAsia="Arial" w:hAnsi="Arial" w:cs="Arial"/>
                <w:b/>
                <w:color w:val="252525"/>
                <w:sz w:val="20"/>
                <w:szCs w:val="20"/>
                <w:vertAlign w:val="subscript"/>
              </w:rPr>
              <w:t>2</w:t>
            </w:r>
            <w:r>
              <w:rPr>
                <w:rFonts w:ascii="Arial" w:eastAsia="Arial" w:hAnsi="Arial" w:cs="Arial"/>
                <w:b/>
                <w:color w:val="252525"/>
                <w:sz w:val="20"/>
                <w:szCs w:val="20"/>
              </w:rPr>
              <w:t xml:space="preserve"> </w:t>
            </w:r>
            <w:r>
              <w:rPr>
                <w:rFonts w:ascii="Arial" w:eastAsia="Arial" w:hAnsi="Arial" w:cs="Arial"/>
                <w:b/>
                <w:sz w:val="20"/>
                <w:szCs w:val="20"/>
              </w:rPr>
              <w:t>proof</w:t>
            </w:r>
          </w:p>
        </w:tc>
        <w:tc>
          <w:tcPr>
            <w:tcW w:w="1412" w:type="dxa"/>
            <w:vAlign w:val="center"/>
          </w:tcPr>
          <w:p w14:paraId="5BDE19A5"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Storage period (days)</w:t>
            </w:r>
          </w:p>
        </w:tc>
      </w:tr>
      <w:tr w:rsidR="00500799" w14:paraId="416EFBDB" w14:textId="77777777">
        <w:trPr>
          <w:trHeight w:val="129"/>
        </w:trPr>
        <w:tc>
          <w:tcPr>
            <w:tcW w:w="789" w:type="dxa"/>
            <w:vAlign w:val="center"/>
          </w:tcPr>
          <w:p w14:paraId="4E0F2018"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354F0C91"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Gunny bag</w:t>
            </w:r>
          </w:p>
        </w:tc>
        <w:tc>
          <w:tcPr>
            <w:tcW w:w="2353" w:type="dxa"/>
            <w:vAlign w:val="center"/>
          </w:tcPr>
          <w:p w14:paraId="34A1D3F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3F4D9AE6"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F3C402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576B0EC"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156E3EE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7774137A" w14:textId="77777777">
        <w:trPr>
          <w:trHeight w:val="70"/>
        </w:trPr>
        <w:tc>
          <w:tcPr>
            <w:tcW w:w="789" w:type="dxa"/>
            <w:vAlign w:val="center"/>
          </w:tcPr>
          <w:p w14:paraId="59C0CA49"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541D488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LDPE</w:t>
            </w:r>
          </w:p>
        </w:tc>
        <w:tc>
          <w:tcPr>
            <w:tcW w:w="2353" w:type="dxa"/>
            <w:vAlign w:val="center"/>
          </w:tcPr>
          <w:p w14:paraId="02746679"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68BD3F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7D50C5A3"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1EBAF38E"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051E537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121424F1" w14:textId="77777777">
        <w:trPr>
          <w:trHeight w:val="70"/>
        </w:trPr>
        <w:tc>
          <w:tcPr>
            <w:tcW w:w="789" w:type="dxa"/>
            <w:vAlign w:val="center"/>
          </w:tcPr>
          <w:p w14:paraId="3B1C3212"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43B9B508"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HDPE</w:t>
            </w:r>
          </w:p>
        </w:tc>
        <w:tc>
          <w:tcPr>
            <w:tcW w:w="2353" w:type="dxa"/>
            <w:vAlign w:val="center"/>
          </w:tcPr>
          <w:p w14:paraId="4662BB3D"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54B5EA0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61DEEFD8"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847" w:type="dxa"/>
            <w:vAlign w:val="center"/>
          </w:tcPr>
          <w:p w14:paraId="40A4163F"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No</w:t>
            </w:r>
          </w:p>
        </w:tc>
        <w:tc>
          <w:tcPr>
            <w:tcW w:w="1412" w:type="dxa"/>
            <w:vAlign w:val="center"/>
          </w:tcPr>
          <w:p w14:paraId="71F6547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r w:rsidR="00500799" w14:paraId="6CEE1ACC" w14:textId="77777777">
        <w:trPr>
          <w:trHeight w:val="70"/>
        </w:trPr>
        <w:tc>
          <w:tcPr>
            <w:tcW w:w="789" w:type="dxa"/>
            <w:vAlign w:val="center"/>
          </w:tcPr>
          <w:p w14:paraId="29D9E9D3" w14:textId="77777777" w:rsidR="00500799" w:rsidRDefault="00500799">
            <w:pPr>
              <w:numPr>
                <w:ilvl w:val="0"/>
                <w:numId w:val="2"/>
              </w:numPr>
              <w:pBdr>
                <w:top w:val="nil"/>
                <w:left w:val="nil"/>
                <w:bottom w:val="nil"/>
                <w:right w:val="nil"/>
                <w:between w:val="nil"/>
              </w:pBdr>
              <w:spacing w:after="200" w:line="276" w:lineRule="auto"/>
              <w:jc w:val="center"/>
              <w:rPr>
                <w:rFonts w:ascii="Arial" w:eastAsia="Arial" w:hAnsi="Arial" w:cs="Arial"/>
                <w:b/>
                <w:color w:val="252525"/>
                <w:sz w:val="20"/>
                <w:szCs w:val="20"/>
              </w:rPr>
            </w:pPr>
          </w:p>
        </w:tc>
        <w:tc>
          <w:tcPr>
            <w:tcW w:w="1676" w:type="dxa"/>
            <w:vAlign w:val="center"/>
          </w:tcPr>
          <w:p w14:paraId="27EC06F1"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Vacuumed pack</w:t>
            </w:r>
          </w:p>
        </w:tc>
        <w:tc>
          <w:tcPr>
            <w:tcW w:w="2353" w:type="dxa"/>
            <w:vAlign w:val="center"/>
          </w:tcPr>
          <w:p w14:paraId="24D3036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129" w:type="dxa"/>
            <w:vAlign w:val="center"/>
          </w:tcPr>
          <w:p w14:paraId="4E3539B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6AF3F207"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847" w:type="dxa"/>
            <w:vAlign w:val="center"/>
          </w:tcPr>
          <w:p w14:paraId="2B98DA80" w14:textId="77777777" w:rsidR="00500799" w:rsidRDefault="00EE5FF7">
            <w:pPr>
              <w:spacing w:line="276" w:lineRule="auto"/>
              <w:jc w:val="center"/>
              <w:rPr>
                <w:rFonts w:ascii="Arial" w:eastAsia="Arial" w:hAnsi="Arial" w:cs="Arial"/>
                <w:color w:val="252525"/>
                <w:sz w:val="20"/>
                <w:szCs w:val="20"/>
              </w:rPr>
            </w:pPr>
            <w:r>
              <w:rPr>
                <w:rFonts w:ascii="Arial" w:eastAsia="Arial" w:hAnsi="Arial" w:cs="Arial"/>
                <w:sz w:val="20"/>
                <w:szCs w:val="20"/>
              </w:rPr>
              <w:t>Yes</w:t>
            </w:r>
          </w:p>
        </w:tc>
        <w:tc>
          <w:tcPr>
            <w:tcW w:w="1412" w:type="dxa"/>
            <w:vAlign w:val="center"/>
          </w:tcPr>
          <w:p w14:paraId="22031F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0,60,120,180</w:t>
            </w:r>
          </w:p>
        </w:tc>
      </w:tr>
    </w:tbl>
    <w:p w14:paraId="0586FCAC" w14:textId="77777777" w:rsidR="00500799" w:rsidRDefault="00500799">
      <w:pPr>
        <w:spacing w:after="0"/>
        <w:rPr>
          <w:rFonts w:ascii="Arial" w:eastAsia="Arial" w:hAnsi="Arial" w:cs="Arial"/>
          <w:sz w:val="24"/>
          <w:szCs w:val="24"/>
        </w:rPr>
      </w:pPr>
    </w:p>
    <w:p w14:paraId="26981001" w14:textId="5356CF6C" w:rsidR="00500799" w:rsidRDefault="00500799">
      <w:pPr>
        <w:spacing w:after="0"/>
        <w:jc w:val="center"/>
        <w:rPr>
          <w:rFonts w:ascii="Arial" w:eastAsia="Arial" w:hAnsi="Arial" w:cs="Arial"/>
          <w:sz w:val="24"/>
          <w:szCs w:val="24"/>
        </w:rPr>
      </w:pPr>
    </w:p>
    <w:p w14:paraId="32AAAEB6" w14:textId="77777777" w:rsidR="00500799" w:rsidRDefault="00500799">
      <w:pPr>
        <w:spacing w:after="0"/>
        <w:jc w:val="center"/>
        <w:rPr>
          <w:rFonts w:ascii="Arial" w:eastAsia="Arial" w:hAnsi="Arial" w:cs="Arial"/>
          <w:sz w:val="24"/>
          <w:szCs w:val="24"/>
        </w:rPr>
      </w:pPr>
    </w:p>
    <w:p w14:paraId="58FD465F" w14:textId="77777777" w:rsidR="00500799" w:rsidRDefault="00500799">
      <w:pPr>
        <w:spacing w:after="0"/>
        <w:jc w:val="center"/>
        <w:rPr>
          <w:rFonts w:ascii="Arial" w:eastAsia="Arial" w:hAnsi="Arial" w:cs="Arial"/>
          <w:sz w:val="24"/>
          <w:szCs w:val="24"/>
        </w:rPr>
      </w:pPr>
    </w:p>
    <w:p w14:paraId="07818494" w14:textId="77777777" w:rsidR="00500799" w:rsidRDefault="00500799">
      <w:pPr>
        <w:spacing w:after="0"/>
        <w:jc w:val="center"/>
        <w:rPr>
          <w:rFonts w:ascii="Arial" w:eastAsia="Arial" w:hAnsi="Arial" w:cs="Arial"/>
          <w:sz w:val="24"/>
          <w:szCs w:val="24"/>
        </w:rPr>
      </w:pPr>
    </w:p>
    <w:p w14:paraId="0EC7E1FC" w14:textId="77777777" w:rsidR="00500799" w:rsidRDefault="00500799">
      <w:pPr>
        <w:spacing w:after="0"/>
        <w:jc w:val="center"/>
        <w:rPr>
          <w:rFonts w:ascii="Arial" w:eastAsia="Arial" w:hAnsi="Arial" w:cs="Arial"/>
          <w:sz w:val="24"/>
          <w:szCs w:val="24"/>
        </w:rPr>
      </w:pPr>
    </w:p>
    <w:p w14:paraId="25352736" w14:textId="77777777" w:rsidR="00500799" w:rsidRDefault="00500799">
      <w:pPr>
        <w:spacing w:after="0"/>
        <w:jc w:val="center"/>
        <w:rPr>
          <w:rFonts w:ascii="Arial" w:eastAsia="Arial" w:hAnsi="Arial" w:cs="Arial"/>
          <w:sz w:val="24"/>
          <w:szCs w:val="24"/>
        </w:rPr>
      </w:pPr>
    </w:p>
    <w:p w14:paraId="032E11F8" w14:textId="319ADFCB" w:rsidR="00500799" w:rsidRDefault="00500799">
      <w:pPr>
        <w:spacing w:after="0"/>
        <w:jc w:val="center"/>
        <w:rPr>
          <w:rFonts w:ascii="Arial" w:eastAsia="Arial" w:hAnsi="Arial" w:cs="Arial"/>
          <w:sz w:val="24"/>
          <w:szCs w:val="24"/>
        </w:rPr>
      </w:pPr>
    </w:p>
    <w:p w14:paraId="19741849" w14:textId="69F402BB" w:rsidR="00500799" w:rsidRDefault="00500799">
      <w:pPr>
        <w:spacing w:after="0"/>
        <w:jc w:val="center"/>
        <w:rPr>
          <w:rFonts w:ascii="Arial" w:eastAsia="Arial" w:hAnsi="Arial" w:cs="Arial"/>
          <w:sz w:val="24"/>
          <w:szCs w:val="24"/>
        </w:rPr>
      </w:pPr>
    </w:p>
    <w:p w14:paraId="15D45D0D" w14:textId="38FF19F0" w:rsidR="00500799" w:rsidRDefault="00500799">
      <w:pPr>
        <w:spacing w:after="0"/>
        <w:jc w:val="center"/>
        <w:rPr>
          <w:rFonts w:ascii="Arial" w:eastAsia="Arial" w:hAnsi="Arial" w:cs="Arial"/>
          <w:sz w:val="24"/>
          <w:szCs w:val="24"/>
        </w:rPr>
      </w:pPr>
    </w:p>
    <w:p w14:paraId="0F026C81" w14:textId="77777777" w:rsidR="00500799" w:rsidRDefault="00500799">
      <w:pPr>
        <w:spacing w:after="0"/>
        <w:jc w:val="center"/>
        <w:rPr>
          <w:rFonts w:ascii="Arial" w:eastAsia="Arial" w:hAnsi="Arial" w:cs="Arial"/>
          <w:sz w:val="24"/>
          <w:szCs w:val="24"/>
        </w:rPr>
      </w:pPr>
    </w:p>
    <w:p w14:paraId="6B094DDA" w14:textId="77777777" w:rsidR="00500799" w:rsidRDefault="00500799">
      <w:pPr>
        <w:spacing w:after="0"/>
        <w:jc w:val="center"/>
        <w:rPr>
          <w:rFonts w:ascii="Arial" w:eastAsia="Arial" w:hAnsi="Arial" w:cs="Arial"/>
          <w:sz w:val="24"/>
          <w:szCs w:val="24"/>
        </w:rPr>
      </w:pPr>
    </w:p>
    <w:p w14:paraId="5EFC9EDA" w14:textId="77777777" w:rsidR="00500799" w:rsidRDefault="00500799">
      <w:pPr>
        <w:spacing w:after="0"/>
        <w:jc w:val="center"/>
        <w:rPr>
          <w:rFonts w:ascii="Arial" w:eastAsia="Arial" w:hAnsi="Arial" w:cs="Arial"/>
          <w:sz w:val="24"/>
          <w:szCs w:val="24"/>
        </w:rPr>
      </w:pPr>
    </w:p>
    <w:p w14:paraId="1C66F860" w14:textId="77777777" w:rsidR="00500799" w:rsidRDefault="00500799">
      <w:pPr>
        <w:spacing w:after="0"/>
        <w:jc w:val="center"/>
        <w:rPr>
          <w:rFonts w:ascii="Arial" w:eastAsia="Arial" w:hAnsi="Arial" w:cs="Arial"/>
          <w:sz w:val="24"/>
          <w:szCs w:val="24"/>
        </w:rPr>
      </w:pPr>
    </w:p>
    <w:p w14:paraId="355332EC" w14:textId="77777777" w:rsidR="00500799" w:rsidRDefault="00500799">
      <w:pPr>
        <w:spacing w:after="0"/>
        <w:jc w:val="center"/>
        <w:rPr>
          <w:rFonts w:ascii="Arial" w:eastAsia="Arial" w:hAnsi="Arial" w:cs="Arial"/>
          <w:sz w:val="24"/>
          <w:szCs w:val="24"/>
        </w:rPr>
      </w:pPr>
    </w:p>
    <w:tbl>
      <w:tblPr>
        <w:tblStyle w:val="a0"/>
        <w:tblpPr w:leftFromText="180" w:rightFromText="180" w:vertAnchor="text" w:tblpY="3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3164"/>
        <w:gridCol w:w="2974"/>
      </w:tblGrid>
      <w:tr w:rsidR="00500799" w14:paraId="3B499EDE" w14:textId="77777777">
        <w:tc>
          <w:tcPr>
            <w:tcW w:w="9576" w:type="dxa"/>
            <w:gridSpan w:val="3"/>
          </w:tcPr>
          <w:p w14:paraId="53D55C7A" w14:textId="77777777" w:rsidR="00500799" w:rsidRDefault="00EE5FF7">
            <w:pPr>
              <w:spacing w:line="276" w:lineRule="auto"/>
              <w:jc w:val="center"/>
              <w:rPr>
                <w:rFonts w:ascii="Arial" w:eastAsia="Arial" w:hAnsi="Arial" w:cs="Arial"/>
                <w:b/>
                <w:color w:val="252525"/>
                <w:sz w:val="20"/>
                <w:szCs w:val="20"/>
              </w:rPr>
            </w:pPr>
            <w:r>
              <w:rPr>
                <w:rFonts w:ascii="Arial" w:eastAsia="Arial" w:hAnsi="Arial" w:cs="Arial"/>
                <w:b/>
                <w:color w:val="252525"/>
                <w:sz w:val="20"/>
                <w:szCs w:val="20"/>
              </w:rPr>
              <w:t>Fig.-1: Unit operation for grading, Dehulling, milling, and packaging of milled ( kodo millet)</w:t>
            </w:r>
          </w:p>
        </w:tc>
      </w:tr>
      <w:tr w:rsidR="00500799" w14:paraId="174F7876" w14:textId="77777777">
        <w:tc>
          <w:tcPr>
            <w:tcW w:w="3438" w:type="dxa"/>
          </w:tcPr>
          <w:p w14:paraId="12608FBB" w14:textId="1C7FC984"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3360" behindDoc="0" locked="0" layoutInCell="1" allowOverlap="1" wp14:anchorId="26F1EF08" wp14:editId="4918EE9E">
                      <wp:simplePos x="0" y="0"/>
                      <wp:positionH relativeFrom="column">
                        <wp:posOffset>1296063</wp:posOffset>
                      </wp:positionH>
                      <wp:positionV relativeFrom="paragraph">
                        <wp:posOffset>698390</wp:posOffset>
                      </wp:positionV>
                      <wp:extent cx="238125" cy="127220"/>
                      <wp:effectExtent l="0" t="0" r="28575" b="25400"/>
                      <wp:wrapNone/>
                      <wp:docPr id="6" name="Round Diagonal Corner Rectangle 6"/>
                      <wp:cNvGraphicFramePr/>
                      <a:graphic xmlns:a="http://schemas.openxmlformats.org/drawingml/2006/main">
                        <a:graphicData uri="http://schemas.microsoft.com/office/word/2010/wordprocessingShape">
                          <wps:wsp>
                            <wps:cNvSpPr/>
                            <wps:spPr>
                              <a:xfrm>
                                <a:off x="0" y="0"/>
                                <a:ext cx="238125" cy="1272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14BF" id="Round Diagonal Corner Rectangle 6" o:spid="_x0000_s1026" style="position:absolute;margin-left:102.05pt;margin-top:55pt;width:18.75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" path="m21204,l238125,r,l238125,106016v,11711,-9493,21204,-21204,21204l,127220r,l,21204c,9493,9493,,21204,xe" fillcolor="#4f81bd [3204]" strokecolor="#243f60 [1604]" strokeweight="2pt">
                      <v:path arrowok="t" o:connecttype="custom" o:connectlocs="21204,0;238125,0;238125,0;238125,106016;216921,127220;0,127220;0,127220;0,21204;21204,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17315FB3" wp14:editId="5C31126B">
                  <wp:extent cx="2065979" cy="2524125"/>
                  <wp:effectExtent l="0" t="0" r="0" b="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2065979" cy="2524125"/>
                          </a:xfrm>
                          <a:prstGeom prst="rect">
                            <a:avLst/>
                          </a:prstGeom>
                          <a:ln/>
                        </pic:spPr>
                      </pic:pic>
                    </a:graphicData>
                  </a:graphic>
                </wp:inline>
              </w:drawing>
            </w:r>
          </w:p>
        </w:tc>
        <w:tc>
          <w:tcPr>
            <w:tcW w:w="3164" w:type="dxa"/>
          </w:tcPr>
          <w:p w14:paraId="1D76ADB0" w14:textId="2D92ED4C"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61312" behindDoc="0" locked="0" layoutInCell="1" allowOverlap="1" wp14:anchorId="5E397EEA" wp14:editId="41EA3C1E">
                      <wp:simplePos x="0" y="0"/>
                      <wp:positionH relativeFrom="column">
                        <wp:posOffset>911225</wp:posOffset>
                      </wp:positionH>
                      <wp:positionV relativeFrom="paragraph">
                        <wp:posOffset>1487087</wp:posOffset>
                      </wp:positionV>
                      <wp:extent cx="333375" cy="134620"/>
                      <wp:effectExtent l="0" t="0" r="28575" b="17780"/>
                      <wp:wrapNone/>
                      <wp:docPr id="5" name="Round Diagonal Corner Rectangle 5"/>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BD2A" id="Round Diagonal Corner Rectangle 5" o:spid="_x0000_s1026" style="position:absolute;margin-left:71.75pt;margin-top:117.1pt;width:26.25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619C7C25" wp14:editId="4B537926">
                  <wp:extent cx="1908969" cy="2524125"/>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08969" cy="2524125"/>
                          </a:xfrm>
                          <a:prstGeom prst="rect">
                            <a:avLst/>
                          </a:prstGeom>
                          <a:ln/>
                        </pic:spPr>
                      </pic:pic>
                    </a:graphicData>
                  </a:graphic>
                </wp:inline>
              </w:drawing>
            </w:r>
          </w:p>
        </w:tc>
        <w:tc>
          <w:tcPr>
            <w:tcW w:w="2974" w:type="dxa"/>
          </w:tcPr>
          <w:p w14:paraId="6CF1E79E" w14:textId="042BB9B3" w:rsidR="00500799" w:rsidRDefault="0098745D">
            <w:pPr>
              <w:spacing w:line="276" w:lineRule="auto"/>
              <w:jc w:val="both"/>
              <w:rPr>
                <w:rFonts w:ascii="Arial" w:eastAsia="Arial" w:hAnsi="Arial" w:cs="Arial"/>
                <w:b/>
                <w:color w:val="252525"/>
                <w:sz w:val="24"/>
                <w:szCs w:val="24"/>
              </w:rPr>
            </w:pPr>
            <w:r>
              <w:rPr>
                <w:noProof/>
              </w:rPr>
              <mc:AlternateContent>
                <mc:Choice Requires="wps">
                  <w:drawing>
                    <wp:anchor distT="0" distB="0" distL="114300" distR="114300" simplePos="0" relativeHeight="251659264" behindDoc="0" locked="0" layoutInCell="1" allowOverlap="1" wp14:anchorId="4B420348" wp14:editId="0C70010B">
                      <wp:simplePos x="0" y="0"/>
                      <wp:positionH relativeFrom="column">
                        <wp:posOffset>578485</wp:posOffset>
                      </wp:positionH>
                      <wp:positionV relativeFrom="paragraph">
                        <wp:posOffset>563880</wp:posOffset>
                      </wp:positionV>
                      <wp:extent cx="333375" cy="134620"/>
                      <wp:effectExtent l="0" t="0" r="28575" b="17780"/>
                      <wp:wrapNone/>
                      <wp:docPr id="4" name="Round Diagonal Corner Rectangle 4"/>
                      <wp:cNvGraphicFramePr/>
                      <a:graphic xmlns:a="http://schemas.openxmlformats.org/drawingml/2006/main">
                        <a:graphicData uri="http://schemas.microsoft.com/office/word/2010/wordprocessingShape">
                          <wps:wsp>
                            <wps:cNvSpPr/>
                            <wps:spPr>
                              <a:xfrm>
                                <a:off x="0" y="0"/>
                                <a:ext cx="333375" cy="13462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4737" id="Round Diagonal Corner Rectangle 4" o:spid="_x0000_s1026" style="position:absolute;margin-left:45.55pt;margin-top:44.4pt;width:26.2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" path="m22437,l333375,r,l333375,112183v,12392,-10045,22437,-22437,22437l,134620r,l,22437c,10045,10045,,22437,xe" fillcolor="#4f81bd [3204]" strokecolor="#243f60 [1604]" strokeweight="2pt">
                      <v:path arrowok="t" o:connecttype="custom" o:connectlocs="22437,0;333375,0;333375,0;333375,112183;310938,134620;0,134620;0,134620;0,22437;22437,0" o:connectangles="0,0,0,0,0,0,0,0,0"/>
                    </v:shape>
                  </w:pict>
                </mc:Fallback>
              </mc:AlternateContent>
            </w:r>
            <w:r w:rsidR="00EE5FF7">
              <w:rPr>
                <w:rFonts w:ascii="Arial" w:eastAsia="Arial" w:hAnsi="Arial" w:cs="Arial"/>
                <w:b/>
                <w:noProof/>
                <w:color w:val="252525"/>
                <w:sz w:val="24"/>
                <w:szCs w:val="24"/>
                <w:lang w:val="en-US"/>
              </w:rPr>
              <w:drawing>
                <wp:inline distT="0" distB="0" distL="0" distR="0" wp14:anchorId="5C5B7B3F" wp14:editId="3C9414ED">
                  <wp:extent cx="1779400" cy="253619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79400" cy="2536190"/>
                          </a:xfrm>
                          <a:prstGeom prst="rect">
                            <a:avLst/>
                          </a:prstGeom>
                          <a:ln/>
                        </pic:spPr>
                      </pic:pic>
                    </a:graphicData>
                  </a:graphic>
                </wp:inline>
              </w:drawing>
            </w:r>
          </w:p>
        </w:tc>
      </w:tr>
      <w:tr w:rsidR="00500799" w14:paraId="4E8BF367" w14:textId="77777777">
        <w:tc>
          <w:tcPr>
            <w:tcW w:w="3438" w:type="dxa"/>
          </w:tcPr>
          <w:p w14:paraId="5ECCF53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17F3974D" wp14:editId="77001838">
                  <wp:extent cx="2182495" cy="2441289"/>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82495" cy="2441289"/>
                          </a:xfrm>
                          <a:prstGeom prst="rect">
                            <a:avLst/>
                          </a:prstGeom>
                          <a:ln/>
                        </pic:spPr>
                      </pic:pic>
                    </a:graphicData>
                  </a:graphic>
                </wp:inline>
              </w:drawing>
            </w:r>
          </w:p>
        </w:tc>
        <w:tc>
          <w:tcPr>
            <w:tcW w:w="6138" w:type="dxa"/>
            <w:gridSpan w:val="2"/>
          </w:tcPr>
          <w:p w14:paraId="77E95C6F" w14:textId="77777777" w:rsidR="00500799" w:rsidRDefault="00EE5FF7">
            <w:pPr>
              <w:spacing w:line="276" w:lineRule="auto"/>
              <w:jc w:val="both"/>
              <w:rPr>
                <w:rFonts w:ascii="Arial" w:eastAsia="Arial" w:hAnsi="Arial" w:cs="Arial"/>
                <w:b/>
                <w:color w:val="252525"/>
                <w:sz w:val="24"/>
                <w:szCs w:val="24"/>
              </w:rPr>
            </w:pPr>
            <w:r>
              <w:rPr>
                <w:rFonts w:ascii="Arial" w:eastAsia="Arial" w:hAnsi="Arial" w:cs="Arial"/>
                <w:b/>
                <w:noProof/>
                <w:color w:val="252525"/>
                <w:sz w:val="24"/>
                <w:szCs w:val="24"/>
                <w:lang w:val="en-US"/>
              </w:rPr>
              <w:drawing>
                <wp:inline distT="0" distB="0" distL="0" distR="0" wp14:anchorId="59AE25D6" wp14:editId="08EE6893">
                  <wp:extent cx="2468127" cy="378834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rot="16200000">
                            <a:off x="0" y="0"/>
                            <a:ext cx="2468127" cy="3788346"/>
                          </a:xfrm>
                          <a:prstGeom prst="rect">
                            <a:avLst/>
                          </a:prstGeom>
                          <a:ln/>
                        </pic:spPr>
                      </pic:pic>
                    </a:graphicData>
                  </a:graphic>
                </wp:inline>
              </w:drawing>
            </w:r>
          </w:p>
        </w:tc>
      </w:tr>
    </w:tbl>
    <w:p w14:paraId="6A05919A" w14:textId="77777777" w:rsidR="00500799" w:rsidRDefault="00500799">
      <w:pPr>
        <w:spacing w:after="0"/>
        <w:jc w:val="both"/>
        <w:rPr>
          <w:rFonts w:ascii="Arial" w:eastAsia="Arial" w:hAnsi="Arial" w:cs="Arial"/>
          <w:b/>
          <w:color w:val="252525"/>
          <w:sz w:val="24"/>
          <w:szCs w:val="24"/>
        </w:rPr>
      </w:pPr>
    </w:p>
    <w:p w14:paraId="72AFC351" w14:textId="77777777" w:rsidR="00500799" w:rsidRDefault="00500799">
      <w:pPr>
        <w:spacing w:after="0"/>
        <w:jc w:val="both"/>
        <w:rPr>
          <w:rFonts w:ascii="Arial" w:eastAsia="Arial" w:hAnsi="Arial" w:cs="Arial"/>
          <w:b/>
          <w:color w:val="252525"/>
          <w:sz w:val="24"/>
          <w:szCs w:val="24"/>
        </w:rPr>
      </w:pPr>
    </w:p>
    <w:p w14:paraId="5BE4FCBA" w14:textId="77777777" w:rsidR="00500799" w:rsidRDefault="00EE5FF7">
      <w:pPr>
        <w:spacing w:after="0"/>
        <w:jc w:val="both"/>
        <w:rPr>
          <w:rFonts w:ascii="Arial" w:eastAsia="Arial" w:hAnsi="Arial" w:cs="Arial"/>
          <w:b/>
          <w:color w:val="252525"/>
        </w:rPr>
      </w:pPr>
      <w:r>
        <w:rPr>
          <w:rFonts w:ascii="Arial" w:eastAsia="Arial" w:hAnsi="Arial" w:cs="Arial"/>
          <w:b/>
          <w:color w:val="252525"/>
        </w:rPr>
        <w:t>2.1 Analytical methods</w:t>
      </w:r>
    </w:p>
    <w:p w14:paraId="7AC0409C" w14:textId="77777777" w:rsidR="00500799" w:rsidRDefault="00500799">
      <w:pPr>
        <w:spacing w:after="0"/>
        <w:jc w:val="both"/>
        <w:rPr>
          <w:rFonts w:ascii="Arial" w:eastAsia="Arial" w:hAnsi="Arial" w:cs="Arial"/>
          <w:b/>
          <w:color w:val="252525"/>
          <w:sz w:val="24"/>
          <w:szCs w:val="24"/>
        </w:rPr>
      </w:pPr>
    </w:p>
    <w:p w14:paraId="3C7BA718" w14:textId="77777777" w:rsidR="00500799" w:rsidRDefault="00EE5FF7">
      <w:pPr>
        <w:spacing w:after="0"/>
        <w:rPr>
          <w:rFonts w:ascii="Arial" w:eastAsia="Arial" w:hAnsi="Arial" w:cs="Arial"/>
          <w:b/>
        </w:rPr>
      </w:pPr>
      <w:r>
        <w:rPr>
          <w:rFonts w:ascii="Arial" w:eastAsia="Arial" w:hAnsi="Arial" w:cs="Arial"/>
          <w:b/>
        </w:rPr>
        <w:t>2.1.1 Estimation of moisture content</w:t>
      </w:r>
    </w:p>
    <w:p w14:paraId="6EC61876" w14:textId="77777777" w:rsidR="00500799" w:rsidRDefault="00EE5FF7">
      <w:pPr>
        <w:spacing w:after="0"/>
        <w:jc w:val="both"/>
        <w:rPr>
          <w:rFonts w:ascii="Arial" w:eastAsia="Arial" w:hAnsi="Arial" w:cs="Arial"/>
        </w:rPr>
      </w:pPr>
      <w:r>
        <w:rPr>
          <w:rFonts w:ascii="Arial" w:eastAsia="Arial" w:hAnsi="Arial" w:cs="Arial"/>
        </w:rPr>
        <w:t>The milled kodo sample's moisture content was assessed using the traditional air oven method. The formula that followed has been used to assess the loss of weight and calculate the percentage of moisture AACC (2000).</w:t>
      </w:r>
    </w:p>
    <w:p w14:paraId="40A5516A" w14:textId="77777777" w:rsidR="00500799" w:rsidRDefault="00EE5FF7">
      <w:pPr>
        <w:spacing w:after="0"/>
        <w:jc w:val="center"/>
        <w:rPr>
          <w:rFonts w:ascii="Arial" w:eastAsia="Arial" w:hAnsi="Arial" w:cs="Arial"/>
        </w:rPr>
      </w:pPr>
      <w:r>
        <w:rPr>
          <w:rFonts w:ascii="Arial" w:eastAsia="Arial" w:hAnsi="Arial" w:cs="Arial"/>
        </w:rPr>
        <w:t>Moisture content, % (</w:t>
      </w:r>
      <w:proofErr w:type="spellStart"/>
      <w:r>
        <w:rPr>
          <w:rFonts w:ascii="Arial" w:eastAsia="Arial" w:hAnsi="Arial" w:cs="Arial"/>
        </w:rPr>
        <w:t>db</w:t>
      </w:r>
      <w:proofErr w:type="spellEnd"/>
      <w:r>
        <w:rPr>
          <w:rFonts w:ascii="Arial" w:eastAsia="Arial" w:hAnsi="Arial" w:cs="Arial"/>
        </w:rPr>
        <w:t xml:space="preserve">) = </w:t>
      </w:r>
      <m:oMath>
        <m:f>
          <m:fPr>
            <m:ctrlPr>
              <w:rPr>
                <w:rFonts w:ascii="Arial" w:eastAsia="Arial" w:hAnsi="Arial" w:cs="Arial"/>
              </w:rPr>
            </m:ctrlPr>
          </m:fPr>
          <m:num>
            <m:r>
              <w:rPr>
                <w:rFonts w:ascii="Arial" w:eastAsia="Arial" w:hAnsi="Arial" w:cs="Arial"/>
              </w:rPr>
              <m:t>Weight of moisture</m:t>
            </m:r>
          </m:num>
          <m:den>
            <m:r>
              <w:rPr>
                <w:rFonts w:ascii="Arial" w:eastAsia="Arial" w:hAnsi="Arial" w:cs="Arial"/>
              </w:rPr>
              <m:t>Weight of dry matter</m:t>
            </m:r>
          </m:den>
        </m:f>
      </m:oMath>
      <w:r>
        <w:rPr>
          <w:rFonts w:ascii="Arial" w:eastAsia="Arial" w:hAnsi="Arial" w:cs="Arial"/>
        </w:rPr>
        <w:t xml:space="preserve"> × 100</w:t>
      </w:r>
    </w:p>
    <w:p w14:paraId="213134BD" w14:textId="77777777" w:rsidR="00500799" w:rsidRDefault="00500799">
      <w:pPr>
        <w:spacing w:after="0"/>
        <w:rPr>
          <w:rFonts w:ascii="Arial" w:eastAsia="Arial" w:hAnsi="Arial" w:cs="Arial"/>
          <w:sz w:val="24"/>
          <w:szCs w:val="24"/>
        </w:rPr>
      </w:pPr>
    </w:p>
    <w:p w14:paraId="77C0F958" w14:textId="77777777" w:rsidR="00500799" w:rsidRDefault="00500799">
      <w:pPr>
        <w:spacing w:after="0"/>
        <w:rPr>
          <w:rFonts w:ascii="Arial" w:eastAsia="Arial" w:hAnsi="Arial" w:cs="Arial"/>
          <w:sz w:val="24"/>
          <w:szCs w:val="24"/>
        </w:rPr>
      </w:pPr>
    </w:p>
    <w:p w14:paraId="412A9822" w14:textId="77777777" w:rsidR="00500799" w:rsidRDefault="00EE5FF7">
      <w:pPr>
        <w:spacing w:after="0"/>
        <w:rPr>
          <w:rFonts w:ascii="Arial" w:eastAsia="Arial" w:hAnsi="Arial" w:cs="Arial"/>
          <w:b/>
          <w:color w:val="252525"/>
        </w:rPr>
      </w:pPr>
      <w:r>
        <w:rPr>
          <w:rFonts w:ascii="Arial" w:eastAsia="Arial" w:hAnsi="Arial" w:cs="Arial"/>
          <w:b/>
          <w:color w:val="252525"/>
        </w:rPr>
        <w:t xml:space="preserve">2.1.2 Bulk density </w:t>
      </w:r>
    </w:p>
    <w:p w14:paraId="1A1B313D"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weight of the seed in the given dimension has been utilized for estimating the bulk density (Bd) of the seed grains (7).</w:t>
      </w:r>
    </w:p>
    <w:p w14:paraId="203C9F51"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lastRenderedPageBreak/>
        <w:t xml:space="preserve">(Bd) = </w:t>
      </w:r>
      <m:oMath>
        <m:f>
          <m:fPr>
            <m:ctrlPr>
              <w:rPr>
                <w:rFonts w:ascii="Arial" w:eastAsia="Arial" w:hAnsi="Arial" w:cs="Arial"/>
                <w:sz w:val="20"/>
                <w:szCs w:val="20"/>
              </w:rPr>
            </m:ctrlPr>
          </m:fPr>
          <m:num>
            <m:r>
              <w:rPr>
                <w:rFonts w:ascii="Arial" w:eastAsia="Arial" w:hAnsi="Arial" w:cs="Arial"/>
                <w:sz w:val="20"/>
                <w:szCs w:val="20"/>
              </w:rPr>
              <m:t>W</m:t>
            </m:r>
          </m:num>
          <m:den>
            <m:r>
              <w:rPr>
                <w:rFonts w:ascii="Arial" w:eastAsia="Arial" w:hAnsi="Arial" w:cs="Arial"/>
                <w:sz w:val="20"/>
                <w:szCs w:val="20"/>
              </w:rPr>
              <m:t>V</m:t>
            </m:r>
          </m:den>
        </m:f>
      </m:oMath>
    </w:p>
    <w:p w14:paraId="50B8BC11" w14:textId="77777777" w:rsidR="00500799" w:rsidRDefault="00EE5FF7">
      <w:pPr>
        <w:spacing w:after="0"/>
        <w:rPr>
          <w:rFonts w:ascii="Arial" w:eastAsia="Arial" w:hAnsi="Arial" w:cs="Arial"/>
          <w:b/>
          <w:color w:val="252525"/>
        </w:rPr>
      </w:pPr>
      <w:r>
        <w:rPr>
          <w:rFonts w:ascii="Arial" w:eastAsia="Arial" w:hAnsi="Arial" w:cs="Arial"/>
          <w:b/>
          <w:color w:val="252525"/>
        </w:rPr>
        <w:t>2.1.3 True density</w:t>
      </w:r>
    </w:p>
    <w:p w14:paraId="5A13C99E"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The ratio of grain density to the actual area occupied is known as the actual density (Td). Utilizing the liquid displacement technique, it is determined (7).</w:t>
      </w:r>
    </w:p>
    <w:p w14:paraId="442A8C63" w14:textId="77777777" w:rsidR="00500799" w:rsidRDefault="00EE5FF7">
      <w:pPr>
        <w:spacing w:after="0"/>
        <w:jc w:val="center"/>
        <w:rPr>
          <w:rFonts w:ascii="Arial" w:eastAsia="Arial" w:hAnsi="Arial" w:cs="Arial"/>
          <w:sz w:val="20"/>
          <w:szCs w:val="20"/>
        </w:rPr>
      </w:pPr>
      <w:r>
        <w:rPr>
          <w:rFonts w:ascii="Arial" w:eastAsia="Arial" w:hAnsi="Arial" w:cs="Arial"/>
          <w:sz w:val="20"/>
          <w:szCs w:val="20"/>
        </w:rPr>
        <w:t>Td =</w:t>
      </w:r>
      <m:oMath>
        <m:r>
          <w:rPr>
            <w:rFonts w:ascii="Arial" w:eastAsia="Arial" w:hAnsi="Arial" w:cs="Arial"/>
            <w:sz w:val="20"/>
            <w:szCs w:val="20"/>
          </w:rPr>
          <m:t xml:space="preserve"> </m:t>
        </m:r>
        <m:f>
          <m:fPr>
            <m:ctrlPr>
              <w:rPr>
                <w:rFonts w:ascii="Arial" w:eastAsia="Arial" w:hAnsi="Arial" w:cs="Arial"/>
                <w:sz w:val="20"/>
                <w:szCs w:val="20"/>
              </w:rPr>
            </m:ctrlPr>
          </m:fPr>
          <m:num>
            <m:r>
              <w:rPr>
                <w:rFonts w:ascii="Arial" w:eastAsia="Arial" w:hAnsi="Arial" w:cs="Arial"/>
                <w:sz w:val="20"/>
                <w:szCs w:val="20"/>
              </w:rPr>
              <m:t>M</m:t>
            </m:r>
          </m:num>
          <m:den>
            <m:r>
              <w:rPr>
                <w:rFonts w:ascii="Arial" w:eastAsia="Arial" w:hAnsi="Arial" w:cs="Arial"/>
                <w:sz w:val="20"/>
                <w:szCs w:val="20"/>
              </w:rPr>
              <m:t xml:space="preserve"> S</m:t>
            </m:r>
          </m:den>
        </m:f>
      </m:oMath>
    </w:p>
    <w:p w14:paraId="2F589193" w14:textId="77777777" w:rsidR="00500799" w:rsidRDefault="00EE5FF7">
      <w:pPr>
        <w:spacing w:after="0"/>
        <w:rPr>
          <w:rFonts w:ascii="Arial" w:eastAsia="Arial" w:hAnsi="Arial" w:cs="Arial"/>
          <w:b/>
          <w:color w:val="252525"/>
        </w:rPr>
      </w:pPr>
      <w:r>
        <w:rPr>
          <w:rFonts w:ascii="Arial" w:eastAsia="Arial" w:hAnsi="Arial" w:cs="Arial"/>
          <w:b/>
          <w:color w:val="252525"/>
        </w:rPr>
        <w:t>2.1.4 Porosity</w:t>
      </w:r>
    </w:p>
    <w:p w14:paraId="73D5858C" w14:textId="77777777"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 ratio of the difference among the grain and bulk densities to the grain density, expressed as a percentage, was used to calculate porosity (7).</w:t>
      </w:r>
    </w:p>
    <w:p w14:paraId="61714132" w14:textId="77777777" w:rsidR="00500799" w:rsidRDefault="00EE5FF7">
      <w:pPr>
        <w:spacing w:after="0"/>
        <w:jc w:val="center"/>
        <w:rPr>
          <w:rFonts w:ascii="Arial" w:eastAsia="Arial" w:hAnsi="Arial" w:cs="Arial"/>
          <w:color w:val="252525"/>
          <w:sz w:val="24"/>
          <w:szCs w:val="24"/>
        </w:rPr>
      </w:pPr>
      <w:r>
        <w:rPr>
          <w:rFonts w:ascii="Arial" w:eastAsia="Arial" w:hAnsi="Arial" w:cs="Arial"/>
          <w:color w:val="252525"/>
          <w:sz w:val="24"/>
          <w:szCs w:val="24"/>
        </w:rPr>
        <w:t xml:space="preserve">Porosity (ε) % = 1 – </w:t>
      </w:r>
      <m:oMath>
        <m:f>
          <m:fPr>
            <m:ctrlPr>
              <w:rPr>
                <w:rFonts w:ascii="Arial" w:eastAsia="Arial" w:hAnsi="Arial" w:cs="Arial"/>
                <w:color w:val="252525"/>
                <w:sz w:val="24"/>
                <w:szCs w:val="24"/>
              </w:rPr>
            </m:ctrlPr>
          </m:fPr>
          <m:num>
            <m:r>
              <w:rPr>
                <w:rFonts w:ascii="Arial" w:eastAsia="Arial" w:hAnsi="Arial" w:cs="Arial"/>
                <w:color w:val="252525"/>
                <w:sz w:val="24"/>
                <w:szCs w:val="24"/>
              </w:rPr>
              <m:t>Bd</m:t>
            </m:r>
          </m:num>
          <m:den>
            <m:r>
              <w:rPr>
                <w:rFonts w:ascii="Arial" w:eastAsia="Arial" w:hAnsi="Arial" w:cs="Arial"/>
                <w:color w:val="252525"/>
                <w:sz w:val="24"/>
                <w:szCs w:val="24"/>
              </w:rPr>
              <m:t>Td</m:t>
            </m:r>
          </m:den>
        </m:f>
      </m:oMath>
    </w:p>
    <w:p w14:paraId="50DF0663" w14:textId="77777777" w:rsidR="00500799" w:rsidRDefault="00500799">
      <w:pPr>
        <w:spacing w:after="0"/>
        <w:rPr>
          <w:rFonts w:ascii="Arial" w:eastAsia="Arial" w:hAnsi="Arial" w:cs="Arial"/>
          <w:color w:val="252525"/>
          <w:sz w:val="24"/>
          <w:szCs w:val="24"/>
        </w:rPr>
      </w:pPr>
    </w:p>
    <w:p w14:paraId="1704DB09" w14:textId="77777777" w:rsidR="00500799" w:rsidRDefault="00500799">
      <w:pPr>
        <w:spacing w:after="0"/>
        <w:rPr>
          <w:rFonts w:ascii="Arial" w:eastAsia="Arial" w:hAnsi="Arial" w:cs="Arial"/>
          <w:color w:val="252525"/>
          <w:sz w:val="24"/>
          <w:szCs w:val="24"/>
        </w:rPr>
      </w:pPr>
    </w:p>
    <w:p w14:paraId="30539E4B" w14:textId="77777777" w:rsidR="00500799" w:rsidRDefault="00EE5FF7">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252525"/>
        </w:rPr>
        <w:t xml:space="preserve">2.1.5 </w:t>
      </w:r>
      <w:r>
        <w:rPr>
          <w:rFonts w:ascii="Arial" w:eastAsia="Arial" w:hAnsi="Arial" w:cs="Arial"/>
          <w:b/>
          <w:color w:val="000000"/>
          <w:sz w:val="24"/>
          <w:szCs w:val="24"/>
        </w:rPr>
        <w:t xml:space="preserve">Determination of crude fiber  </w:t>
      </w:r>
    </w:p>
    <w:p w14:paraId="12EC7BAA"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The crude fiber was determined by the method as described in AOAC (1984).</w:t>
      </w:r>
    </w:p>
    <w:p w14:paraId="1550E920"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Reagents</w:t>
      </w:r>
    </w:p>
    <w:p w14:paraId="5C0C2539"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58FCE92D"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 xml:space="preserve">Sulphuric acid 0.255 N </w:t>
      </w:r>
    </w:p>
    <w:p w14:paraId="798A4BA5"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t>Sodium hydroxide 0.313N</w:t>
      </w:r>
    </w:p>
    <w:p w14:paraId="4984F326"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0C70DC8A"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Procedure</w:t>
      </w:r>
    </w:p>
    <w:p w14:paraId="60C9448A" w14:textId="77777777" w:rsidR="00500799" w:rsidRDefault="00EE5FF7">
      <w:p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2gm of dry defatted sample was transferred </w:t>
      </w:r>
      <w:r>
        <w:rPr>
          <w:rFonts w:ascii="Arial" w:eastAsia="Arial" w:hAnsi="Arial" w:cs="Arial"/>
          <w:sz w:val="20"/>
          <w:szCs w:val="20"/>
        </w:rPr>
        <w:t>into a 500ml</w:t>
      </w:r>
      <w:r>
        <w:rPr>
          <w:rFonts w:ascii="Arial" w:eastAsia="Arial" w:hAnsi="Arial" w:cs="Arial"/>
          <w:color w:val="000000"/>
          <w:sz w:val="20"/>
          <w:szCs w:val="20"/>
        </w:rPr>
        <w:t xml:space="preserve"> conical flask to which </w:t>
      </w:r>
      <w:r>
        <w:rPr>
          <w:rFonts w:ascii="Arial" w:eastAsia="Arial" w:hAnsi="Arial" w:cs="Arial"/>
          <w:sz w:val="20"/>
          <w:szCs w:val="20"/>
        </w:rPr>
        <w:t>200 ml</w:t>
      </w:r>
      <w:r>
        <w:rPr>
          <w:rFonts w:ascii="Arial" w:eastAsia="Arial" w:hAnsi="Arial" w:cs="Arial"/>
          <w:color w:val="000000"/>
          <w:sz w:val="20"/>
          <w:szCs w:val="20"/>
        </w:rPr>
        <w:t xml:space="preserve"> of 0.255 N boiling sulphuric acids was added then it was boiled for 30 minutes, </w:t>
      </w:r>
      <w:r>
        <w:rPr>
          <w:rFonts w:ascii="Arial" w:eastAsia="Arial" w:hAnsi="Arial" w:cs="Arial"/>
          <w:sz w:val="20"/>
          <w:szCs w:val="20"/>
        </w:rPr>
        <w:t>keeping</w:t>
      </w:r>
      <w:r>
        <w:rPr>
          <w:rFonts w:ascii="Arial" w:eastAsia="Arial" w:hAnsi="Arial" w:cs="Arial"/>
          <w:color w:val="000000"/>
          <w:sz w:val="20"/>
          <w:szCs w:val="20"/>
        </w:rPr>
        <w:t xml:space="preserve"> the volume constant by the addition of water at frequent intervals. The mixture was cooled and filtered through a muslin cloth and the residue was washed with hot water till free from acid. The material was then transferred to the same beaker and 200ml of boiling 0.313 N NaOH was added. After boiling for 30 minutes the mixture was cooled and again filtered through muslin cloth. The residue was washed with water till free from alkali, followed by washing with absolute alcohol and ether to remove the moisture and residue fat. It was then transferred to a weighed crucible and kept </w:t>
      </w:r>
      <w:r>
        <w:rPr>
          <w:rFonts w:ascii="Arial" w:eastAsia="Arial" w:hAnsi="Arial" w:cs="Arial"/>
          <w:sz w:val="20"/>
          <w:szCs w:val="20"/>
        </w:rPr>
        <w:t>in the oven</w:t>
      </w:r>
      <w:r>
        <w:rPr>
          <w:rFonts w:ascii="Arial" w:eastAsia="Arial" w:hAnsi="Arial" w:cs="Arial"/>
          <w:color w:val="000000"/>
          <w:sz w:val="20"/>
          <w:szCs w:val="20"/>
        </w:rPr>
        <w:t xml:space="preserve"> at 100 </w:t>
      </w:r>
      <w:proofErr w:type="spellStart"/>
      <w:r>
        <w:rPr>
          <w:rFonts w:ascii="Arial" w:eastAsia="Arial" w:hAnsi="Arial" w:cs="Arial"/>
          <w:color w:val="000000"/>
          <w:sz w:val="20"/>
          <w:szCs w:val="20"/>
          <w:vertAlign w:val="superscript"/>
        </w:rPr>
        <w:t>o</w:t>
      </w:r>
      <w:r>
        <w:rPr>
          <w:rFonts w:ascii="Arial" w:eastAsia="Arial" w:hAnsi="Arial" w:cs="Arial"/>
          <w:color w:val="000000"/>
          <w:sz w:val="20"/>
          <w:szCs w:val="20"/>
        </w:rPr>
        <w:t>C</w:t>
      </w:r>
      <w:proofErr w:type="spellEnd"/>
      <w:r>
        <w:rPr>
          <w:rFonts w:ascii="Arial" w:eastAsia="Arial" w:hAnsi="Arial" w:cs="Arial"/>
          <w:color w:val="000000"/>
          <w:sz w:val="20"/>
          <w:szCs w:val="20"/>
        </w:rPr>
        <w:t xml:space="preserve"> for 4-6 hours. The crucible was cooled and weighed. The difference in weight represents the crude fiber content.</w:t>
      </w:r>
    </w:p>
    <w:p w14:paraId="24575AFF"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64A9B97"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Difference in wt. of crucible</w:t>
      </w:r>
    </w:p>
    <w:p w14:paraId="373FB71D"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Crude fiber (%) =      ---------------------------------- × 100</w:t>
      </w:r>
    </w:p>
    <w:p w14:paraId="2260A369" w14:textId="77777777" w:rsidR="00500799" w:rsidRDefault="00EE5FF7">
      <w:pPr>
        <w:pBdr>
          <w:top w:val="nil"/>
          <w:left w:val="nil"/>
          <w:bottom w:val="nil"/>
          <w:right w:val="nil"/>
          <w:between w:val="nil"/>
        </w:pBdr>
        <w:spacing w:after="0"/>
        <w:jc w:val="center"/>
        <w:rPr>
          <w:rFonts w:ascii="Arial" w:eastAsia="Arial" w:hAnsi="Arial" w:cs="Arial"/>
          <w:color w:val="000000"/>
          <w:sz w:val="20"/>
          <w:szCs w:val="20"/>
        </w:rPr>
      </w:pPr>
      <w:r>
        <w:rPr>
          <w:rFonts w:ascii="Arial" w:eastAsia="Arial" w:hAnsi="Arial" w:cs="Arial"/>
          <w:color w:val="000000"/>
          <w:sz w:val="20"/>
          <w:szCs w:val="20"/>
        </w:rPr>
        <w:t xml:space="preserve">                Weight of sample</w:t>
      </w:r>
      <w:r>
        <w:rPr>
          <w:rFonts w:ascii="Arial" w:eastAsia="Arial" w:hAnsi="Arial" w:cs="Arial"/>
          <w:color w:val="252525"/>
          <w:sz w:val="20"/>
          <w:szCs w:val="20"/>
        </w:rPr>
        <w:t> </w:t>
      </w:r>
    </w:p>
    <w:p w14:paraId="7069BEBF" w14:textId="77777777" w:rsidR="00500799" w:rsidRDefault="00500799">
      <w:pPr>
        <w:pBdr>
          <w:top w:val="nil"/>
          <w:left w:val="nil"/>
          <w:bottom w:val="nil"/>
          <w:right w:val="nil"/>
          <w:between w:val="nil"/>
        </w:pBdr>
        <w:spacing w:after="0"/>
        <w:jc w:val="both"/>
        <w:rPr>
          <w:rFonts w:ascii="Arial" w:eastAsia="Arial" w:hAnsi="Arial" w:cs="Arial"/>
          <w:b/>
          <w:color w:val="252525"/>
        </w:rPr>
      </w:pPr>
    </w:p>
    <w:p w14:paraId="23C789CB" w14:textId="77777777" w:rsidR="00500799" w:rsidRDefault="00EE5FF7">
      <w:pPr>
        <w:pBdr>
          <w:top w:val="nil"/>
          <w:left w:val="nil"/>
          <w:bottom w:val="nil"/>
          <w:right w:val="nil"/>
          <w:between w:val="nil"/>
        </w:pBdr>
        <w:spacing w:after="0"/>
        <w:jc w:val="both"/>
        <w:rPr>
          <w:rFonts w:ascii="Arial" w:eastAsia="Arial" w:hAnsi="Arial" w:cs="Arial"/>
          <w:b/>
          <w:color w:val="000000"/>
        </w:rPr>
      </w:pPr>
      <w:proofErr w:type="gramStart"/>
      <w:r>
        <w:rPr>
          <w:rFonts w:ascii="Arial" w:eastAsia="Arial" w:hAnsi="Arial" w:cs="Arial"/>
          <w:b/>
          <w:color w:val="252525"/>
        </w:rPr>
        <w:t>2.1.6  </w:t>
      </w:r>
      <w:r>
        <w:rPr>
          <w:rFonts w:ascii="Arial" w:eastAsia="Arial" w:hAnsi="Arial" w:cs="Arial"/>
          <w:b/>
          <w:color w:val="000000"/>
        </w:rPr>
        <w:t>Determination</w:t>
      </w:r>
      <w:proofErr w:type="gramEnd"/>
      <w:r>
        <w:rPr>
          <w:rFonts w:ascii="Arial" w:eastAsia="Arial" w:hAnsi="Arial" w:cs="Arial"/>
          <w:b/>
          <w:color w:val="000000"/>
        </w:rPr>
        <w:t xml:space="preserve"> of Fat/ Oil </w:t>
      </w:r>
    </w:p>
    <w:p w14:paraId="38FDF382"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fat content of the sample was determined by the procedure as described in AOAC (1984). 5 gm. of sample was weighed accurately, placed in thimble and plugged with cotton. The extractor-containing thimble was placed over a </w:t>
      </w:r>
      <w:r>
        <w:rPr>
          <w:rFonts w:ascii="Arial" w:eastAsia="Arial" w:hAnsi="Arial" w:cs="Arial"/>
          <w:sz w:val="20"/>
          <w:szCs w:val="20"/>
        </w:rPr>
        <w:t>pre-weighted</w:t>
      </w:r>
      <w:r>
        <w:rPr>
          <w:rFonts w:ascii="Arial" w:eastAsia="Arial" w:hAnsi="Arial" w:cs="Arial"/>
          <w:color w:val="000000"/>
          <w:sz w:val="20"/>
          <w:szCs w:val="20"/>
        </w:rPr>
        <w:t xml:space="preserve"> extraction flask (A). Fat content was determined by extracting the sample with solvent petroleum ether (AR grade 60-80°c) for 8 hr. using sox lets extraction procedure. After extraction the excess of solvent was distilled off and the residual solvent was removed by heating at 80ºc </w:t>
      </w:r>
      <w:r>
        <w:rPr>
          <w:rFonts w:ascii="Arial" w:eastAsia="Arial" w:hAnsi="Arial" w:cs="Arial"/>
          <w:sz w:val="20"/>
          <w:szCs w:val="20"/>
        </w:rPr>
        <w:t>in the oven</w:t>
      </w:r>
      <w:r>
        <w:rPr>
          <w:rFonts w:ascii="Arial" w:eastAsia="Arial" w:hAnsi="Arial" w:cs="Arial"/>
          <w:color w:val="000000"/>
          <w:sz w:val="20"/>
          <w:szCs w:val="20"/>
        </w:rPr>
        <w:t xml:space="preserve"> for 4-6 hours. The fat content was determined as below: </w:t>
      </w:r>
    </w:p>
    <w:p w14:paraId="01739600" w14:textId="77777777" w:rsidR="00500799" w:rsidRDefault="00500799">
      <w:pPr>
        <w:pBdr>
          <w:top w:val="nil"/>
          <w:left w:val="nil"/>
          <w:bottom w:val="nil"/>
          <w:right w:val="nil"/>
          <w:between w:val="nil"/>
        </w:pBdr>
        <w:spacing w:after="0"/>
        <w:jc w:val="both"/>
        <w:rPr>
          <w:rFonts w:ascii="Arial" w:eastAsia="Arial" w:hAnsi="Arial" w:cs="Arial"/>
          <w:color w:val="000000"/>
          <w:sz w:val="20"/>
          <w:szCs w:val="20"/>
        </w:rPr>
      </w:pPr>
    </w:p>
    <w:p w14:paraId="4A4E3453" w14:textId="77777777" w:rsidR="00500799" w:rsidRDefault="00EE5FF7">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color w:val="000000"/>
          <w:sz w:val="20"/>
          <w:szCs w:val="20"/>
        </w:rPr>
        <w:t xml:space="preserve">Crude fat (%) = </w:t>
      </w:r>
      <m:oMath>
        <m:f>
          <m:fPr>
            <m:ctrlPr>
              <w:rPr>
                <w:rFonts w:ascii="Arial" w:eastAsia="Arial" w:hAnsi="Arial" w:cs="Arial"/>
                <w:color w:val="000000"/>
                <w:sz w:val="20"/>
                <w:szCs w:val="20"/>
              </w:rPr>
            </m:ctrlPr>
          </m:fPr>
          <m:num>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b</m:t>
                </m:r>
              </m:e>
            </m:d>
            <m:r>
              <w:rPr>
                <w:rFonts w:ascii="Arial" w:eastAsia="Arial" w:hAnsi="Arial" w:cs="Arial"/>
                <w:color w:val="000000"/>
                <w:sz w:val="20"/>
                <w:szCs w:val="20"/>
              </w:rPr>
              <m:t xml:space="preserve">-weight of flask </m:t>
            </m:r>
            <m:d>
              <m:dPr>
                <m:ctrlPr>
                  <w:rPr>
                    <w:rFonts w:ascii="Arial" w:eastAsia="Arial" w:hAnsi="Arial" w:cs="Arial"/>
                    <w:color w:val="000000"/>
                    <w:sz w:val="20"/>
                    <w:szCs w:val="20"/>
                  </w:rPr>
                </m:ctrlPr>
              </m:dPr>
              <m:e>
                <m:r>
                  <w:rPr>
                    <w:rFonts w:ascii="Arial" w:eastAsia="Arial" w:hAnsi="Arial" w:cs="Arial"/>
                    <w:color w:val="000000"/>
                    <w:sz w:val="20"/>
                    <w:szCs w:val="20"/>
                  </w:rPr>
                  <m:t>a</m:t>
                </m:r>
              </m:e>
            </m:d>
            <m:r>
              <w:rPr>
                <w:rFonts w:ascii="Arial" w:eastAsia="Arial" w:hAnsi="Arial" w:cs="Arial"/>
                <w:color w:val="000000"/>
                <w:sz w:val="20"/>
                <w:szCs w:val="20"/>
              </w:rPr>
              <m:t xml:space="preserve"> </m:t>
            </m:r>
          </m:num>
          <m:den>
            <m:r>
              <w:rPr>
                <w:rFonts w:ascii="Arial" w:eastAsia="Arial" w:hAnsi="Arial" w:cs="Arial"/>
                <w:color w:val="000000"/>
                <w:sz w:val="20"/>
                <w:szCs w:val="20"/>
              </w:rPr>
              <m:t xml:space="preserve">    Weight of sample</m:t>
            </m:r>
          </m:den>
        </m:f>
        <m:r>
          <w:rPr>
            <w:rFonts w:ascii="Arial" w:eastAsia="Arial" w:hAnsi="Arial" w:cs="Arial"/>
            <w:color w:val="000000"/>
            <w:sz w:val="20"/>
            <w:szCs w:val="20"/>
          </w:rPr>
          <m:t>× 100</m:t>
        </m:r>
      </m:oMath>
      <w:r>
        <w:rPr>
          <w:rFonts w:ascii="Arial" w:eastAsia="Arial" w:hAnsi="Arial" w:cs="Arial"/>
          <w:b/>
          <w:color w:val="000000"/>
          <w:sz w:val="24"/>
          <w:szCs w:val="24"/>
        </w:rPr>
        <w:tab/>
      </w:r>
    </w:p>
    <w:p w14:paraId="353A2214" w14:textId="77777777" w:rsidR="00500799" w:rsidRDefault="00500799">
      <w:pPr>
        <w:pBdr>
          <w:top w:val="nil"/>
          <w:left w:val="nil"/>
          <w:bottom w:val="nil"/>
          <w:right w:val="nil"/>
          <w:between w:val="nil"/>
        </w:pBdr>
        <w:spacing w:after="0"/>
        <w:jc w:val="both"/>
        <w:rPr>
          <w:rFonts w:ascii="Arial" w:eastAsia="Arial" w:hAnsi="Arial" w:cs="Arial"/>
          <w:b/>
          <w:color w:val="000000"/>
          <w:sz w:val="24"/>
          <w:szCs w:val="24"/>
        </w:rPr>
      </w:pPr>
    </w:p>
    <w:p w14:paraId="123A3AFA"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2.1.7. </w:t>
      </w:r>
      <w:r>
        <w:rPr>
          <w:rFonts w:ascii="Arial" w:eastAsia="Arial" w:hAnsi="Arial" w:cs="Arial"/>
          <w:b/>
          <w:color w:val="000000"/>
        </w:rPr>
        <w:t>Estimation protein</w:t>
      </w:r>
    </w:p>
    <w:p w14:paraId="5EF536E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The protein content </w:t>
      </w:r>
      <w:r>
        <w:rPr>
          <w:rFonts w:ascii="Arial" w:eastAsia="Arial" w:hAnsi="Arial" w:cs="Arial"/>
          <w:sz w:val="20"/>
          <w:szCs w:val="20"/>
        </w:rPr>
        <w:t>in the sample</w:t>
      </w:r>
      <w:r>
        <w:rPr>
          <w:rFonts w:ascii="Arial" w:eastAsia="Arial" w:hAnsi="Arial" w:cs="Arial"/>
          <w:color w:val="000000"/>
          <w:sz w:val="20"/>
          <w:szCs w:val="20"/>
        </w:rPr>
        <w:t xml:space="preserve"> was determined by using conventional micro-Kjeldahl digestion and distillation procedure as given in AOAC (1984).</w:t>
      </w:r>
    </w:p>
    <w:p w14:paraId="00480A99" w14:textId="77777777" w:rsidR="00500799" w:rsidRDefault="00EE5FF7">
      <w:pPr>
        <w:pBdr>
          <w:top w:val="nil"/>
          <w:left w:val="nil"/>
          <w:bottom w:val="nil"/>
          <w:right w:val="nil"/>
          <w:between w:val="nil"/>
        </w:pBdr>
        <w:spacing w:after="0"/>
        <w:jc w:val="both"/>
        <w:rPr>
          <w:rFonts w:ascii="Arial" w:eastAsia="Arial" w:hAnsi="Arial" w:cs="Arial"/>
          <w:b/>
          <w:color w:val="000000"/>
          <w:sz w:val="20"/>
          <w:szCs w:val="20"/>
        </w:rPr>
      </w:pPr>
      <w:r>
        <w:rPr>
          <w:rFonts w:ascii="Arial" w:eastAsia="Arial" w:hAnsi="Arial" w:cs="Arial"/>
          <w:b/>
          <w:color w:val="000000"/>
          <w:sz w:val="20"/>
          <w:szCs w:val="20"/>
        </w:rPr>
        <w:t>Reagents</w:t>
      </w:r>
    </w:p>
    <w:p w14:paraId="66CB386A"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Catalyst mixture- A mixture of 100 g K2SO4, 20g of  CuSO4 and 2.5 g of SiO2.</w:t>
      </w:r>
    </w:p>
    <w:p w14:paraId="1D403A7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Sodium hydroxide 40%(w/v)</w:t>
      </w:r>
    </w:p>
    <w:p w14:paraId="44109890"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Boric acid 2 %( w/v).</w:t>
      </w:r>
    </w:p>
    <w:p w14:paraId="4BB9AD45"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Concentrated sulphuric acid AR (sp. gr.  1.81)</w:t>
      </w:r>
    </w:p>
    <w:p w14:paraId="2D390B8E"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Mixed indicator: 2 parts of 0.2 %( w/v) methyl red and 1 parts 0.2% (w/v) methyl blue in      absolute alcohol.</w:t>
      </w:r>
    </w:p>
    <w:p w14:paraId="007D181D" w14:textId="77777777" w:rsidR="00500799" w:rsidRDefault="00EE5FF7">
      <w:pPr>
        <w:numPr>
          <w:ilvl w:val="0"/>
          <w:numId w:val="3"/>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Standard sulphuric acid (0.1N)</w:t>
      </w:r>
    </w:p>
    <w:p w14:paraId="5A12B5A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2.1.8. </w:t>
      </w:r>
      <w:r>
        <w:rPr>
          <w:rFonts w:ascii="Arial" w:eastAsia="Arial" w:hAnsi="Arial" w:cs="Arial"/>
          <w:b/>
          <w:color w:val="000000"/>
        </w:rPr>
        <w:t>Procedure</w:t>
      </w:r>
    </w:p>
    <w:p w14:paraId="1ACE9199"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The sample (0.2g) was weighed accurately and transferred to a Kjeldahl flask taking care to see that the material did not stick to the neck of the flask. The catalyst mixture of about 1g and concentrated sulphuric acid (5ml) were added. Then the flask was heated in an inclined position </w:t>
      </w:r>
      <w:r>
        <w:rPr>
          <w:rFonts w:ascii="Arial" w:eastAsia="Arial" w:hAnsi="Arial" w:cs="Arial"/>
          <w:sz w:val="20"/>
          <w:szCs w:val="20"/>
        </w:rPr>
        <w:t>in the digestion</w:t>
      </w:r>
      <w:r>
        <w:rPr>
          <w:rFonts w:ascii="Arial" w:eastAsia="Arial" w:hAnsi="Arial" w:cs="Arial"/>
          <w:color w:val="000000"/>
          <w:sz w:val="20"/>
          <w:szCs w:val="20"/>
        </w:rPr>
        <w:t xml:space="preserve"> chamber for about 4-6 hr. till the liquid became clear (green blue colour).</w:t>
      </w:r>
    </w:p>
    <w:p w14:paraId="01B44AB1" w14:textId="77777777" w:rsidR="00500799" w:rsidRDefault="00500799">
      <w:pPr>
        <w:pBdr>
          <w:top w:val="nil"/>
          <w:left w:val="nil"/>
          <w:bottom w:val="nil"/>
          <w:right w:val="nil"/>
          <w:between w:val="nil"/>
        </w:pBdr>
        <w:spacing w:after="0"/>
        <w:jc w:val="both"/>
        <w:rPr>
          <w:rFonts w:ascii="Arial" w:eastAsia="Arial" w:hAnsi="Arial" w:cs="Arial"/>
          <w:b/>
          <w:sz w:val="24"/>
          <w:szCs w:val="24"/>
        </w:rPr>
      </w:pPr>
    </w:p>
    <w:p w14:paraId="7CA20CF0" w14:textId="77777777" w:rsidR="00500799" w:rsidRDefault="00EE5FF7">
      <w:p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rPr>
        <w:t xml:space="preserve">2.1.9. </w:t>
      </w:r>
      <w:r>
        <w:rPr>
          <w:rFonts w:ascii="Arial" w:eastAsia="Arial" w:hAnsi="Arial" w:cs="Arial"/>
          <w:b/>
          <w:color w:val="000000"/>
        </w:rPr>
        <w:t>Distillation</w:t>
      </w:r>
    </w:p>
    <w:p w14:paraId="6FD74C92"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ab/>
        <w:t xml:space="preserve">The content in the flask were allowed to cool and the digested material was transferred quantitatively to a vacuum jacketed flask of micro Kjeldahl distillation apparatus and the ammonia liberated by the addition of 10 ml of 40% NaOH on heating was absorbed in 20 ml of boric acid containing 2-3 drops of mixed indicator in 100ml conical flask. The </w:t>
      </w:r>
      <w:r>
        <w:rPr>
          <w:rFonts w:ascii="Arial" w:eastAsia="Arial" w:hAnsi="Arial" w:cs="Arial"/>
          <w:sz w:val="20"/>
          <w:szCs w:val="20"/>
        </w:rPr>
        <w:t>distilled ammonia</w:t>
      </w:r>
      <w:r>
        <w:rPr>
          <w:rFonts w:ascii="Arial" w:eastAsia="Arial" w:hAnsi="Arial" w:cs="Arial"/>
          <w:color w:val="000000"/>
          <w:sz w:val="20"/>
          <w:szCs w:val="20"/>
        </w:rPr>
        <w:t xml:space="preserve"> was titrated against 0.1N sulphuric acid. The blank was also run in a similar way.</w:t>
      </w:r>
    </w:p>
    <w:p w14:paraId="31A177D9" w14:textId="77777777" w:rsidR="00500799" w:rsidRDefault="00500799">
      <w:pPr>
        <w:pBdr>
          <w:top w:val="nil"/>
          <w:left w:val="nil"/>
          <w:bottom w:val="nil"/>
          <w:right w:val="nil"/>
          <w:between w:val="nil"/>
        </w:pBdr>
        <w:spacing w:after="0"/>
        <w:ind w:firstLine="720"/>
        <w:jc w:val="both"/>
        <w:rPr>
          <w:rFonts w:ascii="Arial" w:eastAsia="Arial" w:hAnsi="Arial" w:cs="Arial"/>
          <w:color w:val="000000"/>
          <w:sz w:val="20"/>
          <w:szCs w:val="20"/>
        </w:rPr>
      </w:pPr>
    </w:p>
    <w:tbl>
      <w:tblPr>
        <w:tblStyle w:val="a1"/>
        <w:tblpPr w:leftFromText="180" w:rightFromText="180" w:vertAnchor="text" w:tblpX="453"/>
        <w:tblW w:w="8453" w:type="dxa"/>
        <w:tblBorders>
          <w:insideH w:val="single" w:sz="4" w:space="0" w:color="000000"/>
        </w:tblBorders>
        <w:tblLayout w:type="fixed"/>
        <w:tblLook w:val="0000" w:firstRow="0" w:lastRow="0" w:firstColumn="0" w:lastColumn="0" w:noHBand="0" w:noVBand="0"/>
      </w:tblPr>
      <w:tblGrid>
        <w:gridCol w:w="1062"/>
        <w:gridCol w:w="6579"/>
        <w:gridCol w:w="812"/>
      </w:tblGrid>
      <w:tr w:rsidR="00500799" w14:paraId="5B5F3DF3" w14:textId="77777777">
        <w:tc>
          <w:tcPr>
            <w:tcW w:w="1062" w:type="dxa"/>
            <w:vMerge w:val="restart"/>
            <w:vAlign w:val="center"/>
          </w:tcPr>
          <w:p w14:paraId="1A7F8E9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N (%) =</w:t>
            </w:r>
          </w:p>
        </w:tc>
        <w:tc>
          <w:tcPr>
            <w:tcW w:w="6579" w:type="dxa"/>
            <w:vAlign w:val="center"/>
          </w:tcPr>
          <w:p w14:paraId="2A8DC04C"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 xml:space="preserve">Normality of H2SO4 X Volume of 0.1N H2SO4 X 14   </w:t>
            </w:r>
          </w:p>
        </w:tc>
        <w:tc>
          <w:tcPr>
            <w:tcW w:w="812" w:type="dxa"/>
            <w:vMerge w:val="restart"/>
            <w:vAlign w:val="center"/>
          </w:tcPr>
          <w:p w14:paraId="1B16F91B"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x 100</w:t>
            </w:r>
          </w:p>
        </w:tc>
      </w:tr>
      <w:tr w:rsidR="00500799" w14:paraId="63C9A3A3" w14:textId="77777777">
        <w:tc>
          <w:tcPr>
            <w:tcW w:w="1062" w:type="dxa"/>
            <w:vMerge/>
            <w:vAlign w:val="center"/>
          </w:tcPr>
          <w:p w14:paraId="6FD87581"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c>
          <w:tcPr>
            <w:tcW w:w="6579" w:type="dxa"/>
            <w:vAlign w:val="center"/>
          </w:tcPr>
          <w:p w14:paraId="5E20DB16" w14:textId="77777777" w:rsidR="00500799" w:rsidRDefault="00EE5FF7">
            <w:pPr>
              <w:pBdr>
                <w:top w:val="nil"/>
                <w:left w:val="nil"/>
                <w:bottom w:val="nil"/>
                <w:right w:val="nil"/>
                <w:between w:val="nil"/>
              </w:pBdr>
              <w:spacing w:after="0"/>
              <w:ind w:firstLine="720"/>
              <w:jc w:val="both"/>
              <w:rPr>
                <w:rFonts w:ascii="Arial" w:eastAsia="Arial" w:hAnsi="Arial" w:cs="Arial"/>
                <w:color w:val="000000"/>
                <w:sz w:val="20"/>
                <w:szCs w:val="20"/>
              </w:rPr>
            </w:pPr>
            <w:r>
              <w:rPr>
                <w:rFonts w:ascii="Arial" w:eastAsia="Arial" w:hAnsi="Arial" w:cs="Arial"/>
                <w:color w:val="000000"/>
                <w:sz w:val="20"/>
                <w:szCs w:val="20"/>
              </w:rPr>
              <w:t>Weight of sample X 1000</w:t>
            </w:r>
          </w:p>
        </w:tc>
        <w:tc>
          <w:tcPr>
            <w:tcW w:w="812" w:type="dxa"/>
            <w:vMerge/>
            <w:vAlign w:val="center"/>
          </w:tcPr>
          <w:p w14:paraId="2D81B356" w14:textId="77777777" w:rsidR="00500799" w:rsidRDefault="00500799">
            <w:pPr>
              <w:widowControl w:val="0"/>
              <w:pBdr>
                <w:top w:val="nil"/>
                <w:left w:val="nil"/>
                <w:bottom w:val="nil"/>
                <w:right w:val="nil"/>
                <w:between w:val="nil"/>
              </w:pBdr>
              <w:spacing w:after="0"/>
              <w:rPr>
                <w:rFonts w:ascii="Arial" w:eastAsia="Arial" w:hAnsi="Arial" w:cs="Arial"/>
                <w:color w:val="000000"/>
                <w:sz w:val="20"/>
                <w:szCs w:val="20"/>
              </w:rPr>
            </w:pPr>
          </w:p>
        </w:tc>
      </w:tr>
    </w:tbl>
    <w:p w14:paraId="4997834C" w14:textId="77777777" w:rsidR="00500799" w:rsidRDefault="00EE5FF7">
      <w:pPr>
        <w:pBdr>
          <w:top w:val="nil"/>
          <w:left w:val="nil"/>
          <w:bottom w:val="nil"/>
          <w:right w:val="nil"/>
          <w:between w:val="nil"/>
        </w:pBdr>
        <w:spacing w:after="0"/>
        <w:jc w:val="center"/>
        <w:rPr>
          <w:rFonts w:ascii="Arial" w:eastAsia="Arial" w:hAnsi="Arial" w:cs="Arial"/>
          <w:b/>
          <w:color w:val="252525"/>
          <w:sz w:val="24"/>
          <w:szCs w:val="24"/>
        </w:rPr>
      </w:pPr>
      <w:r>
        <w:rPr>
          <w:rFonts w:ascii="Arial" w:eastAsia="Arial" w:hAnsi="Arial" w:cs="Arial"/>
          <w:color w:val="000000"/>
          <w:sz w:val="20"/>
          <w:szCs w:val="20"/>
        </w:rPr>
        <w:t>Crude protein (%) = N % X 6.25</w:t>
      </w:r>
    </w:p>
    <w:p w14:paraId="5494E7B4" w14:textId="77777777" w:rsidR="00500799" w:rsidRDefault="00500799">
      <w:pPr>
        <w:spacing w:after="0"/>
        <w:jc w:val="both"/>
        <w:rPr>
          <w:rFonts w:ascii="Arial" w:eastAsia="Arial" w:hAnsi="Arial" w:cs="Arial"/>
          <w:b/>
          <w:color w:val="252525"/>
          <w:sz w:val="24"/>
          <w:szCs w:val="24"/>
        </w:rPr>
      </w:pPr>
    </w:p>
    <w:tbl>
      <w:tblPr>
        <w:tblStyle w:val="a2"/>
        <w:tblW w:w="855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4320"/>
      </w:tblGrid>
      <w:tr w:rsidR="00500799" w14:paraId="46ADFB28" w14:textId="77777777">
        <w:trPr>
          <w:trHeight w:val="2150"/>
        </w:trPr>
        <w:tc>
          <w:tcPr>
            <w:tcW w:w="4230" w:type="dxa"/>
          </w:tcPr>
          <w:p w14:paraId="6F89D036" w14:textId="77777777" w:rsidR="00500799" w:rsidRDefault="00500799">
            <w:pPr>
              <w:spacing w:line="276" w:lineRule="auto"/>
              <w:jc w:val="both"/>
              <w:rPr>
                <w:rFonts w:ascii="Arial" w:eastAsia="Arial" w:hAnsi="Arial" w:cs="Arial"/>
                <w:sz w:val="24"/>
                <w:szCs w:val="24"/>
                <w:highlight w:val="yellow"/>
              </w:rPr>
            </w:pPr>
          </w:p>
          <w:p w14:paraId="15059012"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D2E7D1C" wp14:editId="3B826D5E">
                  <wp:extent cx="1486876" cy="2631890"/>
                  <wp:effectExtent l="0" t="0" r="0" b="0"/>
                  <wp:docPr id="33" name="image9.jpg" descr="E:\Millet Research paper\thesis pick\thesis millet pick\IMG20220929152949.jpg"/>
                  <wp:cNvGraphicFramePr/>
                  <a:graphic xmlns:a="http://schemas.openxmlformats.org/drawingml/2006/main">
                    <a:graphicData uri="http://schemas.openxmlformats.org/drawingml/2006/picture">
                      <pic:pic xmlns:pic="http://schemas.openxmlformats.org/drawingml/2006/picture">
                        <pic:nvPicPr>
                          <pic:cNvPr id="0" name="image9.jpg" descr="E:\Millet Research paper\thesis pick\thesis millet pick\IMG20220929152949.jpg"/>
                          <pic:cNvPicPr preferRelativeResize="0"/>
                        </pic:nvPicPr>
                        <pic:blipFill>
                          <a:blip r:embed="rId13"/>
                          <a:srcRect/>
                          <a:stretch>
                            <a:fillRect/>
                          </a:stretch>
                        </pic:blipFill>
                        <pic:spPr>
                          <a:xfrm rot="5400000">
                            <a:off x="0" y="0"/>
                            <a:ext cx="1486876" cy="2631890"/>
                          </a:xfrm>
                          <a:prstGeom prst="rect">
                            <a:avLst/>
                          </a:prstGeom>
                          <a:ln/>
                        </pic:spPr>
                      </pic:pic>
                    </a:graphicData>
                  </a:graphic>
                </wp:inline>
              </w:drawing>
            </w:r>
          </w:p>
        </w:tc>
        <w:tc>
          <w:tcPr>
            <w:tcW w:w="4320" w:type="dxa"/>
          </w:tcPr>
          <w:p w14:paraId="1174BE1C"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15AA92F5" wp14:editId="4BD47262">
                  <wp:extent cx="1624275" cy="2666249"/>
                  <wp:effectExtent l="0" t="0" r="0" b="0"/>
                  <wp:docPr id="32" name="image2.jpg" descr="E:\Millet Research paper\thesis pick\thesis millet pick\IMG20220929124546.jpg"/>
                  <wp:cNvGraphicFramePr/>
                  <a:graphic xmlns:a="http://schemas.openxmlformats.org/drawingml/2006/main">
                    <a:graphicData uri="http://schemas.openxmlformats.org/drawingml/2006/picture">
                      <pic:pic xmlns:pic="http://schemas.openxmlformats.org/drawingml/2006/picture">
                        <pic:nvPicPr>
                          <pic:cNvPr id="0" name="image2.jpg" descr="E:\Millet Research paper\thesis pick\thesis millet pick\IMG20220929124546.jpg"/>
                          <pic:cNvPicPr preferRelativeResize="0"/>
                        </pic:nvPicPr>
                        <pic:blipFill>
                          <a:blip r:embed="rId14"/>
                          <a:srcRect/>
                          <a:stretch>
                            <a:fillRect/>
                          </a:stretch>
                        </pic:blipFill>
                        <pic:spPr>
                          <a:xfrm rot="16200000">
                            <a:off x="0" y="0"/>
                            <a:ext cx="1624275" cy="2666249"/>
                          </a:xfrm>
                          <a:prstGeom prst="rect">
                            <a:avLst/>
                          </a:prstGeom>
                          <a:ln/>
                        </pic:spPr>
                      </pic:pic>
                    </a:graphicData>
                  </a:graphic>
                </wp:inline>
              </w:drawing>
            </w:r>
          </w:p>
        </w:tc>
      </w:tr>
      <w:tr w:rsidR="00500799" w14:paraId="44335FD1" w14:textId="77777777">
        <w:trPr>
          <w:trHeight w:val="2492"/>
        </w:trPr>
        <w:tc>
          <w:tcPr>
            <w:tcW w:w="4230" w:type="dxa"/>
          </w:tcPr>
          <w:p w14:paraId="1B891635"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034E7FA" wp14:editId="78B43B82">
                  <wp:extent cx="1569771" cy="2604547"/>
                  <wp:effectExtent l="0" t="0" r="0" b="0"/>
                  <wp:docPr id="35" name="image4.jpg" descr="E:\Millet Research paper\thesis pick\thesis millet pick\IMG20220929124627.jpg"/>
                  <wp:cNvGraphicFramePr/>
                  <a:graphic xmlns:a="http://schemas.openxmlformats.org/drawingml/2006/main">
                    <a:graphicData uri="http://schemas.openxmlformats.org/drawingml/2006/picture">
                      <pic:pic xmlns:pic="http://schemas.openxmlformats.org/drawingml/2006/picture">
                        <pic:nvPicPr>
                          <pic:cNvPr id="0" name="image4.jpg" descr="E:\Millet Research paper\thesis pick\thesis millet pick\IMG20220929124627.jpg"/>
                          <pic:cNvPicPr preferRelativeResize="0"/>
                        </pic:nvPicPr>
                        <pic:blipFill>
                          <a:blip r:embed="rId15"/>
                          <a:srcRect/>
                          <a:stretch>
                            <a:fillRect/>
                          </a:stretch>
                        </pic:blipFill>
                        <pic:spPr>
                          <a:xfrm rot="16200000">
                            <a:off x="0" y="0"/>
                            <a:ext cx="1569771" cy="2604547"/>
                          </a:xfrm>
                          <a:prstGeom prst="rect">
                            <a:avLst/>
                          </a:prstGeom>
                          <a:ln/>
                        </pic:spPr>
                      </pic:pic>
                    </a:graphicData>
                  </a:graphic>
                </wp:inline>
              </w:drawing>
            </w:r>
          </w:p>
        </w:tc>
        <w:tc>
          <w:tcPr>
            <w:tcW w:w="4320" w:type="dxa"/>
          </w:tcPr>
          <w:p w14:paraId="7525BF93"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355BD453" wp14:editId="1EED55C9">
                  <wp:extent cx="1595762" cy="2609194"/>
                  <wp:effectExtent l="0" t="0" r="0" b="0"/>
                  <wp:docPr id="34" name="image7.jpg" descr="E:\Millet Research paper\thesis pick\thesis millet pick\IMG20220929123006.jpg"/>
                  <wp:cNvGraphicFramePr/>
                  <a:graphic xmlns:a="http://schemas.openxmlformats.org/drawingml/2006/main">
                    <a:graphicData uri="http://schemas.openxmlformats.org/drawingml/2006/picture">
                      <pic:pic xmlns:pic="http://schemas.openxmlformats.org/drawingml/2006/picture">
                        <pic:nvPicPr>
                          <pic:cNvPr id="0" name="image7.jpg" descr="E:\Millet Research paper\thesis pick\thesis millet pick\IMG20220929123006.jpg"/>
                          <pic:cNvPicPr preferRelativeResize="0"/>
                        </pic:nvPicPr>
                        <pic:blipFill>
                          <a:blip r:embed="rId16"/>
                          <a:srcRect/>
                          <a:stretch>
                            <a:fillRect/>
                          </a:stretch>
                        </pic:blipFill>
                        <pic:spPr>
                          <a:xfrm rot="5400000">
                            <a:off x="0" y="0"/>
                            <a:ext cx="1595762" cy="2609194"/>
                          </a:xfrm>
                          <a:prstGeom prst="rect">
                            <a:avLst/>
                          </a:prstGeom>
                          <a:ln/>
                        </pic:spPr>
                      </pic:pic>
                    </a:graphicData>
                  </a:graphic>
                </wp:inline>
              </w:drawing>
            </w:r>
          </w:p>
        </w:tc>
      </w:tr>
      <w:tr w:rsidR="00500799" w14:paraId="0B91B553" w14:textId="77777777">
        <w:trPr>
          <w:trHeight w:val="2132"/>
        </w:trPr>
        <w:tc>
          <w:tcPr>
            <w:tcW w:w="4230" w:type="dxa"/>
          </w:tcPr>
          <w:p w14:paraId="01EFA0AF"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lastRenderedPageBreak/>
              <w:drawing>
                <wp:inline distT="0" distB="0" distL="0" distR="0" wp14:anchorId="1200CD80" wp14:editId="43D853EF">
                  <wp:extent cx="2590827" cy="1658130"/>
                  <wp:effectExtent l="0" t="0" r="0" b="0"/>
                  <wp:docPr id="37" name="image1.jpg" descr="E:\Millet Research paper\thesis pick\thesis millet pick\IMG20221101125742.jpg"/>
                  <wp:cNvGraphicFramePr/>
                  <a:graphic xmlns:a="http://schemas.openxmlformats.org/drawingml/2006/main">
                    <a:graphicData uri="http://schemas.openxmlformats.org/drawingml/2006/picture">
                      <pic:pic xmlns:pic="http://schemas.openxmlformats.org/drawingml/2006/picture">
                        <pic:nvPicPr>
                          <pic:cNvPr id="0" name="image1.jpg" descr="E:\Millet Research paper\thesis pick\thesis millet pick\IMG20221101125742.jpg"/>
                          <pic:cNvPicPr preferRelativeResize="0"/>
                        </pic:nvPicPr>
                        <pic:blipFill>
                          <a:blip r:embed="rId17"/>
                          <a:srcRect/>
                          <a:stretch>
                            <a:fillRect/>
                          </a:stretch>
                        </pic:blipFill>
                        <pic:spPr>
                          <a:xfrm>
                            <a:off x="0" y="0"/>
                            <a:ext cx="2590827" cy="1658130"/>
                          </a:xfrm>
                          <a:prstGeom prst="rect">
                            <a:avLst/>
                          </a:prstGeom>
                          <a:ln/>
                        </pic:spPr>
                      </pic:pic>
                    </a:graphicData>
                  </a:graphic>
                </wp:inline>
              </w:drawing>
            </w:r>
          </w:p>
        </w:tc>
        <w:tc>
          <w:tcPr>
            <w:tcW w:w="4320" w:type="dxa"/>
          </w:tcPr>
          <w:p w14:paraId="60F3FF30" w14:textId="77777777" w:rsidR="00500799" w:rsidRDefault="00EE5FF7">
            <w:pPr>
              <w:spacing w:line="276" w:lineRule="auto"/>
              <w:jc w:val="both"/>
              <w:rPr>
                <w:rFonts w:ascii="Arial" w:eastAsia="Arial" w:hAnsi="Arial" w:cs="Arial"/>
                <w:sz w:val="24"/>
                <w:szCs w:val="24"/>
                <w:highlight w:val="yellow"/>
              </w:rPr>
            </w:pPr>
            <w:r>
              <w:rPr>
                <w:rFonts w:ascii="Arial" w:eastAsia="Arial" w:hAnsi="Arial" w:cs="Arial"/>
                <w:noProof/>
                <w:sz w:val="24"/>
                <w:szCs w:val="24"/>
                <w:highlight w:val="yellow"/>
                <w:lang w:val="en-US"/>
              </w:rPr>
              <w:drawing>
                <wp:inline distT="0" distB="0" distL="0" distR="0" wp14:anchorId="5D18C6A6" wp14:editId="1A89AB71">
                  <wp:extent cx="2633936" cy="1655163"/>
                  <wp:effectExtent l="0" t="0" r="0" b="0"/>
                  <wp:docPr id="36" name="image8.jpg" descr="E:\Millet Research paper\thesis pick\thesis millet pick\IMG20220929151338.jpg"/>
                  <wp:cNvGraphicFramePr/>
                  <a:graphic xmlns:a="http://schemas.openxmlformats.org/drawingml/2006/main">
                    <a:graphicData uri="http://schemas.openxmlformats.org/drawingml/2006/picture">
                      <pic:pic xmlns:pic="http://schemas.openxmlformats.org/drawingml/2006/picture">
                        <pic:nvPicPr>
                          <pic:cNvPr id="0" name="image8.jpg" descr="E:\Millet Research paper\thesis pick\thesis millet pick\IMG20220929151338.jpg"/>
                          <pic:cNvPicPr preferRelativeResize="0"/>
                        </pic:nvPicPr>
                        <pic:blipFill>
                          <a:blip r:embed="rId18"/>
                          <a:srcRect/>
                          <a:stretch>
                            <a:fillRect/>
                          </a:stretch>
                        </pic:blipFill>
                        <pic:spPr>
                          <a:xfrm>
                            <a:off x="0" y="0"/>
                            <a:ext cx="2633936" cy="1655163"/>
                          </a:xfrm>
                          <a:prstGeom prst="rect">
                            <a:avLst/>
                          </a:prstGeom>
                          <a:ln/>
                        </pic:spPr>
                      </pic:pic>
                    </a:graphicData>
                  </a:graphic>
                </wp:inline>
              </w:drawing>
            </w:r>
          </w:p>
        </w:tc>
      </w:tr>
    </w:tbl>
    <w:p w14:paraId="6FE5F64F" w14:textId="77777777" w:rsidR="00500799" w:rsidRDefault="00500799">
      <w:pPr>
        <w:spacing w:after="0"/>
        <w:jc w:val="both"/>
        <w:rPr>
          <w:rFonts w:ascii="Arial" w:eastAsia="Arial" w:hAnsi="Arial" w:cs="Arial"/>
          <w:b/>
          <w:color w:val="252525"/>
          <w:sz w:val="24"/>
          <w:szCs w:val="24"/>
        </w:rPr>
      </w:pPr>
    </w:p>
    <w:p w14:paraId="642727A3" w14:textId="77777777" w:rsidR="00500799" w:rsidRDefault="00EE5FF7">
      <w:pPr>
        <w:spacing w:after="0"/>
        <w:jc w:val="center"/>
        <w:rPr>
          <w:rFonts w:ascii="Arial" w:eastAsia="Arial" w:hAnsi="Arial" w:cs="Arial"/>
          <w:b/>
          <w:color w:val="252525"/>
          <w:sz w:val="20"/>
          <w:szCs w:val="20"/>
        </w:rPr>
      </w:pPr>
      <w:r>
        <w:rPr>
          <w:rFonts w:ascii="Arial" w:eastAsia="Arial" w:hAnsi="Arial" w:cs="Arial"/>
          <w:b/>
          <w:color w:val="252525"/>
          <w:sz w:val="20"/>
          <w:szCs w:val="20"/>
        </w:rPr>
        <w:t>Fig.-2: Effect of insect infestation on different Packaging Materials of milled kodo millet</w:t>
      </w:r>
    </w:p>
    <w:p w14:paraId="4D288AA1" w14:textId="77777777" w:rsidR="00500799" w:rsidRDefault="00500799">
      <w:pPr>
        <w:spacing w:after="0"/>
        <w:jc w:val="center"/>
        <w:rPr>
          <w:rFonts w:ascii="Arial" w:eastAsia="Arial" w:hAnsi="Arial" w:cs="Arial"/>
          <w:b/>
          <w:color w:val="252525"/>
          <w:sz w:val="24"/>
          <w:szCs w:val="24"/>
        </w:rPr>
      </w:pPr>
    </w:p>
    <w:p w14:paraId="275B2A57" w14:textId="77777777" w:rsidR="00500799" w:rsidRDefault="00500799">
      <w:pPr>
        <w:spacing w:after="0"/>
        <w:jc w:val="center"/>
        <w:rPr>
          <w:rFonts w:ascii="Arial" w:eastAsia="Arial" w:hAnsi="Arial" w:cs="Arial"/>
          <w:b/>
          <w:color w:val="252525"/>
          <w:sz w:val="24"/>
          <w:szCs w:val="24"/>
        </w:rPr>
      </w:pPr>
    </w:p>
    <w:p w14:paraId="6F741C00" w14:textId="77777777" w:rsidR="00500799" w:rsidRDefault="00500799">
      <w:pPr>
        <w:spacing w:after="0"/>
        <w:jc w:val="both"/>
        <w:rPr>
          <w:rFonts w:ascii="Arial" w:eastAsia="Arial" w:hAnsi="Arial" w:cs="Arial"/>
          <w:b/>
          <w:color w:val="252525"/>
          <w:sz w:val="24"/>
          <w:szCs w:val="24"/>
        </w:rPr>
      </w:pPr>
    </w:p>
    <w:p w14:paraId="54632861" w14:textId="14B5D882"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Table- </w:t>
      </w:r>
      <w:r w:rsidR="00F57B37">
        <w:rPr>
          <w:rFonts w:ascii="Arial" w:eastAsia="Arial" w:hAnsi="Arial" w:cs="Arial"/>
          <w:b/>
          <w:color w:val="252525"/>
          <w:sz w:val="20"/>
          <w:szCs w:val="20"/>
        </w:rPr>
        <w:t>1</w:t>
      </w:r>
      <w:r>
        <w:rPr>
          <w:rFonts w:ascii="Arial" w:eastAsia="Arial" w:hAnsi="Arial" w:cs="Arial"/>
          <w:b/>
          <w:color w:val="252525"/>
          <w:sz w:val="20"/>
          <w:szCs w:val="20"/>
        </w:rPr>
        <w:t xml:space="preserve">:  </w:t>
      </w:r>
      <w:r>
        <w:rPr>
          <w:rFonts w:ascii="Arial" w:eastAsia="Arial" w:hAnsi="Arial" w:cs="Arial"/>
          <w:b/>
          <w:sz w:val="20"/>
          <w:szCs w:val="20"/>
        </w:rPr>
        <w:t>Insect infestation of milled kodo millet in different packaging materials during Storage Period</w:t>
      </w:r>
    </w:p>
    <w:p w14:paraId="7B10FF28" w14:textId="77777777" w:rsidR="00500799" w:rsidRDefault="00500799">
      <w:pPr>
        <w:spacing w:after="0"/>
        <w:jc w:val="both"/>
        <w:rPr>
          <w:rFonts w:ascii="Arial" w:eastAsia="Arial" w:hAnsi="Arial" w:cs="Arial"/>
          <w:b/>
          <w:color w:val="252525"/>
          <w:sz w:val="20"/>
          <w:szCs w:val="20"/>
        </w:rPr>
      </w:pPr>
    </w:p>
    <w:tbl>
      <w:tblPr>
        <w:tblStyle w:val="a3"/>
        <w:tblW w:w="7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1228"/>
        <w:gridCol w:w="1230"/>
        <w:gridCol w:w="1228"/>
        <w:gridCol w:w="1230"/>
        <w:gridCol w:w="1231"/>
      </w:tblGrid>
      <w:tr w:rsidR="00500799" w14:paraId="1A8F2913" w14:textId="77777777">
        <w:trPr>
          <w:trHeight w:val="64"/>
          <w:jc w:val="center"/>
        </w:trPr>
        <w:tc>
          <w:tcPr>
            <w:tcW w:w="1788" w:type="dxa"/>
            <w:vMerge w:val="restart"/>
            <w:vAlign w:val="center"/>
          </w:tcPr>
          <w:p w14:paraId="56198D47"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Packaging Material</w:t>
            </w:r>
          </w:p>
        </w:tc>
        <w:tc>
          <w:tcPr>
            <w:tcW w:w="6147" w:type="dxa"/>
            <w:gridSpan w:val="5"/>
            <w:vAlign w:val="center"/>
          </w:tcPr>
          <w:p w14:paraId="2D4DBE6D" w14:textId="77777777" w:rsidR="00500799" w:rsidRDefault="00EE5FF7">
            <w:pPr>
              <w:spacing w:line="276" w:lineRule="auto"/>
              <w:jc w:val="center"/>
              <w:rPr>
                <w:rFonts w:ascii="Arial" w:eastAsia="Arial" w:hAnsi="Arial" w:cs="Arial"/>
                <w:sz w:val="20"/>
                <w:szCs w:val="20"/>
              </w:rPr>
            </w:pPr>
            <w:r>
              <w:rPr>
                <w:rFonts w:ascii="Arial" w:eastAsia="Arial" w:hAnsi="Arial" w:cs="Arial"/>
                <w:b/>
                <w:sz w:val="20"/>
                <w:szCs w:val="20"/>
              </w:rPr>
              <w:t>Insect Infestation of  Milled Kodo During Storage Period</w:t>
            </w:r>
          </w:p>
        </w:tc>
      </w:tr>
      <w:tr w:rsidR="00500799" w14:paraId="78AE9A4D" w14:textId="77777777">
        <w:trPr>
          <w:trHeight w:val="147"/>
          <w:jc w:val="center"/>
        </w:trPr>
        <w:tc>
          <w:tcPr>
            <w:tcW w:w="1788" w:type="dxa"/>
            <w:vMerge/>
            <w:vAlign w:val="center"/>
          </w:tcPr>
          <w:p w14:paraId="012790B4" w14:textId="77777777" w:rsidR="00500799" w:rsidRDefault="00500799">
            <w:pPr>
              <w:widowControl w:val="0"/>
              <w:pBdr>
                <w:top w:val="nil"/>
                <w:left w:val="nil"/>
                <w:bottom w:val="nil"/>
                <w:right w:val="nil"/>
                <w:between w:val="nil"/>
              </w:pBdr>
              <w:spacing w:line="276" w:lineRule="auto"/>
              <w:rPr>
                <w:rFonts w:ascii="Arial" w:eastAsia="Arial" w:hAnsi="Arial" w:cs="Arial"/>
                <w:sz w:val="20"/>
                <w:szCs w:val="20"/>
              </w:rPr>
            </w:pPr>
          </w:p>
        </w:tc>
        <w:tc>
          <w:tcPr>
            <w:tcW w:w="1228" w:type="dxa"/>
            <w:vAlign w:val="center"/>
          </w:tcPr>
          <w:p w14:paraId="65E6F1D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0 days</w:t>
            </w:r>
          </w:p>
        </w:tc>
        <w:tc>
          <w:tcPr>
            <w:tcW w:w="1230" w:type="dxa"/>
            <w:vAlign w:val="center"/>
          </w:tcPr>
          <w:p w14:paraId="67D9155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30 days</w:t>
            </w:r>
          </w:p>
        </w:tc>
        <w:tc>
          <w:tcPr>
            <w:tcW w:w="1228" w:type="dxa"/>
            <w:vAlign w:val="center"/>
          </w:tcPr>
          <w:p w14:paraId="0E143AB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 days</w:t>
            </w:r>
          </w:p>
        </w:tc>
        <w:tc>
          <w:tcPr>
            <w:tcW w:w="1230" w:type="dxa"/>
            <w:vAlign w:val="center"/>
          </w:tcPr>
          <w:p w14:paraId="391D5A5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90 days</w:t>
            </w:r>
          </w:p>
        </w:tc>
        <w:tc>
          <w:tcPr>
            <w:tcW w:w="1231" w:type="dxa"/>
            <w:vAlign w:val="center"/>
          </w:tcPr>
          <w:p w14:paraId="361FAFF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r>
      <w:tr w:rsidR="00500799" w14:paraId="597DF875" w14:textId="77777777">
        <w:trPr>
          <w:trHeight w:val="263"/>
          <w:jc w:val="center"/>
        </w:trPr>
        <w:tc>
          <w:tcPr>
            <w:tcW w:w="1788" w:type="dxa"/>
            <w:vAlign w:val="center"/>
          </w:tcPr>
          <w:p w14:paraId="5D627AA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228" w:type="dxa"/>
            <w:vAlign w:val="center"/>
          </w:tcPr>
          <w:p w14:paraId="26091EA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6EADF4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28" w:type="dxa"/>
            <w:vAlign w:val="center"/>
          </w:tcPr>
          <w:p w14:paraId="3B83F65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c>
          <w:tcPr>
            <w:tcW w:w="1230" w:type="dxa"/>
            <w:vAlign w:val="center"/>
          </w:tcPr>
          <w:p w14:paraId="508D474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57</w:t>
            </w:r>
          </w:p>
        </w:tc>
        <w:tc>
          <w:tcPr>
            <w:tcW w:w="1231" w:type="dxa"/>
            <w:vAlign w:val="center"/>
          </w:tcPr>
          <w:p w14:paraId="56F393E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83</w:t>
            </w:r>
          </w:p>
        </w:tc>
      </w:tr>
      <w:tr w:rsidR="00500799" w14:paraId="0E0201F3" w14:textId="77777777">
        <w:trPr>
          <w:trHeight w:val="263"/>
          <w:jc w:val="center"/>
        </w:trPr>
        <w:tc>
          <w:tcPr>
            <w:tcW w:w="1788" w:type="dxa"/>
            <w:vAlign w:val="center"/>
          </w:tcPr>
          <w:p w14:paraId="50B17DC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228" w:type="dxa"/>
            <w:vAlign w:val="center"/>
          </w:tcPr>
          <w:p w14:paraId="44338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8CF9AF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6</w:t>
            </w:r>
          </w:p>
        </w:tc>
        <w:tc>
          <w:tcPr>
            <w:tcW w:w="1228" w:type="dxa"/>
            <w:vAlign w:val="center"/>
          </w:tcPr>
          <w:p w14:paraId="1F77C8A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15</w:t>
            </w:r>
          </w:p>
        </w:tc>
        <w:tc>
          <w:tcPr>
            <w:tcW w:w="1230" w:type="dxa"/>
            <w:vAlign w:val="center"/>
          </w:tcPr>
          <w:p w14:paraId="51594B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27</w:t>
            </w:r>
          </w:p>
        </w:tc>
        <w:tc>
          <w:tcPr>
            <w:tcW w:w="1231" w:type="dxa"/>
            <w:vAlign w:val="center"/>
          </w:tcPr>
          <w:p w14:paraId="69B2DE2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34</w:t>
            </w:r>
          </w:p>
        </w:tc>
      </w:tr>
      <w:tr w:rsidR="00500799" w14:paraId="4974452D" w14:textId="77777777">
        <w:trPr>
          <w:trHeight w:val="278"/>
          <w:jc w:val="center"/>
        </w:trPr>
        <w:tc>
          <w:tcPr>
            <w:tcW w:w="1788" w:type="dxa"/>
            <w:vAlign w:val="center"/>
          </w:tcPr>
          <w:p w14:paraId="7E11711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228" w:type="dxa"/>
            <w:vAlign w:val="center"/>
          </w:tcPr>
          <w:p w14:paraId="7E2C407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02B20F9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040CDF2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w:t>
            </w:r>
          </w:p>
        </w:tc>
        <w:tc>
          <w:tcPr>
            <w:tcW w:w="1230" w:type="dxa"/>
            <w:vAlign w:val="center"/>
          </w:tcPr>
          <w:p w14:paraId="7CD9F06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w:t>
            </w:r>
          </w:p>
        </w:tc>
        <w:tc>
          <w:tcPr>
            <w:tcW w:w="1231" w:type="dxa"/>
            <w:vAlign w:val="center"/>
          </w:tcPr>
          <w:p w14:paraId="4FE96F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w:t>
            </w:r>
          </w:p>
        </w:tc>
      </w:tr>
      <w:tr w:rsidR="00500799" w14:paraId="34ACBBF0" w14:textId="77777777">
        <w:trPr>
          <w:trHeight w:val="263"/>
          <w:jc w:val="center"/>
        </w:trPr>
        <w:tc>
          <w:tcPr>
            <w:tcW w:w="1788" w:type="dxa"/>
            <w:vAlign w:val="center"/>
          </w:tcPr>
          <w:p w14:paraId="0C8EA06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228" w:type="dxa"/>
            <w:vAlign w:val="center"/>
          </w:tcPr>
          <w:p w14:paraId="56AD173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9616E5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28" w:type="dxa"/>
            <w:vAlign w:val="center"/>
          </w:tcPr>
          <w:p w14:paraId="39D361D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5C50B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1" w:type="dxa"/>
            <w:vAlign w:val="center"/>
          </w:tcPr>
          <w:p w14:paraId="5991426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r>
      <w:tr w:rsidR="00500799" w14:paraId="3C988E96" w14:textId="77777777">
        <w:trPr>
          <w:trHeight w:val="263"/>
          <w:jc w:val="center"/>
        </w:trPr>
        <w:tc>
          <w:tcPr>
            <w:tcW w:w="1788" w:type="dxa"/>
            <w:vAlign w:val="center"/>
          </w:tcPr>
          <w:p w14:paraId="61B2B6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r>
              <w:rPr>
                <w:rFonts w:ascii="Arial" w:eastAsia="Arial" w:hAnsi="Arial" w:cs="Arial"/>
                <w:b/>
                <w:sz w:val="20"/>
                <w:szCs w:val="20"/>
                <w:u w:val="single"/>
              </w:rPr>
              <w:t>+</w:t>
            </w:r>
          </w:p>
        </w:tc>
        <w:tc>
          <w:tcPr>
            <w:tcW w:w="1228" w:type="dxa"/>
            <w:vAlign w:val="center"/>
          </w:tcPr>
          <w:p w14:paraId="20050F2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7D234DB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0.05</w:t>
            </w:r>
          </w:p>
        </w:tc>
        <w:tc>
          <w:tcPr>
            <w:tcW w:w="1228" w:type="dxa"/>
            <w:vAlign w:val="center"/>
          </w:tcPr>
          <w:p w14:paraId="4E68692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1230" w:type="dxa"/>
            <w:vAlign w:val="center"/>
          </w:tcPr>
          <w:p w14:paraId="1697B02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0.42</w:t>
            </w:r>
          </w:p>
        </w:tc>
        <w:tc>
          <w:tcPr>
            <w:tcW w:w="1231" w:type="dxa"/>
            <w:vAlign w:val="center"/>
          </w:tcPr>
          <w:p w14:paraId="544D829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0.38</w:t>
            </w:r>
          </w:p>
        </w:tc>
      </w:tr>
      <w:tr w:rsidR="00500799" w14:paraId="24353A65" w14:textId="77777777">
        <w:trPr>
          <w:trHeight w:val="64"/>
          <w:jc w:val="center"/>
        </w:trPr>
        <w:tc>
          <w:tcPr>
            <w:tcW w:w="1788" w:type="dxa"/>
            <w:vAlign w:val="center"/>
          </w:tcPr>
          <w:p w14:paraId="43A2EA4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 5 %</w:t>
            </w:r>
          </w:p>
        </w:tc>
        <w:tc>
          <w:tcPr>
            <w:tcW w:w="1228" w:type="dxa"/>
            <w:vAlign w:val="center"/>
          </w:tcPr>
          <w:p w14:paraId="5C01B0A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w:t>
            </w:r>
          </w:p>
        </w:tc>
        <w:tc>
          <w:tcPr>
            <w:tcW w:w="1230" w:type="dxa"/>
            <w:vAlign w:val="center"/>
          </w:tcPr>
          <w:p w14:paraId="47E3E0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0.16</w:t>
            </w:r>
          </w:p>
        </w:tc>
        <w:tc>
          <w:tcPr>
            <w:tcW w:w="1228" w:type="dxa"/>
            <w:vAlign w:val="center"/>
          </w:tcPr>
          <w:p w14:paraId="0C30E71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1230" w:type="dxa"/>
            <w:vAlign w:val="center"/>
          </w:tcPr>
          <w:p w14:paraId="4B1CF9B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1.27</w:t>
            </w:r>
          </w:p>
        </w:tc>
        <w:tc>
          <w:tcPr>
            <w:tcW w:w="1231" w:type="dxa"/>
            <w:vAlign w:val="center"/>
          </w:tcPr>
          <w:p w14:paraId="31A50E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1.23</w:t>
            </w:r>
          </w:p>
        </w:tc>
      </w:tr>
    </w:tbl>
    <w:p w14:paraId="290DF475" w14:textId="77777777" w:rsidR="00500799" w:rsidRDefault="00500799">
      <w:pPr>
        <w:spacing w:after="0"/>
        <w:jc w:val="both"/>
        <w:rPr>
          <w:rFonts w:ascii="Arial" w:eastAsia="Arial" w:hAnsi="Arial" w:cs="Arial"/>
          <w:sz w:val="20"/>
          <w:szCs w:val="20"/>
        </w:rPr>
      </w:pPr>
    </w:p>
    <w:p w14:paraId="1767F616" w14:textId="77777777" w:rsidR="00500799" w:rsidRDefault="00EE5FF7">
      <w:pPr>
        <w:tabs>
          <w:tab w:val="left" w:pos="630"/>
        </w:tabs>
        <w:spacing w:after="0"/>
        <w:jc w:val="center"/>
        <w:rPr>
          <w:rFonts w:ascii="Arial" w:eastAsia="Arial" w:hAnsi="Arial" w:cs="Arial"/>
          <w:b/>
          <w:sz w:val="20"/>
          <w:szCs w:val="20"/>
        </w:rPr>
      </w:pPr>
      <w:r>
        <w:rPr>
          <w:rFonts w:ascii="Arial" w:eastAsia="Arial" w:hAnsi="Arial" w:cs="Arial"/>
          <w:noProof/>
          <w:sz w:val="20"/>
          <w:szCs w:val="20"/>
          <w:lang w:val="en-US"/>
        </w:rPr>
        <w:drawing>
          <wp:inline distT="0" distB="0" distL="0" distR="0" wp14:anchorId="2E82DF6D" wp14:editId="6DC2161C">
            <wp:extent cx="5048621" cy="2038638"/>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86BB5" w14:textId="77777777" w:rsidR="00500799" w:rsidRDefault="00EE5FF7">
      <w:pPr>
        <w:spacing w:after="0"/>
        <w:jc w:val="both"/>
        <w:rPr>
          <w:rFonts w:ascii="Arial" w:eastAsia="Arial" w:hAnsi="Arial" w:cs="Arial"/>
          <w:b/>
          <w:color w:val="252525"/>
          <w:sz w:val="20"/>
          <w:szCs w:val="20"/>
        </w:rPr>
      </w:pPr>
      <w:r>
        <w:rPr>
          <w:rFonts w:ascii="Arial" w:eastAsia="Arial" w:hAnsi="Arial" w:cs="Arial"/>
          <w:b/>
          <w:color w:val="252525"/>
          <w:sz w:val="20"/>
          <w:szCs w:val="20"/>
        </w:rPr>
        <w:t xml:space="preserve">Fig-3:  </w:t>
      </w:r>
      <w:r>
        <w:rPr>
          <w:rFonts w:ascii="Arial" w:eastAsia="Arial" w:hAnsi="Arial" w:cs="Arial"/>
          <w:b/>
          <w:sz w:val="20"/>
          <w:szCs w:val="20"/>
        </w:rPr>
        <w:t>Insect infestation of milled kodo millet in different packaging materials during Storage Period</w:t>
      </w:r>
    </w:p>
    <w:p w14:paraId="7D28BDB1" w14:textId="77777777" w:rsidR="00500799" w:rsidRDefault="00500799">
      <w:pPr>
        <w:tabs>
          <w:tab w:val="left" w:pos="630"/>
        </w:tabs>
        <w:spacing w:after="0"/>
        <w:jc w:val="center"/>
        <w:rPr>
          <w:rFonts w:ascii="Arial" w:eastAsia="Arial" w:hAnsi="Arial" w:cs="Arial"/>
          <w:b/>
          <w:sz w:val="20"/>
          <w:szCs w:val="20"/>
        </w:rPr>
      </w:pPr>
    </w:p>
    <w:p w14:paraId="1F021F52" w14:textId="4626954F" w:rsidR="00500799" w:rsidRDefault="00EE5FF7">
      <w:pPr>
        <w:tabs>
          <w:tab w:val="left" w:pos="630"/>
        </w:tabs>
        <w:spacing w:after="120"/>
        <w:rPr>
          <w:rFonts w:ascii="Arial" w:eastAsia="Arial" w:hAnsi="Arial" w:cs="Arial"/>
          <w:b/>
          <w:sz w:val="20"/>
          <w:szCs w:val="20"/>
        </w:rPr>
      </w:pPr>
      <w:r>
        <w:rPr>
          <w:rFonts w:ascii="Arial" w:eastAsia="Arial" w:hAnsi="Arial" w:cs="Arial"/>
          <w:b/>
          <w:sz w:val="20"/>
          <w:szCs w:val="20"/>
        </w:rPr>
        <w:t>Table-</w:t>
      </w:r>
      <w:r w:rsidR="0085278F">
        <w:rPr>
          <w:rFonts w:ascii="Arial" w:eastAsia="Arial" w:hAnsi="Arial" w:cs="Arial"/>
          <w:b/>
          <w:sz w:val="20"/>
          <w:szCs w:val="20"/>
        </w:rPr>
        <w:t>2</w:t>
      </w:r>
      <w:r>
        <w:rPr>
          <w:rFonts w:ascii="Arial" w:eastAsia="Arial" w:hAnsi="Arial" w:cs="Arial"/>
          <w:b/>
          <w:sz w:val="20"/>
          <w:szCs w:val="20"/>
        </w:rPr>
        <w:t xml:space="preserve">: </w:t>
      </w:r>
      <w:proofErr w:type="spellStart"/>
      <w:r>
        <w:rPr>
          <w:rFonts w:ascii="Arial" w:eastAsia="Arial" w:hAnsi="Arial" w:cs="Arial"/>
          <w:b/>
          <w:sz w:val="20"/>
          <w:szCs w:val="20"/>
        </w:rPr>
        <w:t>Physico</w:t>
      </w:r>
      <w:proofErr w:type="spellEnd"/>
      <w:r>
        <w:rPr>
          <w:rFonts w:ascii="Arial" w:eastAsia="Arial" w:hAnsi="Arial" w:cs="Arial"/>
          <w:b/>
          <w:sz w:val="20"/>
          <w:szCs w:val="20"/>
        </w:rPr>
        <w:t>-chemical properties of milled kodo in various packaging materials during storage periods</w:t>
      </w:r>
    </w:p>
    <w:tbl>
      <w:tblPr>
        <w:tblStyle w:val="a4"/>
        <w:tblpPr w:leftFromText="180" w:rightFromText="180" w:vertAnchor="text" w:tblpY="167"/>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299"/>
        <w:gridCol w:w="1098"/>
        <w:gridCol w:w="956"/>
        <w:gridCol w:w="900"/>
        <w:gridCol w:w="810"/>
        <w:gridCol w:w="954"/>
        <w:gridCol w:w="954"/>
        <w:gridCol w:w="1065"/>
      </w:tblGrid>
      <w:tr w:rsidR="00500799" w14:paraId="284B0F03" w14:textId="77777777">
        <w:trPr>
          <w:trHeight w:val="202"/>
        </w:trPr>
        <w:tc>
          <w:tcPr>
            <w:tcW w:w="1075" w:type="dxa"/>
            <w:vMerge w:val="restart"/>
            <w:vAlign w:val="center"/>
          </w:tcPr>
          <w:p w14:paraId="2F78558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Storage Periods</w:t>
            </w:r>
          </w:p>
        </w:tc>
        <w:tc>
          <w:tcPr>
            <w:tcW w:w="1299" w:type="dxa"/>
            <w:vMerge w:val="restart"/>
            <w:vAlign w:val="center"/>
          </w:tcPr>
          <w:p w14:paraId="36769DA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Packaging</w:t>
            </w:r>
          </w:p>
          <w:p w14:paraId="7F8AAF3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material</w:t>
            </w:r>
          </w:p>
        </w:tc>
        <w:tc>
          <w:tcPr>
            <w:tcW w:w="6737" w:type="dxa"/>
            <w:gridSpan w:val="7"/>
            <w:vAlign w:val="center"/>
          </w:tcPr>
          <w:p w14:paraId="0670968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Kodo (Milled)</w:t>
            </w:r>
          </w:p>
        </w:tc>
      </w:tr>
      <w:tr w:rsidR="00500799" w14:paraId="49FA5F24" w14:textId="77777777">
        <w:trPr>
          <w:trHeight w:val="167"/>
        </w:trPr>
        <w:tc>
          <w:tcPr>
            <w:tcW w:w="1075" w:type="dxa"/>
            <w:vMerge/>
            <w:vAlign w:val="center"/>
          </w:tcPr>
          <w:p w14:paraId="628B9D63"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299" w:type="dxa"/>
            <w:vMerge/>
            <w:vAlign w:val="center"/>
          </w:tcPr>
          <w:p w14:paraId="2121BAC1" w14:textId="77777777" w:rsidR="00500799" w:rsidRDefault="00500799">
            <w:pPr>
              <w:widowControl w:val="0"/>
              <w:pBdr>
                <w:top w:val="nil"/>
                <w:left w:val="nil"/>
                <w:bottom w:val="nil"/>
                <w:right w:val="nil"/>
                <w:between w:val="nil"/>
              </w:pBdr>
              <w:spacing w:line="276" w:lineRule="auto"/>
              <w:rPr>
                <w:rFonts w:ascii="Arial" w:eastAsia="Arial" w:hAnsi="Arial" w:cs="Arial"/>
                <w:b/>
                <w:sz w:val="24"/>
                <w:szCs w:val="24"/>
              </w:rPr>
            </w:pPr>
          </w:p>
        </w:tc>
        <w:tc>
          <w:tcPr>
            <w:tcW w:w="1098" w:type="dxa"/>
            <w:vAlign w:val="center"/>
          </w:tcPr>
          <w:p w14:paraId="26064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 xml:space="preserve">Moisture </w:t>
            </w:r>
            <w:r>
              <w:rPr>
                <w:rFonts w:ascii="Arial" w:eastAsia="Arial" w:hAnsi="Arial" w:cs="Arial"/>
                <w:b/>
                <w:sz w:val="20"/>
                <w:szCs w:val="20"/>
              </w:rPr>
              <w:lastRenderedPageBreak/>
              <w:t>(%)</w:t>
            </w:r>
          </w:p>
        </w:tc>
        <w:tc>
          <w:tcPr>
            <w:tcW w:w="956" w:type="dxa"/>
            <w:vAlign w:val="center"/>
          </w:tcPr>
          <w:p w14:paraId="59977DC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 xml:space="preserve">Protein </w:t>
            </w:r>
            <w:r>
              <w:rPr>
                <w:rFonts w:ascii="Arial" w:eastAsia="Arial" w:hAnsi="Arial" w:cs="Arial"/>
                <w:b/>
                <w:sz w:val="20"/>
                <w:szCs w:val="20"/>
              </w:rPr>
              <w:lastRenderedPageBreak/>
              <w:t>(%)</w:t>
            </w:r>
          </w:p>
        </w:tc>
        <w:tc>
          <w:tcPr>
            <w:tcW w:w="900" w:type="dxa"/>
            <w:vAlign w:val="center"/>
          </w:tcPr>
          <w:p w14:paraId="23C0ECE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 xml:space="preserve">Fat/Oil </w:t>
            </w:r>
            <w:r>
              <w:rPr>
                <w:rFonts w:ascii="Arial" w:eastAsia="Arial" w:hAnsi="Arial" w:cs="Arial"/>
                <w:b/>
                <w:sz w:val="20"/>
                <w:szCs w:val="20"/>
              </w:rPr>
              <w:lastRenderedPageBreak/>
              <w:t>(%)</w:t>
            </w:r>
          </w:p>
        </w:tc>
        <w:tc>
          <w:tcPr>
            <w:tcW w:w="810" w:type="dxa"/>
            <w:vAlign w:val="center"/>
          </w:tcPr>
          <w:p w14:paraId="3B4CF07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Fiber</w:t>
            </w:r>
          </w:p>
          <w:p w14:paraId="11B21F4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w:t>
            </w:r>
          </w:p>
        </w:tc>
        <w:tc>
          <w:tcPr>
            <w:tcW w:w="954" w:type="dxa"/>
            <w:vAlign w:val="center"/>
          </w:tcPr>
          <w:p w14:paraId="7966F86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B.D.</w:t>
            </w:r>
          </w:p>
          <w:p w14:paraId="7E53784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954" w:type="dxa"/>
            <w:vAlign w:val="center"/>
          </w:tcPr>
          <w:p w14:paraId="633B24D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 xml:space="preserve">T.D. </w:t>
            </w:r>
            <w:r>
              <w:rPr>
                <w:rFonts w:ascii="Arial" w:eastAsia="Arial" w:hAnsi="Arial" w:cs="Arial"/>
                <w:b/>
                <w:sz w:val="20"/>
                <w:szCs w:val="20"/>
              </w:rPr>
              <w:lastRenderedPageBreak/>
              <w:t>(g/ml</w:t>
            </w:r>
            <w:r>
              <w:rPr>
                <w:rFonts w:ascii="Arial" w:eastAsia="Arial" w:hAnsi="Arial" w:cs="Arial"/>
                <w:b/>
                <w:sz w:val="20"/>
                <w:szCs w:val="20"/>
                <w:vertAlign w:val="superscript"/>
              </w:rPr>
              <w:t>3</w:t>
            </w:r>
            <w:r>
              <w:rPr>
                <w:rFonts w:ascii="Arial" w:eastAsia="Arial" w:hAnsi="Arial" w:cs="Arial"/>
                <w:b/>
                <w:sz w:val="20"/>
                <w:szCs w:val="20"/>
              </w:rPr>
              <w:t xml:space="preserve"> )</w:t>
            </w:r>
          </w:p>
        </w:tc>
        <w:tc>
          <w:tcPr>
            <w:tcW w:w="1065" w:type="dxa"/>
            <w:vAlign w:val="center"/>
          </w:tcPr>
          <w:p w14:paraId="6F02657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 xml:space="preserve">Porosity </w:t>
            </w:r>
            <w:r>
              <w:rPr>
                <w:rFonts w:ascii="Arial" w:eastAsia="Arial" w:hAnsi="Arial" w:cs="Arial"/>
                <w:b/>
                <w:sz w:val="20"/>
                <w:szCs w:val="20"/>
              </w:rPr>
              <w:lastRenderedPageBreak/>
              <w:t>(%)</w:t>
            </w:r>
          </w:p>
        </w:tc>
      </w:tr>
      <w:tr w:rsidR="00500799" w14:paraId="69A6CF35" w14:textId="77777777">
        <w:trPr>
          <w:trHeight w:val="108"/>
        </w:trPr>
        <w:tc>
          <w:tcPr>
            <w:tcW w:w="1075" w:type="dxa"/>
            <w:vMerge w:val="restart"/>
            <w:vAlign w:val="center"/>
          </w:tcPr>
          <w:p w14:paraId="2520B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lastRenderedPageBreak/>
              <w:t>Zero Days</w:t>
            </w:r>
          </w:p>
        </w:tc>
        <w:tc>
          <w:tcPr>
            <w:tcW w:w="1299" w:type="dxa"/>
            <w:vAlign w:val="center"/>
          </w:tcPr>
          <w:p w14:paraId="746BA9A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158B87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8.42</w:t>
            </w:r>
          </w:p>
        </w:tc>
        <w:tc>
          <w:tcPr>
            <w:tcW w:w="956" w:type="dxa"/>
            <w:vAlign w:val="center"/>
          </w:tcPr>
          <w:p w14:paraId="23A8D79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7.79</w:t>
            </w:r>
          </w:p>
        </w:tc>
        <w:tc>
          <w:tcPr>
            <w:tcW w:w="900" w:type="dxa"/>
            <w:vAlign w:val="center"/>
          </w:tcPr>
          <w:p w14:paraId="1F637E1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1.65</w:t>
            </w:r>
          </w:p>
        </w:tc>
        <w:tc>
          <w:tcPr>
            <w:tcW w:w="810" w:type="dxa"/>
            <w:vAlign w:val="center"/>
          </w:tcPr>
          <w:p w14:paraId="46E9281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79B3341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E1883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69332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1C4D47DB" w14:textId="77777777">
        <w:trPr>
          <w:trHeight w:val="242"/>
        </w:trPr>
        <w:tc>
          <w:tcPr>
            <w:tcW w:w="1075" w:type="dxa"/>
            <w:vMerge/>
            <w:vAlign w:val="center"/>
          </w:tcPr>
          <w:p w14:paraId="3F681FBC"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8965653"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5A7A7EA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8.37</w:t>
            </w:r>
          </w:p>
        </w:tc>
        <w:tc>
          <w:tcPr>
            <w:tcW w:w="956" w:type="dxa"/>
            <w:vAlign w:val="center"/>
          </w:tcPr>
          <w:p w14:paraId="28589D1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7.56</w:t>
            </w:r>
          </w:p>
        </w:tc>
        <w:tc>
          <w:tcPr>
            <w:tcW w:w="900" w:type="dxa"/>
            <w:vAlign w:val="center"/>
          </w:tcPr>
          <w:p w14:paraId="6A9024F8"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1.82</w:t>
            </w:r>
          </w:p>
        </w:tc>
        <w:tc>
          <w:tcPr>
            <w:tcW w:w="810" w:type="dxa"/>
            <w:vAlign w:val="center"/>
          </w:tcPr>
          <w:p w14:paraId="36E72A3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D4B5DF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2F5FB7D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061CDCB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29.72</w:t>
            </w:r>
          </w:p>
        </w:tc>
      </w:tr>
      <w:tr w:rsidR="00500799" w14:paraId="48518D5D" w14:textId="77777777">
        <w:trPr>
          <w:trHeight w:val="242"/>
        </w:trPr>
        <w:tc>
          <w:tcPr>
            <w:tcW w:w="1075" w:type="dxa"/>
            <w:vMerge/>
            <w:vAlign w:val="center"/>
          </w:tcPr>
          <w:p w14:paraId="5BCA667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EC8B4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74B8B63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8.28</w:t>
            </w:r>
          </w:p>
        </w:tc>
        <w:tc>
          <w:tcPr>
            <w:tcW w:w="956" w:type="dxa"/>
            <w:vAlign w:val="center"/>
          </w:tcPr>
          <w:p w14:paraId="6D34806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7.38</w:t>
            </w:r>
          </w:p>
        </w:tc>
        <w:tc>
          <w:tcPr>
            <w:tcW w:w="900" w:type="dxa"/>
            <w:vAlign w:val="center"/>
          </w:tcPr>
          <w:p w14:paraId="122ED07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1.96</w:t>
            </w:r>
          </w:p>
        </w:tc>
        <w:tc>
          <w:tcPr>
            <w:tcW w:w="810" w:type="dxa"/>
            <w:vAlign w:val="center"/>
          </w:tcPr>
          <w:p w14:paraId="28FFAE4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73CEE11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629D373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445D3F4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29.78</w:t>
            </w:r>
          </w:p>
        </w:tc>
      </w:tr>
      <w:tr w:rsidR="00500799" w14:paraId="7A6C7529" w14:textId="77777777">
        <w:trPr>
          <w:trHeight w:val="242"/>
        </w:trPr>
        <w:tc>
          <w:tcPr>
            <w:tcW w:w="1075" w:type="dxa"/>
            <w:vMerge/>
            <w:vAlign w:val="center"/>
          </w:tcPr>
          <w:p w14:paraId="7BA90B5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F23F6C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41BFB7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7.68</w:t>
            </w:r>
          </w:p>
        </w:tc>
        <w:tc>
          <w:tcPr>
            <w:tcW w:w="956" w:type="dxa"/>
            <w:vAlign w:val="center"/>
          </w:tcPr>
          <w:p w14:paraId="73015FF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8.03</w:t>
            </w:r>
          </w:p>
        </w:tc>
        <w:tc>
          <w:tcPr>
            <w:tcW w:w="900" w:type="dxa"/>
            <w:vAlign w:val="center"/>
          </w:tcPr>
          <w:p w14:paraId="16CC3DE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1.91</w:t>
            </w:r>
          </w:p>
        </w:tc>
        <w:tc>
          <w:tcPr>
            <w:tcW w:w="810" w:type="dxa"/>
            <w:vAlign w:val="center"/>
          </w:tcPr>
          <w:p w14:paraId="346FD4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4141EA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0.82</w:t>
            </w:r>
          </w:p>
        </w:tc>
        <w:tc>
          <w:tcPr>
            <w:tcW w:w="954" w:type="dxa"/>
            <w:vAlign w:val="bottom"/>
          </w:tcPr>
          <w:p w14:paraId="18CA0F5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c>
          <w:tcPr>
            <w:tcW w:w="1065" w:type="dxa"/>
            <w:vAlign w:val="bottom"/>
          </w:tcPr>
          <w:p w14:paraId="1ABA5C1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29.45</w:t>
            </w:r>
          </w:p>
        </w:tc>
      </w:tr>
      <w:tr w:rsidR="00500799" w14:paraId="2180770A" w14:textId="77777777">
        <w:trPr>
          <w:trHeight w:val="108"/>
        </w:trPr>
        <w:tc>
          <w:tcPr>
            <w:tcW w:w="1075" w:type="dxa"/>
            <w:vMerge/>
            <w:vAlign w:val="center"/>
          </w:tcPr>
          <w:p w14:paraId="2DD7A1A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462466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93303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0.13</w:t>
            </w:r>
          </w:p>
        </w:tc>
        <w:tc>
          <w:tcPr>
            <w:tcW w:w="956" w:type="dxa"/>
            <w:vAlign w:val="center"/>
          </w:tcPr>
          <w:p w14:paraId="052B862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0.13</w:t>
            </w:r>
          </w:p>
        </w:tc>
        <w:tc>
          <w:tcPr>
            <w:tcW w:w="900" w:type="dxa"/>
            <w:vAlign w:val="center"/>
          </w:tcPr>
          <w:p w14:paraId="71C5555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3A67AAA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360B47A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69C889D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4D5DC5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0.34</w:t>
            </w:r>
          </w:p>
        </w:tc>
      </w:tr>
      <w:tr w:rsidR="00500799" w14:paraId="50B44491" w14:textId="77777777">
        <w:trPr>
          <w:trHeight w:val="108"/>
        </w:trPr>
        <w:tc>
          <w:tcPr>
            <w:tcW w:w="1075" w:type="dxa"/>
            <w:vMerge/>
            <w:vAlign w:val="center"/>
          </w:tcPr>
          <w:p w14:paraId="58637A19"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7B4FE526"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4316DB5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0.42</w:t>
            </w:r>
          </w:p>
        </w:tc>
        <w:tc>
          <w:tcPr>
            <w:tcW w:w="956" w:type="dxa"/>
            <w:vAlign w:val="bottom"/>
          </w:tcPr>
          <w:p w14:paraId="5EEA62A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0.43</w:t>
            </w:r>
          </w:p>
        </w:tc>
        <w:tc>
          <w:tcPr>
            <w:tcW w:w="900" w:type="dxa"/>
            <w:vAlign w:val="bottom"/>
          </w:tcPr>
          <w:p w14:paraId="60D7F27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0.08</w:t>
            </w:r>
          </w:p>
        </w:tc>
        <w:tc>
          <w:tcPr>
            <w:tcW w:w="810" w:type="dxa"/>
            <w:vAlign w:val="center"/>
          </w:tcPr>
          <w:p w14:paraId="577DAFD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0BCFF1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437FC4C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17AC86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765ACC9E" w14:textId="77777777">
        <w:trPr>
          <w:trHeight w:val="222"/>
        </w:trPr>
        <w:tc>
          <w:tcPr>
            <w:tcW w:w="1075" w:type="dxa"/>
            <w:vMerge w:val="restart"/>
            <w:vAlign w:val="center"/>
          </w:tcPr>
          <w:p w14:paraId="2EB7563A"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60</w:t>
            </w:r>
          </w:p>
          <w:p w14:paraId="4A73C9F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Days</w:t>
            </w:r>
          </w:p>
        </w:tc>
        <w:tc>
          <w:tcPr>
            <w:tcW w:w="1299" w:type="dxa"/>
            <w:vAlign w:val="center"/>
          </w:tcPr>
          <w:p w14:paraId="5717A28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40C21B4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8.84</w:t>
            </w:r>
          </w:p>
        </w:tc>
        <w:tc>
          <w:tcPr>
            <w:tcW w:w="956" w:type="dxa"/>
            <w:vAlign w:val="center"/>
          </w:tcPr>
          <w:p w14:paraId="719D92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00" w:type="dxa"/>
            <w:vAlign w:val="center"/>
          </w:tcPr>
          <w:p w14:paraId="451CDB1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1.45</w:t>
            </w:r>
          </w:p>
        </w:tc>
        <w:tc>
          <w:tcPr>
            <w:tcW w:w="810" w:type="dxa"/>
            <w:vAlign w:val="center"/>
          </w:tcPr>
          <w:p w14:paraId="7F0DB97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4C91590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7F116E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1.19</w:t>
            </w:r>
          </w:p>
        </w:tc>
        <w:tc>
          <w:tcPr>
            <w:tcW w:w="1065" w:type="dxa"/>
            <w:vAlign w:val="bottom"/>
          </w:tcPr>
          <w:p w14:paraId="5AC298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28.95</w:t>
            </w:r>
          </w:p>
        </w:tc>
      </w:tr>
      <w:tr w:rsidR="00500799" w14:paraId="49C31C02" w14:textId="77777777">
        <w:trPr>
          <w:trHeight w:val="242"/>
        </w:trPr>
        <w:tc>
          <w:tcPr>
            <w:tcW w:w="1075" w:type="dxa"/>
            <w:vMerge/>
            <w:vAlign w:val="center"/>
          </w:tcPr>
          <w:p w14:paraId="1468BE24"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1531E8F"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3CC7FF4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8.79</w:t>
            </w:r>
          </w:p>
        </w:tc>
        <w:tc>
          <w:tcPr>
            <w:tcW w:w="956" w:type="dxa"/>
            <w:vAlign w:val="center"/>
          </w:tcPr>
          <w:p w14:paraId="5F98605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7.47</w:t>
            </w:r>
          </w:p>
        </w:tc>
        <w:tc>
          <w:tcPr>
            <w:tcW w:w="900" w:type="dxa"/>
            <w:vAlign w:val="center"/>
          </w:tcPr>
          <w:p w14:paraId="73B5C4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1.62</w:t>
            </w:r>
          </w:p>
        </w:tc>
        <w:tc>
          <w:tcPr>
            <w:tcW w:w="810" w:type="dxa"/>
            <w:vAlign w:val="center"/>
          </w:tcPr>
          <w:p w14:paraId="1F3B62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9.08</w:t>
            </w:r>
          </w:p>
        </w:tc>
        <w:tc>
          <w:tcPr>
            <w:tcW w:w="954" w:type="dxa"/>
            <w:vAlign w:val="bottom"/>
          </w:tcPr>
          <w:p w14:paraId="4443868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D8D43F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1.21</w:t>
            </w:r>
          </w:p>
        </w:tc>
        <w:tc>
          <w:tcPr>
            <w:tcW w:w="1065" w:type="dxa"/>
            <w:vAlign w:val="bottom"/>
          </w:tcPr>
          <w:p w14:paraId="5F75EAF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28.96</w:t>
            </w:r>
          </w:p>
        </w:tc>
      </w:tr>
      <w:tr w:rsidR="00500799" w14:paraId="7E6021B0" w14:textId="77777777">
        <w:trPr>
          <w:trHeight w:val="242"/>
        </w:trPr>
        <w:tc>
          <w:tcPr>
            <w:tcW w:w="1075" w:type="dxa"/>
            <w:vMerge/>
            <w:vAlign w:val="center"/>
          </w:tcPr>
          <w:p w14:paraId="5D16474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AB849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4AF6F83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8.46</w:t>
            </w:r>
          </w:p>
        </w:tc>
        <w:tc>
          <w:tcPr>
            <w:tcW w:w="956" w:type="dxa"/>
            <w:vAlign w:val="center"/>
          </w:tcPr>
          <w:p w14:paraId="7F9DD1D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7.81</w:t>
            </w:r>
          </w:p>
        </w:tc>
        <w:tc>
          <w:tcPr>
            <w:tcW w:w="900" w:type="dxa"/>
            <w:vAlign w:val="center"/>
          </w:tcPr>
          <w:p w14:paraId="6487055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1.86</w:t>
            </w:r>
          </w:p>
        </w:tc>
        <w:tc>
          <w:tcPr>
            <w:tcW w:w="810" w:type="dxa"/>
            <w:vAlign w:val="center"/>
          </w:tcPr>
          <w:p w14:paraId="2AE56A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8.93</w:t>
            </w:r>
          </w:p>
        </w:tc>
        <w:tc>
          <w:tcPr>
            <w:tcW w:w="954" w:type="dxa"/>
            <w:vAlign w:val="bottom"/>
          </w:tcPr>
          <w:p w14:paraId="3E2E9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B80B2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1.17</w:t>
            </w:r>
          </w:p>
        </w:tc>
        <w:tc>
          <w:tcPr>
            <w:tcW w:w="1065" w:type="dxa"/>
            <w:vAlign w:val="bottom"/>
          </w:tcPr>
          <w:p w14:paraId="335C7E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28.46</w:t>
            </w:r>
          </w:p>
        </w:tc>
      </w:tr>
      <w:tr w:rsidR="00500799" w14:paraId="6DA0395B" w14:textId="77777777">
        <w:trPr>
          <w:trHeight w:val="242"/>
        </w:trPr>
        <w:tc>
          <w:tcPr>
            <w:tcW w:w="1075" w:type="dxa"/>
            <w:vMerge/>
            <w:vAlign w:val="center"/>
          </w:tcPr>
          <w:p w14:paraId="48F94B62"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ECDBE8D"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613F9C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8.05</w:t>
            </w:r>
          </w:p>
        </w:tc>
        <w:tc>
          <w:tcPr>
            <w:tcW w:w="956" w:type="dxa"/>
            <w:vAlign w:val="center"/>
          </w:tcPr>
          <w:p w14:paraId="5762C10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8.02</w:t>
            </w:r>
          </w:p>
        </w:tc>
        <w:tc>
          <w:tcPr>
            <w:tcW w:w="900" w:type="dxa"/>
            <w:vAlign w:val="center"/>
          </w:tcPr>
          <w:p w14:paraId="0294130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2.04</w:t>
            </w:r>
          </w:p>
        </w:tc>
        <w:tc>
          <w:tcPr>
            <w:tcW w:w="810" w:type="dxa"/>
            <w:vAlign w:val="center"/>
          </w:tcPr>
          <w:p w14:paraId="05AB5D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9.88</w:t>
            </w:r>
          </w:p>
        </w:tc>
        <w:tc>
          <w:tcPr>
            <w:tcW w:w="954" w:type="dxa"/>
            <w:vAlign w:val="bottom"/>
          </w:tcPr>
          <w:p w14:paraId="1A2501F9"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18C96DE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1.15</w:t>
            </w:r>
          </w:p>
        </w:tc>
        <w:tc>
          <w:tcPr>
            <w:tcW w:w="1065" w:type="dxa"/>
            <w:vAlign w:val="bottom"/>
          </w:tcPr>
          <w:p w14:paraId="0289702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28.43</w:t>
            </w:r>
          </w:p>
        </w:tc>
      </w:tr>
      <w:tr w:rsidR="00500799" w14:paraId="484D4CBB" w14:textId="77777777">
        <w:trPr>
          <w:trHeight w:val="242"/>
        </w:trPr>
        <w:tc>
          <w:tcPr>
            <w:tcW w:w="1075" w:type="dxa"/>
            <w:vMerge/>
            <w:vAlign w:val="center"/>
          </w:tcPr>
          <w:p w14:paraId="36C54E90"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4A63ABE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6CC587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0.12</w:t>
            </w:r>
          </w:p>
        </w:tc>
        <w:tc>
          <w:tcPr>
            <w:tcW w:w="956" w:type="dxa"/>
            <w:vAlign w:val="center"/>
          </w:tcPr>
          <w:p w14:paraId="70F555E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0.09</w:t>
            </w:r>
          </w:p>
        </w:tc>
        <w:tc>
          <w:tcPr>
            <w:tcW w:w="900" w:type="dxa"/>
            <w:vAlign w:val="center"/>
          </w:tcPr>
          <w:p w14:paraId="0EEE06B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0.03</w:t>
            </w:r>
          </w:p>
        </w:tc>
        <w:tc>
          <w:tcPr>
            <w:tcW w:w="810" w:type="dxa"/>
            <w:vAlign w:val="center"/>
          </w:tcPr>
          <w:p w14:paraId="5C856F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54" w:type="dxa"/>
            <w:vAlign w:val="bottom"/>
          </w:tcPr>
          <w:p w14:paraId="0623CD3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2683681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0.02</w:t>
            </w:r>
          </w:p>
        </w:tc>
        <w:tc>
          <w:tcPr>
            <w:tcW w:w="1065" w:type="dxa"/>
            <w:vAlign w:val="bottom"/>
          </w:tcPr>
          <w:p w14:paraId="1A3D9A1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0.48</w:t>
            </w:r>
          </w:p>
        </w:tc>
      </w:tr>
      <w:tr w:rsidR="00500799" w14:paraId="13818A52" w14:textId="77777777">
        <w:trPr>
          <w:trHeight w:val="242"/>
        </w:trPr>
        <w:tc>
          <w:tcPr>
            <w:tcW w:w="1075" w:type="dxa"/>
            <w:vMerge/>
            <w:vAlign w:val="center"/>
          </w:tcPr>
          <w:p w14:paraId="58857CBF"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140F8AE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335149E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0.40</w:t>
            </w:r>
          </w:p>
        </w:tc>
        <w:tc>
          <w:tcPr>
            <w:tcW w:w="956" w:type="dxa"/>
            <w:vAlign w:val="center"/>
          </w:tcPr>
          <w:p w14:paraId="508D69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0.29</w:t>
            </w:r>
          </w:p>
        </w:tc>
        <w:tc>
          <w:tcPr>
            <w:tcW w:w="900" w:type="dxa"/>
            <w:vAlign w:val="center"/>
          </w:tcPr>
          <w:p w14:paraId="5C05F52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0.08</w:t>
            </w:r>
          </w:p>
        </w:tc>
        <w:tc>
          <w:tcPr>
            <w:tcW w:w="810" w:type="dxa"/>
            <w:vAlign w:val="center"/>
          </w:tcPr>
          <w:p w14:paraId="6B9A591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54" w:type="dxa"/>
            <w:vAlign w:val="bottom"/>
          </w:tcPr>
          <w:p w14:paraId="1B58C09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36E136C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1065" w:type="dxa"/>
            <w:vAlign w:val="bottom"/>
          </w:tcPr>
          <w:p w14:paraId="790017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58E23F78" w14:textId="77777777">
        <w:trPr>
          <w:trHeight w:val="242"/>
        </w:trPr>
        <w:tc>
          <w:tcPr>
            <w:tcW w:w="1075" w:type="dxa"/>
            <w:vMerge w:val="restart"/>
            <w:vAlign w:val="center"/>
          </w:tcPr>
          <w:p w14:paraId="6BA4269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120 Days</w:t>
            </w:r>
          </w:p>
        </w:tc>
        <w:tc>
          <w:tcPr>
            <w:tcW w:w="1299" w:type="dxa"/>
            <w:vAlign w:val="center"/>
          </w:tcPr>
          <w:p w14:paraId="1369F8B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6376D68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9.34</w:t>
            </w:r>
          </w:p>
        </w:tc>
        <w:tc>
          <w:tcPr>
            <w:tcW w:w="956" w:type="dxa"/>
            <w:vAlign w:val="center"/>
          </w:tcPr>
          <w:p w14:paraId="6111ABCC"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8.16</w:t>
            </w:r>
          </w:p>
        </w:tc>
        <w:tc>
          <w:tcPr>
            <w:tcW w:w="900" w:type="dxa"/>
            <w:vAlign w:val="center"/>
          </w:tcPr>
          <w:p w14:paraId="7DF8A35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1.21</w:t>
            </w:r>
          </w:p>
        </w:tc>
        <w:tc>
          <w:tcPr>
            <w:tcW w:w="810" w:type="dxa"/>
            <w:vAlign w:val="center"/>
          </w:tcPr>
          <w:p w14:paraId="46A073C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8.43</w:t>
            </w:r>
          </w:p>
        </w:tc>
        <w:tc>
          <w:tcPr>
            <w:tcW w:w="954" w:type="dxa"/>
            <w:vAlign w:val="bottom"/>
          </w:tcPr>
          <w:p w14:paraId="1486E5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160CEC7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1.16</w:t>
            </w:r>
          </w:p>
        </w:tc>
        <w:tc>
          <w:tcPr>
            <w:tcW w:w="1065" w:type="dxa"/>
            <w:vAlign w:val="bottom"/>
          </w:tcPr>
          <w:p w14:paraId="08D7C66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25.86</w:t>
            </w:r>
          </w:p>
        </w:tc>
      </w:tr>
      <w:tr w:rsidR="00500799" w14:paraId="2E492D72" w14:textId="77777777">
        <w:trPr>
          <w:trHeight w:val="242"/>
        </w:trPr>
        <w:tc>
          <w:tcPr>
            <w:tcW w:w="1075" w:type="dxa"/>
            <w:vMerge/>
            <w:vAlign w:val="center"/>
          </w:tcPr>
          <w:p w14:paraId="7AA9BC53"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CAAC545"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E5ED17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9.27</w:t>
            </w:r>
          </w:p>
        </w:tc>
        <w:tc>
          <w:tcPr>
            <w:tcW w:w="956" w:type="dxa"/>
            <w:vAlign w:val="center"/>
          </w:tcPr>
          <w:p w14:paraId="3697980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8.54</w:t>
            </w:r>
          </w:p>
        </w:tc>
        <w:tc>
          <w:tcPr>
            <w:tcW w:w="900" w:type="dxa"/>
            <w:vAlign w:val="center"/>
          </w:tcPr>
          <w:p w14:paraId="70B11D4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1.14</w:t>
            </w:r>
          </w:p>
        </w:tc>
        <w:tc>
          <w:tcPr>
            <w:tcW w:w="810" w:type="dxa"/>
            <w:vAlign w:val="center"/>
          </w:tcPr>
          <w:p w14:paraId="55BD6F4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9.01</w:t>
            </w:r>
          </w:p>
        </w:tc>
        <w:tc>
          <w:tcPr>
            <w:tcW w:w="954" w:type="dxa"/>
            <w:vAlign w:val="bottom"/>
          </w:tcPr>
          <w:p w14:paraId="5F63F1DB"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1842355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3F04980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26.31</w:t>
            </w:r>
          </w:p>
        </w:tc>
      </w:tr>
      <w:tr w:rsidR="00500799" w14:paraId="1FF8A945" w14:textId="77777777">
        <w:trPr>
          <w:trHeight w:val="242"/>
        </w:trPr>
        <w:tc>
          <w:tcPr>
            <w:tcW w:w="1075" w:type="dxa"/>
            <w:vMerge/>
            <w:vAlign w:val="center"/>
          </w:tcPr>
          <w:p w14:paraId="48612D47"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312E5D7"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17085C4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8.54</w:t>
            </w:r>
          </w:p>
        </w:tc>
        <w:tc>
          <w:tcPr>
            <w:tcW w:w="956" w:type="dxa"/>
            <w:vAlign w:val="center"/>
          </w:tcPr>
          <w:p w14:paraId="36C8A3E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8.44</w:t>
            </w:r>
          </w:p>
        </w:tc>
        <w:tc>
          <w:tcPr>
            <w:tcW w:w="900" w:type="dxa"/>
            <w:vAlign w:val="center"/>
          </w:tcPr>
          <w:p w14:paraId="4A4395E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1.88</w:t>
            </w:r>
          </w:p>
        </w:tc>
        <w:tc>
          <w:tcPr>
            <w:tcW w:w="810" w:type="dxa"/>
            <w:vAlign w:val="center"/>
          </w:tcPr>
          <w:p w14:paraId="1DDB7ED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9.12</w:t>
            </w:r>
          </w:p>
        </w:tc>
        <w:tc>
          <w:tcPr>
            <w:tcW w:w="954" w:type="dxa"/>
            <w:vAlign w:val="bottom"/>
          </w:tcPr>
          <w:p w14:paraId="089EAEF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0.84</w:t>
            </w:r>
          </w:p>
        </w:tc>
        <w:tc>
          <w:tcPr>
            <w:tcW w:w="954" w:type="dxa"/>
            <w:vAlign w:val="bottom"/>
          </w:tcPr>
          <w:p w14:paraId="4AABFD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4325E61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25.66</w:t>
            </w:r>
          </w:p>
        </w:tc>
      </w:tr>
      <w:tr w:rsidR="00500799" w14:paraId="6FED8267" w14:textId="77777777">
        <w:trPr>
          <w:trHeight w:val="242"/>
        </w:trPr>
        <w:tc>
          <w:tcPr>
            <w:tcW w:w="1075" w:type="dxa"/>
            <w:vMerge/>
            <w:vAlign w:val="center"/>
          </w:tcPr>
          <w:p w14:paraId="2182764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2500AD8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260DFA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8.51</w:t>
            </w:r>
          </w:p>
        </w:tc>
        <w:tc>
          <w:tcPr>
            <w:tcW w:w="956" w:type="dxa"/>
            <w:vAlign w:val="center"/>
          </w:tcPr>
          <w:p w14:paraId="0143339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9.51</w:t>
            </w:r>
          </w:p>
        </w:tc>
        <w:tc>
          <w:tcPr>
            <w:tcW w:w="900" w:type="dxa"/>
            <w:vAlign w:val="center"/>
          </w:tcPr>
          <w:p w14:paraId="0A1E036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2.01</w:t>
            </w:r>
          </w:p>
        </w:tc>
        <w:tc>
          <w:tcPr>
            <w:tcW w:w="810" w:type="dxa"/>
            <w:vAlign w:val="center"/>
          </w:tcPr>
          <w:p w14:paraId="3C74D24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68B37638"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47CB401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1.11</w:t>
            </w:r>
          </w:p>
        </w:tc>
        <w:tc>
          <w:tcPr>
            <w:tcW w:w="1065" w:type="dxa"/>
            <w:vAlign w:val="bottom"/>
          </w:tcPr>
          <w:p w14:paraId="5B65EAC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25.25</w:t>
            </w:r>
          </w:p>
        </w:tc>
      </w:tr>
      <w:tr w:rsidR="00500799" w14:paraId="0B162D2F" w14:textId="77777777">
        <w:trPr>
          <w:trHeight w:val="242"/>
        </w:trPr>
        <w:tc>
          <w:tcPr>
            <w:tcW w:w="1075" w:type="dxa"/>
            <w:vMerge/>
            <w:vAlign w:val="center"/>
          </w:tcPr>
          <w:p w14:paraId="05B091A6"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1D033E4"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0B63A09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0.11</w:t>
            </w:r>
          </w:p>
        </w:tc>
        <w:tc>
          <w:tcPr>
            <w:tcW w:w="956" w:type="dxa"/>
            <w:vAlign w:val="center"/>
          </w:tcPr>
          <w:p w14:paraId="0813ECB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F6CDC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0.01</w:t>
            </w:r>
          </w:p>
        </w:tc>
        <w:tc>
          <w:tcPr>
            <w:tcW w:w="810" w:type="dxa"/>
            <w:vAlign w:val="center"/>
          </w:tcPr>
          <w:p w14:paraId="0E58F68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0.15</w:t>
            </w:r>
          </w:p>
        </w:tc>
        <w:tc>
          <w:tcPr>
            <w:tcW w:w="954" w:type="dxa"/>
            <w:vAlign w:val="bottom"/>
          </w:tcPr>
          <w:p w14:paraId="05F5DA5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43C5A11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0FC170E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0.38</w:t>
            </w:r>
          </w:p>
        </w:tc>
      </w:tr>
      <w:tr w:rsidR="00500799" w14:paraId="1F2D27AF" w14:textId="77777777">
        <w:trPr>
          <w:trHeight w:val="242"/>
        </w:trPr>
        <w:tc>
          <w:tcPr>
            <w:tcW w:w="1075" w:type="dxa"/>
            <w:vMerge/>
            <w:vAlign w:val="center"/>
          </w:tcPr>
          <w:p w14:paraId="6CD02BEE"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09322AB9"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w:t>
            </w:r>
            <w:bookmarkStart w:id="0" w:name="_GoBack"/>
            <w:r>
              <w:rPr>
                <w:rFonts w:ascii="Arial" w:eastAsia="Arial" w:hAnsi="Arial" w:cs="Arial"/>
                <w:b/>
                <w:sz w:val="20"/>
                <w:szCs w:val="20"/>
              </w:rPr>
              <w:t>@</w:t>
            </w:r>
            <w:bookmarkEnd w:id="0"/>
            <w:r>
              <w:rPr>
                <w:rFonts w:ascii="Arial" w:eastAsia="Arial" w:hAnsi="Arial" w:cs="Arial"/>
                <w:b/>
                <w:sz w:val="20"/>
                <w:szCs w:val="20"/>
              </w:rPr>
              <w:t xml:space="preserve"> 5%</w:t>
            </w:r>
          </w:p>
        </w:tc>
        <w:tc>
          <w:tcPr>
            <w:tcW w:w="1098" w:type="dxa"/>
            <w:vAlign w:val="bottom"/>
          </w:tcPr>
          <w:p w14:paraId="649DA5F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0.35</w:t>
            </w:r>
          </w:p>
        </w:tc>
        <w:tc>
          <w:tcPr>
            <w:tcW w:w="956" w:type="dxa"/>
            <w:vAlign w:val="center"/>
          </w:tcPr>
          <w:p w14:paraId="0EF5D04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0.39</w:t>
            </w:r>
          </w:p>
        </w:tc>
        <w:tc>
          <w:tcPr>
            <w:tcW w:w="900" w:type="dxa"/>
            <w:vAlign w:val="center"/>
          </w:tcPr>
          <w:p w14:paraId="0742EBF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0.04</w:t>
            </w:r>
          </w:p>
        </w:tc>
        <w:tc>
          <w:tcPr>
            <w:tcW w:w="810" w:type="dxa"/>
            <w:vAlign w:val="center"/>
          </w:tcPr>
          <w:p w14:paraId="2D6305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0.49</w:t>
            </w:r>
          </w:p>
        </w:tc>
        <w:tc>
          <w:tcPr>
            <w:tcW w:w="954" w:type="dxa"/>
            <w:vAlign w:val="bottom"/>
          </w:tcPr>
          <w:p w14:paraId="4AD6BDC4"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2B3ADFD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0CAB356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r>
      <w:tr w:rsidR="00500799" w14:paraId="4DEBCAF6" w14:textId="77777777">
        <w:trPr>
          <w:trHeight w:val="242"/>
        </w:trPr>
        <w:tc>
          <w:tcPr>
            <w:tcW w:w="1075" w:type="dxa"/>
            <w:vMerge w:val="restart"/>
            <w:vAlign w:val="center"/>
          </w:tcPr>
          <w:p w14:paraId="225827F0"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180 Days</w:t>
            </w:r>
          </w:p>
        </w:tc>
        <w:tc>
          <w:tcPr>
            <w:tcW w:w="1299" w:type="dxa"/>
            <w:vAlign w:val="center"/>
          </w:tcPr>
          <w:p w14:paraId="2B00E0FB"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GB</w:t>
            </w:r>
          </w:p>
        </w:tc>
        <w:tc>
          <w:tcPr>
            <w:tcW w:w="1098" w:type="dxa"/>
            <w:vAlign w:val="bottom"/>
          </w:tcPr>
          <w:p w14:paraId="5BC3B8E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9.86</w:t>
            </w:r>
          </w:p>
        </w:tc>
        <w:tc>
          <w:tcPr>
            <w:tcW w:w="956" w:type="dxa"/>
            <w:vAlign w:val="center"/>
          </w:tcPr>
          <w:p w14:paraId="7E9946D6"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7.75</w:t>
            </w:r>
          </w:p>
        </w:tc>
        <w:tc>
          <w:tcPr>
            <w:tcW w:w="900" w:type="dxa"/>
            <w:vAlign w:val="center"/>
          </w:tcPr>
          <w:p w14:paraId="593F8689"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1.11</w:t>
            </w:r>
          </w:p>
        </w:tc>
        <w:tc>
          <w:tcPr>
            <w:tcW w:w="810" w:type="dxa"/>
            <w:vAlign w:val="center"/>
          </w:tcPr>
          <w:p w14:paraId="75192D47"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7.88</w:t>
            </w:r>
          </w:p>
        </w:tc>
        <w:tc>
          <w:tcPr>
            <w:tcW w:w="954" w:type="dxa"/>
            <w:vAlign w:val="bottom"/>
          </w:tcPr>
          <w:p w14:paraId="61EAF22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0.86</w:t>
            </w:r>
          </w:p>
        </w:tc>
        <w:tc>
          <w:tcPr>
            <w:tcW w:w="954" w:type="dxa"/>
            <w:vAlign w:val="bottom"/>
          </w:tcPr>
          <w:p w14:paraId="0D57C73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1.14</w:t>
            </w:r>
          </w:p>
        </w:tc>
        <w:tc>
          <w:tcPr>
            <w:tcW w:w="1065" w:type="dxa"/>
            <w:vAlign w:val="bottom"/>
          </w:tcPr>
          <w:p w14:paraId="7B8239A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24.86</w:t>
            </w:r>
          </w:p>
        </w:tc>
      </w:tr>
      <w:tr w:rsidR="00500799" w14:paraId="3F32BAFF" w14:textId="77777777">
        <w:trPr>
          <w:trHeight w:val="242"/>
        </w:trPr>
        <w:tc>
          <w:tcPr>
            <w:tcW w:w="1075" w:type="dxa"/>
            <w:vMerge/>
            <w:vAlign w:val="center"/>
          </w:tcPr>
          <w:p w14:paraId="69D617D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55E1A41"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LDPE</w:t>
            </w:r>
          </w:p>
        </w:tc>
        <w:tc>
          <w:tcPr>
            <w:tcW w:w="1098" w:type="dxa"/>
            <w:vAlign w:val="bottom"/>
          </w:tcPr>
          <w:p w14:paraId="1622067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9.24</w:t>
            </w:r>
          </w:p>
        </w:tc>
        <w:tc>
          <w:tcPr>
            <w:tcW w:w="956" w:type="dxa"/>
            <w:vAlign w:val="center"/>
          </w:tcPr>
          <w:p w14:paraId="325E7D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8.74</w:t>
            </w:r>
          </w:p>
        </w:tc>
        <w:tc>
          <w:tcPr>
            <w:tcW w:w="900" w:type="dxa"/>
            <w:vAlign w:val="center"/>
          </w:tcPr>
          <w:p w14:paraId="6E141153"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1.32</w:t>
            </w:r>
          </w:p>
        </w:tc>
        <w:tc>
          <w:tcPr>
            <w:tcW w:w="810" w:type="dxa"/>
            <w:vAlign w:val="center"/>
          </w:tcPr>
          <w:p w14:paraId="12E982C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8.71</w:t>
            </w:r>
          </w:p>
        </w:tc>
        <w:tc>
          <w:tcPr>
            <w:tcW w:w="954" w:type="dxa"/>
            <w:vAlign w:val="bottom"/>
          </w:tcPr>
          <w:p w14:paraId="234A0BA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6AAD71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1ADA2E6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24.94</w:t>
            </w:r>
          </w:p>
        </w:tc>
      </w:tr>
      <w:tr w:rsidR="00500799" w14:paraId="5AF7608F" w14:textId="77777777">
        <w:trPr>
          <w:trHeight w:val="242"/>
        </w:trPr>
        <w:tc>
          <w:tcPr>
            <w:tcW w:w="1075" w:type="dxa"/>
            <w:vMerge/>
            <w:vAlign w:val="center"/>
          </w:tcPr>
          <w:p w14:paraId="183CAE78"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6AFDDF4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HDPE</w:t>
            </w:r>
          </w:p>
        </w:tc>
        <w:tc>
          <w:tcPr>
            <w:tcW w:w="1098" w:type="dxa"/>
            <w:vAlign w:val="bottom"/>
          </w:tcPr>
          <w:p w14:paraId="286C5F2C"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8.66</w:t>
            </w:r>
          </w:p>
        </w:tc>
        <w:tc>
          <w:tcPr>
            <w:tcW w:w="956" w:type="dxa"/>
            <w:vAlign w:val="center"/>
          </w:tcPr>
          <w:p w14:paraId="608BD880"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7.89</w:t>
            </w:r>
          </w:p>
        </w:tc>
        <w:tc>
          <w:tcPr>
            <w:tcW w:w="900" w:type="dxa"/>
            <w:vAlign w:val="center"/>
          </w:tcPr>
          <w:p w14:paraId="6FFD8535"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1.78</w:t>
            </w:r>
          </w:p>
        </w:tc>
        <w:tc>
          <w:tcPr>
            <w:tcW w:w="810" w:type="dxa"/>
            <w:vAlign w:val="center"/>
          </w:tcPr>
          <w:p w14:paraId="6BEC32DE"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9.64</w:t>
            </w:r>
          </w:p>
        </w:tc>
        <w:tc>
          <w:tcPr>
            <w:tcW w:w="954" w:type="dxa"/>
            <w:vAlign w:val="bottom"/>
          </w:tcPr>
          <w:p w14:paraId="5F686F26"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0.85</w:t>
            </w:r>
          </w:p>
        </w:tc>
        <w:tc>
          <w:tcPr>
            <w:tcW w:w="954" w:type="dxa"/>
            <w:vAlign w:val="bottom"/>
          </w:tcPr>
          <w:p w14:paraId="447CF26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1.13</w:t>
            </w:r>
          </w:p>
        </w:tc>
        <w:tc>
          <w:tcPr>
            <w:tcW w:w="1065" w:type="dxa"/>
            <w:vAlign w:val="bottom"/>
          </w:tcPr>
          <w:p w14:paraId="086D0F7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24.88</w:t>
            </w:r>
          </w:p>
        </w:tc>
      </w:tr>
      <w:tr w:rsidR="00500799" w14:paraId="0F4F5158" w14:textId="77777777">
        <w:trPr>
          <w:trHeight w:val="242"/>
        </w:trPr>
        <w:tc>
          <w:tcPr>
            <w:tcW w:w="1075" w:type="dxa"/>
            <w:vMerge/>
            <w:vAlign w:val="center"/>
          </w:tcPr>
          <w:p w14:paraId="5F40325A"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CD88FD2"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VP</w:t>
            </w:r>
          </w:p>
        </w:tc>
        <w:tc>
          <w:tcPr>
            <w:tcW w:w="1098" w:type="dxa"/>
            <w:vAlign w:val="bottom"/>
          </w:tcPr>
          <w:p w14:paraId="5B123F0F"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8.76</w:t>
            </w:r>
          </w:p>
        </w:tc>
        <w:tc>
          <w:tcPr>
            <w:tcW w:w="956" w:type="dxa"/>
            <w:vAlign w:val="center"/>
          </w:tcPr>
          <w:p w14:paraId="6609FF2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9.23</w:t>
            </w:r>
          </w:p>
        </w:tc>
        <w:tc>
          <w:tcPr>
            <w:tcW w:w="900" w:type="dxa"/>
            <w:vAlign w:val="center"/>
          </w:tcPr>
          <w:p w14:paraId="288DAFA4"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2.31</w:t>
            </w:r>
          </w:p>
        </w:tc>
        <w:tc>
          <w:tcPr>
            <w:tcW w:w="810" w:type="dxa"/>
            <w:vAlign w:val="center"/>
          </w:tcPr>
          <w:p w14:paraId="5E97FCD2"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9.76</w:t>
            </w:r>
          </w:p>
        </w:tc>
        <w:tc>
          <w:tcPr>
            <w:tcW w:w="954" w:type="dxa"/>
            <w:vAlign w:val="bottom"/>
          </w:tcPr>
          <w:p w14:paraId="07CAE0C1"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0.83</w:t>
            </w:r>
          </w:p>
        </w:tc>
        <w:tc>
          <w:tcPr>
            <w:tcW w:w="954" w:type="dxa"/>
            <w:vAlign w:val="bottom"/>
          </w:tcPr>
          <w:p w14:paraId="0D1D052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1.05</w:t>
            </w:r>
          </w:p>
        </w:tc>
        <w:tc>
          <w:tcPr>
            <w:tcW w:w="1065" w:type="dxa"/>
            <w:vAlign w:val="bottom"/>
          </w:tcPr>
          <w:p w14:paraId="2D5ACBF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26.74</w:t>
            </w:r>
          </w:p>
        </w:tc>
      </w:tr>
      <w:tr w:rsidR="00500799" w14:paraId="1EE613A0" w14:textId="77777777">
        <w:trPr>
          <w:trHeight w:val="242"/>
        </w:trPr>
        <w:tc>
          <w:tcPr>
            <w:tcW w:w="1075" w:type="dxa"/>
            <w:vMerge/>
            <w:vAlign w:val="center"/>
          </w:tcPr>
          <w:p w14:paraId="70F0608D"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50B4FB48"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Sem±</w:t>
            </w:r>
          </w:p>
        </w:tc>
        <w:tc>
          <w:tcPr>
            <w:tcW w:w="1098" w:type="dxa"/>
            <w:vAlign w:val="bottom"/>
          </w:tcPr>
          <w:p w14:paraId="4A18CEF3"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0.15</w:t>
            </w:r>
          </w:p>
        </w:tc>
        <w:tc>
          <w:tcPr>
            <w:tcW w:w="956" w:type="dxa"/>
            <w:vAlign w:val="center"/>
          </w:tcPr>
          <w:p w14:paraId="34C8194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0.12</w:t>
            </w:r>
          </w:p>
        </w:tc>
        <w:tc>
          <w:tcPr>
            <w:tcW w:w="900" w:type="dxa"/>
            <w:vAlign w:val="center"/>
          </w:tcPr>
          <w:p w14:paraId="7B7F23FD"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0.02</w:t>
            </w:r>
          </w:p>
        </w:tc>
        <w:tc>
          <w:tcPr>
            <w:tcW w:w="810" w:type="dxa"/>
            <w:vAlign w:val="center"/>
          </w:tcPr>
          <w:p w14:paraId="5794A7A1"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0.17</w:t>
            </w:r>
          </w:p>
        </w:tc>
        <w:tc>
          <w:tcPr>
            <w:tcW w:w="954" w:type="dxa"/>
            <w:vAlign w:val="bottom"/>
          </w:tcPr>
          <w:p w14:paraId="7CEFBC1A"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954" w:type="dxa"/>
            <w:vAlign w:val="bottom"/>
          </w:tcPr>
          <w:p w14:paraId="141031E0"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0.01</w:t>
            </w:r>
          </w:p>
        </w:tc>
        <w:tc>
          <w:tcPr>
            <w:tcW w:w="1065" w:type="dxa"/>
            <w:vAlign w:val="bottom"/>
          </w:tcPr>
          <w:p w14:paraId="4C561EBD"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0.36</w:t>
            </w:r>
          </w:p>
        </w:tc>
      </w:tr>
      <w:tr w:rsidR="00500799" w14:paraId="22D90252" w14:textId="77777777">
        <w:trPr>
          <w:trHeight w:val="242"/>
        </w:trPr>
        <w:tc>
          <w:tcPr>
            <w:tcW w:w="1075" w:type="dxa"/>
            <w:vMerge/>
            <w:vAlign w:val="center"/>
          </w:tcPr>
          <w:p w14:paraId="7B8BA83B" w14:textId="77777777" w:rsidR="00500799" w:rsidRDefault="00500799">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299" w:type="dxa"/>
            <w:vAlign w:val="center"/>
          </w:tcPr>
          <w:p w14:paraId="37C1C7BC" w14:textId="77777777" w:rsidR="00500799" w:rsidRDefault="00EE5FF7">
            <w:pPr>
              <w:spacing w:line="276" w:lineRule="auto"/>
              <w:jc w:val="center"/>
              <w:rPr>
                <w:rFonts w:ascii="Arial" w:eastAsia="Arial" w:hAnsi="Arial" w:cs="Arial"/>
                <w:b/>
                <w:sz w:val="20"/>
                <w:szCs w:val="20"/>
              </w:rPr>
            </w:pPr>
            <w:r>
              <w:rPr>
                <w:rFonts w:ascii="Arial" w:eastAsia="Arial" w:hAnsi="Arial" w:cs="Arial"/>
                <w:b/>
                <w:sz w:val="20"/>
                <w:szCs w:val="20"/>
              </w:rPr>
              <w:t>CD@ 5%</w:t>
            </w:r>
          </w:p>
        </w:tc>
        <w:tc>
          <w:tcPr>
            <w:tcW w:w="1098" w:type="dxa"/>
            <w:vAlign w:val="bottom"/>
          </w:tcPr>
          <w:p w14:paraId="20184B25"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0.5</w:t>
            </w:r>
          </w:p>
        </w:tc>
        <w:tc>
          <w:tcPr>
            <w:tcW w:w="956" w:type="dxa"/>
            <w:vAlign w:val="center"/>
          </w:tcPr>
          <w:p w14:paraId="5F0787BB"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0.40</w:t>
            </w:r>
          </w:p>
        </w:tc>
        <w:tc>
          <w:tcPr>
            <w:tcW w:w="900" w:type="dxa"/>
            <w:vAlign w:val="center"/>
          </w:tcPr>
          <w:p w14:paraId="3EEF011A"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0.07</w:t>
            </w:r>
          </w:p>
        </w:tc>
        <w:tc>
          <w:tcPr>
            <w:tcW w:w="810" w:type="dxa"/>
            <w:vAlign w:val="center"/>
          </w:tcPr>
          <w:p w14:paraId="720A190F" w14:textId="77777777" w:rsidR="00500799" w:rsidRDefault="00EE5FF7">
            <w:pPr>
              <w:spacing w:line="276" w:lineRule="auto"/>
              <w:jc w:val="center"/>
              <w:rPr>
                <w:rFonts w:ascii="Arial" w:eastAsia="Arial" w:hAnsi="Arial" w:cs="Arial"/>
                <w:sz w:val="20"/>
                <w:szCs w:val="20"/>
              </w:rPr>
            </w:pPr>
            <w:r>
              <w:rPr>
                <w:rFonts w:ascii="Arial" w:eastAsia="Arial" w:hAnsi="Arial" w:cs="Arial"/>
                <w:sz w:val="20"/>
                <w:szCs w:val="20"/>
              </w:rPr>
              <w:t>0.57</w:t>
            </w:r>
          </w:p>
        </w:tc>
        <w:tc>
          <w:tcPr>
            <w:tcW w:w="954" w:type="dxa"/>
            <w:vAlign w:val="bottom"/>
          </w:tcPr>
          <w:p w14:paraId="087053C2"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NS</w:t>
            </w:r>
          </w:p>
        </w:tc>
        <w:tc>
          <w:tcPr>
            <w:tcW w:w="954" w:type="dxa"/>
            <w:vAlign w:val="bottom"/>
          </w:tcPr>
          <w:p w14:paraId="5849DDF7"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0.03</w:t>
            </w:r>
          </w:p>
        </w:tc>
        <w:tc>
          <w:tcPr>
            <w:tcW w:w="1065" w:type="dxa"/>
            <w:vAlign w:val="bottom"/>
          </w:tcPr>
          <w:p w14:paraId="24D5382E" w14:textId="77777777" w:rsidR="00500799" w:rsidRDefault="00EE5FF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1.18</w:t>
            </w:r>
          </w:p>
        </w:tc>
      </w:tr>
    </w:tbl>
    <w:p w14:paraId="7A3AD3CF" w14:textId="77777777" w:rsidR="00500799" w:rsidRDefault="00500799">
      <w:pPr>
        <w:tabs>
          <w:tab w:val="left" w:pos="630"/>
        </w:tabs>
        <w:spacing w:after="0"/>
        <w:jc w:val="both"/>
        <w:rPr>
          <w:rFonts w:ascii="Arial" w:eastAsia="Arial" w:hAnsi="Arial" w:cs="Arial"/>
          <w:b/>
          <w:sz w:val="24"/>
          <w:szCs w:val="24"/>
        </w:rPr>
      </w:pPr>
    </w:p>
    <w:p w14:paraId="3DDCAC1A" w14:textId="77777777" w:rsidR="00500799" w:rsidRDefault="00500799">
      <w:pPr>
        <w:tabs>
          <w:tab w:val="left" w:pos="630"/>
        </w:tabs>
        <w:spacing w:after="0"/>
        <w:jc w:val="both"/>
        <w:rPr>
          <w:rFonts w:ascii="Arial" w:eastAsia="Arial" w:hAnsi="Arial" w:cs="Arial"/>
          <w:b/>
          <w:sz w:val="24"/>
          <w:szCs w:val="24"/>
        </w:rPr>
      </w:pPr>
    </w:p>
    <w:p w14:paraId="55C33DAE" w14:textId="77777777" w:rsidR="00500799" w:rsidRDefault="00500799">
      <w:pPr>
        <w:spacing w:after="0"/>
        <w:rPr>
          <w:rFonts w:ascii="Arial" w:eastAsia="Arial" w:hAnsi="Arial" w:cs="Arial"/>
          <w:b/>
          <w:color w:val="000000"/>
          <w:sz w:val="24"/>
          <w:szCs w:val="24"/>
        </w:rPr>
      </w:pPr>
    </w:p>
    <w:p w14:paraId="3E222D0E" w14:textId="77777777" w:rsidR="00500799" w:rsidRDefault="00500799">
      <w:pPr>
        <w:spacing w:after="0"/>
        <w:rPr>
          <w:rFonts w:ascii="Arial" w:eastAsia="Arial" w:hAnsi="Arial" w:cs="Arial"/>
          <w:b/>
          <w:color w:val="000000"/>
          <w:sz w:val="24"/>
          <w:szCs w:val="24"/>
        </w:rPr>
      </w:pPr>
    </w:p>
    <w:p w14:paraId="40273AB1" w14:textId="77777777" w:rsidR="00500799" w:rsidRDefault="00500799">
      <w:pPr>
        <w:spacing w:after="0"/>
        <w:rPr>
          <w:rFonts w:ascii="Arial" w:eastAsia="Arial" w:hAnsi="Arial" w:cs="Arial"/>
          <w:b/>
          <w:color w:val="000000"/>
          <w:sz w:val="24"/>
          <w:szCs w:val="24"/>
        </w:rPr>
      </w:pPr>
    </w:p>
    <w:p w14:paraId="3C037284" w14:textId="77777777" w:rsidR="00500799" w:rsidRDefault="00500799">
      <w:pPr>
        <w:spacing w:after="0"/>
        <w:rPr>
          <w:rFonts w:ascii="Arial" w:eastAsia="Arial" w:hAnsi="Arial" w:cs="Arial"/>
          <w:b/>
          <w:sz w:val="24"/>
          <w:szCs w:val="24"/>
        </w:rPr>
      </w:pPr>
    </w:p>
    <w:p w14:paraId="6B4D001A" w14:textId="77777777" w:rsidR="00500799" w:rsidRDefault="00500799">
      <w:pPr>
        <w:spacing w:after="0"/>
        <w:rPr>
          <w:rFonts w:ascii="Arial" w:eastAsia="Arial" w:hAnsi="Arial" w:cs="Arial"/>
          <w:b/>
          <w:sz w:val="24"/>
          <w:szCs w:val="24"/>
        </w:rPr>
      </w:pPr>
    </w:p>
    <w:p w14:paraId="0409D099" w14:textId="77777777" w:rsidR="00500799" w:rsidRDefault="00500799">
      <w:pPr>
        <w:spacing w:after="0"/>
        <w:rPr>
          <w:rFonts w:ascii="Arial" w:eastAsia="Arial" w:hAnsi="Arial" w:cs="Arial"/>
          <w:b/>
          <w:sz w:val="24"/>
          <w:szCs w:val="24"/>
        </w:rPr>
      </w:pPr>
    </w:p>
    <w:p w14:paraId="07942779" w14:textId="77777777" w:rsidR="00500799" w:rsidRDefault="00500799">
      <w:pPr>
        <w:spacing w:after="0"/>
        <w:rPr>
          <w:rFonts w:ascii="Arial" w:eastAsia="Arial" w:hAnsi="Arial" w:cs="Arial"/>
          <w:b/>
          <w:sz w:val="24"/>
          <w:szCs w:val="24"/>
        </w:rPr>
      </w:pPr>
    </w:p>
    <w:p w14:paraId="59BAEEAC" w14:textId="77777777" w:rsidR="00500799" w:rsidRDefault="00EE5FF7">
      <w:pPr>
        <w:spacing w:after="0"/>
        <w:rPr>
          <w:rFonts w:ascii="Arial" w:eastAsia="Arial" w:hAnsi="Arial" w:cs="Arial"/>
          <w:color w:val="000000"/>
          <w:sz w:val="24"/>
          <w:szCs w:val="24"/>
        </w:rPr>
      </w:pPr>
      <w:r>
        <w:rPr>
          <w:rFonts w:ascii="Arial" w:eastAsia="Arial" w:hAnsi="Arial" w:cs="Arial"/>
          <w:b/>
          <w:sz w:val="24"/>
          <w:szCs w:val="24"/>
        </w:rPr>
        <w:t xml:space="preserve">3. </w:t>
      </w:r>
      <w:r>
        <w:rPr>
          <w:rFonts w:ascii="Arial" w:eastAsia="Arial" w:hAnsi="Arial" w:cs="Arial"/>
          <w:b/>
          <w:color w:val="000000"/>
          <w:sz w:val="24"/>
          <w:szCs w:val="24"/>
        </w:rPr>
        <w:t xml:space="preserve">Results and Discussion </w:t>
      </w:r>
    </w:p>
    <w:p w14:paraId="736332A5" w14:textId="77777777" w:rsidR="00500799" w:rsidRDefault="00EE5FF7">
      <w:pPr>
        <w:ind w:firstLine="720"/>
        <w:jc w:val="both"/>
        <w:rPr>
          <w:rFonts w:ascii="Arial" w:eastAsia="Arial" w:hAnsi="Arial" w:cs="Arial"/>
          <w:b/>
          <w:sz w:val="20"/>
          <w:szCs w:val="20"/>
        </w:rPr>
      </w:pPr>
      <w:r>
        <w:rPr>
          <w:rFonts w:ascii="Arial" w:eastAsia="Arial" w:hAnsi="Arial" w:cs="Arial"/>
          <w:color w:val="000000"/>
          <w:sz w:val="20"/>
          <w:szCs w:val="20"/>
        </w:rPr>
        <w:t xml:space="preserve">Present investigation deals with the results obtained for various physical and biochemical properties and insect infestation of </w:t>
      </w:r>
      <w:proofErr w:type="spellStart"/>
      <w:r>
        <w:rPr>
          <w:rFonts w:ascii="Arial" w:eastAsia="Arial" w:hAnsi="Arial" w:cs="Arial"/>
          <w:color w:val="000000"/>
          <w:sz w:val="20"/>
          <w:szCs w:val="20"/>
        </w:rPr>
        <w:t>dehusked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kodo</w:t>
      </w:r>
      <w:proofErr w:type="spellEnd"/>
      <w:r>
        <w:rPr>
          <w:rFonts w:ascii="Arial" w:eastAsia="Arial" w:hAnsi="Arial" w:cs="Arial"/>
          <w:color w:val="000000"/>
          <w:sz w:val="20"/>
          <w:szCs w:val="20"/>
        </w:rPr>
        <w:t xml:space="preserve"> millet and it also includes the results of </w:t>
      </w:r>
      <w:r>
        <w:rPr>
          <w:rFonts w:ascii="Arial" w:eastAsia="Arial" w:hAnsi="Arial" w:cs="Arial"/>
          <w:sz w:val="20"/>
          <w:szCs w:val="20"/>
        </w:rPr>
        <w:t>experiments</w:t>
      </w:r>
      <w:r>
        <w:rPr>
          <w:rFonts w:ascii="Arial" w:eastAsia="Arial" w:hAnsi="Arial" w:cs="Arial"/>
          <w:color w:val="000000"/>
          <w:sz w:val="20"/>
          <w:szCs w:val="20"/>
        </w:rPr>
        <w:t xml:space="preserve"> conducted to investigate the effect of different packaging materials on shelf-life of </w:t>
      </w:r>
      <w:proofErr w:type="spellStart"/>
      <w:r>
        <w:rPr>
          <w:rFonts w:ascii="Arial" w:eastAsia="Arial" w:hAnsi="Arial" w:cs="Arial"/>
          <w:color w:val="000000"/>
          <w:sz w:val="20"/>
          <w:szCs w:val="20"/>
        </w:rPr>
        <w:t>dehusked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kodo</w:t>
      </w:r>
      <w:proofErr w:type="spellEnd"/>
      <w:r>
        <w:rPr>
          <w:rFonts w:ascii="Arial" w:eastAsia="Arial" w:hAnsi="Arial" w:cs="Arial"/>
          <w:color w:val="000000"/>
          <w:sz w:val="20"/>
          <w:szCs w:val="20"/>
        </w:rPr>
        <w:t xml:space="preserve"> millet.</w:t>
      </w:r>
    </w:p>
    <w:p w14:paraId="3F9ACEF0" w14:textId="77777777" w:rsidR="00500799" w:rsidRDefault="00EE5FF7">
      <w:pPr>
        <w:pBdr>
          <w:top w:val="nil"/>
          <w:left w:val="nil"/>
          <w:bottom w:val="nil"/>
          <w:right w:val="nil"/>
          <w:between w:val="nil"/>
        </w:pBdr>
        <w:spacing w:after="0"/>
        <w:jc w:val="both"/>
        <w:rPr>
          <w:rFonts w:ascii="Arial" w:eastAsia="Arial" w:hAnsi="Arial" w:cs="Arial"/>
          <w:b/>
          <w:sz w:val="18"/>
          <w:szCs w:val="18"/>
        </w:rPr>
      </w:pPr>
      <w:r>
        <w:rPr>
          <w:rFonts w:ascii="Arial" w:eastAsia="Arial" w:hAnsi="Arial" w:cs="Arial"/>
          <w:b/>
          <w:color w:val="000000"/>
        </w:rPr>
        <w:t xml:space="preserve">Insect infestation of milled kodo millet during </w:t>
      </w:r>
      <w:r>
        <w:rPr>
          <w:rFonts w:ascii="Arial" w:eastAsia="Arial" w:hAnsi="Arial" w:cs="Arial"/>
          <w:b/>
          <w:color w:val="252525"/>
        </w:rPr>
        <w:t>storage periods with various packaging materials</w:t>
      </w:r>
    </w:p>
    <w:p w14:paraId="3101B5B7" w14:textId="77777777" w:rsidR="00500799" w:rsidRDefault="00EE5FF7">
      <w:pPr>
        <w:pBdr>
          <w:top w:val="nil"/>
          <w:left w:val="nil"/>
          <w:bottom w:val="nil"/>
          <w:right w:val="nil"/>
          <w:between w:val="nil"/>
        </w:pBdr>
        <w:spacing w:after="0"/>
        <w:ind w:firstLine="720"/>
        <w:jc w:val="both"/>
        <w:rPr>
          <w:rFonts w:ascii="Arial" w:eastAsia="Arial" w:hAnsi="Arial" w:cs="Arial"/>
          <w:color w:val="252525"/>
          <w:sz w:val="20"/>
          <w:szCs w:val="20"/>
        </w:rPr>
      </w:pPr>
      <w:r>
        <w:rPr>
          <w:rFonts w:ascii="Arial" w:eastAsia="Arial" w:hAnsi="Arial" w:cs="Arial"/>
          <w:color w:val="252525"/>
          <w:sz w:val="20"/>
          <w:szCs w:val="20"/>
        </w:rPr>
        <w:t>Table (2) compares the results of the effects of different packaging materials on insect infestation in various milled kodo millets during the storage period.</w:t>
      </w:r>
    </w:p>
    <w:p w14:paraId="29A4EFDE" w14:textId="77777777" w:rsidR="00500799" w:rsidRDefault="00EE5FF7">
      <w:pPr>
        <w:pBdr>
          <w:top w:val="nil"/>
          <w:left w:val="nil"/>
          <w:bottom w:val="nil"/>
          <w:right w:val="nil"/>
          <w:between w:val="nil"/>
        </w:pBdr>
        <w:spacing w:after="0"/>
        <w:jc w:val="both"/>
        <w:rPr>
          <w:rFonts w:ascii="Arial" w:eastAsia="Arial" w:hAnsi="Arial" w:cs="Arial"/>
          <w:color w:val="252525"/>
          <w:sz w:val="20"/>
          <w:szCs w:val="20"/>
        </w:rPr>
      </w:pPr>
      <w:r>
        <w:rPr>
          <w:rFonts w:ascii="Arial" w:eastAsia="Arial" w:hAnsi="Arial" w:cs="Arial"/>
          <w:color w:val="252525"/>
          <w:sz w:val="20"/>
          <w:szCs w:val="20"/>
        </w:rPr>
        <w:t xml:space="preserve">The insect infestation of milled kodo packed in a gunny bag, LDPE, HDPE, and vacuumed varied from 7-83, 6-43, 7-18, and zero number of insects at 0, 30, 60, 90, and 180 days of storage, respectively (Table 2). The maximum number of insects was found (83) in gunny bag storage milled kodo samples at 180 </w:t>
      </w:r>
      <w:r>
        <w:rPr>
          <w:rFonts w:ascii="Arial" w:eastAsia="Arial" w:hAnsi="Arial" w:cs="Arial"/>
          <w:color w:val="252525"/>
          <w:sz w:val="20"/>
          <w:szCs w:val="20"/>
        </w:rPr>
        <w:lastRenderedPageBreak/>
        <w:t>days, while vacuum packed samples showed a nil number of insects. The analysis of the variance table indicates that the F-ratio of the model was lower as compared with the table value of 5%% level of significance. There was no significant difference among the different treatments observed for insect infestation of milled kodo.</w:t>
      </w:r>
    </w:p>
    <w:p w14:paraId="3792EEF1"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1AE55E7B"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Physical properties of milled kodo millet during storage periods with different packaging materials</w:t>
      </w:r>
    </w:p>
    <w:p w14:paraId="6C6660BC"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3.1 Bulk density:</w:t>
      </w:r>
    </w:p>
    <w:p w14:paraId="2E99F426" w14:textId="77777777"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The mean value of milled kodo compared the result of the effect of different packaging materials on Bulk Density (g/ml3) packed in various packaging materials and stored for varying storage periods. The Bulk Density of milled kodo packed in Gunny bags, LDPE, HDPE, and vacuumed packs varied from 0.85-0.82, 0.85-0.83, 0.86-0.83, and 0.86-0.83 at 0, 60, 120, and 180 days of storage, respectively (Table 3). The F-ratio is less than the indicated value at the 5% level of significance, according to the analysis of variance table. Regarding milled kodo, there was no obvious distinction between the various treatments.</w:t>
      </w:r>
    </w:p>
    <w:p w14:paraId="6338265A" w14:textId="77777777" w:rsidR="00500799" w:rsidRDefault="00EE5FF7">
      <w:pPr>
        <w:spacing w:before="280" w:after="280"/>
        <w:jc w:val="both"/>
        <w:rPr>
          <w:rFonts w:ascii="Arial" w:eastAsia="Arial" w:hAnsi="Arial" w:cs="Arial"/>
          <w:b/>
          <w:color w:val="252525"/>
        </w:rPr>
      </w:pPr>
      <w:r>
        <w:rPr>
          <w:rFonts w:ascii="Arial" w:eastAsia="Arial" w:hAnsi="Arial" w:cs="Arial"/>
          <w:b/>
          <w:color w:val="252525"/>
        </w:rPr>
        <w:t>3.2 True density:</w:t>
      </w:r>
    </w:p>
    <w:p w14:paraId="7C242EA5" w14:textId="77777777" w:rsidR="00500799" w:rsidRDefault="00EE5FF7">
      <w:pPr>
        <w:spacing w:before="280" w:after="280"/>
        <w:ind w:firstLine="720"/>
        <w:jc w:val="both"/>
        <w:rPr>
          <w:rFonts w:ascii="Arial" w:eastAsia="Arial" w:hAnsi="Arial" w:cs="Arial"/>
          <w:b/>
          <w:color w:val="252525"/>
          <w:sz w:val="20"/>
          <w:szCs w:val="20"/>
        </w:rPr>
      </w:pPr>
      <w:r>
        <w:rPr>
          <w:rFonts w:ascii="Arial" w:eastAsia="Arial" w:hAnsi="Arial" w:cs="Arial"/>
          <w:color w:val="252525"/>
          <w:sz w:val="20"/>
          <w:szCs w:val="20"/>
        </w:rPr>
        <w:t>Table (3) compares the results of the effects of different packaging materials on the true density (g/ml3) of various milled kodo millets during storage studies.</w:t>
      </w:r>
    </w:p>
    <w:p w14:paraId="131E7BFC" w14:textId="77777777" w:rsidR="00500799" w:rsidRDefault="00EE5FF7">
      <w:pPr>
        <w:spacing w:before="280" w:after="280"/>
        <w:ind w:firstLine="720"/>
        <w:jc w:val="both"/>
        <w:rPr>
          <w:rFonts w:ascii="Arial" w:eastAsia="Arial" w:hAnsi="Arial" w:cs="Arial"/>
          <w:color w:val="252525"/>
          <w:sz w:val="20"/>
          <w:szCs w:val="20"/>
        </w:rPr>
      </w:pPr>
      <w:r>
        <w:rPr>
          <w:rFonts w:ascii="Arial" w:eastAsia="Arial" w:hAnsi="Arial" w:cs="Arial"/>
          <w:color w:val="252525"/>
          <w:sz w:val="20"/>
          <w:szCs w:val="20"/>
        </w:rPr>
        <w:t>The True density of milled kodo packed in gunny bags, LDPE, HDPE, and vacuumed varied from 1.21-1.18, 1.19-1.15, 1.16-1.1, and 14-1.05 at 0, 30, 60, 90, and 180 days of storage, respectively. The maximum True density was found (2.21) in the gunny bag at zero-day storage, while the minimum True density was found (1.05) for the vacuumed pack at 180-day storage. The analysis of the variance table indicates that the F-ratio of the model was lower as compared with the table value of 5%% level of significance. There was no significant difference among the different treatments observed for the True density of 0, 60, and 60 days sored in GB, LDPE, HDPE, and VP, respectively. Whereas significant effects were found in GB, LDPE, HDPE, and VP at 120 and 180 day storage periods,</w:t>
      </w:r>
    </w:p>
    <w:p w14:paraId="138738C2" w14:textId="77777777" w:rsidR="00500799" w:rsidRDefault="00EE5FF7">
      <w:pPr>
        <w:spacing w:after="0"/>
        <w:jc w:val="both"/>
        <w:rPr>
          <w:rFonts w:ascii="Arial" w:eastAsia="Arial" w:hAnsi="Arial" w:cs="Arial"/>
          <w:b/>
          <w:color w:val="252525"/>
        </w:rPr>
      </w:pPr>
      <w:r>
        <w:rPr>
          <w:rFonts w:ascii="Arial" w:eastAsia="Arial" w:hAnsi="Arial" w:cs="Arial"/>
          <w:b/>
          <w:color w:val="252525"/>
        </w:rPr>
        <w:t>3.3 Porosity:</w:t>
      </w:r>
    </w:p>
    <w:p w14:paraId="45992585" w14:textId="77777777" w:rsidR="00500799" w:rsidRDefault="00EE5FF7">
      <w:pPr>
        <w:spacing w:after="0"/>
        <w:ind w:firstLine="720"/>
        <w:jc w:val="both"/>
        <w:rPr>
          <w:rFonts w:ascii="Arial" w:eastAsia="Arial" w:hAnsi="Arial" w:cs="Arial"/>
          <w:color w:val="252525"/>
          <w:sz w:val="20"/>
          <w:szCs w:val="20"/>
        </w:rPr>
      </w:pPr>
      <w:r>
        <w:rPr>
          <w:rFonts w:ascii="Arial" w:eastAsia="Arial" w:hAnsi="Arial" w:cs="Arial"/>
          <w:color w:val="252525"/>
          <w:sz w:val="20"/>
          <w:szCs w:val="20"/>
        </w:rPr>
        <w:t xml:space="preserve">The mean value of milled kodo compared the result of the effect of different packaging materials on Porosity (%) packed in various packaging materials and stored for different storage periods. The Porosity (%) of milled kodo packed in Gunny bags, LDPE, HDPE, and vacuumed packs varied from 28.96–29.45, 28.95–28.83, 25.86–25.25, and 24.86–26.74 at 0, 60, 120, and 180 days of storage, respectively (Table 3). The higher value of porosity (%) was observed (31.42) in GB samples at 0 days of storage, while the lower value was found (29.07) at 180 days of storage for VP. The F-ratio is less than the indicated value at the 5% level of significance, observed at 120 and 180 days of storage, according to the analysis of variance table. Regarding the 0, 60, and 90 days of stored milled kodo in different packaging, there was no obvious distinction between the various treatments. A similar finding was observed by </w:t>
      </w:r>
      <w:proofErr w:type="spellStart"/>
      <w:r>
        <w:rPr>
          <w:rFonts w:ascii="Arial" w:eastAsia="Arial" w:hAnsi="Arial" w:cs="Arial"/>
          <w:color w:val="252525"/>
          <w:sz w:val="20"/>
          <w:szCs w:val="20"/>
        </w:rPr>
        <w:t>pooran</w:t>
      </w:r>
      <w:proofErr w:type="spellEnd"/>
      <w:r>
        <w:rPr>
          <w:rFonts w:ascii="Arial" w:eastAsia="Arial" w:hAnsi="Arial" w:cs="Arial"/>
          <w:color w:val="252525"/>
          <w:sz w:val="20"/>
          <w:szCs w:val="20"/>
        </w:rPr>
        <w:t xml:space="preserve"> </w:t>
      </w:r>
      <w:proofErr w:type="spellStart"/>
      <w:r>
        <w:rPr>
          <w:rFonts w:ascii="Arial" w:eastAsia="Arial" w:hAnsi="Arial" w:cs="Arial"/>
          <w:color w:val="252525"/>
          <w:sz w:val="20"/>
          <w:szCs w:val="20"/>
        </w:rPr>
        <w:t>pragya</w:t>
      </w:r>
      <w:proofErr w:type="spellEnd"/>
      <w:r>
        <w:rPr>
          <w:rFonts w:ascii="Arial" w:eastAsia="Arial" w:hAnsi="Arial" w:cs="Arial"/>
          <w:color w:val="252525"/>
          <w:sz w:val="20"/>
          <w:szCs w:val="20"/>
        </w:rPr>
        <w:t xml:space="preserve">, </w:t>
      </w:r>
      <w:r>
        <w:rPr>
          <w:rFonts w:ascii="Arial" w:eastAsia="Arial" w:hAnsi="Arial" w:cs="Arial"/>
          <w:i/>
          <w:color w:val="252525"/>
          <w:sz w:val="20"/>
          <w:szCs w:val="20"/>
        </w:rPr>
        <w:t>et al.</w:t>
      </w:r>
      <w:r>
        <w:rPr>
          <w:rFonts w:ascii="Arial" w:eastAsia="Arial" w:hAnsi="Arial" w:cs="Arial"/>
          <w:color w:val="252525"/>
          <w:sz w:val="20"/>
          <w:szCs w:val="20"/>
        </w:rPr>
        <w:t xml:space="preserve">  (2018) and Subramanian</w:t>
      </w:r>
      <w:r>
        <w:rPr>
          <w:rFonts w:ascii="Arial" w:eastAsia="Arial" w:hAnsi="Arial" w:cs="Arial"/>
          <w:i/>
          <w:color w:val="252525"/>
          <w:sz w:val="20"/>
          <w:szCs w:val="20"/>
        </w:rPr>
        <w:t>, et al.</w:t>
      </w:r>
      <w:r>
        <w:rPr>
          <w:rFonts w:ascii="Arial" w:eastAsia="Arial" w:hAnsi="Arial" w:cs="Arial"/>
          <w:color w:val="252525"/>
          <w:sz w:val="20"/>
          <w:szCs w:val="20"/>
        </w:rPr>
        <w:t xml:space="preserve"> (2007)</w:t>
      </w:r>
    </w:p>
    <w:p w14:paraId="1F413E41" w14:textId="77777777" w:rsidR="00500799" w:rsidRDefault="00EE5FF7">
      <w:pPr>
        <w:pBdr>
          <w:top w:val="nil"/>
          <w:left w:val="nil"/>
          <w:bottom w:val="nil"/>
          <w:right w:val="nil"/>
          <w:between w:val="nil"/>
        </w:pBdr>
        <w:spacing w:after="0"/>
        <w:jc w:val="both"/>
        <w:rPr>
          <w:rFonts w:ascii="Arial" w:eastAsia="Arial" w:hAnsi="Arial" w:cs="Arial"/>
          <w:b/>
          <w:color w:val="252525"/>
        </w:rPr>
      </w:pPr>
      <w:r>
        <w:rPr>
          <w:rFonts w:ascii="Arial" w:eastAsia="Arial" w:hAnsi="Arial" w:cs="Arial"/>
          <w:b/>
          <w:color w:val="252525"/>
        </w:rPr>
        <w:t>Biochemical properties of milled kodo millet during storage periods with different packaging materials</w:t>
      </w:r>
    </w:p>
    <w:p w14:paraId="24FDFC69" w14:textId="77777777" w:rsidR="00500799" w:rsidRDefault="00500799">
      <w:pPr>
        <w:pBdr>
          <w:top w:val="nil"/>
          <w:left w:val="nil"/>
          <w:bottom w:val="nil"/>
          <w:right w:val="nil"/>
          <w:between w:val="nil"/>
        </w:pBdr>
        <w:spacing w:after="0"/>
        <w:jc w:val="both"/>
        <w:rPr>
          <w:rFonts w:ascii="Arial" w:eastAsia="Arial" w:hAnsi="Arial" w:cs="Arial"/>
          <w:b/>
          <w:color w:val="252525"/>
          <w:sz w:val="24"/>
          <w:szCs w:val="24"/>
        </w:rPr>
      </w:pPr>
    </w:p>
    <w:p w14:paraId="3EC915D8" w14:textId="77777777" w:rsidR="00500799" w:rsidRDefault="00EE5FF7">
      <w:pPr>
        <w:spacing w:after="0"/>
        <w:jc w:val="both"/>
        <w:rPr>
          <w:rFonts w:ascii="Arial" w:eastAsia="Arial" w:hAnsi="Arial" w:cs="Arial"/>
          <w:color w:val="252525"/>
        </w:rPr>
      </w:pPr>
      <w:r>
        <w:rPr>
          <w:rFonts w:ascii="Arial" w:eastAsia="Arial" w:hAnsi="Arial" w:cs="Arial"/>
          <w:b/>
          <w:color w:val="252525"/>
        </w:rPr>
        <w:t>3.4 Moisture</w:t>
      </w:r>
    </w:p>
    <w:p w14:paraId="4357E72B"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4"/>
          <w:szCs w:val="24"/>
        </w:rPr>
        <w:lastRenderedPageBreak/>
        <w:tab/>
      </w:r>
      <w:r>
        <w:rPr>
          <w:rFonts w:ascii="Arial" w:eastAsia="Arial" w:hAnsi="Arial" w:cs="Arial"/>
          <w:color w:val="252525"/>
          <w:sz w:val="20"/>
          <w:szCs w:val="20"/>
        </w:rPr>
        <w:t>Table 3 reveals the results of the moisture content of milled kodo in Gunny Bag, LDPE, HDPE, and Vacuumed Pack, which varied from 8.75–8.16, 9.75–8.16, 10.89–8.45, and 12.54–8.77 percent at 0, 60, 120, and 180 days of storage, respectively. The maximum value was observed in the gunny bag (12.54) at 180 days of storage, whereas the minimum value receded in the vacuumed pack (8.16) at 0 and 60 days of storage. The analysis of variance table indicates that the F-ratio of the model was higher as compared with the table value of a 5% level of significance. The significant difference among the different treatment combinations has been observed during the storage of milled kodo for various packaging material storage periods.</w:t>
      </w:r>
    </w:p>
    <w:p w14:paraId="1E4C4573"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 xml:space="preserve"> </w:t>
      </w:r>
      <w:r>
        <w:rPr>
          <w:rFonts w:ascii="Arial" w:eastAsia="Arial" w:hAnsi="Arial" w:cs="Arial"/>
          <w:color w:val="252525"/>
          <w:sz w:val="20"/>
          <w:szCs w:val="20"/>
        </w:rPr>
        <w:tab/>
        <w:t xml:space="preserve">In general, during the storage period, the moisture content varied from 8.16 to 12.54. The ANOVA table indicates that the F-ratio was significant for 0, 60, 120, and 180 days of storage. </w:t>
      </w:r>
    </w:p>
    <w:p w14:paraId="6F1104AC" w14:textId="77777777" w:rsidR="00500799" w:rsidRDefault="00EE5FF7">
      <w:pPr>
        <w:spacing w:after="0"/>
        <w:jc w:val="both"/>
        <w:rPr>
          <w:rFonts w:ascii="Arial" w:eastAsia="Arial" w:hAnsi="Arial" w:cs="Arial"/>
          <w:b/>
          <w:color w:val="252525"/>
        </w:rPr>
      </w:pPr>
      <w:r>
        <w:rPr>
          <w:rFonts w:ascii="Arial" w:eastAsia="Arial" w:hAnsi="Arial" w:cs="Arial"/>
          <w:b/>
          <w:color w:val="252525"/>
        </w:rPr>
        <w:t>3.5 Protein</w:t>
      </w:r>
    </w:p>
    <w:p w14:paraId="7AED27A7"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ab/>
        <w:t>At 0, 60, 120, and 180 days of storage, the protein content of milled kodo in Gunny Bag, LDPE, HDPE, and Vacuumed Pack ranged from 7.79 to 8.03 percent, 7.88 to 8.02 percent, 8.16 to 9.51 percent, and 7.75 to 9.23 percent, respectively (Table 3). Vacuum-packed samples had a value that was greater after 120 days (9.51); bunny-bag samples showed a lower protein level at 0 and 60 days (7.75). The analysis of variance shows that, at the 5% level of significance, the F-ratio of the model was higher than the table value. The preservation of milled kodo with various packing materials has revealed a notable variation between the various treatment combinations.</w:t>
      </w:r>
    </w:p>
    <w:p w14:paraId="77172488" w14:textId="77777777" w:rsidR="00500799" w:rsidRDefault="00EE5FF7">
      <w:pPr>
        <w:spacing w:before="280" w:after="280"/>
        <w:jc w:val="both"/>
        <w:rPr>
          <w:rFonts w:ascii="Arial" w:eastAsia="Arial" w:hAnsi="Arial" w:cs="Arial"/>
          <w:color w:val="252525"/>
          <w:sz w:val="20"/>
          <w:szCs w:val="20"/>
        </w:rPr>
      </w:pPr>
      <w:r>
        <w:rPr>
          <w:rFonts w:ascii="Arial" w:eastAsia="Arial" w:hAnsi="Arial" w:cs="Arial"/>
          <w:color w:val="252525"/>
          <w:sz w:val="20"/>
          <w:szCs w:val="20"/>
        </w:rPr>
        <w:t>On average, the moisture content ranged from 7.75 to 9.51 throughout the storage period. The F-ratio was significant for 0, 60, 120, and 180 days of storage, according to the ANOVA table.</w:t>
      </w:r>
    </w:p>
    <w:p w14:paraId="4DE160C7" w14:textId="77777777" w:rsidR="00500799" w:rsidRDefault="00EE5FF7">
      <w:pPr>
        <w:spacing w:after="0"/>
        <w:jc w:val="both"/>
        <w:rPr>
          <w:rFonts w:ascii="Arial" w:eastAsia="Arial" w:hAnsi="Arial" w:cs="Arial"/>
          <w:b/>
          <w:color w:val="252525"/>
        </w:rPr>
      </w:pPr>
      <w:r>
        <w:rPr>
          <w:rFonts w:ascii="Arial" w:eastAsia="Arial" w:hAnsi="Arial" w:cs="Arial"/>
          <w:b/>
          <w:color w:val="252525"/>
        </w:rPr>
        <w:t>3.6 Fat</w:t>
      </w:r>
    </w:p>
    <w:p w14:paraId="5A4A975F" w14:textId="77777777" w:rsidR="00500799" w:rsidRDefault="00EE5FF7">
      <w:pPr>
        <w:spacing w:after="0"/>
        <w:jc w:val="both"/>
        <w:rPr>
          <w:rFonts w:ascii="Arial" w:eastAsia="Arial" w:hAnsi="Arial" w:cs="Arial"/>
          <w:color w:val="252525"/>
          <w:sz w:val="24"/>
          <w:szCs w:val="24"/>
        </w:rPr>
      </w:pPr>
      <w:r>
        <w:rPr>
          <w:rFonts w:ascii="Arial" w:eastAsia="Arial" w:hAnsi="Arial" w:cs="Arial"/>
          <w:color w:val="252525"/>
          <w:sz w:val="24"/>
          <w:szCs w:val="24"/>
        </w:rPr>
        <w:tab/>
      </w:r>
      <w:r>
        <w:rPr>
          <w:rFonts w:ascii="Arial" w:eastAsia="Arial" w:hAnsi="Arial" w:cs="Arial"/>
          <w:color w:val="252525"/>
          <w:sz w:val="20"/>
          <w:szCs w:val="20"/>
        </w:rPr>
        <w:t xml:space="preserve">Table 3 exposes the consequences of the fat content of milled kodo in Gunny Bag, LDPE, HDPE, and Vacuumed Pack, which vary from 1.65–1.19, 1.45-2.04, 1.21-2.01, and 11.11–2.31 percent at 0, 60, 120, and 180 days of storage, correspondingly. The extreme value was detected in the vacuumed pack (2.31) at 180 days of storage, whereas the least value receded in the gunny bag (1.11) at 180 days of storage. According to the analysis of the variance table, the model's F-ratio was higher than the table value for a 5% level of significance. A significant difference among the </w:t>
      </w:r>
      <w:r>
        <w:rPr>
          <w:rFonts w:ascii="Arial" w:eastAsia="Arial" w:hAnsi="Arial" w:cs="Arial"/>
          <w:color w:val="252525"/>
          <w:sz w:val="24"/>
          <w:szCs w:val="24"/>
        </w:rPr>
        <w:t>different treatment combinations has been observed during the storage of milled kodo for various packaging material storage periods.</w:t>
      </w:r>
    </w:p>
    <w:p w14:paraId="7A9DF29F" w14:textId="77777777" w:rsidR="00500799" w:rsidRDefault="00EE5FF7">
      <w:pPr>
        <w:spacing w:after="0"/>
        <w:jc w:val="both"/>
        <w:rPr>
          <w:rFonts w:ascii="Arial" w:eastAsia="Arial" w:hAnsi="Arial" w:cs="Arial"/>
          <w:b/>
          <w:color w:val="252525"/>
        </w:rPr>
      </w:pPr>
      <w:r>
        <w:rPr>
          <w:rFonts w:ascii="Arial" w:eastAsia="Arial" w:hAnsi="Arial" w:cs="Arial"/>
          <w:b/>
          <w:color w:val="252525"/>
        </w:rPr>
        <w:t>3.7 Crude fiber</w:t>
      </w:r>
    </w:p>
    <w:p w14:paraId="1871B92C" w14:textId="77777777" w:rsidR="00500799" w:rsidRDefault="00EE5FF7">
      <w:pPr>
        <w:spacing w:after="0"/>
        <w:jc w:val="both"/>
        <w:rPr>
          <w:rFonts w:ascii="Arial" w:eastAsia="Arial" w:hAnsi="Arial" w:cs="Arial"/>
          <w:color w:val="252525"/>
          <w:sz w:val="20"/>
          <w:szCs w:val="20"/>
        </w:rPr>
      </w:pPr>
      <w:r>
        <w:rPr>
          <w:rFonts w:ascii="Arial" w:eastAsia="Arial" w:hAnsi="Arial" w:cs="Arial"/>
          <w:color w:val="252525"/>
          <w:sz w:val="20"/>
          <w:szCs w:val="20"/>
        </w:rPr>
        <w:t xml:space="preserve">Table (3) indicated the results of the crude fiber content of milled kodo in Gunny Bag, LDPE, HDPE, and Vacuumed Pack, which varied from 8.8-9.98, 8.71-9.88, 8.83-9.64 and 7.88-9.76 percent at 0, 60, 120, and 180 days of storage respectively. The higher value was observed in the vacuumed pack (9.98) at 0 days of storage, whereas the least value receded in the gunny bag sample (7.88) at 180 days of storage. The analysis of variance table indicates that the F-ratio of the model was higher as compared with the table value of a 5% level of significance. A significant difference among the different treatment combinations has been observed during the storage of milled kodo for various packaging material storage periods. </w:t>
      </w:r>
    </w:p>
    <w:p w14:paraId="5DD986C1" w14:textId="77777777" w:rsidR="00500799" w:rsidRDefault="00500799">
      <w:pPr>
        <w:jc w:val="both"/>
        <w:rPr>
          <w:rFonts w:ascii="Arial" w:eastAsia="Arial" w:hAnsi="Arial" w:cs="Arial"/>
          <w:b/>
          <w:sz w:val="24"/>
          <w:szCs w:val="24"/>
        </w:rPr>
      </w:pPr>
    </w:p>
    <w:p w14:paraId="7D1375AC" w14:textId="77777777" w:rsidR="00500799" w:rsidRDefault="00EE5FF7">
      <w:pPr>
        <w:spacing w:after="0"/>
        <w:jc w:val="both"/>
        <w:rPr>
          <w:rFonts w:ascii="Arial" w:eastAsia="Arial" w:hAnsi="Arial" w:cs="Arial"/>
          <w:b/>
        </w:rPr>
      </w:pPr>
      <w:r>
        <w:rPr>
          <w:rFonts w:ascii="Arial" w:eastAsia="Arial" w:hAnsi="Arial" w:cs="Arial"/>
          <w:b/>
        </w:rPr>
        <w:t>4. Conclusion</w:t>
      </w:r>
    </w:p>
    <w:p w14:paraId="6E964656" w14:textId="77777777" w:rsidR="00500799" w:rsidRDefault="00EE5FF7">
      <w:pPr>
        <w:spacing w:after="0"/>
        <w:ind w:firstLine="720"/>
        <w:jc w:val="both"/>
        <w:rPr>
          <w:rFonts w:ascii="Arial" w:eastAsia="Arial" w:hAnsi="Arial" w:cs="Arial"/>
          <w:color w:val="252525"/>
          <w:sz w:val="24"/>
          <w:szCs w:val="24"/>
        </w:rPr>
      </w:pPr>
      <w:r>
        <w:rPr>
          <w:rFonts w:ascii="Arial" w:eastAsia="Arial" w:hAnsi="Arial" w:cs="Arial"/>
          <w:sz w:val="20"/>
          <w:szCs w:val="20"/>
        </w:rPr>
        <w:t xml:space="preserve">In conclusion, millets have potential for protection against age-onset degenerative Insect-pest. Moisture is another critical factor in safe storage of food grains. Grains stored at around 10 per cent </w:t>
      </w:r>
      <w:r>
        <w:rPr>
          <w:rFonts w:ascii="Arial" w:eastAsia="Arial" w:hAnsi="Arial" w:cs="Arial"/>
          <w:sz w:val="20"/>
          <w:szCs w:val="20"/>
        </w:rPr>
        <w:lastRenderedPageBreak/>
        <w:t xml:space="preserve">moisture content escape from the attack of insects. The vacuum-packed kodo millet samples were found to have significant results for all the quality parameters during the six-month storage study. Vacuum packaging storage technology effectively extends the shelf-life of dehulled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by maintaining their physico-chemical qualities.</w:t>
      </w:r>
    </w:p>
    <w:p w14:paraId="16153F04" w14:textId="77777777" w:rsidR="00500799" w:rsidRDefault="00500799">
      <w:pPr>
        <w:jc w:val="both"/>
        <w:rPr>
          <w:rFonts w:ascii="Arial" w:eastAsia="Arial" w:hAnsi="Arial" w:cs="Arial"/>
          <w:b/>
          <w:sz w:val="24"/>
          <w:szCs w:val="24"/>
        </w:rPr>
      </w:pPr>
    </w:p>
    <w:p w14:paraId="481F33FA" w14:textId="77777777" w:rsidR="00500799" w:rsidRDefault="00EE5FF7">
      <w:pPr>
        <w:jc w:val="both"/>
        <w:rPr>
          <w:rFonts w:ascii="Arial" w:eastAsia="Arial" w:hAnsi="Arial" w:cs="Arial"/>
          <w:b/>
        </w:rPr>
      </w:pPr>
      <w:r>
        <w:rPr>
          <w:rFonts w:ascii="Arial" w:eastAsia="Arial" w:hAnsi="Arial" w:cs="Arial"/>
          <w:b/>
        </w:rPr>
        <w:t>5. References</w:t>
      </w:r>
    </w:p>
    <w:p w14:paraId="7019C826" w14:textId="77777777" w:rsidR="00500799" w:rsidRDefault="00EE5FF7">
      <w:pPr>
        <w:spacing w:after="0"/>
        <w:ind w:left="90"/>
        <w:jc w:val="both"/>
        <w:rPr>
          <w:rFonts w:ascii="Arial" w:eastAsia="Arial" w:hAnsi="Arial" w:cs="Arial"/>
          <w:b/>
          <w:sz w:val="20"/>
          <w:szCs w:val="20"/>
        </w:rPr>
      </w:pPr>
      <w:r>
        <w:rPr>
          <w:rFonts w:ascii="Arial" w:eastAsia="Arial" w:hAnsi="Arial" w:cs="Arial"/>
          <w:sz w:val="20"/>
          <w:szCs w:val="20"/>
        </w:rPr>
        <w:t xml:space="preserve">A.O.A.C. (1984). Official’s methods of Analysis. </w:t>
      </w:r>
      <w:proofErr w:type="spellStart"/>
      <w:r>
        <w:rPr>
          <w:rFonts w:ascii="Arial" w:eastAsia="Arial" w:hAnsi="Arial" w:cs="Arial"/>
          <w:sz w:val="20"/>
          <w:szCs w:val="20"/>
        </w:rPr>
        <w:t>Assoiciation</w:t>
      </w:r>
      <w:proofErr w:type="spellEnd"/>
      <w:r>
        <w:rPr>
          <w:rFonts w:ascii="Arial" w:eastAsia="Arial" w:hAnsi="Arial" w:cs="Arial"/>
          <w:sz w:val="20"/>
          <w:szCs w:val="20"/>
        </w:rPr>
        <w:t xml:space="preserve"> of official Analytica chemists. </w:t>
      </w:r>
      <w:proofErr w:type="spellStart"/>
      <w:r>
        <w:rPr>
          <w:rFonts w:ascii="Arial" w:eastAsia="Arial" w:hAnsi="Arial" w:cs="Arial"/>
          <w:sz w:val="20"/>
          <w:szCs w:val="20"/>
        </w:rPr>
        <w:t>Wshington</w:t>
      </w:r>
      <w:proofErr w:type="spellEnd"/>
      <w:r>
        <w:rPr>
          <w:rFonts w:ascii="Arial" w:eastAsia="Arial" w:hAnsi="Arial" w:cs="Arial"/>
          <w:sz w:val="20"/>
          <w:szCs w:val="20"/>
        </w:rPr>
        <w:t>. D.C., USA</w:t>
      </w:r>
    </w:p>
    <w:p w14:paraId="28203AD7"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AACC. (2000). Approved methods, American Association of Cereal Chemists. 10th </w:t>
      </w:r>
      <w:proofErr w:type="spellStart"/>
      <w:r>
        <w:rPr>
          <w:rFonts w:ascii="Arial" w:eastAsia="Arial" w:hAnsi="Arial" w:cs="Arial"/>
          <w:sz w:val="20"/>
          <w:szCs w:val="20"/>
        </w:rPr>
        <w:t>edn</w:t>
      </w:r>
      <w:proofErr w:type="spellEnd"/>
      <w:r>
        <w:rPr>
          <w:rFonts w:ascii="Arial" w:eastAsia="Arial" w:hAnsi="Arial" w:cs="Arial"/>
          <w:sz w:val="20"/>
          <w:szCs w:val="20"/>
        </w:rPr>
        <w:t xml:space="preserve">, Moisture determination, 44–15A, </w:t>
      </w:r>
      <w:proofErr w:type="spellStart"/>
      <w:r>
        <w:rPr>
          <w:rFonts w:ascii="Arial" w:eastAsia="Arial" w:hAnsi="Arial" w:cs="Arial"/>
          <w:sz w:val="20"/>
          <w:szCs w:val="20"/>
        </w:rPr>
        <w:t>Minnasota</w:t>
      </w:r>
      <w:proofErr w:type="spellEnd"/>
      <w:r>
        <w:rPr>
          <w:rFonts w:ascii="Arial" w:eastAsia="Arial" w:hAnsi="Arial" w:cs="Arial"/>
          <w:sz w:val="20"/>
          <w:szCs w:val="20"/>
        </w:rPr>
        <w:t>, St Paul.</w:t>
      </w:r>
    </w:p>
    <w:p w14:paraId="777E0645"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Balasubramanian S &amp; Viswanathan R. </w:t>
      </w:r>
      <w:proofErr w:type="gramStart"/>
      <w:r>
        <w:rPr>
          <w:rFonts w:ascii="Arial" w:eastAsia="Arial" w:hAnsi="Arial" w:cs="Arial"/>
          <w:sz w:val="20"/>
          <w:szCs w:val="20"/>
        </w:rPr>
        <w:t>( 2010</w:t>
      </w:r>
      <w:proofErr w:type="gramEnd"/>
      <w:r>
        <w:rPr>
          <w:rFonts w:ascii="Arial" w:eastAsia="Arial" w:hAnsi="Arial" w:cs="Arial"/>
          <w:sz w:val="20"/>
          <w:szCs w:val="20"/>
        </w:rPr>
        <w:t>). Influence of moisture content on physical properties of minor millets, Food Sci and Technol, 47(3) 279-284.</w:t>
      </w:r>
    </w:p>
    <w:p w14:paraId="38C37FCD" w14:textId="77777777" w:rsidR="00500799" w:rsidRDefault="00EE5FF7">
      <w:pPr>
        <w:spacing w:after="0"/>
        <w:ind w:left="90"/>
        <w:jc w:val="both"/>
        <w:rPr>
          <w:rFonts w:ascii="Arial" w:eastAsia="Arial" w:hAnsi="Arial" w:cs="Arial"/>
          <w:sz w:val="20"/>
          <w:szCs w:val="20"/>
        </w:rPr>
      </w:pPr>
      <w:proofErr w:type="spellStart"/>
      <w:r>
        <w:rPr>
          <w:rFonts w:ascii="Arial" w:eastAsia="Arial" w:hAnsi="Arial" w:cs="Arial"/>
          <w:sz w:val="20"/>
          <w:szCs w:val="20"/>
        </w:rPr>
        <w:t>Baryeh</w:t>
      </w:r>
      <w:proofErr w:type="spellEnd"/>
      <w:r>
        <w:rPr>
          <w:rFonts w:ascii="Arial" w:eastAsia="Arial" w:hAnsi="Arial" w:cs="Arial"/>
          <w:sz w:val="20"/>
          <w:szCs w:val="20"/>
        </w:rPr>
        <w:t xml:space="preserve"> EA (2002) Physical properties of millet. J Food Eng 51: 39–46.</w:t>
      </w:r>
    </w:p>
    <w:p w14:paraId="3F0AA354"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rPr>
        <w:t xml:space="preserve">Chandan Kumar V B, Palanimuthu V &amp; Madhusudan Nayak C. (2018). Engineering properties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CO (3) Variety, Int J Agric Environ bio-res, 3 81–87. </w:t>
      </w:r>
    </w:p>
    <w:p w14:paraId="1628AEC7"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Dayakar</w:t>
      </w:r>
      <w:proofErr w:type="spellEnd"/>
      <w:r>
        <w:rPr>
          <w:rFonts w:ascii="Arial" w:eastAsia="Arial" w:hAnsi="Arial" w:cs="Arial"/>
          <w:sz w:val="20"/>
          <w:szCs w:val="20"/>
        </w:rPr>
        <w:t xml:space="preserve"> Rao B, Bhat BV and </w:t>
      </w:r>
      <w:proofErr w:type="spellStart"/>
      <w:r>
        <w:rPr>
          <w:rFonts w:ascii="Arial" w:eastAsia="Arial" w:hAnsi="Arial" w:cs="Arial"/>
          <w:sz w:val="20"/>
          <w:szCs w:val="20"/>
        </w:rPr>
        <w:t>Tonapi</w:t>
      </w:r>
      <w:proofErr w:type="spellEnd"/>
      <w:r>
        <w:rPr>
          <w:rFonts w:ascii="Arial" w:eastAsia="Arial" w:hAnsi="Arial" w:cs="Arial"/>
          <w:sz w:val="20"/>
          <w:szCs w:val="20"/>
        </w:rPr>
        <w:t xml:space="preserve"> VA, (2018). Nutri-cereals for Nutritional Security. ICAR – INDIAN INSTITUTE OF MILLETS RESEARCH (IIMR). </w:t>
      </w:r>
      <w:proofErr w:type="spellStart"/>
      <w:r>
        <w:rPr>
          <w:rFonts w:ascii="Arial" w:eastAsia="Arial" w:hAnsi="Arial" w:cs="Arial"/>
          <w:sz w:val="20"/>
          <w:szCs w:val="20"/>
        </w:rPr>
        <w:t>Rajendranagar</w:t>
      </w:r>
      <w:proofErr w:type="spellEnd"/>
      <w:r>
        <w:rPr>
          <w:rFonts w:ascii="Arial" w:eastAsia="Arial" w:hAnsi="Arial" w:cs="Arial"/>
          <w:sz w:val="20"/>
          <w:szCs w:val="20"/>
        </w:rPr>
        <w:t>, Hyderabad, ISBN: 81-89335-70-7, PP 164</w:t>
      </w:r>
    </w:p>
    <w:p w14:paraId="31C5B2E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FAO. (2001). </w:t>
      </w:r>
      <w:proofErr w:type="spellStart"/>
      <w:proofErr w:type="gramStart"/>
      <w:r>
        <w:rPr>
          <w:rFonts w:ascii="Arial" w:eastAsia="Arial" w:hAnsi="Arial" w:cs="Arial"/>
          <w:sz w:val="20"/>
          <w:szCs w:val="20"/>
        </w:rPr>
        <w:t>Millet:Post</w:t>
      </w:r>
      <w:proofErr w:type="gramEnd"/>
      <w:r>
        <w:rPr>
          <w:rFonts w:ascii="Arial" w:eastAsia="Arial" w:hAnsi="Arial" w:cs="Arial"/>
          <w:sz w:val="20"/>
          <w:szCs w:val="20"/>
        </w:rPr>
        <w:t>-harvest</w:t>
      </w:r>
      <w:proofErr w:type="spellEnd"/>
      <w:r>
        <w:rPr>
          <w:rFonts w:ascii="Arial" w:eastAsia="Arial" w:hAnsi="Arial" w:cs="Arial"/>
          <w:sz w:val="20"/>
          <w:szCs w:val="20"/>
        </w:rPr>
        <w:t xml:space="preserve"> operations. Retrieved from </w:t>
      </w:r>
      <w:hyperlink r:id="rId20">
        <w:r>
          <w:rPr>
            <w:rFonts w:ascii="Arial" w:eastAsia="Arial" w:hAnsi="Arial" w:cs="Arial"/>
            <w:sz w:val="20"/>
            <w:szCs w:val="20"/>
          </w:rPr>
          <w:t>www.fao.org/3/a-av009e.pdf Accessed 14 October 2016</w:t>
        </w:r>
      </w:hyperlink>
      <w:r>
        <w:rPr>
          <w:rFonts w:ascii="Arial" w:eastAsia="Arial" w:hAnsi="Arial" w:cs="Arial"/>
          <w:sz w:val="20"/>
          <w:szCs w:val="20"/>
        </w:rPr>
        <w:t>.</w:t>
      </w:r>
    </w:p>
    <w:p w14:paraId="086E1581"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Finkelman, S., Navarro, S., Rindner, M., Dias, R. (2006).  Effect of low pressure on the survival of </w:t>
      </w:r>
      <w:proofErr w:type="spellStart"/>
      <w:r>
        <w:rPr>
          <w:rFonts w:ascii="Arial" w:eastAsia="Arial" w:hAnsi="Arial" w:cs="Arial"/>
          <w:sz w:val="20"/>
          <w:szCs w:val="20"/>
        </w:rPr>
        <w:t>Trogoder</w:t>
      </w:r>
      <w:proofErr w:type="spellEnd"/>
      <w:r>
        <w:rPr>
          <w:rFonts w:ascii="Arial" w:eastAsia="Arial" w:hAnsi="Arial" w:cs="Arial"/>
          <w:sz w:val="20"/>
          <w:szCs w:val="20"/>
        </w:rPr>
        <w:t xml:space="preserve"> </w:t>
      </w:r>
      <w:proofErr w:type="spellStart"/>
      <w:r>
        <w:rPr>
          <w:rFonts w:ascii="Arial" w:eastAsia="Arial" w:hAnsi="Arial" w:cs="Arial"/>
          <w:sz w:val="20"/>
          <w:szCs w:val="20"/>
        </w:rPr>
        <w:t>magranarium</w:t>
      </w:r>
      <w:proofErr w:type="spellEnd"/>
      <w:r>
        <w:rPr>
          <w:rFonts w:ascii="Arial" w:eastAsia="Arial" w:hAnsi="Arial" w:cs="Arial"/>
          <w:sz w:val="20"/>
          <w:szCs w:val="20"/>
        </w:rPr>
        <w:t xml:space="preserve"> Everts, </w:t>
      </w:r>
      <w:proofErr w:type="spellStart"/>
      <w:r>
        <w:rPr>
          <w:rFonts w:ascii="Arial" w:eastAsia="Arial" w:hAnsi="Arial" w:cs="Arial"/>
          <w:sz w:val="20"/>
          <w:szCs w:val="20"/>
        </w:rPr>
        <w:t>Lasioderma</w:t>
      </w:r>
      <w:proofErr w:type="spellEnd"/>
      <w:r>
        <w:rPr>
          <w:rFonts w:ascii="Arial" w:eastAsia="Arial" w:hAnsi="Arial" w:cs="Arial"/>
          <w:sz w:val="20"/>
          <w:szCs w:val="20"/>
        </w:rPr>
        <w:t xml:space="preserve"> </w:t>
      </w:r>
      <w:proofErr w:type="spellStart"/>
      <w:r>
        <w:rPr>
          <w:rFonts w:ascii="Arial" w:eastAsia="Arial" w:hAnsi="Arial" w:cs="Arial"/>
          <w:sz w:val="20"/>
          <w:szCs w:val="20"/>
        </w:rPr>
        <w:t>serricorne</w:t>
      </w:r>
      <w:proofErr w:type="spellEnd"/>
      <w:r>
        <w:rPr>
          <w:rFonts w:ascii="Arial" w:eastAsia="Arial" w:hAnsi="Arial" w:cs="Arial"/>
          <w:sz w:val="20"/>
          <w:szCs w:val="20"/>
        </w:rPr>
        <w:t xml:space="preserve"> (F.) and </w:t>
      </w:r>
      <w:proofErr w:type="spellStart"/>
      <w:r>
        <w:rPr>
          <w:rFonts w:ascii="Arial" w:eastAsia="Arial" w:hAnsi="Arial" w:cs="Arial"/>
          <w:sz w:val="20"/>
          <w:szCs w:val="20"/>
        </w:rPr>
        <w:t>Oryzaephilus</w:t>
      </w:r>
      <w:proofErr w:type="spellEnd"/>
      <w:r>
        <w:rPr>
          <w:rFonts w:ascii="Arial" w:eastAsia="Arial" w:hAnsi="Arial" w:cs="Arial"/>
          <w:sz w:val="20"/>
          <w:szCs w:val="20"/>
        </w:rPr>
        <w:t xml:space="preserve"> </w:t>
      </w:r>
      <w:proofErr w:type="spellStart"/>
      <w:r>
        <w:rPr>
          <w:rFonts w:ascii="Arial" w:eastAsia="Arial" w:hAnsi="Arial" w:cs="Arial"/>
          <w:sz w:val="20"/>
          <w:szCs w:val="20"/>
        </w:rPr>
        <w:t>surinamensis</w:t>
      </w:r>
      <w:proofErr w:type="spellEnd"/>
      <w:r>
        <w:rPr>
          <w:rFonts w:ascii="Arial" w:eastAsia="Arial" w:hAnsi="Arial" w:cs="Arial"/>
          <w:sz w:val="20"/>
          <w:szCs w:val="20"/>
        </w:rPr>
        <w:t xml:space="preserve"> (L.) at 30 </w:t>
      </w:r>
      <w:proofErr w:type="spellStart"/>
      <w:r>
        <w:rPr>
          <w:rFonts w:ascii="Arial" w:eastAsia="Arial" w:hAnsi="Arial" w:cs="Arial"/>
          <w:sz w:val="20"/>
          <w:szCs w:val="20"/>
        </w:rPr>
        <w:t>oC.</w:t>
      </w:r>
      <w:proofErr w:type="spellEnd"/>
      <w:r>
        <w:rPr>
          <w:rFonts w:ascii="Arial" w:eastAsia="Arial" w:hAnsi="Arial" w:cs="Arial"/>
          <w:sz w:val="20"/>
          <w:szCs w:val="20"/>
        </w:rPr>
        <w:t xml:space="preserve"> Journal of Stored Products Research 42: 23-30.</w:t>
      </w:r>
    </w:p>
    <w:p w14:paraId="023B9C75" w14:textId="77777777" w:rsidR="00500799" w:rsidRDefault="00EE5FF7">
      <w:pPr>
        <w:spacing w:before="120" w:after="0"/>
        <w:ind w:left="90"/>
        <w:jc w:val="both"/>
        <w:rPr>
          <w:rFonts w:ascii="Arial" w:eastAsia="Arial" w:hAnsi="Arial" w:cs="Arial"/>
          <w:sz w:val="20"/>
          <w:szCs w:val="20"/>
          <w:highlight w:val="white"/>
        </w:rPr>
      </w:pPr>
      <w:proofErr w:type="spellStart"/>
      <w:r>
        <w:rPr>
          <w:rFonts w:ascii="Arial" w:eastAsia="Arial" w:hAnsi="Arial" w:cs="Arial"/>
          <w:sz w:val="20"/>
          <w:szCs w:val="20"/>
        </w:rPr>
        <w:t>Goodingm</w:t>
      </w:r>
      <w:proofErr w:type="spellEnd"/>
      <w:r>
        <w:rPr>
          <w:rFonts w:ascii="Arial" w:eastAsia="Arial" w:hAnsi="Arial" w:cs="Arial"/>
          <w:sz w:val="20"/>
          <w:szCs w:val="20"/>
        </w:rPr>
        <w:t xml:space="preserve"> J and </w:t>
      </w:r>
      <w:proofErr w:type="spellStart"/>
      <w:r>
        <w:rPr>
          <w:rFonts w:ascii="Arial" w:eastAsia="Arial" w:hAnsi="Arial" w:cs="Arial"/>
          <w:sz w:val="20"/>
          <w:szCs w:val="20"/>
        </w:rPr>
        <w:t>Daviesw</w:t>
      </w:r>
      <w:proofErr w:type="spellEnd"/>
      <w:r>
        <w:rPr>
          <w:rFonts w:ascii="Arial" w:eastAsia="Arial" w:hAnsi="Arial" w:cs="Arial"/>
          <w:sz w:val="20"/>
          <w:szCs w:val="20"/>
        </w:rPr>
        <w:t xml:space="preserve"> P. (1997).  Wheat production and utilization, systems, quality and the environment. Cab international, oxford.</w:t>
      </w:r>
    </w:p>
    <w:p w14:paraId="43EDD685"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Hegde, P. S., &amp; Chandra, T. (2005). ESR spectroscopic study reveals higher free radical quenching potential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compared to other millets. Food Chemistry, 92(1), 177-182.</w:t>
      </w:r>
    </w:p>
    <w:p w14:paraId="164B97FE"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J. M. De Wet, D. E. Brink, K. P. Rao, and M. H. Mengesha, (1983). “Diversity in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Economic Botany, vol. 37, no. 2, pp. 159–163, </w:t>
      </w:r>
    </w:p>
    <w:p w14:paraId="6D12B66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Kučerová, Z., </w:t>
      </w:r>
      <w:proofErr w:type="spellStart"/>
      <w:r>
        <w:rPr>
          <w:rFonts w:ascii="Arial" w:eastAsia="Arial" w:hAnsi="Arial" w:cs="Arial"/>
          <w:sz w:val="20"/>
          <w:szCs w:val="20"/>
        </w:rPr>
        <w:t>Kýhos</w:t>
      </w:r>
      <w:proofErr w:type="spellEnd"/>
      <w:r>
        <w:rPr>
          <w:rFonts w:ascii="Arial" w:eastAsia="Arial" w:hAnsi="Arial" w:cs="Arial"/>
          <w:sz w:val="20"/>
          <w:szCs w:val="20"/>
        </w:rPr>
        <w:t xml:space="preserve">, K., </w:t>
      </w:r>
      <w:proofErr w:type="spellStart"/>
      <w:r>
        <w:rPr>
          <w:rFonts w:ascii="Arial" w:eastAsia="Arial" w:hAnsi="Arial" w:cs="Arial"/>
          <w:sz w:val="20"/>
          <w:szCs w:val="20"/>
        </w:rPr>
        <w:t>Aulický</w:t>
      </w:r>
      <w:proofErr w:type="spellEnd"/>
      <w:r>
        <w:rPr>
          <w:rFonts w:ascii="Arial" w:eastAsia="Arial" w:hAnsi="Arial" w:cs="Arial"/>
          <w:sz w:val="20"/>
          <w:szCs w:val="20"/>
        </w:rPr>
        <w:t xml:space="preserve">, R., Stejskal, </w:t>
      </w:r>
      <w:proofErr w:type="gramStart"/>
      <w:r>
        <w:rPr>
          <w:rFonts w:ascii="Arial" w:eastAsia="Arial" w:hAnsi="Arial" w:cs="Arial"/>
          <w:sz w:val="20"/>
          <w:szCs w:val="20"/>
        </w:rPr>
        <w:t>V.( 2013</w:t>
      </w:r>
      <w:proofErr w:type="gramEnd"/>
      <w:r>
        <w:rPr>
          <w:rFonts w:ascii="Arial" w:eastAsia="Arial" w:hAnsi="Arial" w:cs="Arial"/>
          <w:sz w:val="20"/>
          <w:szCs w:val="20"/>
        </w:rPr>
        <w:t>).  Low-pressure treatment to control food-infesting pests (</w:t>
      </w:r>
      <w:proofErr w:type="spellStart"/>
      <w:r>
        <w:rPr>
          <w:rFonts w:ascii="Arial" w:eastAsia="Arial" w:hAnsi="Arial" w:cs="Arial"/>
          <w:sz w:val="20"/>
          <w:szCs w:val="20"/>
        </w:rPr>
        <w:t>Tribolium</w:t>
      </w:r>
      <w:proofErr w:type="spellEnd"/>
      <w:r>
        <w:rPr>
          <w:rFonts w:ascii="Arial" w:eastAsia="Arial" w:hAnsi="Arial" w:cs="Arial"/>
          <w:sz w:val="20"/>
          <w:szCs w:val="20"/>
        </w:rPr>
        <w:t xml:space="preserve"> </w:t>
      </w:r>
      <w:proofErr w:type="spellStart"/>
      <w:r>
        <w:rPr>
          <w:rFonts w:ascii="Arial" w:eastAsia="Arial" w:hAnsi="Arial" w:cs="Arial"/>
          <w:sz w:val="20"/>
          <w:szCs w:val="20"/>
        </w:rPr>
        <w:t>castaneum</w:t>
      </w:r>
      <w:proofErr w:type="spellEnd"/>
      <w:r>
        <w:rPr>
          <w:rFonts w:ascii="Arial" w:eastAsia="Arial" w:hAnsi="Arial" w:cs="Arial"/>
          <w:sz w:val="20"/>
          <w:szCs w:val="20"/>
        </w:rPr>
        <w:t xml:space="preserve">, Sitophilus </w:t>
      </w:r>
      <w:proofErr w:type="spellStart"/>
      <w:r>
        <w:rPr>
          <w:rFonts w:ascii="Arial" w:eastAsia="Arial" w:hAnsi="Arial" w:cs="Arial"/>
          <w:sz w:val="20"/>
          <w:szCs w:val="20"/>
        </w:rPr>
        <w:t>granarius</w:t>
      </w:r>
      <w:proofErr w:type="spellEnd"/>
      <w:r>
        <w:rPr>
          <w:rFonts w:ascii="Arial" w:eastAsia="Arial" w:hAnsi="Arial" w:cs="Arial"/>
          <w:sz w:val="20"/>
          <w:szCs w:val="20"/>
        </w:rPr>
        <w:t xml:space="preserve">) using </w:t>
      </w:r>
      <w:proofErr w:type="spellStart"/>
      <w:r>
        <w:rPr>
          <w:rFonts w:ascii="Arial" w:eastAsia="Arial" w:hAnsi="Arial" w:cs="Arial"/>
          <w:sz w:val="20"/>
          <w:szCs w:val="20"/>
        </w:rPr>
        <w:t>avacuum</w:t>
      </w:r>
      <w:proofErr w:type="spellEnd"/>
      <w:r>
        <w:rPr>
          <w:rFonts w:ascii="Arial" w:eastAsia="Arial" w:hAnsi="Arial" w:cs="Arial"/>
          <w:sz w:val="20"/>
          <w:szCs w:val="20"/>
        </w:rPr>
        <w:t xml:space="preserve"> packing machine. Czech Journal of Food Science 31: 94-98.</w:t>
      </w:r>
    </w:p>
    <w:p w14:paraId="01ED548F"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Kumar, D., Patel, S., Naik, R. K., &amp; Mishra, N. K. (2016). Study on Physical Properties of Indira </w:t>
      </w:r>
      <w:proofErr w:type="spellStart"/>
      <w:r>
        <w:rPr>
          <w:rFonts w:ascii="Arial" w:eastAsia="Arial" w:hAnsi="Arial" w:cs="Arial"/>
          <w:sz w:val="20"/>
          <w:szCs w:val="20"/>
        </w:rPr>
        <w:t>Kodo</w:t>
      </w:r>
      <w:proofErr w:type="spellEnd"/>
      <w:r>
        <w:rPr>
          <w:rFonts w:ascii="Arial" w:eastAsia="Arial" w:hAnsi="Arial" w:cs="Arial"/>
          <w:sz w:val="20"/>
          <w:szCs w:val="20"/>
        </w:rPr>
        <w:t>-I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L.) millet. Paper presented at the International Journal of Engineering Research and Technology.</w:t>
      </w:r>
    </w:p>
    <w:p w14:paraId="08D1A73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Malleshi N. (1989).  Processing of small millets for food and industrial uses, Small Millets in Global Agriculture,) 325-339.</w:t>
      </w:r>
    </w:p>
    <w:p w14:paraId="6E09152A"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S.S. , Mahajan K.C. and Sahu B.L. , (2023). Comparative Study of Engineering and Physical Properties of Whole Grain and Milled Little Millet (Panicum </w:t>
      </w:r>
      <w:proofErr w:type="spellStart"/>
      <w:r>
        <w:rPr>
          <w:rFonts w:ascii="Arial" w:eastAsia="Arial" w:hAnsi="Arial" w:cs="Arial"/>
          <w:sz w:val="20"/>
          <w:szCs w:val="20"/>
        </w:rPr>
        <w:t>sumatrense</w:t>
      </w:r>
      <w:proofErr w:type="spellEnd"/>
      <w:r>
        <w:rPr>
          <w:rFonts w:ascii="Arial" w:eastAsia="Arial" w:hAnsi="Arial" w:cs="Arial"/>
          <w:sz w:val="20"/>
          <w:szCs w:val="20"/>
        </w:rPr>
        <w:t>). Biological Forum – An International Journal. 15(8a): 18-22(2023)</w:t>
      </w:r>
    </w:p>
    <w:p w14:paraId="6D7DECD3"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lastRenderedPageBreak/>
        <w:t xml:space="preserve">Maurya </w:t>
      </w:r>
      <w:proofErr w:type="gramStart"/>
      <w:r>
        <w:rPr>
          <w:rFonts w:ascii="Arial" w:eastAsia="Arial" w:hAnsi="Arial" w:cs="Arial"/>
          <w:sz w:val="20"/>
          <w:szCs w:val="20"/>
        </w:rPr>
        <w:t>S ,</w:t>
      </w:r>
      <w:proofErr w:type="gramEnd"/>
      <w:r>
        <w:rPr>
          <w:rFonts w:ascii="Arial" w:eastAsia="Arial" w:hAnsi="Arial" w:cs="Arial"/>
          <w:sz w:val="20"/>
          <w:szCs w:val="20"/>
        </w:rPr>
        <w:t xml:space="preserve"> Shukla S.S. , Mahajan K.C. and Sahu B.L. , (2023). Proximate Assessment and Pasting Properties of Gluten-Free and Refined Wheat Flour. International Journal of Environment and Climate </w:t>
      </w:r>
      <w:proofErr w:type="gramStart"/>
      <w:r>
        <w:rPr>
          <w:rFonts w:ascii="Arial" w:eastAsia="Arial" w:hAnsi="Arial" w:cs="Arial"/>
          <w:sz w:val="20"/>
          <w:szCs w:val="20"/>
        </w:rPr>
        <w:t>Change,.</w:t>
      </w:r>
      <w:proofErr w:type="gramEnd"/>
      <w:r>
        <w:rPr>
          <w:rFonts w:ascii="Arial" w:eastAsia="Arial" w:hAnsi="Arial" w:cs="Arial"/>
          <w:sz w:val="20"/>
          <w:szCs w:val="20"/>
        </w:rPr>
        <w:t xml:space="preserve"> Vol. 13, Issue 10, Page 2397-2402,</w:t>
      </w:r>
    </w:p>
    <w:p w14:paraId="12F34009"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Neelam, Y., Kanchan, C., Alka, S., &amp; Alka, G. (2013).  Evaluation of hypoglycemic properties of kodo millet based food products in healthy subjects. </w:t>
      </w:r>
      <w:proofErr w:type="spellStart"/>
      <w:r>
        <w:rPr>
          <w:rFonts w:ascii="Arial" w:eastAsia="Arial" w:hAnsi="Arial" w:cs="Arial"/>
          <w:sz w:val="20"/>
          <w:szCs w:val="20"/>
        </w:rPr>
        <w:t>Iosr</w:t>
      </w:r>
      <w:proofErr w:type="spellEnd"/>
      <w:r>
        <w:rPr>
          <w:rFonts w:ascii="Arial" w:eastAsia="Arial" w:hAnsi="Arial" w:cs="Arial"/>
          <w:sz w:val="20"/>
          <w:szCs w:val="20"/>
        </w:rPr>
        <w:t xml:space="preserve"> Journal of Pharmacy, 3(2), 14-20.</w:t>
      </w:r>
    </w:p>
    <w:p w14:paraId="18EC439B"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Pooran</w:t>
      </w:r>
      <w:proofErr w:type="spellEnd"/>
      <w:r>
        <w:rPr>
          <w:rFonts w:ascii="Arial" w:eastAsia="Arial" w:hAnsi="Arial" w:cs="Arial"/>
          <w:sz w:val="20"/>
          <w:szCs w:val="20"/>
        </w:rPr>
        <w:t xml:space="preserve"> </w:t>
      </w:r>
      <w:proofErr w:type="spellStart"/>
      <w:r>
        <w:rPr>
          <w:rFonts w:ascii="Arial" w:eastAsia="Arial" w:hAnsi="Arial" w:cs="Arial"/>
          <w:sz w:val="20"/>
          <w:szCs w:val="20"/>
        </w:rPr>
        <w:t>Pragnya</w:t>
      </w:r>
      <w:proofErr w:type="spellEnd"/>
      <w:r>
        <w:rPr>
          <w:rFonts w:ascii="Arial" w:eastAsia="Arial" w:hAnsi="Arial" w:cs="Arial"/>
          <w:sz w:val="20"/>
          <w:szCs w:val="20"/>
        </w:rPr>
        <w:t xml:space="preserve">, Ravi Kumar, P.F. </w:t>
      </w:r>
      <w:proofErr w:type="spellStart"/>
      <w:r>
        <w:rPr>
          <w:rFonts w:ascii="Arial" w:eastAsia="Arial" w:hAnsi="Arial" w:cs="Arial"/>
          <w:sz w:val="20"/>
          <w:szCs w:val="20"/>
        </w:rPr>
        <w:t>Mathad</w:t>
      </w:r>
      <w:proofErr w:type="spellEnd"/>
      <w:r>
        <w:rPr>
          <w:rFonts w:ascii="Arial" w:eastAsia="Arial" w:hAnsi="Arial" w:cs="Arial"/>
          <w:sz w:val="20"/>
          <w:szCs w:val="20"/>
        </w:rPr>
        <w:t xml:space="preserve"> and Vikas Jha (2018). Effects of Different Retail Packaging Materials on the Shelf Life of </w:t>
      </w:r>
      <w:proofErr w:type="spellStart"/>
      <w:r>
        <w:rPr>
          <w:rFonts w:ascii="Arial" w:eastAsia="Arial" w:hAnsi="Arial" w:cs="Arial"/>
          <w:sz w:val="20"/>
          <w:szCs w:val="20"/>
        </w:rPr>
        <w:t>Dehusked</w:t>
      </w:r>
      <w:proofErr w:type="spellEnd"/>
      <w:r>
        <w:rPr>
          <w:rFonts w:ascii="Arial" w:eastAsia="Arial" w:hAnsi="Arial" w:cs="Arial"/>
          <w:sz w:val="20"/>
          <w:szCs w:val="20"/>
        </w:rPr>
        <w:t xml:space="preserve"> Foxtail Millet </w:t>
      </w:r>
      <w:proofErr w:type="spellStart"/>
      <w:r>
        <w:rPr>
          <w:rFonts w:ascii="Arial" w:eastAsia="Arial" w:hAnsi="Arial" w:cs="Arial"/>
          <w:sz w:val="20"/>
          <w:szCs w:val="20"/>
        </w:rPr>
        <w:t>Int.J.Curr.Microbiol.App.Sci</w:t>
      </w:r>
      <w:proofErr w:type="spellEnd"/>
      <w:r>
        <w:rPr>
          <w:rFonts w:ascii="Arial" w:eastAsia="Arial" w:hAnsi="Arial" w:cs="Arial"/>
          <w:sz w:val="20"/>
          <w:szCs w:val="20"/>
        </w:rPr>
        <w:t xml:space="preserve"> 7(5): 1792-1799</w:t>
      </w:r>
    </w:p>
    <w:p w14:paraId="3AEA5CD6" w14:textId="77777777" w:rsidR="00500799" w:rsidRDefault="00EE5FF7">
      <w:pPr>
        <w:spacing w:before="120" w:after="0"/>
        <w:ind w:left="90"/>
        <w:jc w:val="both"/>
        <w:rPr>
          <w:rFonts w:ascii="Arial" w:eastAsia="Arial" w:hAnsi="Arial" w:cs="Arial"/>
          <w:color w:val="0000CC"/>
          <w:sz w:val="20"/>
          <w:szCs w:val="20"/>
          <w:highlight w:val="white"/>
        </w:rPr>
      </w:pPr>
      <w:r>
        <w:rPr>
          <w:rFonts w:ascii="Arial" w:eastAsia="Arial" w:hAnsi="Arial" w:cs="Arial"/>
          <w:color w:val="333333"/>
          <w:sz w:val="20"/>
          <w:szCs w:val="20"/>
          <w:highlight w:val="white"/>
        </w:rPr>
        <w:t xml:space="preserve">Prakash Gyan, and </w:t>
      </w:r>
      <w:proofErr w:type="spellStart"/>
      <w:r>
        <w:rPr>
          <w:rFonts w:ascii="Arial" w:eastAsia="Arial" w:hAnsi="Arial" w:cs="Arial"/>
          <w:color w:val="333333"/>
          <w:sz w:val="20"/>
          <w:szCs w:val="20"/>
          <w:highlight w:val="white"/>
        </w:rPr>
        <w:t>Genitha</w:t>
      </w:r>
      <w:proofErr w:type="spellEnd"/>
      <w:r>
        <w:rPr>
          <w:rFonts w:ascii="Arial" w:eastAsia="Arial" w:hAnsi="Arial" w:cs="Arial"/>
          <w:color w:val="333333"/>
          <w:sz w:val="20"/>
          <w:szCs w:val="20"/>
          <w:highlight w:val="white"/>
        </w:rPr>
        <w:t xml:space="preserve"> Immanuel. 2023. “Development and Quality Evaluation of Edible Sachet Prepared With Potato Starch”. </w:t>
      </w:r>
      <w:r>
        <w:rPr>
          <w:rFonts w:ascii="Arial" w:eastAsia="Arial" w:hAnsi="Arial" w:cs="Arial"/>
          <w:i/>
          <w:color w:val="333333"/>
          <w:sz w:val="20"/>
          <w:szCs w:val="20"/>
          <w:highlight w:val="white"/>
        </w:rPr>
        <w:t>Current Journal of Applied Science and Technology</w:t>
      </w:r>
      <w:r>
        <w:rPr>
          <w:rFonts w:ascii="Arial" w:eastAsia="Arial" w:hAnsi="Arial" w:cs="Arial"/>
          <w:color w:val="333333"/>
          <w:sz w:val="20"/>
          <w:szCs w:val="20"/>
          <w:highlight w:val="white"/>
        </w:rPr>
        <w:t xml:space="preserve"> 42 (46):182-96. </w:t>
      </w:r>
    </w:p>
    <w:p w14:paraId="4BF85B2D" w14:textId="77777777" w:rsidR="00500799" w:rsidRDefault="00EE5FF7">
      <w:pPr>
        <w:spacing w:after="0"/>
        <w:ind w:left="90"/>
        <w:jc w:val="both"/>
        <w:rPr>
          <w:rFonts w:ascii="Arial" w:eastAsia="Arial" w:hAnsi="Arial" w:cs="Arial"/>
          <w:sz w:val="20"/>
          <w:szCs w:val="20"/>
          <w:highlight w:val="white"/>
        </w:rPr>
      </w:pPr>
      <w:r>
        <w:rPr>
          <w:rFonts w:ascii="Arial" w:eastAsia="Arial" w:hAnsi="Arial" w:cs="Arial"/>
          <w:sz w:val="20"/>
          <w:szCs w:val="20"/>
          <w:highlight w:val="white"/>
        </w:rPr>
        <w:t xml:space="preserve">Prakash Gyan and Rajesh Kumar Mishra. Edible and bio-based food packaging: A  </w:t>
      </w:r>
    </w:p>
    <w:p w14:paraId="11CEBA99" w14:textId="77777777" w:rsidR="00500799" w:rsidRDefault="00EE5FF7">
      <w:pPr>
        <w:spacing w:after="0"/>
        <w:ind w:left="90"/>
        <w:jc w:val="both"/>
        <w:rPr>
          <w:rFonts w:ascii="Arial" w:eastAsia="Arial" w:hAnsi="Arial" w:cs="Arial"/>
          <w:sz w:val="20"/>
          <w:szCs w:val="20"/>
        </w:rPr>
      </w:pPr>
      <w:r>
        <w:rPr>
          <w:rFonts w:ascii="Arial" w:eastAsia="Arial" w:hAnsi="Arial" w:cs="Arial"/>
          <w:sz w:val="20"/>
          <w:szCs w:val="20"/>
          <w:highlight w:val="white"/>
        </w:rPr>
        <w:t xml:space="preserve">review. The Pharma Innovation Journal. 2023; 12(7S): 1497-1505. </w:t>
      </w:r>
    </w:p>
    <w:p w14:paraId="42D92C9D"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R. S. Chouhan, H. K. Niranjan, and H. O. Sharma, (2019). “Economics of value added products of kodo and kutki,” Indian Journal of Economics and Development, vol. 15, no. 3, pp. 465–469.</w:t>
      </w:r>
    </w:p>
    <w:p w14:paraId="2091633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Rachie</w:t>
      </w:r>
      <w:proofErr w:type="spellEnd"/>
      <w:r>
        <w:rPr>
          <w:rFonts w:ascii="Arial" w:eastAsia="Arial" w:hAnsi="Arial" w:cs="Arial"/>
          <w:sz w:val="20"/>
          <w:szCs w:val="20"/>
        </w:rPr>
        <w:t>, K. O. (1975). The millets: importance, utilization and outlook.</w:t>
      </w:r>
    </w:p>
    <w:p w14:paraId="0499240F"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Ranganna</w:t>
      </w:r>
      <w:proofErr w:type="spellEnd"/>
      <w:r>
        <w:rPr>
          <w:rFonts w:ascii="Arial" w:eastAsia="Arial" w:hAnsi="Arial" w:cs="Arial"/>
          <w:sz w:val="20"/>
          <w:szCs w:val="20"/>
        </w:rPr>
        <w:t>, S. (1995).  Manual for the Analysis of Fruits and Vegetables. Tata MeGraw-Hill Publishing Co. New Delhi.</w:t>
      </w:r>
    </w:p>
    <w:p w14:paraId="02090176" w14:textId="77777777" w:rsidR="00500799" w:rsidRDefault="00EE5FF7">
      <w:pPr>
        <w:spacing w:before="120" w:after="0"/>
        <w:ind w:left="90"/>
        <w:jc w:val="both"/>
        <w:rPr>
          <w:rFonts w:ascii="Arial" w:eastAsia="Arial" w:hAnsi="Arial" w:cs="Arial"/>
          <w:sz w:val="20"/>
          <w:szCs w:val="20"/>
        </w:rPr>
      </w:pPr>
      <w:proofErr w:type="spellStart"/>
      <w:r>
        <w:rPr>
          <w:rFonts w:ascii="Arial" w:eastAsia="Arial" w:hAnsi="Arial" w:cs="Arial"/>
          <w:sz w:val="20"/>
          <w:szCs w:val="20"/>
        </w:rPr>
        <w:t>Riudavets</w:t>
      </w:r>
      <w:proofErr w:type="spellEnd"/>
      <w:r>
        <w:rPr>
          <w:rFonts w:ascii="Arial" w:eastAsia="Arial" w:hAnsi="Arial" w:cs="Arial"/>
          <w:sz w:val="20"/>
          <w:szCs w:val="20"/>
        </w:rPr>
        <w:t xml:space="preserve">, J., </w:t>
      </w:r>
      <w:proofErr w:type="spellStart"/>
      <w:r>
        <w:rPr>
          <w:rFonts w:ascii="Arial" w:eastAsia="Arial" w:hAnsi="Arial" w:cs="Arial"/>
          <w:sz w:val="20"/>
          <w:szCs w:val="20"/>
        </w:rPr>
        <w:t>Castane</w:t>
      </w:r>
      <w:proofErr w:type="spellEnd"/>
      <w:r>
        <w:rPr>
          <w:rFonts w:ascii="Arial" w:eastAsia="Arial" w:hAnsi="Arial" w:cs="Arial"/>
          <w:sz w:val="20"/>
          <w:szCs w:val="20"/>
        </w:rPr>
        <w:t xml:space="preserve">, C.R., Alomar, O., Pons, M.J., </w:t>
      </w:r>
      <w:proofErr w:type="spellStart"/>
      <w:r>
        <w:rPr>
          <w:rFonts w:ascii="Arial" w:eastAsia="Arial" w:hAnsi="Arial" w:cs="Arial"/>
          <w:sz w:val="20"/>
          <w:szCs w:val="20"/>
        </w:rPr>
        <w:t>Gabarra</w:t>
      </w:r>
      <w:proofErr w:type="spellEnd"/>
      <w:r>
        <w:rPr>
          <w:rFonts w:ascii="Arial" w:eastAsia="Arial" w:hAnsi="Arial" w:cs="Arial"/>
          <w:sz w:val="20"/>
          <w:szCs w:val="20"/>
        </w:rPr>
        <w:t>, R. (2009). Modified atmosphere packaging (MAP) as an alternative measure for controlling ten pests that attack processed food products. Journal of Stored Products Research 45: 91-96.</w:t>
      </w:r>
    </w:p>
    <w:p w14:paraId="2E89AD36"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Sharma, S., Sharma, N., Handa, S., &amp; Pathania, S. (2017). Evaluation of health potential of nutritionally enriched Kodo millet (Eleusine coracana) grown in Himachal Pradesh, India. Food chemistry, 214, 162-168.</w:t>
      </w:r>
    </w:p>
    <w:p w14:paraId="72C6C3F0" w14:textId="77777777" w:rsidR="00500799" w:rsidRDefault="00EE5FF7">
      <w:pPr>
        <w:spacing w:before="120" w:after="0"/>
        <w:ind w:left="90"/>
        <w:jc w:val="both"/>
        <w:rPr>
          <w:rFonts w:ascii="Arial" w:eastAsia="Arial" w:hAnsi="Arial" w:cs="Arial"/>
          <w:sz w:val="20"/>
          <w:szCs w:val="20"/>
        </w:rPr>
      </w:pPr>
      <w:r>
        <w:rPr>
          <w:rFonts w:ascii="Arial" w:eastAsia="Arial" w:hAnsi="Arial" w:cs="Arial"/>
          <w:sz w:val="20"/>
          <w:szCs w:val="20"/>
        </w:rPr>
        <w:t xml:space="preserve">Sheperd, H. and Bhardwaj, R.K. (1986). Moisture dependent physical properties of pigeon pea. J. Agric. </w:t>
      </w:r>
      <w:proofErr w:type="spellStart"/>
      <w:r>
        <w:rPr>
          <w:rFonts w:ascii="Arial" w:eastAsia="Arial" w:hAnsi="Arial" w:cs="Arial"/>
          <w:sz w:val="20"/>
          <w:szCs w:val="20"/>
        </w:rPr>
        <w:t>Engng</w:t>
      </w:r>
      <w:proofErr w:type="spellEnd"/>
      <w:r>
        <w:rPr>
          <w:rFonts w:ascii="Arial" w:eastAsia="Arial" w:hAnsi="Arial" w:cs="Arial"/>
          <w:sz w:val="20"/>
          <w:szCs w:val="20"/>
        </w:rPr>
        <w:t>. Res., 35 (4): 227-234.</w:t>
      </w:r>
    </w:p>
    <w:p w14:paraId="4E57BE6E" w14:textId="77777777" w:rsidR="00500799" w:rsidRDefault="00EE5FF7">
      <w:pPr>
        <w:spacing w:before="120" w:after="0"/>
        <w:ind w:left="90"/>
        <w:jc w:val="both"/>
        <w:rPr>
          <w:rFonts w:ascii="Arial" w:eastAsia="Arial" w:hAnsi="Arial" w:cs="Arial"/>
          <w:color w:val="000000"/>
          <w:sz w:val="24"/>
          <w:szCs w:val="24"/>
        </w:rPr>
      </w:pPr>
      <w:r>
        <w:rPr>
          <w:rFonts w:ascii="Arial" w:eastAsia="Arial" w:hAnsi="Arial" w:cs="Arial"/>
          <w:sz w:val="20"/>
          <w:szCs w:val="20"/>
        </w:rPr>
        <w:t xml:space="preserve">Sudharshana L, Monteiro P V &amp; Ramachandra G. (1988).  Studies on the proteins of </w:t>
      </w:r>
      <w:proofErr w:type="spellStart"/>
      <w:r>
        <w:rPr>
          <w:rFonts w:ascii="Arial" w:eastAsia="Arial" w:hAnsi="Arial" w:cs="Arial"/>
          <w:sz w:val="20"/>
          <w:szCs w:val="20"/>
        </w:rPr>
        <w:t>kodo</w:t>
      </w:r>
      <w:proofErr w:type="spellEnd"/>
      <w:r>
        <w:rPr>
          <w:rFonts w:ascii="Arial" w:eastAsia="Arial" w:hAnsi="Arial" w:cs="Arial"/>
          <w:sz w:val="20"/>
          <w:szCs w:val="20"/>
        </w:rPr>
        <w:t xml:space="preserve"> millet (</w:t>
      </w:r>
      <w:proofErr w:type="spellStart"/>
      <w:r>
        <w:rPr>
          <w:rFonts w:ascii="Arial" w:eastAsia="Arial" w:hAnsi="Arial" w:cs="Arial"/>
          <w:sz w:val="20"/>
          <w:szCs w:val="20"/>
        </w:rPr>
        <w:t>Paspalum</w:t>
      </w:r>
      <w:proofErr w:type="spellEnd"/>
      <w:r>
        <w:rPr>
          <w:rFonts w:ascii="Arial" w:eastAsia="Arial" w:hAnsi="Arial" w:cs="Arial"/>
          <w:sz w:val="20"/>
          <w:szCs w:val="20"/>
        </w:rPr>
        <w:t xml:space="preserve"> </w:t>
      </w:r>
      <w:proofErr w:type="spellStart"/>
      <w:r>
        <w:rPr>
          <w:rFonts w:ascii="Arial" w:eastAsia="Arial" w:hAnsi="Arial" w:cs="Arial"/>
          <w:sz w:val="20"/>
          <w:szCs w:val="20"/>
        </w:rPr>
        <w:t>scrobiculatum</w:t>
      </w:r>
      <w:proofErr w:type="spellEnd"/>
      <w:r>
        <w:rPr>
          <w:rFonts w:ascii="Arial" w:eastAsia="Arial" w:hAnsi="Arial" w:cs="Arial"/>
          <w:sz w:val="20"/>
          <w:szCs w:val="20"/>
        </w:rPr>
        <w:t xml:space="preserve">), J Sci Food Agric, 42(4) (1) 31 3 3. </w:t>
      </w:r>
    </w:p>
    <w:sectPr w:rsidR="0050079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869CB" w14:textId="77777777" w:rsidR="00A150D4" w:rsidRDefault="00A150D4">
      <w:pPr>
        <w:spacing w:after="0" w:line="240" w:lineRule="auto"/>
      </w:pPr>
      <w:r>
        <w:separator/>
      </w:r>
    </w:p>
  </w:endnote>
  <w:endnote w:type="continuationSeparator" w:id="0">
    <w:p w14:paraId="5DEF0608" w14:textId="77777777" w:rsidR="00A150D4" w:rsidRDefault="00A15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2B33" w14:textId="77777777" w:rsidR="00A95730" w:rsidRDefault="00A9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7D5A" w14:textId="77777777" w:rsidR="00A95730" w:rsidRDefault="00A95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F31CA" w14:textId="77777777" w:rsidR="00A95730" w:rsidRDefault="00A95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32077" w14:textId="77777777" w:rsidR="00A150D4" w:rsidRDefault="00A150D4">
      <w:pPr>
        <w:spacing w:after="0" w:line="240" w:lineRule="auto"/>
      </w:pPr>
      <w:r>
        <w:separator/>
      </w:r>
    </w:p>
  </w:footnote>
  <w:footnote w:type="continuationSeparator" w:id="0">
    <w:p w14:paraId="3FE1FE23" w14:textId="77777777" w:rsidR="00A150D4" w:rsidRDefault="00A15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1FB73" w14:textId="2B225903" w:rsidR="00A95730" w:rsidRDefault="00A95730">
    <w:pPr>
      <w:pStyle w:val="Header"/>
    </w:pPr>
    <w:r>
      <w:rPr>
        <w:noProof/>
      </w:rPr>
      <w:pict w14:anchorId="0E068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5EDA4" w14:textId="55AFEC3B" w:rsidR="00A95730" w:rsidRDefault="00A95730">
    <w:pPr>
      <w:pStyle w:val="Header"/>
    </w:pPr>
    <w:r>
      <w:rPr>
        <w:noProof/>
      </w:rPr>
      <w:pict w14:anchorId="34525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EF23" w14:textId="167207AD" w:rsidR="00A95730" w:rsidRDefault="00A95730">
    <w:pPr>
      <w:pStyle w:val="Header"/>
    </w:pPr>
    <w:r>
      <w:rPr>
        <w:noProof/>
      </w:rPr>
      <w:pict w14:anchorId="363E7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4530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21DE"/>
    <w:multiLevelType w:val="multilevel"/>
    <w:tmpl w:val="08365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C50AB2"/>
    <w:multiLevelType w:val="multilevel"/>
    <w:tmpl w:val="214A9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5F532F"/>
    <w:multiLevelType w:val="multilevel"/>
    <w:tmpl w:val="F07C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23188"/>
    <w:multiLevelType w:val="multilevel"/>
    <w:tmpl w:val="F01277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7E24789"/>
    <w:multiLevelType w:val="multilevel"/>
    <w:tmpl w:val="38FC7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00799"/>
    <w:rsid w:val="002724F1"/>
    <w:rsid w:val="00323DE6"/>
    <w:rsid w:val="003A3633"/>
    <w:rsid w:val="00500799"/>
    <w:rsid w:val="005A482D"/>
    <w:rsid w:val="007E75A9"/>
    <w:rsid w:val="0085278F"/>
    <w:rsid w:val="0098745D"/>
    <w:rsid w:val="00A150D4"/>
    <w:rsid w:val="00A95730"/>
    <w:rsid w:val="00D2331D"/>
    <w:rsid w:val="00EE5FF7"/>
    <w:rsid w:val="00F57B37"/>
    <w:rsid w:val="00FB1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6B4740"/>
  <w15:docId w15:val="{F3A561C0-145D-44D2-A509-8DDA7560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B63E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547A"/>
    <w:rPr>
      <w:color w:val="0000FF" w:themeColor="hyperlink"/>
      <w:u w:val="single"/>
    </w:rPr>
  </w:style>
  <w:style w:type="paragraph" w:customStyle="1" w:styleId="Default">
    <w:name w:val="Default"/>
    <w:rsid w:val="002A50F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505BE"/>
    <w:pPr>
      <w:ind w:left="720"/>
      <w:contextualSpacing/>
    </w:pPr>
    <w:rPr>
      <w:rFonts w:eastAsia="SimSun" w:cs="Mangal"/>
      <w:szCs w:val="20"/>
      <w:lang w:bidi="hi-IN"/>
    </w:rPr>
  </w:style>
  <w:style w:type="table" w:styleId="TableGrid">
    <w:name w:val="Table Grid"/>
    <w:basedOn w:val="TableNormal"/>
    <w:uiPriority w:val="59"/>
    <w:rsid w:val="00F505B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21"/>
    <w:rPr>
      <w:rFonts w:ascii="Tahoma" w:hAnsi="Tahoma" w:cs="Tahoma"/>
      <w:sz w:val="16"/>
      <w:szCs w:val="16"/>
    </w:rPr>
  </w:style>
  <w:style w:type="paragraph" w:styleId="NoSpacing">
    <w:name w:val="No Spacing"/>
    <w:uiPriority w:val="1"/>
    <w:qFormat/>
    <w:rsid w:val="00BA13B3"/>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3A3633"/>
    <w:rPr>
      <w:color w:val="605E5C"/>
      <w:shd w:val="clear" w:color="auto" w:fill="E1DFDD"/>
    </w:rPr>
  </w:style>
  <w:style w:type="paragraph" w:styleId="Header">
    <w:name w:val="header"/>
    <w:basedOn w:val="Normal"/>
    <w:link w:val="HeaderChar"/>
    <w:uiPriority w:val="99"/>
    <w:unhideWhenUsed/>
    <w:rsid w:val="00FB1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136"/>
  </w:style>
  <w:style w:type="paragraph" w:styleId="Footer">
    <w:name w:val="footer"/>
    <w:basedOn w:val="Normal"/>
    <w:link w:val="FooterChar"/>
    <w:uiPriority w:val="99"/>
    <w:unhideWhenUsed/>
    <w:rsid w:val="00FB1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fao.org/3/a-av009e.pdf%20Accessed%2014%20October%20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PhD.%20Thesis%20Materials\Data%20analysis%20exel\PROXIMATE%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75698230028941E-2"/>
          <c:y val="5.1687708030909545E-2"/>
          <c:w val="0.76566717469003498"/>
          <c:h val="0.83168448217715807"/>
        </c:manualLayout>
      </c:layout>
      <c:barChart>
        <c:barDir val="col"/>
        <c:grouping val="clustered"/>
        <c:varyColors val="0"/>
        <c:ser>
          <c:idx val="0"/>
          <c:order val="0"/>
          <c:tx>
            <c:strRef>
              <c:f>'123'!$R$4</c:f>
              <c:strCache>
                <c:ptCount val="1"/>
                <c:pt idx="0">
                  <c:v>GB</c:v>
                </c:pt>
              </c:strCache>
            </c:strRef>
          </c:tx>
          <c:invertIfNegative val="0"/>
          <c:cat>
            <c:strRef>
              <c:f>'123'!$B$3:$F$3</c:f>
              <c:strCache>
                <c:ptCount val="5"/>
                <c:pt idx="0">
                  <c:v>0 days</c:v>
                </c:pt>
                <c:pt idx="1">
                  <c:v>30 days</c:v>
                </c:pt>
                <c:pt idx="2">
                  <c:v>60 days</c:v>
                </c:pt>
                <c:pt idx="3">
                  <c:v>90 days</c:v>
                </c:pt>
                <c:pt idx="4">
                  <c:v>180 days</c:v>
                </c:pt>
              </c:strCache>
            </c:strRef>
          </c:cat>
          <c:val>
            <c:numRef>
              <c:f>'123'!$B$4:$F$4</c:f>
              <c:numCache>
                <c:formatCode>General</c:formatCode>
                <c:ptCount val="5"/>
                <c:pt idx="0">
                  <c:v>0</c:v>
                </c:pt>
                <c:pt idx="1">
                  <c:v>7</c:v>
                </c:pt>
                <c:pt idx="2">
                  <c:v>18</c:v>
                </c:pt>
                <c:pt idx="3">
                  <c:v>57</c:v>
                </c:pt>
                <c:pt idx="4">
                  <c:v>83</c:v>
                </c:pt>
              </c:numCache>
            </c:numRef>
          </c:val>
          <c:extLst>
            <c:ext xmlns:c16="http://schemas.microsoft.com/office/drawing/2014/chart" uri="{C3380CC4-5D6E-409C-BE32-E72D297353CC}">
              <c16:uniqueId val="{00000000-6E77-487D-B61B-809CF2700D18}"/>
            </c:ext>
          </c:extLst>
        </c:ser>
        <c:ser>
          <c:idx val="1"/>
          <c:order val="1"/>
          <c:tx>
            <c:strRef>
              <c:f>'123'!$R$5</c:f>
              <c:strCache>
                <c:ptCount val="1"/>
                <c:pt idx="0">
                  <c:v>LDPE</c:v>
                </c:pt>
              </c:strCache>
            </c:strRef>
          </c:tx>
          <c:invertIfNegative val="0"/>
          <c:cat>
            <c:strRef>
              <c:f>'123'!$B$3:$F$3</c:f>
              <c:strCache>
                <c:ptCount val="5"/>
                <c:pt idx="0">
                  <c:v>0 days</c:v>
                </c:pt>
                <c:pt idx="1">
                  <c:v>30 days</c:v>
                </c:pt>
                <c:pt idx="2">
                  <c:v>60 days</c:v>
                </c:pt>
                <c:pt idx="3">
                  <c:v>90 days</c:v>
                </c:pt>
                <c:pt idx="4">
                  <c:v>180 days</c:v>
                </c:pt>
              </c:strCache>
            </c:strRef>
          </c:cat>
          <c:val>
            <c:numRef>
              <c:f>'123'!$B$5:$F$5</c:f>
              <c:numCache>
                <c:formatCode>General</c:formatCode>
                <c:ptCount val="5"/>
                <c:pt idx="0">
                  <c:v>0</c:v>
                </c:pt>
                <c:pt idx="1">
                  <c:v>6</c:v>
                </c:pt>
                <c:pt idx="2">
                  <c:v>15</c:v>
                </c:pt>
                <c:pt idx="3">
                  <c:v>27</c:v>
                </c:pt>
                <c:pt idx="4">
                  <c:v>34</c:v>
                </c:pt>
              </c:numCache>
            </c:numRef>
          </c:val>
          <c:extLst>
            <c:ext xmlns:c16="http://schemas.microsoft.com/office/drawing/2014/chart" uri="{C3380CC4-5D6E-409C-BE32-E72D297353CC}">
              <c16:uniqueId val="{00000001-6E77-487D-B61B-809CF2700D18}"/>
            </c:ext>
          </c:extLst>
        </c:ser>
        <c:ser>
          <c:idx val="2"/>
          <c:order val="2"/>
          <c:tx>
            <c:strRef>
              <c:f>'123'!$R$6</c:f>
              <c:strCache>
                <c:ptCount val="1"/>
                <c:pt idx="0">
                  <c:v>HDPE</c:v>
                </c:pt>
              </c:strCache>
            </c:strRef>
          </c:tx>
          <c:invertIfNegative val="0"/>
          <c:cat>
            <c:strRef>
              <c:f>'123'!$B$3:$F$3</c:f>
              <c:strCache>
                <c:ptCount val="5"/>
                <c:pt idx="0">
                  <c:v>0 days</c:v>
                </c:pt>
                <c:pt idx="1">
                  <c:v>30 days</c:v>
                </c:pt>
                <c:pt idx="2">
                  <c:v>60 days</c:v>
                </c:pt>
                <c:pt idx="3">
                  <c:v>90 days</c:v>
                </c:pt>
                <c:pt idx="4">
                  <c:v>180 days</c:v>
                </c:pt>
              </c:strCache>
            </c:strRef>
          </c:cat>
          <c:val>
            <c:numRef>
              <c:f>'123'!$B$6:$F$6</c:f>
              <c:numCache>
                <c:formatCode>General</c:formatCode>
                <c:ptCount val="5"/>
                <c:pt idx="0">
                  <c:v>0</c:v>
                </c:pt>
                <c:pt idx="1">
                  <c:v>0</c:v>
                </c:pt>
                <c:pt idx="2">
                  <c:v>7</c:v>
                </c:pt>
                <c:pt idx="3">
                  <c:v>13</c:v>
                </c:pt>
                <c:pt idx="4">
                  <c:v>18</c:v>
                </c:pt>
              </c:numCache>
            </c:numRef>
          </c:val>
          <c:extLst>
            <c:ext xmlns:c16="http://schemas.microsoft.com/office/drawing/2014/chart" uri="{C3380CC4-5D6E-409C-BE32-E72D297353CC}">
              <c16:uniqueId val="{00000002-6E77-487D-B61B-809CF2700D18}"/>
            </c:ext>
          </c:extLst>
        </c:ser>
        <c:ser>
          <c:idx val="3"/>
          <c:order val="3"/>
          <c:tx>
            <c:strRef>
              <c:f>'123'!$R$7</c:f>
              <c:strCache>
                <c:ptCount val="1"/>
                <c:pt idx="0">
                  <c:v>VP</c:v>
                </c:pt>
              </c:strCache>
            </c:strRef>
          </c:tx>
          <c:invertIfNegative val="0"/>
          <c:cat>
            <c:strRef>
              <c:f>'123'!$B$3:$F$3</c:f>
              <c:strCache>
                <c:ptCount val="5"/>
                <c:pt idx="0">
                  <c:v>0 days</c:v>
                </c:pt>
                <c:pt idx="1">
                  <c:v>30 days</c:v>
                </c:pt>
                <c:pt idx="2">
                  <c:v>60 days</c:v>
                </c:pt>
                <c:pt idx="3">
                  <c:v>90 days</c:v>
                </c:pt>
                <c:pt idx="4">
                  <c:v>180 days</c:v>
                </c:pt>
              </c:strCache>
            </c:strRef>
          </c:cat>
          <c:val>
            <c:numRef>
              <c:f>'123'!$B$7:$F$7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6E77-487D-B61B-809CF2700D18}"/>
            </c:ext>
          </c:extLst>
        </c:ser>
        <c:dLbls>
          <c:showLegendKey val="0"/>
          <c:showVal val="0"/>
          <c:showCatName val="0"/>
          <c:showSerName val="0"/>
          <c:showPercent val="0"/>
          <c:showBubbleSize val="0"/>
        </c:dLbls>
        <c:gapWidth val="150"/>
        <c:axId val="229772288"/>
        <c:axId val="280110208"/>
      </c:barChart>
      <c:catAx>
        <c:axId val="229772288"/>
        <c:scaling>
          <c:orientation val="minMax"/>
        </c:scaling>
        <c:delete val="0"/>
        <c:axPos val="b"/>
        <c:numFmt formatCode="General" sourceLinked="1"/>
        <c:majorTickMark val="out"/>
        <c:minorTickMark val="none"/>
        <c:tickLblPos val="nextTo"/>
        <c:crossAx val="280110208"/>
        <c:crosses val="autoZero"/>
        <c:auto val="1"/>
        <c:lblAlgn val="ctr"/>
        <c:lblOffset val="100"/>
        <c:noMultiLvlLbl val="0"/>
      </c:catAx>
      <c:valAx>
        <c:axId val="280110208"/>
        <c:scaling>
          <c:orientation val="minMax"/>
        </c:scaling>
        <c:delete val="0"/>
        <c:axPos val="l"/>
        <c:numFmt formatCode="General" sourceLinked="1"/>
        <c:majorTickMark val="out"/>
        <c:minorTickMark val="none"/>
        <c:tickLblPos val="nextTo"/>
        <c:crossAx val="229772288"/>
        <c:crosses val="autoZero"/>
        <c:crossBetween val="between"/>
      </c:valAx>
      <c:spPr>
        <a:noFill/>
        <a:ln w="25400">
          <a:noFill/>
        </a:ln>
      </c:spPr>
    </c:plotArea>
    <c:legend>
      <c:legendPos val="r"/>
      <c:layout>
        <c:manualLayout>
          <c:xMode val="edge"/>
          <c:yMode val="edge"/>
          <c:x val="0.82005869198340708"/>
          <c:y val="0.18707883902364941"/>
          <c:w val="0.16713300664720576"/>
          <c:h val="0.5875608225697609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miAfiuHNPc2uRBmCMR/sVm3pg==">CgMxLjA4AHIhMXMtb1lGSEhNWTQ5ZVRnSzNINmllVFFRT2RGVUpnSGNy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9</cp:revision>
  <dcterms:created xsi:type="dcterms:W3CDTF">2025-07-07T05:43:00Z</dcterms:created>
  <dcterms:modified xsi:type="dcterms:W3CDTF">2025-07-22T07:15:00Z</dcterms:modified>
</cp:coreProperties>
</file>