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CC181" w14:textId="77777777" w:rsidR="00F67162" w:rsidRDefault="00F67162" w:rsidP="00A82E79">
      <w:pPr>
        <w:pStyle w:val="Author"/>
        <w:spacing w:line="240" w:lineRule="auto"/>
        <w:jc w:val="left"/>
        <w:rPr>
          <w:rFonts w:ascii="Arial" w:hAnsi="Arial" w:cs="Arial"/>
          <w:bCs/>
          <w:i/>
          <w:kern w:val="28"/>
          <w:sz w:val="36"/>
        </w:rPr>
      </w:pPr>
      <w:r w:rsidRPr="00F67162">
        <w:rPr>
          <w:rFonts w:ascii="Arial" w:hAnsi="Arial" w:cs="Arial"/>
          <w:bCs/>
          <w:iCs/>
          <w:kern w:val="28"/>
          <w:sz w:val="36"/>
        </w:rPr>
        <w:t xml:space="preserve">In silico identification of promising therapeutic targets of </w:t>
      </w:r>
      <w:r w:rsidRPr="00F67162">
        <w:rPr>
          <w:rFonts w:ascii="Arial" w:hAnsi="Arial" w:cs="Arial"/>
          <w:bCs/>
          <w:i/>
          <w:kern w:val="28"/>
          <w:sz w:val="36"/>
        </w:rPr>
        <w:t>Plasmodium falciparum</w:t>
      </w:r>
    </w:p>
    <w:p w14:paraId="7E2DB22C" w14:textId="77777777" w:rsidR="00435077" w:rsidRDefault="00435077" w:rsidP="00A82E79">
      <w:pPr>
        <w:pStyle w:val="Author"/>
        <w:spacing w:line="240" w:lineRule="auto"/>
        <w:jc w:val="left"/>
        <w:rPr>
          <w:rFonts w:ascii="Arial" w:hAnsi="Arial" w:cs="Arial"/>
          <w:bCs/>
          <w:iCs/>
          <w:kern w:val="28"/>
          <w:sz w:val="36"/>
        </w:rPr>
      </w:pPr>
    </w:p>
    <w:p w14:paraId="777A1221" w14:textId="2E8FCFE1" w:rsidR="00B01FCD" w:rsidRPr="00FB3A86" w:rsidRDefault="003653DA" w:rsidP="00441B6F">
      <w:pPr>
        <w:pStyle w:val="Copyright"/>
        <w:spacing w:after="0" w:line="240" w:lineRule="auto"/>
        <w:jc w:val="both"/>
        <w:rPr>
          <w:rFonts w:ascii="Arial" w:hAnsi="Arial" w:cs="Arial"/>
        </w:rPr>
        <w:sectPr w:rsidR="00B01FCD" w:rsidRPr="00FB3A86" w:rsidSect="00D739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271D68" wp14:editId="72BBED69">
                <wp:extent cx="5303520" cy="635"/>
                <wp:effectExtent l="13335" t="13335" r="17145" b="15240"/>
                <wp:docPr id="10039092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6E93D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168350" w14:textId="564EAC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B849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E1870B4" w14:textId="77777777" w:rsidTr="001E44FE">
        <w:tc>
          <w:tcPr>
            <w:tcW w:w="9576" w:type="dxa"/>
            <w:shd w:val="clear" w:color="auto" w:fill="F2F2F2"/>
          </w:tcPr>
          <w:p w14:paraId="793E144A" w14:textId="34464ACB" w:rsidR="002821B1" w:rsidRPr="0002247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821B1" w:rsidRPr="002821B1">
              <w:rPr>
                <w:rFonts w:ascii="Arial" w:eastAsia="Calibri" w:hAnsi="Arial" w:cs="Arial"/>
                <w:szCs w:val="22"/>
              </w:rPr>
              <w:t xml:space="preserve">The aim of this study is to identify </w:t>
            </w:r>
            <w:r w:rsidR="000163F5" w:rsidRPr="0002247A">
              <w:rPr>
                <w:rFonts w:ascii="Arial" w:eastAsia="Calibri" w:hAnsi="Arial" w:cs="Arial"/>
                <w:szCs w:val="22"/>
              </w:rPr>
              <w:t xml:space="preserve">promising </w:t>
            </w:r>
            <w:r w:rsidR="002821B1" w:rsidRPr="0002247A">
              <w:rPr>
                <w:rFonts w:ascii="Arial" w:eastAsia="Calibri" w:hAnsi="Arial" w:cs="Arial"/>
                <w:szCs w:val="22"/>
              </w:rPr>
              <w:t xml:space="preserve">therapeutic targets in </w:t>
            </w:r>
            <w:r w:rsidR="002821B1" w:rsidRPr="0002247A">
              <w:rPr>
                <w:rFonts w:ascii="Arial" w:eastAsia="Calibri" w:hAnsi="Arial" w:cs="Arial"/>
                <w:i/>
                <w:iCs/>
                <w:szCs w:val="22"/>
              </w:rPr>
              <w:t>Plasmodium falciparum</w:t>
            </w:r>
            <w:r w:rsidR="002821B1" w:rsidRPr="0002247A">
              <w:rPr>
                <w:rFonts w:ascii="Arial" w:eastAsia="Calibri" w:hAnsi="Arial" w:cs="Arial"/>
                <w:szCs w:val="22"/>
              </w:rPr>
              <w:t xml:space="preserve"> using advanced </w:t>
            </w:r>
            <w:r w:rsidR="002821B1" w:rsidRPr="0002247A">
              <w:rPr>
                <w:rFonts w:ascii="Arial" w:eastAsia="Calibri" w:hAnsi="Arial" w:cs="Arial"/>
                <w:i/>
                <w:iCs/>
                <w:szCs w:val="22"/>
              </w:rPr>
              <w:t>in silico</w:t>
            </w:r>
            <w:r w:rsidR="002821B1" w:rsidRPr="0002247A">
              <w:rPr>
                <w:rFonts w:ascii="Arial" w:eastAsia="Calibri" w:hAnsi="Arial" w:cs="Arial"/>
                <w:szCs w:val="22"/>
              </w:rPr>
              <w:t xml:space="preserve"> approaches. This study focuses particularly on the intraerythrocytic stage of the parasite's life cycle, which is critical for its survival and proliferation. </w:t>
            </w:r>
          </w:p>
          <w:p w14:paraId="185B2AC8" w14:textId="6DCD2656" w:rsidR="000163F5" w:rsidRPr="00503627" w:rsidRDefault="00BA1B01" w:rsidP="00441B6F">
            <w:pPr>
              <w:pStyle w:val="Body"/>
              <w:spacing w:after="0"/>
              <w:rPr>
                <w:rFonts w:ascii="Arial" w:eastAsia="Calibri" w:hAnsi="Arial" w:cs="Arial"/>
                <w:i/>
                <w:i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63F5" w:rsidRPr="000163F5">
              <w:rPr>
                <w:rFonts w:ascii="Arial" w:eastAsia="Calibri" w:hAnsi="Arial" w:cs="Arial"/>
                <w:szCs w:val="22"/>
              </w:rPr>
              <w:t xml:space="preserve">A comprehensive bioinformatics approach was employed, integrating data mining and extensive database analyses to efficiently streamline the drug discovery pipeline and pinpoint vital therapeutic targets in </w:t>
            </w:r>
            <w:r w:rsidR="00B921C0" w:rsidRPr="00B921C0">
              <w:rPr>
                <w:rFonts w:ascii="Arial" w:eastAsia="Calibri" w:hAnsi="Arial" w:cs="Arial"/>
                <w:i/>
                <w:iCs/>
                <w:szCs w:val="22"/>
              </w:rPr>
              <w:t>P</w:t>
            </w:r>
            <w:r w:rsidR="00503627" w:rsidRPr="00B921C0">
              <w:rPr>
                <w:rFonts w:ascii="Arial" w:eastAsia="Calibri" w:hAnsi="Arial" w:cs="Arial"/>
                <w:i/>
                <w:iCs/>
                <w:szCs w:val="22"/>
              </w:rPr>
              <w:t>lasmodium</w:t>
            </w:r>
            <w:r w:rsidR="000163F5" w:rsidRPr="00B921C0">
              <w:rPr>
                <w:rFonts w:ascii="Arial" w:eastAsia="Calibri" w:hAnsi="Arial" w:cs="Arial"/>
                <w:i/>
                <w:iCs/>
                <w:szCs w:val="22"/>
              </w:rPr>
              <w:t xml:space="preserve"> falciparum</w:t>
            </w:r>
            <w:r w:rsidR="000163F5" w:rsidRPr="00503627">
              <w:rPr>
                <w:rFonts w:ascii="Arial" w:eastAsia="Calibri" w:hAnsi="Arial" w:cs="Arial"/>
                <w:i/>
                <w:iCs/>
                <w:szCs w:val="22"/>
              </w:rPr>
              <w:t>.</w:t>
            </w:r>
          </w:p>
          <w:p w14:paraId="749C2EA6" w14:textId="2C5E9F84" w:rsidR="00A67366" w:rsidRPr="0002247A" w:rsidRDefault="002C46B5" w:rsidP="00441B6F">
            <w:pPr>
              <w:pStyle w:val="Body"/>
              <w:spacing w:after="0"/>
              <w:rPr>
                <w:rFonts w:ascii="Arial" w:eastAsia="Calibri" w:hAnsi="Arial" w:cs="Arial"/>
                <w:szCs w:val="22"/>
              </w:rPr>
            </w:pPr>
            <w:r w:rsidRPr="00BA1B01">
              <w:rPr>
                <w:rFonts w:ascii="Arial" w:eastAsia="Calibri" w:hAnsi="Arial" w:cs="Arial"/>
                <w:b/>
                <w:szCs w:val="22"/>
              </w:rPr>
              <w:t>Place</w:t>
            </w:r>
            <w:r w:rsidR="00BA1B01" w:rsidRPr="00BA1B01">
              <w:rPr>
                <w:rFonts w:ascii="Arial" w:eastAsia="Calibri" w:hAnsi="Arial" w:cs="Arial"/>
                <w:b/>
                <w:szCs w:val="22"/>
              </w:rPr>
              <w:t xml:space="preserve"> and Duration of Study:</w:t>
            </w:r>
            <w:r w:rsidR="00BA1B01" w:rsidRPr="00BA1B01">
              <w:rPr>
                <w:rFonts w:ascii="Arial" w:eastAsia="Calibri" w:hAnsi="Arial" w:cs="Arial"/>
                <w:szCs w:val="22"/>
              </w:rPr>
              <w:t xml:space="preserve"> </w:t>
            </w:r>
            <w:r w:rsidR="000163F5" w:rsidRPr="0002247A">
              <w:rPr>
                <w:rFonts w:ascii="Arial" w:eastAsia="Calibri" w:hAnsi="Arial" w:cs="Arial"/>
                <w:szCs w:val="22"/>
              </w:rPr>
              <w:t>Analyses were carried out from January to June 2022 at the African Center of Excellence in Bioinformatics (ACE-Mali), using data from the TDR Targets database and advanced bioinformatics tools.</w:t>
            </w:r>
          </w:p>
          <w:p w14:paraId="3A2CE127" w14:textId="4F54B369" w:rsidR="00FD199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1F687B">
              <w:t xml:space="preserve"> </w:t>
            </w:r>
            <w:r w:rsidR="001F687B" w:rsidRPr="001F687B">
              <w:rPr>
                <w:rFonts w:ascii="Arial" w:eastAsia="Calibri" w:hAnsi="Arial" w:cs="Arial"/>
                <w:szCs w:val="22"/>
              </w:rPr>
              <w:t>We used the WHO</w:t>
            </w:r>
            <w:r w:rsidR="00447721">
              <w:rPr>
                <w:rFonts w:ascii="Arial" w:eastAsia="Calibri" w:hAnsi="Arial" w:cs="Arial"/>
                <w:szCs w:val="22"/>
              </w:rPr>
              <w:t xml:space="preserve"> </w:t>
            </w:r>
            <w:r w:rsidR="001F687B" w:rsidRPr="001F687B">
              <w:rPr>
                <w:rFonts w:ascii="Arial" w:eastAsia="Calibri" w:hAnsi="Arial" w:cs="Arial"/>
                <w:szCs w:val="22"/>
              </w:rPr>
              <w:t xml:space="preserve">validated TDR Targets database to extract </w:t>
            </w:r>
            <w:r w:rsidR="001F687B" w:rsidRPr="00E21CAF">
              <w:rPr>
                <w:rFonts w:ascii="Arial" w:eastAsia="Calibri" w:hAnsi="Arial" w:cs="Arial"/>
                <w:i/>
                <w:iCs/>
                <w:szCs w:val="22"/>
              </w:rPr>
              <w:t>Plasmodium falciparum</w:t>
            </w:r>
            <w:r w:rsidR="001F687B" w:rsidRPr="001F687B">
              <w:rPr>
                <w:rFonts w:ascii="Arial" w:eastAsia="Calibri" w:hAnsi="Arial" w:cs="Arial"/>
                <w:szCs w:val="22"/>
              </w:rPr>
              <w:t xml:space="preserve"> proteins likely to be therapeutic targets, applying strict criteria such as strong expression during the intra-erythrocytic stage, lack of human orthologs, essentiality, </w:t>
            </w:r>
            <w:proofErr w:type="spellStart"/>
            <w:r w:rsidR="001F687B" w:rsidRPr="001F687B">
              <w:rPr>
                <w:rFonts w:ascii="Arial" w:eastAsia="Calibri" w:hAnsi="Arial" w:cs="Arial"/>
                <w:szCs w:val="22"/>
              </w:rPr>
              <w:t>druggability</w:t>
            </w:r>
            <w:proofErr w:type="spellEnd"/>
            <w:r w:rsidR="001F687B" w:rsidRPr="001F687B">
              <w:rPr>
                <w:rFonts w:ascii="Arial" w:eastAsia="Calibri" w:hAnsi="Arial" w:cs="Arial"/>
                <w:szCs w:val="22"/>
              </w:rPr>
              <w:t xml:space="preserve"> score and bibliographic support. This candidate list has been refined using an in-house scoring system combining bioinformatics analyses taking into account criteria such as the presence of transmembrane </w:t>
            </w:r>
            <w:proofErr w:type="spellStart"/>
            <w:proofErr w:type="gramStart"/>
            <w:r w:rsidR="001F687B" w:rsidRPr="001F687B">
              <w:rPr>
                <w:rFonts w:ascii="Arial" w:eastAsia="Calibri" w:hAnsi="Arial" w:cs="Arial"/>
                <w:szCs w:val="22"/>
              </w:rPr>
              <w:t>helices,sequence</w:t>
            </w:r>
            <w:proofErr w:type="spellEnd"/>
            <w:proofErr w:type="gramEnd"/>
            <w:r w:rsidR="001F687B" w:rsidRPr="001F687B">
              <w:rPr>
                <w:rFonts w:ascii="Arial" w:eastAsia="Calibri" w:hAnsi="Arial" w:cs="Arial"/>
                <w:szCs w:val="22"/>
              </w:rPr>
              <w:t xml:space="preserve"> </w:t>
            </w:r>
            <w:proofErr w:type="spellStart"/>
            <w:r w:rsidR="001F687B" w:rsidRPr="001F687B">
              <w:rPr>
                <w:rFonts w:ascii="Arial" w:eastAsia="Calibri" w:hAnsi="Arial" w:cs="Arial"/>
                <w:szCs w:val="22"/>
              </w:rPr>
              <w:t>identity,conservation</w:t>
            </w:r>
            <w:proofErr w:type="spellEnd"/>
            <w:r w:rsidR="001F687B" w:rsidRPr="001F687B">
              <w:rPr>
                <w:rFonts w:ascii="Arial" w:eastAsia="Calibri" w:hAnsi="Arial" w:cs="Arial"/>
                <w:szCs w:val="22"/>
              </w:rPr>
              <w:t>,. Each criterion was scored from 0 to 3 and summed into an overall prioritization score to systematically rank proteins</w:t>
            </w:r>
            <w:r w:rsidR="001F687B">
              <w:rPr>
                <w:rFonts w:ascii="Arial" w:eastAsia="Calibri" w:hAnsi="Arial" w:cs="Arial"/>
                <w:szCs w:val="22"/>
              </w:rPr>
              <w:t>.</w:t>
            </w:r>
          </w:p>
          <w:p w14:paraId="2BAA711B" w14:textId="5CA4D28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40012" w:rsidRPr="00340012">
              <w:rPr>
                <w:rFonts w:ascii="Arial" w:eastAsia="Calibri" w:hAnsi="Arial" w:cs="Arial"/>
                <w:szCs w:val="22"/>
              </w:rPr>
              <w:t xml:space="preserve">The study identified sixteen potential therapeutic targets, with </w:t>
            </w:r>
            <w:r w:rsidR="004907CD">
              <w:rPr>
                <w:rFonts w:ascii="Arial" w:eastAsia="Calibri" w:hAnsi="Arial" w:cs="Arial"/>
                <w:szCs w:val="22"/>
              </w:rPr>
              <w:t>five</w:t>
            </w:r>
            <w:r w:rsidR="00340012" w:rsidRPr="00340012">
              <w:rPr>
                <w:rFonts w:ascii="Arial" w:eastAsia="Calibri" w:hAnsi="Arial" w:cs="Arial"/>
                <w:szCs w:val="22"/>
              </w:rPr>
              <w:t xml:space="preserve"> of them</w:t>
            </w:r>
            <w:r w:rsidR="00340012">
              <w:rPr>
                <w:rFonts w:ascii="Arial" w:eastAsia="Calibri" w:hAnsi="Arial" w:cs="Arial"/>
                <w:szCs w:val="22"/>
              </w:rPr>
              <w:t xml:space="preserve"> </w:t>
            </w:r>
            <w:r w:rsidR="002432D8">
              <w:rPr>
                <w:rFonts w:ascii="Arial" w:hAnsi="Arial" w:cs="Arial"/>
              </w:rPr>
              <w:t>A</w:t>
            </w:r>
            <w:r w:rsidR="002432D8" w:rsidRPr="0083648A">
              <w:rPr>
                <w:rFonts w:ascii="Arial" w:hAnsi="Arial" w:cs="Arial"/>
              </w:rPr>
              <w:t xml:space="preserve">denylate kinase, </w:t>
            </w:r>
            <w:proofErr w:type="spellStart"/>
            <w:proofErr w:type="gramStart"/>
            <w:r w:rsidR="002432D8" w:rsidRPr="00E73893">
              <w:rPr>
                <w:rFonts w:ascii="Arial" w:hAnsi="Arial" w:cs="Arial"/>
                <w:i/>
                <w:iCs/>
              </w:rPr>
              <w:t>P.falciparum</w:t>
            </w:r>
            <w:proofErr w:type="spellEnd"/>
            <w:proofErr w:type="gramEnd"/>
            <w:r w:rsidR="002432D8">
              <w:rPr>
                <w:rFonts w:ascii="Arial" w:hAnsi="Arial" w:cs="Arial"/>
              </w:rPr>
              <w:t xml:space="preserve"> Chloroquine Resistance Transporter (</w:t>
            </w:r>
            <w:proofErr w:type="spellStart"/>
            <w:r w:rsidR="002432D8" w:rsidRPr="0083648A">
              <w:rPr>
                <w:rFonts w:ascii="Arial" w:hAnsi="Arial" w:cs="Arial"/>
              </w:rPr>
              <w:t>PfCRT</w:t>
            </w:r>
            <w:proofErr w:type="spellEnd"/>
            <w:r w:rsidR="002432D8">
              <w:rPr>
                <w:rFonts w:ascii="Arial" w:hAnsi="Arial" w:cs="Arial"/>
              </w:rPr>
              <w:t>)</w:t>
            </w:r>
            <w:r w:rsidR="002432D8" w:rsidRPr="0083648A">
              <w:rPr>
                <w:rFonts w:ascii="Arial" w:hAnsi="Arial" w:cs="Arial"/>
              </w:rPr>
              <w:t xml:space="preserve">, </w:t>
            </w:r>
            <w:proofErr w:type="spellStart"/>
            <w:r w:rsidR="002432D8">
              <w:rPr>
                <w:rFonts w:ascii="Arial" w:hAnsi="Arial" w:cs="Arial"/>
              </w:rPr>
              <w:t>A</w:t>
            </w:r>
            <w:r w:rsidR="002432D8" w:rsidRPr="0083648A">
              <w:rPr>
                <w:rFonts w:ascii="Arial" w:hAnsi="Arial" w:cs="Arial"/>
              </w:rPr>
              <w:t>denylo</w:t>
            </w:r>
            <w:r w:rsidR="002432D8">
              <w:rPr>
                <w:rFonts w:ascii="Arial" w:hAnsi="Arial" w:cs="Arial"/>
              </w:rPr>
              <w:t>S</w:t>
            </w:r>
            <w:r w:rsidR="002432D8" w:rsidRPr="0083648A">
              <w:rPr>
                <w:rFonts w:ascii="Arial" w:hAnsi="Arial" w:cs="Arial"/>
              </w:rPr>
              <w:t>uccinate</w:t>
            </w:r>
            <w:proofErr w:type="spellEnd"/>
            <w:r w:rsidR="002432D8" w:rsidRPr="0083648A">
              <w:rPr>
                <w:rFonts w:ascii="Arial" w:hAnsi="Arial" w:cs="Arial"/>
              </w:rPr>
              <w:t xml:space="preserve"> </w:t>
            </w:r>
            <w:r w:rsidR="002432D8">
              <w:rPr>
                <w:rFonts w:ascii="Arial" w:hAnsi="Arial" w:cs="Arial"/>
              </w:rPr>
              <w:t>L</w:t>
            </w:r>
            <w:r w:rsidR="002432D8" w:rsidRPr="0083648A">
              <w:rPr>
                <w:rFonts w:ascii="Arial" w:hAnsi="Arial" w:cs="Arial"/>
              </w:rPr>
              <w:t xml:space="preserve">yase (ADSL), </w:t>
            </w:r>
            <w:proofErr w:type="spellStart"/>
            <w:r w:rsidR="002432D8">
              <w:rPr>
                <w:rFonts w:ascii="Arial" w:hAnsi="Arial" w:cs="Arial"/>
              </w:rPr>
              <w:t>P</w:t>
            </w:r>
            <w:r w:rsidR="002432D8" w:rsidRPr="0083648A">
              <w:rPr>
                <w:rFonts w:ascii="Arial" w:hAnsi="Arial" w:cs="Arial"/>
              </w:rPr>
              <w:t>hosphatidyl</w:t>
            </w:r>
            <w:r w:rsidR="002432D8">
              <w:rPr>
                <w:rFonts w:ascii="Arial" w:hAnsi="Arial" w:cs="Arial"/>
              </w:rPr>
              <w:t>S</w:t>
            </w:r>
            <w:r w:rsidR="002432D8" w:rsidRPr="0083648A">
              <w:rPr>
                <w:rFonts w:ascii="Arial" w:hAnsi="Arial" w:cs="Arial"/>
              </w:rPr>
              <w:t>erine</w:t>
            </w:r>
            <w:proofErr w:type="spellEnd"/>
            <w:r w:rsidR="002432D8" w:rsidRPr="0083648A">
              <w:rPr>
                <w:rFonts w:ascii="Arial" w:hAnsi="Arial" w:cs="Arial"/>
              </w:rPr>
              <w:t xml:space="preserve"> </w:t>
            </w:r>
            <w:r w:rsidR="002432D8">
              <w:rPr>
                <w:rFonts w:ascii="Arial" w:hAnsi="Arial" w:cs="Arial"/>
              </w:rPr>
              <w:t>D</w:t>
            </w:r>
            <w:r w:rsidR="002432D8" w:rsidRPr="0083648A">
              <w:rPr>
                <w:rFonts w:ascii="Arial" w:hAnsi="Arial" w:cs="Arial"/>
              </w:rPr>
              <w:t xml:space="preserve">ecarboxylase (PSD), and </w:t>
            </w:r>
            <w:r w:rsidR="002432D8">
              <w:rPr>
                <w:rFonts w:ascii="Arial" w:hAnsi="Arial" w:cs="Arial"/>
              </w:rPr>
              <w:t>P</w:t>
            </w:r>
            <w:r w:rsidR="002432D8" w:rsidRPr="0083648A">
              <w:rPr>
                <w:rFonts w:ascii="Arial" w:hAnsi="Arial" w:cs="Arial"/>
              </w:rPr>
              <w:t xml:space="preserve">rotein </w:t>
            </w:r>
            <w:r w:rsidR="002432D8">
              <w:rPr>
                <w:rFonts w:ascii="Arial" w:hAnsi="Arial" w:cs="Arial"/>
              </w:rPr>
              <w:t>D</w:t>
            </w:r>
            <w:r w:rsidR="002432D8" w:rsidRPr="0083648A">
              <w:rPr>
                <w:rFonts w:ascii="Arial" w:hAnsi="Arial" w:cs="Arial"/>
              </w:rPr>
              <w:t xml:space="preserve">isulfide </w:t>
            </w:r>
            <w:r w:rsidR="002432D8">
              <w:rPr>
                <w:rFonts w:ascii="Arial" w:hAnsi="Arial" w:cs="Arial"/>
              </w:rPr>
              <w:t>I</w:t>
            </w:r>
            <w:r w:rsidR="002432D8" w:rsidRPr="0083648A">
              <w:rPr>
                <w:rFonts w:ascii="Arial" w:hAnsi="Arial" w:cs="Arial"/>
              </w:rPr>
              <w:t>somerase (PDI)</w:t>
            </w:r>
            <w:r w:rsidR="002432D8">
              <w:rPr>
                <w:rFonts w:ascii="Arial" w:hAnsi="Arial" w:cs="Arial"/>
              </w:rPr>
              <w:t xml:space="preserve"> </w:t>
            </w:r>
            <w:r w:rsidR="00340012" w:rsidRPr="00340012">
              <w:rPr>
                <w:rFonts w:ascii="Arial" w:eastAsia="Calibri" w:hAnsi="Arial" w:cs="Arial"/>
                <w:szCs w:val="22"/>
              </w:rPr>
              <w:t xml:space="preserve">highlighted as highly promising. These key proteins </w:t>
            </w:r>
            <w:r w:rsidR="00340012" w:rsidRPr="00D76781">
              <w:t xml:space="preserve">are involved </w:t>
            </w:r>
            <w:r w:rsidR="00340012" w:rsidRPr="00340012">
              <w:rPr>
                <w:rFonts w:ascii="Arial" w:eastAsia="Calibri" w:hAnsi="Arial" w:cs="Arial"/>
                <w:szCs w:val="22"/>
              </w:rPr>
              <w:t>in essential processes such as invasion, replication, and immune evasion of the malaria parasite.</w:t>
            </w:r>
          </w:p>
          <w:p w14:paraId="44C1E6A9" w14:textId="4609CA7B" w:rsidR="009A712B" w:rsidRPr="00BA1B01" w:rsidRDefault="00BA1B01" w:rsidP="009A712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A712B" w:rsidRPr="009A712B">
              <w:rPr>
                <w:rFonts w:ascii="Arial" w:eastAsia="Calibri" w:hAnsi="Arial" w:cs="Arial"/>
                <w:szCs w:val="22"/>
              </w:rPr>
              <w:t xml:space="preserve">This study identified sixteen potential therapeutic targets against malaria, with </w:t>
            </w:r>
            <w:r w:rsidR="004649A9">
              <w:rPr>
                <w:rFonts w:ascii="Arial" w:hAnsi="Arial" w:cs="Arial"/>
              </w:rPr>
              <w:t>A</w:t>
            </w:r>
            <w:r w:rsidR="004649A9" w:rsidRPr="0083648A">
              <w:rPr>
                <w:rFonts w:ascii="Arial" w:hAnsi="Arial" w:cs="Arial"/>
              </w:rPr>
              <w:t xml:space="preserve">denylate </w:t>
            </w:r>
            <w:proofErr w:type="spellStart"/>
            <w:proofErr w:type="gramStart"/>
            <w:r w:rsidR="004649A9" w:rsidRPr="0083648A">
              <w:rPr>
                <w:rFonts w:ascii="Arial" w:hAnsi="Arial" w:cs="Arial"/>
              </w:rPr>
              <w:t>kinase,</w:t>
            </w:r>
            <w:r w:rsidR="004649A9" w:rsidRPr="001F687B">
              <w:rPr>
                <w:rFonts w:ascii="Arial" w:hAnsi="Arial" w:cs="Arial"/>
                <w:i/>
                <w:iCs/>
              </w:rPr>
              <w:t>PfCRT</w:t>
            </w:r>
            <w:proofErr w:type="gramEnd"/>
            <w:r w:rsidR="004649A9" w:rsidRPr="0083648A">
              <w:rPr>
                <w:rFonts w:ascii="Arial" w:hAnsi="Arial" w:cs="Arial"/>
              </w:rPr>
              <w:t>,ADSL,PSD</w:t>
            </w:r>
            <w:proofErr w:type="spellEnd"/>
            <w:r w:rsidR="001F687B">
              <w:rPr>
                <w:rFonts w:ascii="Arial" w:hAnsi="Arial" w:cs="Arial"/>
              </w:rPr>
              <w:t>,</w:t>
            </w:r>
            <w:r w:rsidR="004649A9" w:rsidRPr="0083648A">
              <w:rPr>
                <w:rFonts w:ascii="Arial" w:hAnsi="Arial" w:cs="Arial"/>
              </w:rPr>
              <w:t xml:space="preserve"> and</w:t>
            </w:r>
            <w:r w:rsidR="001F687B">
              <w:rPr>
                <w:rFonts w:ascii="Arial" w:hAnsi="Arial" w:cs="Arial"/>
              </w:rPr>
              <w:t xml:space="preserve"> </w:t>
            </w:r>
            <w:r w:rsidR="004649A9" w:rsidRPr="0083648A">
              <w:rPr>
                <w:rFonts w:ascii="Arial" w:hAnsi="Arial" w:cs="Arial"/>
              </w:rPr>
              <w:t>PDI</w:t>
            </w:r>
            <w:r w:rsidR="004649A9">
              <w:rPr>
                <w:rFonts w:ascii="Arial" w:hAnsi="Arial" w:cs="Arial"/>
              </w:rPr>
              <w:t xml:space="preserve"> </w:t>
            </w:r>
            <w:r w:rsidR="009A712B" w:rsidRPr="009A712B">
              <w:rPr>
                <w:rFonts w:ascii="Arial" w:eastAsia="Calibri" w:hAnsi="Arial" w:cs="Arial"/>
                <w:szCs w:val="22"/>
              </w:rPr>
              <w:t xml:space="preserve">standing out as particularly promising. These targets may help overcome drug resistance and support global eradication efforts. The findings highlight the power of </w:t>
            </w:r>
            <w:r w:rsidR="009A712B" w:rsidRPr="00BE0F23">
              <w:rPr>
                <w:rFonts w:ascii="Arial" w:eastAsia="Calibri" w:hAnsi="Arial" w:cs="Arial"/>
                <w:i/>
                <w:iCs/>
                <w:szCs w:val="22"/>
              </w:rPr>
              <w:t>in silico</w:t>
            </w:r>
            <w:r w:rsidR="009A712B" w:rsidRPr="009A712B">
              <w:rPr>
                <w:rFonts w:ascii="Arial" w:eastAsia="Calibri" w:hAnsi="Arial" w:cs="Arial"/>
                <w:szCs w:val="22"/>
              </w:rPr>
              <w:t xml:space="preserve"> approaches in accelerating drug discovery and targets</w:t>
            </w:r>
            <w:r w:rsidR="00F45847">
              <w:rPr>
                <w:rFonts w:ascii="Arial" w:eastAsia="Calibri" w:hAnsi="Arial" w:cs="Arial"/>
                <w:szCs w:val="22"/>
              </w:rPr>
              <w:t xml:space="preserve"> validation.</w:t>
            </w:r>
          </w:p>
          <w:p w14:paraId="5DBAB0AB" w14:textId="211530D4" w:rsidR="00505F06" w:rsidRPr="00BA1B01" w:rsidRDefault="00505F06" w:rsidP="00441B6F">
            <w:pPr>
              <w:pStyle w:val="Body"/>
              <w:spacing w:after="0"/>
              <w:rPr>
                <w:rFonts w:ascii="Arial" w:eastAsia="Calibri" w:hAnsi="Arial" w:cs="Arial"/>
                <w:szCs w:val="22"/>
              </w:rPr>
            </w:pPr>
          </w:p>
        </w:tc>
      </w:tr>
    </w:tbl>
    <w:p w14:paraId="6AA88866" w14:textId="77777777" w:rsidR="00636EB2" w:rsidRDefault="00636EB2" w:rsidP="00441B6F">
      <w:pPr>
        <w:pStyle w:val="Body"/>
        <w:spacing w:after="0"/>
        <w:rPr>
          <w:rFonts w:ascii="Arial" w:hAnsi="Arial" w:cs="Arial"/>
          <w:i/>
        </w:rPr>
      </w:pPr>
    </w:p>
    <w:p w14:paraId="5E85972E" w14:textId="69AD2E6E" w:rsidR="00A24E7E" w:rsidRDefault="00A24E7E" w:rsidP="00441B6F">
      <w:pPr>
        <w:pStyle w:val="Body"/>
        <w:spacing w:after="0"/>
        <w:rPr>
          <w:rFonts w:ascii="Arial" w:hAnsi="Arial" w:cs="Arial"/>
          <w:i/>
        </w:rPr>
      </w:pPr>
      <w:r>
        <w:rPr>
          <w:rFonts w:ascii="Arial" w:hAnsi="Arial" w:cs="Arial"/>
          <w:i/>
        </w:rPr>
        <w:t xml:space="preserve">Keywords: </w:t>
      </w:r>
      <w:r w:rsidR="00F45847" w:rsidRPr="00D76781">
        <w:rPr>
          <w:i/>
          <w:iCs/>
        </w:rPr>
        <w:t>P. falciparum</w:t>
      </w:r>
      <w:r w:rsidR="00F45847" w:rsidRPr="00D76781">
        <w:t>,</w:t>
      </w:r>
      <w:r w:rsidR="00F45847" w:rsidRPr="00F45847">
        <w:t xml:space="preserve"> TDR Targets</w:t>
      </w:r>
      <w:r w:rsidR="00F45847">
        <w:t xml:space="preserve">, </w:t>
      </w:r>
      <w:r w:rsidR="00F45847" w:rsidRPr="00D76781">
        <w:t>therapeutic targets, drug resistance, in silico approaches, intraerythrocytic stage</w:t>
      </w:r>
    </w:p>
    <w:p w14:paraId="65FBC1F0" w14:textId="54EA4B4A" w:rsidR="00505F06" w:rsidRPr="00A24E7E" w:rsidRDefault="00505F06" w:rsidP="00F45847">
      <w:pPr>
        <w:pStyle w:val="Body"/>
        <w:spacing w:after="0"/>
        <w:rPr>
          <w:rFonts w:ascii="Arial" w:hAnsi="Arial" w:cs="Arial"/>
          <w:i/>
        </w:rPr>
      </w:pPr>
    </w:p>
    <w:p w14:paraId="064C0495" w14:textId="3490C54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588D4A" w14:textId="77777777" w:rsidR="00790ADA" w:rsidRPr="006B6ED7" w:rsidRDefault="00790ADA" w:rsidP="00441B6F">
      <w:pPr>
        <w:pStyle w:val="AbstHead"/>
        <w:spacing w:after="0"/>
        <w:jc w:val="both"/>
        <w:rPr>
          <w:rFonts w:ascii="Arial" w:hAnsi="Arial" w:cs="Arial"/>
          <w:b w:val="0"/>
          <w:caps w:val="0"/>
          <w:sz w:val="20"/>
        </w:rPr>
      </w:pPr>
    </w:p>
    <w:p w14:paraId="378218A5" w14:textId="4467FD30" w:rsidR="006B6ED7" w:rsidRDefault="006B6ED7" w:rsidP="001B1B68">
      <w:pPr>
        <w:jc w:val="both"/>
        <w:rPr>
          <w:rFonts w:ascii="Arial" w:hAnsi="Arial" w:cs="Arial"/>
          <w:b/>
          <w:caps/>
        </w:rPr>
      </w:pPr>
      <w:r w:rsidRPr="006B6ED7">
        <w:rPr>
          <w:rFonts w:ascii="Arial" w:hAnsi="Arial" w:cs="Arial"/>
        </w:rPr>
        <w:t>Malaria is a disease caused by a single-celled eukaryotic parasite of the genus Plasmodium. The disease remains one of the deadliest infectious diseases globally, causing over 597,000 deaths each year, with Plasmodium falciparum (</w:t>
      </w:r>
      <w:proofErr w:type="spellStart"/>
      <w:r w:rsidRPr="006B6ED7">
        <w:rPr>
          <w:rFonts w:ascii="Arial" w:hAnsi="Arial" w:cs="Arial"/>
        </w:rPr>
        <w:t>Pf</w:t>
      </w:r>
      <w:proofErr w:type="spellEnd"/>
      <w:r w:rsidRPr="006B6ED7">
        <w:rPr>
          <w:rFonts w:ascii="Arial" w:hAnsi="Arial" w:cs="Arial"/>
        </w:rPr>
        <w:t xml:space="preserve">) responsible for the most severe cases. It is estimated to be responsible for 263 million </w:t>
      </w:r>
      <w:r w:rsidR="00C24C11" w:rsidRPr="006B6ED7">
        <w:rPr>
          <w:rFonts w:ascii="Arial" w:hAnsi="Arial" w:cs="Arial"/>
        </w:rPr>
        <w:t>cases</w:t>
      </w:r>
      <w:r w:rsidR="00A77F12">
        <w:rPr>
          <w:rFonts w:ascii="Arial" w:hAnsi="Arial" w:cs="Arial"/>
          <w:b/>
          <w:caps/>
        </w:rPr>
        <w:t xml:space="preserve"> </w:t>
      </w:r>
      <w:r w:rsidR="00A77F12">
        <w:rPr>
          <w:rFonts w:ascii="Arial" w:hAnsi="Arial" w:cs="Arial"/>
          <w:b/>
          <w:caps/>
        </w:rPr>
        <w:fldChar w:fldCharType="begin"/>
      </w:r>
      <w:r w:rsidR="00A77F12">
        <w:rPr>
          <w:rFonts w:ascii="Arial" w:hAnsi="Arial" w:cs="Arial"/>
          <w:b/>
        </w:rPr>
        <w:instrText xml:space="preserve"> ADDIN ZOTERO_ITEM CSL_CITATION {"citationID":"9Sh5axXd","properties":{"formattedCitation":"({\\i{}World Malaria Report 2024: Addressing Inequity in the Global Malaria Response}, n.d.)","plainCitation":"(World Malaria Report 2024: Addressing Inequity in the Global Malaria Response, n.d.)","noteIndex":0},"citationItems":[{"id":14784,"uris":["http://zotero.org/users/8036093/items/86C2EZRC"],"itemData":{"id":14784,"type":"article-journal","language":"en","source":"Zotero","title":"World malaria report 2024: addressing inequity in the global malaria response"}}],"schema":"https://github.com/citation-style-language/schema/raw/master/csl-citation.json"} </w:instrText>
      </w:r>
      <w:r w:rsidR="00A77F12">
        <w:rPr>
          <w:rFonts w:ascii="Arial" w:hAnsi="Arial" w:cs="Arial"/>
          <w:b/>
          <w:caps/>
        </w:rPr>
        <w:fldChar w:fldCharType="separate"/>
      </w:r>
      <w:r w:rsidR="00A77F12" w:rsidRPr="00A77F12">
        <w:rPr>
          <w:rFonts w:ascii="Arial" w:hAnsi="Arial" w:cs="Arial"/>
        </w:rPr>
        <w:t>(</w:t>
      </w:r>
      <w:r w:rsidR="00A77F12" w:rsidRPr="00A77F12">
        <w:rPr>
          <w:rFonts w:ascii="Arial" w:hAnsi="Arial" w:cs="Arial"/>
          <w:i/>
          <w:iCs/>
        </w:rPr>
        <w:t>World Malaria Report 2024: Addressing Inequity in the Global Malaria Response</w:t>
      </w:r>
      <w:r w:rsidR="00A77F12" w:rsidRPr="00A77F12">
        <w:rPr>
          <w:rFonts w:ascii="Arial" w:hAnsi="Arial" w:cs="Arial"/>
        </w:rPr>
        <w:t>, n.d.)</w:t>
      </w:r>
      <w:r w:rsidR="00A77F12">
        <w:rPr>
          <w:rFonts w:ascii="Arial" w:hAnsi="Arial" w:cs="Arial"/>
          <w:b/>
          <w:caps/>
        </w:rPr>
        <w:fldChar w:fldCharType="end"/>
      </w:r>
      <w:r w:rsidRPr="006B6ED7">
        <w:rPr>
          <w:rFonts w:ascii="Arial" w:hAnsi="Arial" w:cs="Arial"/>
        </w:rPr>
        <w:t xml:space="preserve">. Sub-Saharan Africa remains the most affected region of the world, the region hosting more than 90% of the global burden of P. falciparum </w:t>
      </w:r>
      <w:r w:rsidR="000409E2">
        <w:rPr>
          <w:rFonts w:ascii="Arial" w:hAnsi="Arial" w:cs="Arial"/>
          <w:b/>
          <w:caps/>
        </w:rPr>
        <w:fldChar w:fldCharType="begin"/>
      </w:r>
      <w:r w:rsidR="002B3C8D">
        <w:rPr>
          <w:rFonts w:ascii="Arial" w:hAnsi="Arial" w:cs="Arial"/>
          <w:b/>
        </w:rPr>
        <w:instrText xml:space="preserve"> ADDIN ZOTERO_ITEM CSL_CITATION {"citationID":"DrUs1C9I","properties":{"formattedCitation":"(Ali et al., 2021)","plainCitation":"(Ali et al., 2021)","noteIndex":0},"citationItems":[{"id":972,"uris":["http://zotero.org/users/8036093/items/3PRQQ6TQ"],"itemData":{"id":972,"type":"article-journal","abstract":"BACKGROUND: Plasmodium falciparum is an obligate intracellular parasite of humans that causes malaria. Falciparum malaria is a major public health threat to human life responsible for high mortality. Currently, the risk of multi-drug resistance of P. falciparum is rapidly increasing. There is a need to address new anti-malarial therapeutics strategies to combat the drug-resistance threat.\nMETHODS: The P. falciparum essential proteins were retrieved from the recently published studies. These proteins were initially scanned against human host and its gut microbiome proteome sets by comparative proteomics analyses. The human host non-homologs essential proteins of P. falciparum were additionally analysed for druggability potential via in silico methods to possibly identify novel therapeutic targets. Finally, the PfAp4AH target was prioritized for pharmacophore modelling based virtual screening and molecular docking analyses to identify potent inhibitors from drug-like compounds databases.\nRESULTS: The analyses identified six P. falciparum essential and human host non-homolog proteins that follow the key druggability features. These druggable targets have not been catalogued so far in the Drugbank repository. These prioritized proteins seem novel and promising drug targets against P. falciparum due to their key protein-protein interactions features in pathogen-specific biological pathways and to hold appropriate drug-like molecule binding pockets. The pharmacophore features based virtual screening of Pharmit resource predicted a lead compound i.e. MolPort-045-917-542 as a promising inhibitor of PfAp4AH among prioritized targets.\nCONCLUSION: The prioritized protein targets may worthy to test in malarial drug discovery programme to overcome the anti-malarial resistance issues. The in-vitro and in-vivo studies might be promising for additional validation of these prioritized lists of drug targets against malaria.","container-title":"Malaria Journal","DOI":"10.1186/s12936-021-03865-1","ISSN":"1475-2875","issue":"1","journalAbbreviation":"Malar J","language":"eng","note":"PMID: 34344361\nPMCID: PMC8336052","page":"335","source":"PubMed","title":"Analysing the essential proteins set of Plasmodium falciparum PF3D7 for novel drug targets identification against malaria","volume":"20","author":[{"family":"Ali","given":"Fawad"},{"family":"Wali","given":"Hira"},{"family":"Jan","given":"Saadia"},{"family":"Zia","given":"Asad"},{"family":"Aslam","given":"Muneeba"},{"family":"Ahmad","given":"Imtiaz"},{"family":"Afridi","given":"Sahib Gul"},{"family":"Shams","given":"Sulaiman"},{"family":"Khan","given":"Asifullah"}],"issued":{"date-parts":[["2021",8,3]]}}}],"schema":"https://github.com/citation-style-language/schema/raw/master/csl-citation.json"} </w:instrText>
      </w:r>
      <w:r w:rsidR="000409E2">
        <w:rPr>
          <w:rFonts w:ascii="Arial" w:hAnsi="Arial" w:cs="Arial"/>
          <w:b/>
          <w:caps/>
        </w:rPr>
        <w:fldChar w:fldCharType="separate"/>
      </w:r>
      <w:r w:rsidR="002B3C8D" w:rsidRPr="002B3C8D">
        <w:rPr>
          <w:rFonts w:ascii="Arial" w:hAnsi="Arial" w:cs="Arial"/>
        </w:rPr>
        <w:t>(Ali et al., 2021)</w:t>
      </w:r>
      <w:r w:rsidR="000409E2">
        <w:rPr>
          <w:rFonts w:ascii="Arial" w:hAnsi="Arial" w:cs="Arial"/>
          <w:b/>
          <w:caps/>
        </w:rPr>
        <w:fldChar w:fldCharType="end"/>
      </w:r>
      <w:r w:rsidRPr="006B6ED7">
        <w:rPr>
          <w:rFonts w:ascii="Arial" w:hAnsi="Arial" w:cs="Arial"/>
        </w:rPr>
        <w:t xml:space="preserve">. Children under five years of age, infants, and pregnant women are the most vulnerable to the disease and the most affected by infection </w:t>
      </w:r>
      <w:r w:rsidR="00C678EC">
        <w:rPr>
          <w:rFonts w:ascii="Arial" w:hAnsi="Arial" w:cs="Arial"/>
          <w:b/>
          <w:caps/>
        </w:rPr>
        <w:fldChar w:fldCharType="begin"/>
      </w:r>
      <w:r w:rsidR="002B3C8D">
        <w:rPr>
          <w:rFonts w:ascii="Arial" w:hAnsi="Arial" w:cs="Arial"/>
          <w:b/>
        </w:rPr>
        <w:instrText xml:space="preserve"> ADDIN ZOTERO_ITEM CSL_CITATION {"citationID":"i7NRZsoY","properties":{"formattedCitation":"(Onukwuli et al., 2025)","plainCitation":"(ONUKWULI ET AL., 2025)","dontUpdate":true,"noteIndex":0},"citationItems":[{"id":15010,"uris":["http://zotero.org/users/8036093/items/GKAFJQCD"],"itemData":{"id":15010,"type":"article-journal","abstract":"Malaria has remained a major global health challenge, particularly in sub-Saharan Africa, where young children, especially those under-5 years, are vulnerable. Mortality from malaria results mainly from the severe forms of the disease and several risk factors are known to increase the susceptibility of the under-fives to severe malaria. A literature search was conducted using PubMed, Google Scholar, and reference lists of relevant articles published in English between 2008 and 2023. Studies addressing the link between obesity and periodontal disease were selected, critically reviewed, and synthesized in a narrative format. Malaria is preventable and treatable. Improvements in its control interventions have resulted in considerable reductions in morbidity and mortality associated with malaria in parts of Africa. However, malaria continues to pose a significant public health threat. The newly introduced malaria vaccine, when deployed in combination with other current malaria control tools, could play an essential role in reducing the prevalence of malaria and ultimately improve the morbidity and mortality from this reemerging infectious disease. Implementing a malaria vaccine in children in sub-Saharan Africa is a critical public health intervention. This work reviewed the risk factors for severe malaria and analyzed the prospects and challenges of implementing a malaria vaccine, which holds great promise for reducing the burden of this deadly disease in children under-5 years.","container-title":"International Journal of Medicine and Health Development","DOI":"10.4103/ijmh.ijmh_15_25","ISSN":"2635-3695, 2667-2863","issue":"3","journalAbbreviation":"Int J Med Health Dev","language":"en","page":"212-219","source":"DOI.org (Crossref)","title":"Risk Factors for Severe Malaria and Implementation of the New Malaria Vaccine in Children Under-5 Years: A Narrative Review","title-short":"Risk Factors for Severe Malaria and Implementation of the New Malaria Vaccine in Children Under-5 Years","volume":"30","author":[{"family":"Onukwuli","given":"Vivian O."},{"family":"Ukemenam","given":"Wilfred C."},{"family":"Iloh","given":"Kenechukwu K."},{"family":"Tagbo","given":"Beckie N."}],"issued":{"date-parts":[["2025",7]]}}}],"schema":"https://github.com/citation-style-language/schema/raw/master/csl-citation.json"} </w:instrText>
      </w:r>
      <w:r w:rsidR="00C678EC">
        <w:rPr>
          <w:rFonts w:ascii="Arial" w:hAnsi="Arial" w:cs="Arial"/>
          <w:b/>
          <w:caps/>
        </w:rPr>
        <w:fldChar w:fldCharType="separate"/>
      </w:r>
      <w:r w:rsidR="00C678EC" w:rsidRPr="00C678EC">
        <w:rPr>
          <w:rFonts w:ascii="Arial" w:hAnsi="Arial" w:cs="Arial"/>
        </w:rPr>
        <w:t>(Onukwuli et al., 2025)</w:t>
      </w:r>
      <w:r w:rsidR="00C678EC">
        <w:rPr>
          <w:rFonts w:ascii="Arial" w:hAnsi="Arial" w:cs="Arial"/>
          <w:b/>
          <w:caps/>
        </w:rPr>
        <w:fldChar w:fldCharType="end"/>
      </w:r>
      <w:r w:rsidRPr="006B6ED7">
        <w:rPr>
          <w:rFonts w:ascii="Arial" w:hAnsi="Arial" w:cs="Arial"/>
        </w:rPr>
        <w:t xml:space="preserve"> Despite </w:t>
      </w:r>
      <w:r w:rsidRPr="006B6ED7">
        <w:rPr>
          <w:rFonts w:ascii="Arial" w:hAnsi="Arial" w:cs="Arial"/>
        </w:rPr>
        <w:lastRenderedPageBreak/>
        <w:t>years of research, drug resistance continues to emerge, underscoring the urgent need for new therapeutic targets</w:t>
      </w:r>
      <w:r w:rsidR="00C678EC">
        <w:rPr>
          <w:rFonts w:ascii="Arial" w:hAnsi="Arial" w:cs="Arial"/>
        </w:rPr>
        <w:fldChar w:fldCharType="begin"/>
      </w:r>
      <w:r w:rsidR="00C678EC">
        <w:rPr>
          <w:rFonts w:ascii="Arial" w:hAnsi="Arial" w:cs="Arial"/>
        </w:rPr>
        <w:instrText xml:space="preserve"> ADDIN ZOTERO_ITEM CSL_CITATION {"citationID":"J3FuzfZh","properties":{"formattedCitation":"(Brhane et al., 2025)","plainCitation":"(Brhane et al., 2025)","noteIndex":0},"citationItems":[{"id":15011,"uris":["http://zotero.org/users/8036093/items/AFTQZ44H"],"itemData":{"id":15011,"type":"article-journal","abstract":"BACKGROUND: Ethiopia aims to eliminate local malaria transmission by 2030, but rising malaria cases, due to different factors, present a challenge. Understanding the prevalence and distribution of artemisinin partial resistance (ART-R) and other markers related to partner drugs as well as parasite connectivity in Ethiopia can greatly inform malaria control.\nMETHODS: We analyzed 1199 clinical Plasmodium falciparum infections from 12 sentinel sites across five regions in Ethiopia, collected between 2019 and 2023. Using two molecular inversion probe (MIP) panels targeting key drug resistance genes and genome-wide SNPs, we assessed the prevalence of resistance-associated mutations, complexity of infection (COI), and parasite relatedness through identity-by-descent (IBD) and principal component analysis (PCA).\nRESULTS: The most prevalent k13 R622I mutation appears in 15.7% of samples, with marked regional variation. Three validated ART-R mutations (P441L, P574L, A675V) are detected in Ethiopia for the first time, as far as we are aware, with A675V found exclusively in a Gambella clinic serving refugees from Sudan and South Sudan. Additionally, polymorphisms associated with resistance to partner drugs, including those in crt, mdr1, dhps, and dhfr genes, are nearly fixed. Most samples (87.2%) consist of monogenomic infections (COI = 1), and mutant parasites show high local genetic relatedness at the health facility level, suggesting clonal transmission. PCA reveals regional clustering, particularly in Gambella, highlighting the influence of local drug pressure, regional transmission dynamics, and importation as drivers of the observed drug resistance patterns.\nCONCLUSIONS: The increasing prevalence of k13 R622I and the emergence of additional ART-R mutations underscore the urgent need for enhanced ACT efficacy monitoring. Early detection of partner drug resistance and ACT failure will be essential to address malaria resurgence and support Ethiopia's elimination goals.","container-title":"Communications Medicine","DOI":"10.1038/s43856-025-01008-0","ISSN":"2730-664X","issue":"1","journalAbbreviation":"Commun Med (Lond)","language":"eng","note":"PMID: 40681807\nPMCID: PMC12274420","page":"297","source":"PubMed","title":"Rising prevalence of Plasmodium falciparum Artemisinin partial resistance mutations in Ethiopia","volume":"5","author":[{"family":"Brhane","given":"Bokretsion G."},{"family":"Fola","given":"Abebe A."},{"family":"Nigussie","given":"Helen"},{"family":"Leonetti","given":"Alec"},{"family":"Kassa","given":"Moges"},{"family":"Hailgiorgis","given":"Henok"},{"family":"Wuletaw","given":"Yonas"},{"family":"Abera","given":"Adugna"},{"family":"Mohammed","given":"Hussein"},{"family":"Sime","given":"Heven"},{"family":"G/Tsadik","given":"Abeba"},{"family":"Assefa","given":"Gudissa"},{"family":"Solomon","given":"Hiwot"},{"family":"Tasew","given":"Geremew"},{"family":"Tollera","given":"Getachew"},{"family":"Hailu","given":"Mesay"},{"family":"Juliano","given":"Jonathan J."},{"family":"Assefa","given":"Ashenafi"},{"family":"Parr","given":"Jonathan B."},{"family":"Bailey","given":"Jeffrey A."}],"issued":{"date-parts":[["2025",7,18]]}}}],"schema":"https://github.com/citation-style-language/schema/raw/master/csl-citation.json"} </w:instrText>
      </w:r>
      <w:r w:rsidR="00C678EC">
        <w:rPr>
          <w:rFonts w:ascii="Arial" w:hAnsi="Arial" w:cs="Arial"/>
        </w:rPr>
        <w:fldChar w:fldCharType="separate"/>
      </w:r>
      <w:r w:rsidR="00C678EC" w:rsidRPr="00C678EC">
        <w:rPr>
          <w:rFonts w:ascii="Arial" w:hAnsi="Arial" w:cs="Arial"/>
        </w:rPr>
        <w:t>(Brhane et al., 2025)</w:t>
      </w:r>
      <w:r w:rsidR="00C678EC">
        <w:rPr>
          <w:rFonts w:ascii="Arial" w:hAnsi="Arial" w:cs="Arial"/>
        </w:rPr>
        <w:fldChar w:fldCharType="end"/>
      </w:r>
      <w:r w:rsidRPr="006B6ED7">
        <w:rPr>
          <w:rFonts w:ascii="Arial" w:hAnsi="Arial" w:cs="Arial"/>
        </w:rPr>
        <w:t>.</w:t>
      </w:r>
    </w:p>
    <w:p w14:paraId="29E02C1C" w14:textId="1AFBACAC" w:rsidR="006B6ED7" w:rsidRDefault="006B6ED7" w:rsidP="001B1B68">
      <w:pPr>
        <w:jc w:val="both"/>
        <w:rPr>
          <w:rFonts w:ascii="Arial" w:hAnsi="Arial" w:cs="Arial"/>
          <w:b/>
          <w:caps/>
        </w:rPr>
      </w:pPr>
      <w:r w:rsidRPr="006B6ED7">
        <w:rPr>
          <w:rFonts w:ascii="Arial" w:hAnsi="Arial" w:cs="Arial"/>
        </w:rPr>
        <w:t xml:space="preserve">Various strategies have been adopted in the fight against malaria, which have resulted in a 60% reduction in the number of malaria deaths worldwide. An 18% decrease in the incidence of malaria cases has also been reported between 2010 and 2016. This remarkable decrease in malaria incidence is the result of preventive measures, such as mass distribution of insecticide-treated nets, vector control strategies, chemoprevention, and rapid diagnostic tests, as well as the use of artemisinin-based combination therapies (ACTs) for curative treatment </w:t>
      </w:r>
      <w:r w:rsidR="003254D8">
        <w:rPr>
          <w:rFonts w:ascii="Arial" w:hAnsi="Arial" w:cs="Arial"/>
          <w:b/>
          <w:caps/>
        </w:rPr>
        <w:fldChar w:fldCharType="begin"/>
      </w:r>
      <w:r w:rsidR="002B3C8D">
        <w:rPr>
          <w:rFonts w:ascii="Arial" w:hAnsi="Arial" w:cs="Arial"/>
          <w:b/>
        </w:rPr>
        <w:instrText xml:space="preserve"> ADDIN ZOTERO_ITEM CSL_CITATION {"citationID":"gElFOFqK","properties":{"formattedCitation":"(Ouji et al., 2018)","plainCitation":"(OUJI ET AL., 2018)","dontUpdate":true,"noteIndex":0},"citationItems":[{"id":15013,"uris":["http://zotero.org/users/8036093/items/4ID6ZR6X"],"itemData":{"id":15013,"type":"article-journal","abstract":"The use of artemisinin-based combination therapies (ACTs), which combine an artemisinin derivative with a partner drug, in the treatment of uncomplicated malaria has largely been responsible for the significant reduction in malaria-related mortality in tropical and subtropical regions. ACTs have also played a significant role in the 18% decline in the incidence of malaria cases from 2010 to 2016. However, this progress is seriously threatened by the reduced clinical efficacy of artemisinins, which is characterised by delayed parasitic clearance and a high rate of recrudescence, as reported in 2008 in Western Cambodia. Resistance to artemisinins has already spread to several countries in Southeast Asia. Furthermore, resistance to partner drugs has been shown in some instances to be facilitated by pre-existing decreased susceptibility to the artemisinin component of the ACT. A major concern is not only the spread of these multidrug-resistant parasites to the rest of Asia but also their possible appearance in Sub-Saharan Africa, the continent most affected by malaria, as has been the case in the past with parasite resistance to other antimalarial treatments. It is therefore essential to understand the acquisition of resistance to artemisinins by &lt;i&gt;Plasmodium falciparum&lt;i/&gt; to adapt malaria treatment policies and to propose new therapeutic solutions.","container-title":"Parasite","DOI":"10.1051/parasite/2018021","ISSN":"1776-1042","journalAbbreviation":"Parasite","language":"en","license":"© M. Ouji et al., published by EDP Sciences, 2018","note":"publisher: EDP Sciences","page":"24","source":"www.parasite-journal.org","title":"Plasmodium falciparum resistance to artemisinin-based combination therapies: A sword of Damocles in the path toward malaria elimination","title-short":"Plasmodium falciparum resistance to artemisinin-based combination therapies","volume":"25","author":[{"family":"Ouji","given":"Manel"},{"family":"Augereau","given":"Jean-Michel"},{"family":"Paloque","given":"Lucie"},{"family":"Benoit-Vical","given":"Françoise"}],"issued":{"date-parts":[["2018"]]}}}],"schema":"https://github.com/citation-style-language/schema/raw/master/csl-citation.json"} </w:instrText>
      </w:r>
      <w:r w:rsidR="003254D8">
        <w:rPr>
          <w:rFonts w:ascii="Arial" w:hAnsi="Arial" w:cs="Arial"/>
          <w:b/>
          <w:caps/>
        </w:rPr>
        <w:fldChar w:fldCharType="separate"/>
      </w:r>
      <w:r w:rsidR="00C14239" w:rsidRPr="00C14239">
        <w:rPr>
          <w:rFonts w:ascii="Arial" w:hAnsi="Arial" w:cs="Arial"/>
        </w:rPr>
        <w:t>(Ouji et al., 2018)</w:t>
      </w:r>
      <w:r w:rsidR="003254D8">
        <w:rPr>
          <w:rFonts w:ascii="Arial" w:hAnsi="Arial" w:cs="Arial"/>
          <w:b/>
          <w:caps/>
        </w:rPr>
        <w:fldChar w:fldCharType="end"/>
      </w:r>
      <w:r w:rsidRPr="006B6ED7">
        <w:rPr>
          <w:rFonts w:ascii="Arial" w:hAnsi="Arial" w:cs="Arial"/>
        </w:rPr>
        <w:t>.</w:t>
      </w:r>
      <w:r w:rsidRPr="006B6ED7">
        <w:t xml:space="preserve"> </w:t>
      </w:r>
      <w:r w:rsidRPr="006B6ED7">
        <w:rPr>
          <w:rFonts w:ascii="Arial" w:hAnsi="Arial" w:cs="Arial"/>
        </w:rPr>
        <w:t xml:space="preserve">In 2021, the World Health Organization (WHO) made its first recommendation for the widespread use of a malaria vaccine, RTS, S. Although this is an encouraging step, improvements are still needed, as the efficacy of RTS, S is only 30-40% and protection fade within months despite a four-dose regimen </w:t>
      </w:r>
      <w:r w:rsidR="000C6629">
        <w:rPr>
          <w:rFonts w:ascii="Arial" w:hAnsi="Arial" w:cs="Arial"/>
        </w:rPr>
        <w:fldChar w:fldCharType="begin"/>
      </w:r>
      <w:r w:rsidR="000C6629">
        <w:rPr>
          <w:rFonts w:ascii="Arial" w:hAnsi="Arial" w:cs="Arial"/>
        </w:rPr>
        <w:instrText xml:space="preserve"> ADDIN ZOTERO_ITEM CSL_CITATION {"citationID":"IUik9GUu","properties":{"formattedCitation":"(Nadeem et al., 2022)","plainCitation":"(Nadeem et al., 2022)","noteIndex":0},"citationItems":[{"id":15017,"uris":["http://zotero.org/users/8036093/items/EC3248BB"],"itemData":{"id":15017,"type":"article-journal","abstract":"Malaria is a parasitic infection caused by bites from Plasmodium falciparum (P. falciparum)-infected mosquitoes with a present scale of symptoms ranging from moderate fever to neurological disorders. P. falciparum is the most lethal of the five strains of malaria, and is a major case of morbidity and mortality in endemic regions. Recent advancements in malaria diagnostic tools and prevention strategies have improved conjugation antimalarial therapies using fumigation and long-lasting insecticidal sprays, thus lowering malarial infections. Declines in the total number of infected individuals have been correlated with antimalarial drugs. Despite this, malaria remains a major health threat, affecting more than 30 million men, women, and children around the globe, and 20 percent of all children around the globe have malaria parasites in their blood. To overcome this life-threatening condition, novel therapeutic strategies, including immunization, are urgently needed to tackle this infection around the world. In line with this, the development of the RTS, S vaccine was a significant step forward in the fight against malaria. RTS, S is a vaccine for P. falciparum in which R specifies central repeat units, T the T-cell epitopes, and S indicates surface antigen. The RTS, S/AS01 malarial vaccine was synthesized and screened in several clinical trials between 2009 and 2014, involving thousands of young children in seven African countries, showing that children who received the vaccine did not suffer from severe malaria. Mosquirix™ was approved by the World Health Organization in 2021, indicating it to be safe and advocating its integration into routine immunization programs and existing malaria control measures. This paper examines the various stages of the vaccine’s development, including the evaluation of its immunogenicity and efficacy on the basis of a total of 2.3 million administered doses through a routine immunization program. The protection and effectiveness provided by the vaccine are strong, and evidence shows that it can be effectively delivered through the routine child immunization platform. The economic cost of the vaccine remains to be considered.","container-title":"Vaccines","DOI":"10.3390/vaccines10050713","ISSN":"2076-393X","issue":"5","language":"en","license":"http://creativecommons.org/licenses/by/3.0/","note":"number: 5\npublisher: Multidisciplinary Digital Publishing Institute","page":"713","source":"www.mdpi.com","title":"Mosquirix™ RTS, S/AS01 Vaccine Development, Immunogenicity, and Efficacy","volume":"10","author":[{"family":"Nadeem","given":"Aroosa Younis"},{"family":"Shehzad","given":"Adeeb"},{"family":"Islam","given":"Salman Ul"},{"family":"Al-Suhaimi","given":"Ebtesam A."},{"family":"Lee","given":"Young Sup"}],"issued":{"date-parts":[["2022",5]]}}}],"schema":"https://github.com/citation-style-language/schema/raw/master/csl-citation.json"} </w:instrText>
      </w:r>
      <w:r w:rsidR="000C6629">
        <w:rPr>
          <w:rFonts w:ascii="Arial" w:hAnsi="Arial" w:cs="Arial"/>
        </w:rPr>
        <w:fldChar w:fldCharType="separate"/>
      </w:r>
      <w:r w:rsidR="000C6629" w:rsidRPr="000C6629">
        <w:rPr>
          <w:rFonts w:ascii="Arial" w:hAnsi="Arial" w:cs="Arial"/>
        </w:rPr>
        <w:t>(Nadeem et al., 2022)</w:t>
      </w:r>
      <w:r w:rsidR="000C6629">
        <w:rPr>
          <w:rFonts w:ascii="Arial" w:hAnsi="Arial" w:cs="Arial"/>
        </w:rPr>
        <w:fldChar w:fldCharType="end"/>
      </w:r>
      <w:r>
        <w:rPr>
          <w:rFonts w:ascii="Arial" w:hAnsi="Arial" w:cs="Arial"/>
        </w:rPr>
        <w:t xml:space="preserve">. </w:t>
      </w:r>
      <w:r w:rsidRPr="006B6ED7">
        <w:rPr>
          <w:rFonts w:ascii="Arial" w:hAnsi="Arial" w:cs="Arial"/>
        </w:rPr>
        <w:t xml:space="preserve">ACTs, recommended by the WHO, are currently used as first-line antimalarial treatment worldwide. However, current efforts to reduce the global malaria burden are threatened by the rapid emergence and spread of P. falciparum resistance to ACTs, including artemisinin derivatives and their associated drugs </w:t>
      </w:r>
      <w:r w:rsidR="000C6629">
        <w:rPr>
          <w:rFonts w:ascii="Arial" w:hAnsi="Arial" w:cs="Arial"/>
        </w:rPr>
        <w:fldChar w:fldCharType="begin"/>
      </w:r>
      <w:r w:rsidR="000C6629">
        <w:rPr>
          <w:rFonts w:ascii="Arial" w:hAnsi="Arial" w:cs="Arial"/>
        </w:rPr>
        <w:instrText xml:space="preserve"> ADDIN ZOTERO_ITEM CSL_CITATION {"citationID":"vU8d154P","properties":{"formattedCitation":"(Salifu et al., 2023)","plainCitation":"(Salifu et al., 2023)","noteIndex":0},"citationItems":[{"id":15019,"uris":["http://zotero.org/users/8036093/items/UEXERYYL"],"itemData":{"id":15019,"type":"article-journal","abstract":"Malaria caused by Plasmodium falciparum remains one of the fatal parasitic diseases that has affected nearly a third of the world's population. The major impediment to the treatment of malaria is the emergence of resistance of the P. falciparum parasite to current anti-malarial therapeutics such as Artemisinin (ART)-based combination therapy (ACT). This has resulted in countless efforts to develop novel therapeutics that will counter this resistance with the aim of controlling and eradicating the disease. The application of in silico modelling techniques has gained a lot of recognition in antimalarial drug research in recent times. Key biological components of the parasite have been targeted for rational drug design leveraging in silico applications. In this study various in silico techniques such as Virtual screening, molecular docking, and molecular dynamic simulations were employed to identify potential new inhibitors of biotin acetyl-coenzyme A (CoA) carboxylase and enoyl-acyl carrier protein reductase, two enzyme targets that play a crucial role in fatty acid synthesis in the Plasmodium parasite. Initially, 9 hit compounds were identified for each of the two enzymes from the ZincPharmer database. Subsequently, all hit compounds bound favourably to the two enzymes' active sites and showed excellent pharmacokinetic properties. Three (3) of the hits for the biotin acetyl-coenzyme A (CoA) carboxylase and six (6) of the enoyl-acyl carrier protein reductase showed good toxicity properties. The compounds were further evaluated based on the Molecular Dynamics (MD) simulation that confirmed the binding stability of the compounds to the targeted proteins. Overall, the lead compounds Zinc38980461, Zinc05378039, and Zinc15772056, were identified for acetyl-coenzyme A (CoA) carboxylase whiles zinc94085628, zinc93656835, zinc94080670, zinc1774609, zinc94821232, and Zinc94919772 were identified as lead compounds for enoyl-acyl carrier protein reductase. The identified compounds could be developed as a treatment option for malaria disease although, experimental validation is suggested for further evaluation of the work.","container-title":"Frontiers in Drug Discovery","DOI":"10.3389/fddsv.2023.1087008","ISSN":"2674-0338","journalAbbreviation":"Front. Drug Discov.","language":"English","note":"publisher: Frontiers","source":"Frontiers","title":"In silico identification of potential inhibitors of acyl carrier protein reductase and acetyl CoA carboxylase of Plasmodium falciparum in antimalarial therapy","URL":"https://www.frontiersin.org/journals/drug-discovery/articles/10.3389/fddsv.2023.1087008/full","volume":"3","author":[{"family":"Salifu","given":"Elliasu Y."},{"family":"Abugri","given":"James"},{"family":"Rashid","given":"Issahaku A."},{"family":"Osei","given":"Festus"},{"family":"Ayariga","given":"Joseph Atia"}],"accessed":{"date-parts":[["2025",8,2]]},"issued":{"date-parts":[["2023",1,20]]}}}],"schema":"https://github.com/citation-style-language/schema/raw/master/csl-citation.json"} </w:instrText>
      </w:r>
      <w:r w:rsidR="000C6629">
        <w:rPr>
          <w:rFonts w:ascii="Arial" w:hAnsi="Arial" w:cs="Arial"/>
        </w:rPr>
        <w:fldChar w:fldCharType="separate"/>
      </w:r>
      <w:r w:rsidR="000C6629" w:rsidRPr="000C6629">
        <w:rPr>
          <w:rFonts w:ascii="Arial" w:hAnsi="Arial" w:cs="Arial"/>
        </w:rPr>
        <w:t>(Salifu et al., 2023)</w:t>
      </w:r>
      <w:r w:rsidR="000C6629">
        <w:rPr>
          <w:rFonts w:ascii="Arial" w:hAnsi="Arial" w:cs="Arial"/>
        </w:rPr>
        <w:fldChar w:fldCharType="end"/>
      </w:r>
      <w:r w:rsidRPr="006B6ED7">
        <w:rPr>
          <w:rFonts w:ascii="Arial" w:hAnsi="Arial" w:cs="Arial"/>
        </w:rPr>
        <w:t>.</w:t>
      </w:r>
      <w:r w:rsidRPr="006B6ED7">
        <w:t xml:space="preserve"> </w:t>
      </w:r>
      <w:r w:rsidRPr="006B6ED7">
        <w:rPr>
          <w:rFonts w:ascii="Arial" w:hAnsi="Arial" w:cs="Arial"/>
        </w:rPr>
        <w:t>Given the high mortality and morbidity and the emergence and spread of resistance to existing drugs, there is no doubt that new drugs are needed.</w:t>
      </w:r>
    </w:p>
    <w:p w14:paraId="2793B37E" w14:textId="1F642C84" w:rsidR="0091355C" w:rsidRDefault="0091355C" w:rsidP="001B1B68">
      <w:pPr>
        <w:jc w:val="both"/>
        <w:rPr>
          <w:rFonts w:ascii="Arial" w:hAnsi="Arial" w:cs="Arial"/>
          <w:b/>
          <w:caps/>
        </w:rPr>
      </w:pPr>
      <w:r w:rsidRPr="0091355C">
        <w:rPr>
          <w:rFonts w:ascii="Arial" w:hAnsi="Arial" w:cs="Arial"/>
        </w:rPr>
        <w:t>To achieve this goal, antimalarial drug research must focus on identifying new therapeutic targets to generate new drug candidates.</w:t>
      </w:r>
      <w:r>
        <w:rPr>
          <w:rFonts w:ascii="Arial" w:hAnsi="Arial" w:cs="Arial"/>
        </w:rPr>
        <w:t xml:space="preserve"> </w:t>
      </w:r>
      <w:r w:rsidRPr="0091355C">
        <w:rPr>
          <w:rFonts w:ascii="Arial" w:hAnsi="Arial" w:cs="Arial"/>
        </w:rPr>
        <w:t xml:space="preserve">Several approaches are used to identify therapeutic targets among these: direct biochemical methods, genetic interaction methods and computational inference methods </w:t>
      </w:r>
      <w:r w:rsidR="00C6354B">
        <w:rPr>
          <w:rFonts w:ascii="Arial" w:hAnsi="Arial" w:cs="Arial"/>
          <w:b/>
          <w:caps/>
        </w:rPr>
        <w:fldChar w:fldCharType="begin"/>
      </w:r>
      <w:r w:rsidR="002B3C8D">
        <w:rPr>
          <w:rFonts w:ascii="Arial" w:hAnsi="Arial" w:cs="Arial"/>
          <w:b/>
        </w:rPr>
        <w:instrText xml:space="preserve"> ADDIN ZOTERO_ITEM CSL_CITATION {"citationID":"Yhfs66ZM","properties":{"formattedCitation":"(Schenone et al., 2013)","plainCitation":"(SCHENONE ET AL., 2013)","dontUpdate":true,"noteIndex":0},"citationItems":[{"id":571,"uris":["http://zotero.org/users/8036093/items/IY4C26VC"],"itemData":{"id":571,"type":"article-journal","abstract":"Target-identification and mechanism-of-action studies have important roles in small-molecule probe and drug discovery. Biological and technological advances have resulted in the increasing use of cell-based assays to discover new biologically active small molecules. Such studies allow small-molecule action to be tested in a more disease-relevant setting at the outset, but they require follow-up studies to determine the precise protein target or targets responsible for the observed phenotype. Target identification can be approached by direct biochemical methods, genetic interactions or computational inference. In many cases, however, combinations of approaches may be required to fully characterize on-target and off-target effects and to understand mechanisms of small-molecule action.","container-title":"Nature chemical biology","DOI":"10.1038/nchembio.1199","ISSN":"1552-4450","issue":"4","journalAbbreviation":"Nat Chem Biol","note":"PMID: 23508189\nPMCID: PMC5543995","page":"232-240","source":"PubMed Central","title":"Target identification and mechanism of action in chemical biology and drug discovery","volume":"9","author":[{"family":"Schenone","given":"Monica"},{"family":"Dančík","given":"Vlado"},{"family":"Wagner","given":"Bridget K"},{"family":"Clemons","given":"Paul A"}],"issued":{"date-parts":[["2013",4]]}}}],"schema":"https://github.com/citation-style-language/schema/raw/master/csl-citation.json"} </w:instrText>
      </w:r>
      <w:r w:rsidR="00C6354B">
        <w:rPr>
          <w:rFonts w:ascii="Arial" w:hAnsi="Arial" w:cs="Arial"/>
          <w:b/>
          <w:caps/>
        </w:rPr>
        <w:fldChar w:fldCharType="separate"/>
      </w:r>
      <w:r w:rsidR="00C6354B" w:rsidRPr="00C6354B">
        <w:rPr>
          <w:rFonts w:ascii="Arial" w:hAnsi="Arial" w:cs="Arial"/>
        </w:rPr>
        <w:t>(Schenone et al., 2013)</w:t>
      </w:r>
      <w:r w:rsidR="00C6354B">
        <w:rPr>
          <w:rFonts w:ascii="Arial" w:hAnsi="Arial" w:cs="Arial"/>
          <w:b/>
          <w:caps/>
        </w:rPr>
        <w:fldChar w:fldCharType="end"/>
      </w:r>
      <w:r w:rsidRPr="0091355C">
        <w:rPr>
          <w:rFonts w:ascii="Arial" w:hAnsi="Arial" w:cs="Arial"/>
        </w:rPr>
        <w:t xml:space="preserve">. There is also IVIEWGA (In Vitro Evolution and Whole-Genome Analysis) which is a reverse genetic method that takes compounds that have activity in phenotypic assays and then identifies the target. A CRISPR/Cas9 Pipeline, metabolomic profiling, </w:t>
      </w:r>
      <w:proofErr w:type="spellStart"/>
      <w:r w:rsidRPr="0091355C">
        <w:rPr>
          <w:rFonts w:ascii="Arial" w:hAnsi="Arial" w:cs="Arial"/>
        </w:rPr>
        <w:t>chemoproteomics</w:t>
      </w:r>
      <w:proofErr w:type="spellEnd"/>
      <w:r w:rsidRPr="0091355C">
        <w:rPr>
          <w:rFonts w:ascii="Arial" w:hAnsi="Arial" w:cs="Arial"/>
        </w:rPr>
        <w:t xml:space="preserve">, in Silico Approaches </w:t>
      </w:r>
      <w:r w:rsidR="00C6354B">
        <w:rPr>
          <w:rFonts w:ascii="Arial" w:hAnsi="Arial" w:cs="Arial"/>
        </w:rPr>
        <w:fldChar w:fldCharType="begin"/>
      </w:r>
      <w:r w:rsidR="00C6354B">
        <w:rPr>
          <w:rFonts w:ascii="Arial" w:hAnsi="Arial" w:cs="Arial"/>
        </w:rPr>
        <w:instrText xml:space="preserve"> ADDIN ZOTERO_ITEM CSL_CITATION {"citationID":"0fBPkYHZ","properties":{"formattedCitation":"(Yang et al., 2021)","plainCitation":"(Yang et al., 2021)","noteIndex":0},"citationItems":[{"id":15023,"uris":["http://zotero.org/users/8036093/items/2P7STYBS"],"itemData":{"id":15023,"type":"article-journal","container-title":"Trends in Parasitology","DOI":"10.1016/j.pt.2021.01.009","ISSN":"1471-4922, 1471-5007","issue":"6","journalAbbreviation":"Trends in Parasitology","language":"English","note":"publisher: Elsevier\nPMID: 33648890","page":"493-507","source":"www.cell.com","title":"MalDA, Accelerating Malaria Drug Discovery","volume":"37","author":[{"family":"Yang","given":"Tuo"},{"family":"Ottilie","given":"Sabine"},{"family":"Istvan","given":"Eva S."},{"family":"Godinez-Macias","given":"Karla P."},{"family":"Lukens","given":"Amanda K."},{"family":"Baragaña","given":"Beatriz"},{"family":"Campo","given":"Brice"},{"family":"Walpole","given":"Chris"},{"family":"Niles","given":"Jacquin C."},{"family":"Chibale","given":"Kelly"},{"family":"Dechering","given":"Koen J."},{"family":"Llinás","given":"Manuel"},{"family":"Lee","given":"Marcus C. S."},{"family":"Kato","given":"Nobutaka"},{"family":"Wyllie","given":"Susan"},{"family":"McNamara","given":"Case W."},{"family":"Gamo","given":"Francisco Javier"},{"family":"Burrows","given":"Jeremy"},{"family":"Fidock","given":"David A."},{"family":"Goldberg","given":"Daniel E."},{"family":"Gilbert","given":"Ian H."},{"family":"Wirth","given":"Dyann F."},{"family":"Winzeler","given":"Elizabeth A."}],"issued":{"date-parts":[["2021",6,1]]}}}],"schema":"https://github.com/citation-style-language/schema/raw/master/csl-citation.json"} </w:instrText>
      </w:r>
      <w:r w:rsidR="00C6354B">
        <w:rPr>
          <w:rFonts w:ascii="Arial" w:hAnsi="Arial" w:cs="Arial"/>
        </w:rPr>
        <w:fldChar w:fldCharType="separate"/>
      </w:r>
      <w:r w:rsidR="00C6354B" w:rsidRPr="00C6354B">
        <w:rPr>
          <w:rFonts w:ascii="Arial" w:hAnsi="Arial" w:cs="Arial"/>
        </w:rPr>
        <w:t>(Yang et al., 2021)</w:t>
      </w:r>
      <w:r w:rsidR="00C6354B">
        <w:rPr>
          <w:rFonts w:ascii="Arial" w:hAnsi="Arial" w:cs="Arial"/>
        </w:rPr>
        <w:fldChar w:fldCharType="end"/>
      </w:r>
      <w:r w:rsidRPr="0091355C">
        <w:rPr>
          <w:rFonts w:ascii="Arial" w:hAnsi="Arial" w:cs="Arial"/>
        </w:rPr>
        <w:t>.</w:t>
      </w:r>
    </w:p>
    <w:p w14:paraId="57291F21" w14:textId="66E2B629" w:rsidR="00BE5530" w:rsidRPr="00BE5530" w:rsidRDefault="0091355C" w:rsidP="001B1B68">
      <w:pPr>
        <w:jc w:val="both"/>
        <w:rPr>
          <w:rFonts w:ascii="Arial" w:hAnsi="Arial" w:cs="Arial"/>
          <w:b/>
          <w:caps/>
        </w:rPr>
      </w:pPr>
      <w:r w:rsidRPr="0091355C">
        <w:rPr>
          <w:rFonts w:ascii="Arial" w:hAnsi="Arial" w:cs="Arial"/>
        </w:rPr>
        <w:t xml:space="preserve">Given that experimental investigations of potential drug targets are time-consuming and costly, it is worthwhile to conduct </w:t>
      </w:r>
      <w:proofErr w:type="spellStart"/>
      <w:r w:rsidRPr="00F13A2E">
        <w:rPr>
          <w:rFonts w:ascii="Arial" w:hAnsi="Arial" w:cs="Arial"/>
          <w:i/>
          <w:iCs/>
        </w:rPr>
        <w:t>insilico</w:t>
      </w:r>
      <w:proofErr w:type="spellEnd"/>
      <w:r w:rsidRPr="0091355C">
        <w:rPr>
          <w:rFonts w:ascii="Arial" w:hAnsi="Arial" w:cs="Arial"/>
        </w:rPr>
        <w:t xml:space="preserve"> analyses to identify promising proteins that are most worthy for further experimental investigations. These analyses consider characteristics generally considered desirable for a drug target, including essentiality, </w:t>
      </w:r>
      <w:proofErr w:type="spellStart"/>
      <w:r w:rsidRPr="0091355C">
        <w:rPr>
          <w:rFonts w:ascii="Arial" w:hAnsi="Arial" w:cs="Arial"/>
        </w:rPr>
        <w:t>druggability</w:t>
      </w:r>
      <w:proofErr w:type="spellEnd"/>
      <w:r w:rsidRPr="0091355C">
        <w:rPr>
          <w:rFonts w:ascii="Arial" w:hAnsi="Arial" w:cs="Arial"/>
        </w:rPr>
        <w:t xml:space="preserve"> (whether drug-like molecules are likely to interact with the target), </w:t>
      </w:r>
      <w:proofErr w:type="spellStart"/>
      <w:r w:rsidRPr="0091355C">
        <w:rPr>
          <w:rFonts w:ascii="Arial" w:hAnsi="Arial" w:cs="Arial"/>
        </w:rPr>
        <w:t>assayability</w:t>
      </w:r>
      <w:proofErr w:type="spellEnd"/>
      <w:r w:rsidRPr="0091355C">
        <w:rPr>
          <w:rFonts w:ascii="Arial" w:hAnsi="Arial" w:cs="Arial"/>
        </w:rPr>
        <w:t xml:space="preserve">, specificity/selectivity (ability to inhibit the pathogen without harming the host), and importance in pathogen life-cycle stages that are relevant to human health </w:t>
      </w:r>
      <w:r w:rsidR="00C6354B">
        <w:rPr>
          <w:rFonts w:ascii="Arial" w:hAnsi="Arial" w:cs="Arial"/>
          <w:b/>
          <w:caps/>
        </w:rPr>
        <w:fldChar w:fldCharType="begin"/>
      </w:r>
      <w:r w:rsidR="002B3C8D">
        <w:rPr>
          <w:rFonts w:ascii="Arial" w:hAnsi="Arial" w:cs="Arial"/>
          <w:b/>
        </w:rPr>
        <w:instrText xml:space="preserve"> ADDIN ZOTERO_ITEM CSL_CITATION {"citationID":"anpOiAys","properties":{"formattedCitation":"(Crowther et al., 2010)","plainCitation":"(CROWTHER ET AL., 2010)","dontUpdate":true,"noteIndex":0},"citationItems":[{"id":168,"uris":["http://zotero.org/users/8036093/items/69MU9DJG"],"itemData":{"id":168,"type":"article-journal","abstract":"In cell-based drug development, researchers attempt to create drugs that kill a pathogen without necessarily understanding the details of how the drugs work. In contrast, target-based drug development entails the search for compounds that act on a specific intracellular target—often a protein known or suspected to be required for survival of the pathogen. The latter approach to drug development has been facilitated greatly by the sequencing of many pathogen genomes and the incorporation of genome data into user-friendly databases. The present paper shows how the database TDRtargets.org can identify proteins that might be considered good drug targets for diseases such as African sleeping sickness, Chagas disease, parasitic worm infections, tuberculosis, and malaria. These proteins may score highly in searches of the database because they are dissimilar to human proteins, are structurally similar to other “druggable” proteins, have functions that are easy to measure, and/or fulfill other criteria. Researchers can use the lists of high-scoring proteins as a basis for deciding which potential drug targets to pursue experimentally.","container-title":"PLoS Neglected Tropical Diseases","DOI":"10.1371/journal.pntd.0000804","ISSN":"1935-2727","issue":"8","journalAbbreviation":"PLoS Negl Trop Dis","note":"PMID: 20808766\nPMCID: PMC2927427","page":"e804","source":"PubMed Central","title":"Identification of Attractive Drug Targets in Neglected-Disease Pathogens Using an In Silico Approach","volume":"4","author":[{"family":"Crowther","given":"Gregory J."},{"family":"Shanmugam","given":"Dhanasekaran"},{"family":"Carmona","given":"Santiago J."},{"family":"Doyle","given":"Maria A."},{"family":"Hertz-Fowler","given":"Christiane"},{"family":"Berriman","given":"Matthew"},{"family":"Nwaka","given":"Solomon"},{"family":"Ralph","given":"Stuart A."},{"family":"Roos","given":"David S."},{"family":"Van Voorhis","given":"Wesley C."},{"family":"Agüero","given":"Fernán"}],"issued":{"date-parts":[["2010",8,24]]}}}],"schema":"https://github.com/citation-style-language/schema/raw/master/csl-citation.json"} </w:instrText>
      </w:r>
      <w:r w:rsidR="00C6354B">
        <w:rPr>
          <w:rFonts w:ascii="Arial" w:hAnsi="Arial" w:cs="Arial"/>
          <w:b/>
          <w:caps/>
        </w:rPr>
        <w:fldChar w:fldCharType="separate"/>
      </w:r>
      <w:r w:rsidR="00C6354B" w:rsidRPr="00C6354B">
        <w:rPr>
          <w:rFonts w:ascii="Arial" w:hAnsi="Arial" w:cs="Arial"/>
        </w:rPr>
        <w:t>(Crowther et al., 2010)</w:t>
      </w:r>
      <w:r w:rsidR="00C6354B">
        <w:rPr>
          <w:rFonts w:ascii="Arial" w:hAnsi="Arial" w:cs="Arial"/>
          <w:b/>
          <w:caps/>
        </w:rPr>
        <w:fldChar w:fldCharType="end"/>
      </w:r>
      <w:r>
        <w:rPr>
          <w:rFonts w:ascii="Arial" w:hAnsi="Arial" w:cs="Arial"/>
        </w:rPr>
        <w:t>.</w:t>
      </w:r>
      <w:r w:rsidR="00BE5530" w:rsidRPr="00BE5530">
        <w:t xml:space="preserve"> </w:t>
      </w:r>
      <w:r w:rsidR="00BE5530" w:rsidRPr="00BE5530">
        <w:rPr>
          <w:rFonts w:ascii="Arial" w:hAnsi="Arial" w:cs="Arial"/>
        </w:rPr>
        <w:t>Also, according to the parasite life cycle, clinical symptoms of malaria appear during the intraerythrocytic stage of parasite development in host red blood cells</w:t>
      </w:r>
      <w:r w:rsidR="00BE5530">
        <w:rPr>
          <w:rFonts w:ascii="Arial" w:hAnsi="Arial" w:cs="Arial"/>
        </w:rPr>
        <w:t xml:space="preserve"> </w:t>
      </w:r>
      <w:r w:rsidR="00C6354B">
        <w:rPr>
          <w:rFonts w:ascii="Arial" w:hAnsi="Arial" w:cs="Arial"/>
        </w:rPr>
        <w:fldChar w:fldCharType="begin"/>
      </w:r>
      <w:r w:rsidR="00534D51">
        <w:rPr>
          <w:rFonts w:ascii="Arial" w:hAnsi="Arial" w:cs="Arial"/>
        </w:rPr>
        <w:instrText xml:space="preserve"> ADDIN ZOTERO_ITEM CSL_CITATION {"citationID":"rpDGWHGH","properties":{"formattedCitation":"(Rout et al., 2017)","plainCitation":"(Rout et al., 2017)","noteIndex":0},"citationItems":[{"id":15028,"uris":["http://zotero.org/users/8036093/items/SE6FJLVI"],"itemData":{"id":15028,"type":"article-journal","abstract":"The apicomplexan parasite Plasmodium falciparum is responsible for global malaria burden. With the reported resistance to artemisinin chemotherapy, there is an urgent need to maintain early phase drug discovery and identify novel drug targets for successful eradication of the pathogen from the host. In our previous work on comparative genomics study for identification of putative essential genes and therapeutic candidates in P. falciparum, we predicted 11 proteins as anti-malarial drug targets from PlasmoDB database. In this paper, we made an attempt for identification of novel drug targets in P. falciparum genome using a sequence of computational methods from Malaria Parasite Metabolic Pathway database. The study reported the identification of 71 proteins as potential drug targets for anti-malarial interventions. Furthermore, homology modeling and molecular dynamic simulation study of one of the potential drug targets, aminodeoxychorismate lyase, was carried to predict the 3D structure of the protein. Structure and ligand-based drug designing reported MMV019742 from Pathogen Box and TCAMS-141515 from GSK-TCAMS library as potential hits. The reliability of the binding mode of the inhibitors is confirmed by GROMACS for a simulation time of 20 ns in water environment. This will be helpful for experimental validation of the small-molecule inhibitor.","container-title":"Parasitology Research","DOI":"10.1007/s00436-017-5563-2","ISSN":"1432-1955","issue":"9","journalAbbreviation":"Parasitol Res","language":"eng","note":"PMID: 28755265","page":"2539-2559","source":"PubMed","title":"An in silico strategy for identification of novel drug targets against Plasmodium falciparum","volume":"116","author":[{"family":"Rout","given":"Subhashree"},{"family":"Patra","given":"Namrata Priyadarshini"},{"family":"Mahapatra","given":"Rajani Kanta"}],"issued":{"date-parts":[["2017",9]]}}}],"schema":"https://github.com/citation-style-language/schema/raw/master/csl-citation.json"} </w:instrText>
      </w:r>
      <w:r w:rsidR="00C6354B">
        <w:rPr>
          <w:rFonts w:ascii="Arial" w:hAnsi="Arial" w:cs="Arial"/>
        </w:rPr>
        <w:fldChar w:fldCharType="separate"/>
      </w:r>
      <w:r w:rsidR="00534D51" w:rsidRPr="00534D51">
        <w:rPr>
          <w:rFonts w:ascii="Arial" w:hAnsi="Arial" w:cs="Arial"/>
        </w:rPr>
        <w:t>(Rout et al., 2017)</w:t>
      </w:r>
      <w:r w:rsidR="00C6354B">
        <w:rPr>
          <w:rFonts w:ascii="Arial" w:hAnsi="Arial" w:cs="Arial"/>
        </w:rPr>
        <w:fldChar w:fldCharType="end"/>
      </w:r>
      <w:r w:rsidR="00BE5530">
        <w:rPr>
          <w:rFonts w:ascii="Arial" w:hAnsi="Arial" w:cs="Arial"/>
        </w:rPr>
        <w:t>.</w:t>
      </w:r>
      <w:r w:rsidR="00BE5530" w:rsidRPr="00BE5530">
        <w:rPr>
          <w:rFonts w:ascii="Arial" w:hAnsi="Arial" w:cs="Arial"/>
        </w:rPr>
        <w:tab/>
        <w:t>.</w:t>
      </w:r>
    </w:p>
    <w:p w14:paraId="24732053" w14:textId="51EE3C66" w:rsidR="00790ADA" w:rsidRPr="00125828" w:rsidRDefault="00BE5530" w:rsidP="001B1B68">
      <w:pPr>
        <w:pStyle w:val="AbstHead"/>
        <w:jc w:val="both"/>
        <w:rPr>
          <w:rFonts w:ascii="Arial" w:hAnsi="Arial" w:cs="Arial"/>
          <w:b w:val="0"/>
          <w:caps w:val="0"/>
          <w:sz w:val="20"/>
        </w:rPr>
      </w:pPr>
      <w:r w:rsidRPr="00BE5530">
        <w:rPr>
          <w:rFonts w:ascii="Arial" w:hAnsi="Arial" w:cs="Arial"/>
          <w:b w:val="0"/>
          <w:caps w:val="0"/>
          <w:sz w:val="20"/>
        </w:rPr>
        <w:t>The present study aims to establish a list of promising therapeutic targets based on rigorous criteria and targeting the intraerythrocytic stage.</w:t>
      </w:r>
    </w:p>
    <w:p w14:paraId="308D2ED6" w14:textId="5065EA1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850110" w14:textId="77777777" w:rsidR="00790ADA" w:rsidRDefault="00790ADA" w:rsidP="00441B6F">
      <w:pPr>
        <w:pStyle w:val="Body"/>
        <w:spacing w:after="0"/>
        <w:rPr>
          <w:rFonts w:ascii="Arial" w:hAnsi="Arial" w:cs="Arial"/>
        </w:rPr>
      </w:pPr>
    </w:p>
    <w:p w14:paraId="235D399C" w14:textId="337F0088" w:rsidR="001B3013" w:rsidRPr="001B3013" w:rsidRDefault="001B3013" w:rsidP="001B3013">
      <w:pPr>
        <w:pStyle w:val="Body"/>
        <w:rPr>
          <w:rFonts w:ascii="Arial" w:hAnsi="Arial" w:cs="Arial"/>
          <w:b/>
          <w:bCs/>
        </w:rPr>
      </w:pPr>
      <w:r w:rsidRPr="001B3013">
        <w:rPr>
          <w:rFonts w:ascii="Arial" w:hAnsi="Arial" w:cs="Arial"/>
          <w:b/>
          <w:bCs/>
        </w:rPr>
        <w:t>2.1 Screening for promising therapeutic targets</w:t>
      </w:r>
    </w:p>
    <w:p w14:paraId="74F3B884" w14:textId="03E37FC4" w:rsidR="009C69F8" w:rsidRDefault="00713C9E" w:rsidP="001B1B68">
      <w:pPr>
        <w:jc w:val="both"/>
        <w:rPr>
          <w:rFonts w:ascii="Arial" w:hAnsi="Arial" w:cs="Arial"/>
        </w:rPr>
      </w:pPr>
      <w:r w:rsidRPr="00713C9E">
        <w:rPr>
          <w:rFonts w:ascii="Arial" w:hAnsi="Arial" w:cs="Arial"/>
        </w:rPr>
        <w:t xml:space="preserve">To identify potential therapeutic targets in </w:t>
      </w:r>
      <w:r w:rsidRPr="00B14B1F">
        <w:rPr>
          <w:rFonts w:ascii="Arial" w:hAnsi="Arial" w:cs="Arial"/>
          <w:i/>
          <w:iCs/>
        </w:rPr>
        <w:t>Plasmodium falciparum</w:t>
      </w:r>
      <w:r w:rsidRPr="00713C9E">
        <w:rPr>
          <w:rFonts w:ascii="Arial" w:hAnsi="Arial" w:cs="Arial"/>
        </w:rPr>
        <w:t xml:space="preserve">, we used the TDR Targets database, validated by the World Health Organization’s Special </w:t>
      </w:r>
      <w:proofErr w:type="spellStart"/>
      <w:r w:rsidRPr="00713C9E">
        <w:rPr>
          <w:rFonts w:ascii="Arial" w:hAnsi="Arial" w:cs="Arial"/>
        </w:rPr>
        <w:t>Programme</w:t>
      </w:r>
      <w:proofErr w:type="spellEnd"/>
      <w:r w:rsidRPr="00713C9E">
        <w:rPr>
          <w:rFonts w:ascii="Arial" w:hAnsi="Arial" w:cs="Arial"/>
        </w:rPr>
        <w:t xml:space="preserve"> for Research and Training in Tropical Diseases (TDR). This database provides genome</w:t>
      </w:r>
      <w:r w:rsidR="0064742A">
        <w:rPr>
          <w:rFonts w:ascii="Arial" w:hAnsi="Arial" w:cs="Arial"/>
        </w:rPr>
        <w:t xml:space="preserve"> </w:t>
      </w:r>
      <w:r w:rsidRPr="00713C9E">
        <w:rPr>
          <w:rFonts w:ascii="Arial" w:hAnsi="Arial" w:cs="Arial"/>
        </w:rPr>
        <w:t>wide data on protein targets from 20 human pathogens and allows prioritization based on multiple drug discovery-relevant features</w:t>
      </w:r>
      <w:r w:rsidR="00534D51">
        <w:rPr>
          <w:rFonts w:ascii="Arial" w:hAnsi="Arial" w:cs="Arial"/>
        </w:rPr>
        <w:fldChar w:fldCharType="begin"/>
      </w:r>
      <w:r w:rsidR="00534D51">
        <w:rPr>
          <w:rFonts w:ascii="Arial" w:hAnsi="Arial" w:cs="Arial"/>
        </w:rPr>
        <w:instrText xml:space="preserve"> ADDIN ZOTERO_ITEM CSL_CITATION {"citationID":"ffQdlEnO","properties":{"formattedCitation":"(Ur\\uc0\\u225{}n\\uc0\\u160{}Landaburu et al., 2020)","plainCitation":"(Urán Landaburu et al., 2020)","noteIndex":0},"citationItems":[{"id":197,"uris":["http://zotero.org/users/8036093/items/6RHJ43GB"],"itemData":{"id":197,"type":"article-journal","abstract":"The volume of biological, chemical and functional data deposited in the public domain is growing rapidly, thanks to next generation sequencing and highly-automated screening technologies. These datasets represent invaluable resources for drug discovery, particularly for less studied neglected disease pathogens. To leverage these datasets, smart and intensive data integration is required to guide computational inferences across diverse organisms. The TDR Targets chemogenomics resource integrates genomic data from human pathogens and model organisms along with information on bioactive compounds and their annotated activities. This report highlights the latest updates on the available data and functionality in TDR Targets 6. Based on chemogenomic network models providing links between inhibitors and targets, the database now incorporates network-driven target prioritizations, and novel visualizations of network subgraphs displaying chemical- and target-similarity neighborhoods along with associated target-compound bioactivity links. Available data can be browsed and queried through a new user interface, that allow users to perform prioritizations of protein targets and chemical inhibitors. As such, TDR Targets now facilitates the investigation of drug repurposing against pathogen targets, which can potentially help in identifying candidate targets for bioactive compounds with previously unknown targets. TDR Targets is available at https://tdrtargets.org.","container-title":"Nucleic Acids Research","DOI":"10.1093/nar/gkz999","ISSN":"0305-1048","issue":"D1","journalAbbreviation":"Nucleic Acids Res","note":"PMID: 31680154\nPMCID: PMC7145610","page":"D992-D1005","source":"PubMed Central","title":"TDR Targets 6: driving drug discovery for human pathogens through intensive chemogenomic data integration","title-short":"TDR Targets 6","volume":"48","author":[{"family":"Urán Landaburu","given":"Lionel"},{"family":"Berenstein","given":"Ariel J"},{"family":"Videla","given":"Santiago"},{"family":"Maru","given":"Parag"},{"family":"Shanmugam","given":"Dhanasekaran"},{"family":"Chernomoretz","given":"Ariel"},{"family":"Agüero","given":"Fernán"}],"issued":{"date-parts":[["2020",1,8]]}}}],"schema":"https://github.com/citation-style-language/schema/raw/master/csl-citation.json"} </w:instrText>
      </w:r>
      <w:r w:rsidR="00534D51">
        <w:rPr>
          <w:rFonts w:ascii="Arial" w:hAnsi="Arial" w:cs="Arial"/>
        </w:rPr>
        <w:fldChar w:fldCharType="separate"/>
      </w:r>
      <w:r w:rsidR="00534D51" w:rsidRPr="00534D51">
        <w:rPr>
          <w:rFonts w:ascii="Arial" w:hAnsi="Arial" w:cs="Arial"/>
        </w:rPr>
        <w:t>(Urán Landaburu et al., 2020)</w:t>
      </w:r>
      <w:r w:rsidR="00534D51">
        <w:rPr>
          <w:rFonts w:ascii="Arial" w:hAnsi="Arial" w:cs="Arial"/>
        </w:rPr>
        <w:fldChar w:fldCharType="end"/>
      </w:r>
      <w:r w:rsidRPr="00713C9E">
        <w:rPr>
          <w:rFonts w:ascii="Arial" w:hAnsi="Arial" w:cs="Arial"/>
        </w:rPr>
        <w:t xml:space="preserve">.The “Targets” section of the database was used to extract a list of candidate </w:t>
      </w:r>
      <w:r w:rsidRPr="004D75F8">
        <w:rPr>
          <w:rFonts w:ascii="Arial" w:hAnsi="Arial" w:cs="Arial"/>
          <w:i/>
          <w:iCs/>
        </w:rPr>
        <w:t>P. falciparum</w:t>
      </w:r>
      <w:r w:rsidRPr="00713C9E">
        <w:rPr>
          <w:rFonts w:ascii="Arial" w:hAnsi="Arial" w:cs="Arial"/>
        </w:rPr>
        <w:t xml:space="preserve"> proteins applying the following selection criteria</w:t>
      </w:r>
      <w:r w:rsidR="00933FF3">
        <w:rPr>
          <w:rFonts w:ascii="Arial" w:hAnsi="Arial" w:cs="Arial"/>
        </w:rPr>
        <w:t xml:space="preserve"> </w:t>
      </w:r>
      <w:r w:rsidR="00933FF3" w:rsidRPr="00B66744">
        <w:rPr>
          <w:rFonts w:ascii="Arial" w:hAnsi="Arial" w:cs="Arial"/>
        </w:rPr>
        <w:t>f</w:t>
      </w:r>
      <w:r w:rsidRPr="00B66744">
        <w:rPr>
          <w:rFonts w:ascii="Arial" w:hAnsi="Arial" w:cs="Arial"/>
        </w:rPr>
        <w:t xml:space="preserve">ocus on </w:t>
      </w:r>
      <w:r w:rsidRPr="00B66744">
        <w:rPr>
          <w:rFonts w:ascii="Arial" w:hAnsi="Arial" w:cs="Arial"/>
          <w:i/>
          <w:iCs/>
        </w:rPr>
        <w:t>P. falciparum</w:t>
      </w:r>
      <w:r w:rsidRPr="00B66744">
        <w:rPr>
          <w:rFonts w:ascii="Arial" w:hAnsi="Arial" w:cs="Arial"/>
        </w:rPr>
        <w:t>, the main causative agent of severe malaria</w:t>
      </w:r>
      <w:r w:rsidR="00F821A4" w:rsidRPr="00B66744">
        <w:rPr>
          <w:rFonts w:ascii="Arial" w:hAnsi="Arial" w:cs="Arial"/>
        </w:rPr>
        <w:t>, h</w:t>
      </w:r>
      <w:r w:rsidRPr="00B66744">
        <w:rPr>
          <w:rFonts w:ascii="Arial" w:hAnsi="Arial" w:cs="Arial"/>
        </w:rPr>
        <w:t xml:space="preserve">igh expression level (80th to 100th percentile) during the intraerythrocytic stage, which is the parasite phase when malaria symptoms occur, ensuring functional </w:t>
      </w:r>
      <w:proofErr w:type="spellStart"/>
      <w:r w:rsidRPr="00B66744">
        <w:rPr>
          <w:rFonts w:ascii="Arial" w:hAnsi="Arial" w:cs="Arial"/>
        </w:rPr>
        <w:t>importance</w:t>
      </w:r>
      <w:r w:rsidR="00F821A4" w:rsidRPr="00B66744">
        <w:rPr>
          <w:rFonts w:ascii="Arial" w:hAnsi="Arial" w:cs="Arial"/>
        </w:rPr>
        <w:t>,e</w:t>
      </w:r>
      <w:r w:rsidRPr="00B66744">
        <w:rPr>
          <w:rFonts w:ascii="Arial" w:hAnsi="Arial" w:cs="Arial"/>
        </w:rPr>
        <w:t>xpression</w:t>
      </w:r>
      <w:proofErr w:type="spellEnd"/>
      <w:r w:rsidRPr="00B66744">
        <w:rPr>
          <w:rFonts w:ascii="Arial" w:hAnsi="Arial" w:cs="Arial"/>
        </w:rPr>
        <w:t xml:space="preserve"> data from the Otto TD dataset for reliable gene activity </w:t>
      </w:r>
      <w:proofErr w:type="spellStart"/>
      <w:r w:rsidRPr="00B66744">
        <w:rPr>
          <w:rFonts w:ascii="Arial" w:hAnsi="Arial" w:cs="Arial"/>
        </w:rPr>
        <w:t>profiling</w:t>
      </w:r>
      <w:r w:rsidR="00FB6045" w:rsidRPr="00B66744">
        <w:rPr>
          <w:rFonts w:ascii="Arial" w:hAnsi="Arial" w:cs="Arial"/>
        </w:rPr>
        <w:t>,a</w:t>
      </w:r>
      <w:r w:rsidRPr="00B66744">
        <w:rPr>
          <w:rFonts w:ascii="Arial" w:hAnsi="Arial" w:cs="Arial"/>
        </w:rPr>
        <w:t>bsence</w:t>
      </w:r>
      <w:proofErr w:type="spellEnd"/>
      <w:r w:rsidRPr="00B66744">
        <w:rPr>
          <w:rFonts w:ascii="Arial" w:hAnsi="Arial" w:cs="Arial"/>
        </w:rPr>
        <w:t xml:space="preserve"> of homologs in </w:t>
      </w:r>
      <w:r w:rsidRPr="00B66744">
        <w:rPr>
          <w:rFonts w:ascii="Arial" w:hAnsi="Arial" w:cs="Arial"/>
          <w:i/>
          <w:iCs/>
        </w:rPr>
        <w:t>Homo sapiens</w:t>
      </w:r>
      <w:r w:rsidRPr="00B66744">
        <w:rPr>
          <w:rFonts w:ascii="Arial" w:hAnsi="Arial" w:cs="Arial"/>
        </w:rPr>
        <w:t xml:space="preserve"> to avoid potential toxicity to the human host</w:t>
      </w:r>
      <w:r w:rsidR="00FB6045" w:rsidRPr="00B66744">
        <w:rPr>
          <w:rFonts w:ascii="Arial" w:hAnsi="Arial" w:cs="Arial"/>
        </w:rPr>
        <w:t>, e</w:t>
      </w:r>
      <w:r w:rsidRPr="00B66744">
        <w:rPr>
          <w:rFonts w:ascii="Arial" w:hAnsi="Arial" w:cs="Arial"/>
        </w:rPr>
        <w:t xml:space="preserve">ssentiality determined based on </w:t>
      </w:r>
      <w:r w:rsidRPr="00B66744">
        <w:rPr>
          <w:rFonts w:ascii="Arial" w:hAnsi="Arial" w:cs="Arial"/>
          <w:i/>
          <w:iCs/>
        </w:rPr>
        <w:t xml:space="preserve">Plasmodium </w:t>
      </w:r>
      <w:proofErr w:type="spellStart"/>
      <w:r w:rsidRPr="00B66744">
        <w:rPr>
          <w:rFonts w:ascii="Arial" w:hAnsi="Arial" w:cs="Arial"/>
          <w:i/>
          <w:iCs/>
        </w:rPr>
        <w:t>berghei</w:t>
      </w:r>
      <w:proofErr w:type="spellEnd"/>
      <w:r w:rsidRPr="00B66744">
        <w:rPr>
          <w:rFonts w:ascii="Arial" w:hAnsi="Arial" w:cs="Arial"/>
        </w:rPr>
        <w:t xml:space="preserve"> </w:t>
      </w:r>
      <w:r w:rsidRPr="00B66744">
        <w:rPr>
          <w:rFonts w:ascii="Arial" w:hAnsi="Arial" w:cs="Arial"/>
        </w:rPr>
        <w:lastRenderedPageBreak/>
        <w:t xml:space="preserve">orthologs, indicating proteins vital for parasite </w:t>
      </w:r>
      <w:proofErr w:type="spellStart"/>
      <w:r w:rsidRPr="00B66744">
        <w:rPr>
          <w:rFonts w:ascii="Arial" w:hAnsi="Arial" w:cs="Arial"/>
        </w:rPr>
        <w:t>survival</w:t>
      </w:r>
      <w:r w:rsidR="00125828" w:rsidRPr="00B66744">
        <w:rPr>
          <w:rFonts w:ascii="Arial" w:hAnsi="Arial" w:cs="Arial"/>
        </w:rPr>
        <w:t>,n</w:t>
      </w:r>
      <w:r w:rsidRPr="00B66744">
        <w:rPr>
          <w:rFonts w:ascii="Arial" w:hAnsi="Arial" w:cs="Arial"/>
        </w:rPr>
        <w:t>etwork</w:t>
      </w:r>
      <w:proofErr w:type="spellEnd"/>
      <w:r w:rsidRPr="00B66744">
        <w:rPr>
          <w:rFonts w:ascii="Arial" w:hAnsi="Arial" w:cs="Arial"/>
        </w:rPr>
        <w:t xml:space="preserve"> </w:t>
      </w:r>
      <w:proofErr w:type="spellStart"/>
      <w:r w:rsidRPr="00B66744">
        <w:rPr>
          <w:rFonts w:ascii="Arial" w:hAnsi="Arial" w:cs="Arial"/>
        </w:rPr>
        <w:t>druggability</w:t>
      </w:r>
      <w:proofErr w:type="spellEnd"/>
      <w:r w:rsidRPr="00B66744">
        <w:rPr>
          <w:rFonts w:ascii="Arial" w:hAnsi="Arial" w:cs="Arial"/>
        </w:rPr>
        <w:t xml:space="preserve"> score ≤ 1, suggesting a high likelihood of interaction with drug-like molecules</w:t>
      </w:r>
      <w:r w:rsidR="00125828" w:rsidRPr="00B66744">
        <w:rPr>
          <w:rFonts w:ascii="Arial" w:hAnsi="Arial" w:cs="Arial"/>
        </w:rPr>
        <w:t xml:space="preserve"> and p</w:t>
      </w:r>
      <w:r w:rsidRPr="00B66744">
        <w:rPr>
          <w:rFonts w:ascii="Arial" w:hAnsi="Arial" w:cs="Arial"/>
        </w:rPr>
        <w:t>resence of bibliographic references in PubMed supporting biological relevance.</w:t>
      </w:r>
    </w:p>
    <w:p w14:paraId="044FB61C" w14:textId="77777777" w:rsidR="0062030A" w:rsidRDefault="0062030A" w:rsidP="00713C9E">
      <w:pPr>
        <w:spacing w:line="360" w:lineRule="auto"/>
        <w:jc w:val="both"/>
        <w:rPr>
          <w:rFonts w:ascii="Arial" w:hAnsi="Arial" w:cs="Arial"/>
        </w:rPr>
      </w:pPr>
    </w:p>
    <w:p w14:paraId="786EA444" w14:textId="4490DBDE" w:rsidR="001B3013" w:rsidRPr="001B3013" w:rsidRDefault="001B3013" w:rsidP="00713C9E">
      <w:pPr>
        <w:spacing w:line="360" w:lineRule="auto"/>
        <w:jc w:val="both"/>
        <w:rPr>
          <w:rFonts w:ascii="Arial" w:hAnsi="Arial" w:cs="Arial"/>
        </w:rPr>
      </w:pPr>
      <w:r w:rsidRPr="001B3013">
        <w:rPr>
          <w:rFonts w:ascii="Arial" w:hAnsi="Arial" w:cs="Arial"/>
        </w:rPr>
        <w:t>Table 1. Therapeutic target selection criteria in TDR target DB</w:t>
      </w:r>
    </w:p>
    <w:tbl>
      <w:tblPr>
        <w:tblStyle w:val="1"/>
        <w:tblW w:w="8095" w:type="dxa"/>
        <w:tblLayout w:type="fixed"/>
        <w:tblLook w:val="04A0" w:firstRow="1" w:lastRow="0" w:firstColumn="1" w:lastColumn="0" w:noHBand="0" w:noVBand="1"/>
      </w:tblPr>
      <w:tblGrid>
        <w:gridCol w:w="4508"/>
        <w:gridCol w:w="3587"/>
      </w:tblGrid>
      <w:tr w:rsidR="001B3013" w:rsidRPr="00044A32" w14:paraId="3FBA5C43" w14:textId="77777777" w:rsidTr="00933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5" w:type="dxa"/>
            <w:gridSpan w:val="2"/>
          </w:tcPr>
          <w:p w14:paraId="7A4838DC" w14:textId="77777777" w:rsidR="001B3013" w:rsidRPr="00044A32" w:rsidRDefault="001B3013" w:rsidP="001B3013">
            <w:pPr>
              <w:spacing w:line="360" w:lineRule="auto"/>
              <w:jc w:val="both"/>
              <w:rPr>
                <w:rFonts w:ascii="Times New Roman" w:hAnsi="Times New Roman"/>
              </w:rPr>
            </w:pPr>
            <w:r w:rsidRPr="001B3013">
              <w:rPr>
                <w:rFonts w:ascii="Arial" w:hAnsi="Arial" w:cs="Arial"/>
                <w:b w:val="0"/>
              </w:rPr>
              <w:t xml:space="preserve">Selection criteria for therapeutic targets in </w:t>
            </w:r>
            <w:proofErr w:type="spellStart"/>
            <w:r w:rsidRPr="001B3013">
              <w:rPr>
                <w:rFonts w:ascii="Arial" w:hAnsi="Arial" w:cs="Arial"/>
                <w:b w:val="0"/>
              </w:rPr>
              <w:t>TDR_target</w:t>
            </w:r>
            <w:proofErr w:type="spellEnd"/>
            <w:r w:rsidRPr="001B3013">
              <w:rPr>
                <w:rFonts w:ascii="Arial" w:hAnsi="Arial" w:cs="Arial"/>
                <w:b w:val="0"/>
              </w:rPr>
              <w:t xml:space="preserve"> DB</w:t>
            </w:r>
          </w:p>
        </w:tc>
      </w:tr>
      <w:tr w:rsidR="001B3013" w:rsidRPr="00044A32" w14:paraId="325AF6F7" w14:textId="77777777" w:rsidTr="0093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B72586B"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Select pathogen species</w:t>
            </w:r>
          </w:p>
        </w:tc>
        <w:tc>
          <w:tcPr>
            <w:tcW w:w="3587" w:type="dxa"/>
          </w:tcPr>
          <w:p w14:paraId="1CB6F829" w14:textId="77777777" w:rsidR="001B3013" w:rsidRPr="001B3013" w:rsidRDefault="001B3013" w:rsidP="002B1E5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1B3013">
              <w:rPr>
                <w:rFonts w:ascii="Arial" w:hAnsi="Arial" w:cs="Arial"/>
              </w:rPr>
              <w:t> </w:t>
            </w:r>
            <w:r w:rsidRPr="001B3013">
              <w:rPr>
                <w:rFonts w:ascii="Arial" w:hAnsi="Arial" w:cs="Arial"/>
                <w:i/>
                <w:iCs/>
              </w:rPr>
              <w:t>Plasmodium falciparum</w:t>
            </w:r>
          </w:p>
        </w:tc>
      </w:tr>
      <w:tr w:rsidR="001B3013" w:rsidRPr="00044A32" w14:paraId="1246B74D" w14:textId="77777777" w:rsidTr="00933FF3">
        <w:tc>
          <w:tcPr>
            <w:cnfStyle w:val="001000000000" w:firstRow="0" w:lastRow="0" w:firstColumn="1" w:lastColumn="0" w:oddVBand="0" w:evenVBand="0" w:oddHBand="0" w:evenHBand="0" w:firstRowFirstColumn="0" w:firstRowLastColumn="0" w:lastRowFirstColumn="0" w:lastRowLastColumn="0"/>
            <w:tcW w:w="4508" w:type="dxa"/>
          </w:tcPr>
          <w:p w14:paraId="66C132CD"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Expression level (percentile): </w:t>
            </w:r>
          </w:p>
        </w:tc>
        <w:tc>
          <w:tcPr>
            <w:tcW w:w="3587" w:type="dxa"/>
          </w:tcPr>
          <w:p w14:paraId="1CC6D0D8" w14:textId="77777777" w:rsidR="001B3013" w:rsidRPr="001B3013" w:rsidRDefault="001B3013" w:rsidP="002B1E5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B3013">
              <w:rPr>
                <w:rFonts w:ascii="Arial" w:hAnsi="Arial" w:cs="Arial"/>
              </w:rPr>
              <w:t>80-100% </w:t>
            </w:r>
          </w:p>
        </w:tc>
      </w:tr>
      <w:tr w:rsidR="001B3013" w:rsidRPr="00044A32" w14:paraId="5E7EBF1D" w14:textId="77777777" w:rsidTr="0093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DF2CDBA"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Life cycle stage: </w:t>
            </w:r>
          </w:p>
        </w:tc>
        <w:tc>
          <w:tcPr>
            <w:tcW w:w="3587" w:type="dxa"/>
          </w:tcPr>
          <w:p w14:paraId="26CB40B9" w14:textId="77777777" w:rsidR="001B3013" w:rsidRPr="001B3013" w:rsidRDefault="001B3013" w:rsidP="002B1E5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B3013">
              <w:rPr>
                <w:rFonts w:ascii="Arial" w:hAnsi="Arial" w:cs="Arial"/>
              </w:rPr>
              <w:t> Intra-erythrocytic</w:t>
            </w:r>
          </w:p>
        </w:tc>
      </w:tr>
      <w:tr w:rsidR="001B3013" w:rsidRPr="00044A32" w14:paraId="592164E6" w14:textId="77777777" w:rsidTr="00933FF3">
        <w:tc>
          <w:tcPr>
            <w:cnfStyle w:val="001000000000" w:firstRow="0" w:lastRow="0" w:firstColumn="1" w:lastColumn="0" w:oddVBand="0" w:evenVBand="0" w:oddHBand="0" w:evenHBand="0" w:firstRowFirstColumn="0" w:firstRowLastColumn="0" w:lastRowFirstColumn="0" w:lastRowLastColumn="0"/>
            <w:tcW w:w="4508" w:type="dxa"/>
          </w:tcPr>
          <w:p w14:paraId="3F76A76F"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Expression Dataset:</w:t>
            </w:r>
          </w:p>
        </w:tc>
        <w:tc>
          <w:tcPr>
            <w:tcW w:w="3587" w:type="dxa"/>
          </w:tcPr>
          <w:p w14:paraId="46021661" w14:textId="77777777" w:rsidR="001B3013" w:rsidRPr="001B3013" w:rsidRDefault="001B3013" w:rsidP="002B1E5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B3013">
              <w:rPr>
                <w:rFonts w:ascii="Arial" w:hAnsi="Arial" w:cs="Arial"/>
              </w:rPr>
              <w:t xml:space="preserve"> Otto TD</w:t>
            </w:r>
          </w:p>
        </w:tc>
      </w:tr>
      <w:tr w:rsidR="001B3013" w:rsidRPr="00044A32" w14:paraId="435BBB55" w14:textId="77777777" w:rsidTr="0093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28A757"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Phylogenetic distribution</w:t>
            </w:r>
          </w:p>
        </w:tc>
        <w:tc>
          <w:tcPr>
            <w:tcW w:w="3587" w:type="dxa"/>
          </w:tcPr>
          <w:p w14:paraId="3FA8A200" w14:textId="77777777" w:rsidR="001B3013" w:rsidRPr="001B3013" w:rsidRDefault="001B3013" w:rsidP="002B1E5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B3013">
              <w:rPr>
                <w:rFonts w:ascii="Arial" w:hAnsi="Arial" w:cs="Arial"/>
              </w:rPr>
              <w:t xml:space="preserve">not in </w:t>
            </w:r>
            <w:r w:rsidRPr="00F6401B">
              <w:rPr>
                <w:rFonts w:ascii="Arial" w:hAnsi="Arial" w:cs="Arial"/>
                <w:i/>
                <w:iCs/>
              </w:rPr>
              <w:t>H. sapiens</w:t>
            </w:r>
          </w:p>
        </w:tc>
      </w:tr>
      <w:tr w:rsidR="001B3013" w:rsidRPr="00044A32" w14:paraId="637C0B13" w14:textId="77777777" w:rsidTr="00933FF3">
        <w:tc>
          <w:tcPr>
            <w:cnfStyle w:val="001000000000" w:firstRow="0" w:lastRow="0" w:firstColumn="1" w:lastColumn="0" w:oddVBand="0" w:evenVBand="0" w:oddHBand="0" w:evenHBand="0" w:firstRowFirstColumn="0" w:firstRowLastColumn="0" w:lastRowFirstColumn="0" w:lastRowLastColumn="0"/>
            <w:tcW w:w="4508" w:type="dxa"/>
          </w:tcPr>
          <w:p w14:paraId="312E83D9"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Essential:</w:t>
            </w:r>
          </w:p>
        </w:tc>
        <w:tc>
          <w:tcPr>
            <w:tcW w:w="3587" w:type="dxa"/>
          </w:tcPr>
          <w:p w14:paraId="6084D8BF" w14:textId="77777777" w:rsidR="001B3013" w:rsidRPr="001B3013" w:rsidRDefault="001B3013" w:rsidP="002B1E5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B7026">
              <w:rPr>
                <w:rFonts w:ascii="Arial" w:hAnsi="Arial" w:cs="Arial"/>
                <w:i/>
                <w:iCs/>
              </w:rPr>
              <w:t xml:space="preserve">P. </w:t>
            </w:r>
            <w:proofErr w:type="spellStart"/>
            <w:r w:rsidRPr="006B7026">
              <w:rPr>
                <w:rFonts w:ascii="Arial" w:hAnsi="Arial" w:cs="Arial"/>
                <w:i/>
                <w:iCs/>
              </w:rPr>
              <w:t>berghei</w:t>
            </w:r>
            <w:proofErr w:type="spellEnd"/>
            <w:r w:rsidRPr="001B3013">
              <w:rPr>
                <w:rFonts w:ascii="Arial" w:hAnsi="Arial" w:cs="Arial"/>
              </w:rPr>
              <w:t xml:space="preserve"> essential</w:t>
            </w:r>
          </w:p>
        </w:tc>
      </w:tr>
      <w:tr w:rsidR="001B3013" w:rsidRPr="00044A32" w14:paraId="18B457B1" w14:textId="77777777" w:rsidTr="0093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8C1C320" w14:textId="29A786B1" w:rsidR="001B3013" w:rsidRPr="001B3013" w:rsidRDefault="001B3013" w:rsidP="002B1E59">
            <w:pPr>
              <w:spacing w:line="360" w:lineRule="auto"/>
              <w:jc w:val="both"/>
              <w:rPr>
                <w:rFonts w:ascii="Arial" w:hAnsi="Arial" w:cs="Arial"/>
                <w:b w:val="0"/>
              </w:rPr>
            </w:pPr>
            <w:r w:rsidRPr="001B3013">
              <w:rPr>
                <w:rFonts w:ascii="Arial" w:hAnsi="Arial" w:cs="Arial"/>
                <w:b w:val="0"/>
              </w:rPr>
              <w:t xml:space="preserve">Network </w:t>
            </w:r>
            <w:proofErr w:type="spellStart"/>
            <w:r w:rsidR="00197ADA" w:rsidRPr="001B3013">
              <w:rPr>
                <w:rFonts w:ascii="Arial" w:hAnsi="Arial" w:cs="Arial"/>
                <w:b w:val="0"/>
              </w:rPr>
              <w:t>Dr</w:t>
            </w:r>
            <w:r w:rsidR="00A81E87">
              <w:rPr>
                <w:rFonts w:ascii="Arial" w:hAnsi="Arial" w:cs="Arial"/>
                <w:b w:val="0"/>
              </w:rPr>
              <w:t>u</w:t>
            </w:r>
            <w:r w:rsidR="00197ADA" w:rsidRPr="001B3013">
              <w:rPr>
                <w:rFonts w:ascii="Arial" w:hAnsi="Arial" w:cs="Arial"/>
                <w:b w:val="0"/>
              </w:rPr>
              <w:t>ggability</w:t>
            </w:r>
            <w:proofErr w:type="spellEnd"/>
            <w:r w:rsidRPr="001B3013">
              <w:rPr>
                <w:rFonts w:ascii="Arial" w:hAnsi="Arial" w:cs="Arial"/>
                <w:b w:val="0"/>
              </w:rPr>
              <w:t xml:space="preserve"> Score</w:t>
            </w:r>
          </w:p>
        </w:tc>
        <w:tc>
          <w:tcPr>
            <w:tcW w:w="3587" w:type="dxa"/>
          </w:tcPr>
          <w:p w14:paraId="2C6779B1" w14:textId="77777777" w:rsidR="001B3013" w:rsidRPr="001B3013" w:rsidRDefault="001B3013" w:rsidP="002B1E5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B3013">
              <w:rPr>
                <w:rFonts w:ascii="Arial" w:hAnsi="Arial" w:cs="Arial"/>
              </w:rPr>
              <w:t>&lt;= 1</w:t>
            </w:r>
          </w:p>
        </w:tc>
      </w:tr>
      <w:tr w:rsidR="001B3013" w:rsidRPr="00044A32" w14:paraId="0105AC34" w14:textId="77777777" w:rsidTr="00933FF3">
        <w:tc>
          <w:tcPr>
            <w:cnfStyle w:val="001000000000" w:firstRow="0" w:lastRow="0" w:firstColumn="1" w:lastColumn="0" w:oddVBand="0" w:evenVBand="0" w:oddHBand="0" w:evenHBand="0" w:firstRowFirstColumn="0" w:firstRowLastColumn="0" w:lastRowFirstColumn="0" w:lastRowLastColumn="0"/>
            <w:tcW w:w="4508" w:type="dxa"/>
          </w:tcPr>
          <w:p w14:paraId="5994D35A" w14:textId="77777777" w:rsidR="001B3013" w:rsidRPr="001B3013" w:rsidRDefault="001B3013" w:rsidP="002B1E59">
            <w:pPr>
              <w:spacing w:line="360" w:lineRule="auto"/>
              <w:jc w:val="both"/>
              <w:rPr>
                <w:rFonts w:ascii="Arial" w:hAnsi="Arial" w:cs="Arial"/>
                <w:b w:val="0"/>
              </w:rPr>
            </w:pPr>
            <w:r w:rsidRPr="001B3013">
              <w:rPr>
                <w:rFonts w:ascii="Arial" w:hAnsi="Arial" w:cs="Arial"/>
                <w:b w:val="0"/>
              </w:rPr>
              <w:t>Bibliographic references</w:t>
            </w:r>
          </w:p>
        </w:tc>
        <w:tc>
          <w:tcPr>
            <w:tcW w:w="3587" w:type="dxa"/>
          </w:tcPr>
          <w:p w14:paraId="3D7D0A6C" w14:textId="77777777" w:rsidR="001B3013" w:rsidRPr="001B3013" w:rsidRDefault="001B3013" w:rsidP="002B1E5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B3013">
              <w:rPr>
                <w:rFonts w:ascii="Arial" w:hAnsi="Arial" w:cs="Arial"/>
              </w:rPr>
              <w:t>In PubMed</w:t>
            </w:r>
          </w:p>
        </w:tc>
      </w:tr>
    </w:tbl>
    <w:p w14:paraId="0FCBFF78" w14:textId="77777777" w:rsidR="00A03B96" w:rsidRDefault="00A03B96" w:rsidP="00441B6F">
      <w:pPr>
        <w:pStyle w:val="Body"/>
        <w:spacing w:after="0"/>
        <w:rPr>
          <w:rFonts w:ascii="Arial" w:hAnsi="Arial" w:cs="Arial"/>
        </w:rPr>
      </w:pPr>
    </w:p>
    <w:p w14:paraId="67C24A6C" w14:textId="77777777" w:rsidR="001743ED" w:rsidRPr="001743ED" w:rsidRDefault="001743ED" w:rsidP="001743ED">
      <w:pPr>
        <w:pStyle w:val="Body"/>
        <w:rPr>
          <w:rFonts w:ascii="Arial" w:hAnsi="Arial" w:cs="Arial"/>
          <w:b/>
          <w:bCs/>
        </w:rPr>
      </w:pPr>
      <w:r w:rsidRPr="001743ED">
        <w:rPr>
          <w:rFonts w:ascii="Arial" w:hAnsi="Arial" w:cs="Arial"/>
          <w:b/>
          <w:bCs/>
        </w:rPr>
        <w:t>2.2</w:t>
      </w:r>
      <w:r w:rsidRPr="001743ED">
        <w:rPr>
          <w:rFonts w:ascii="Arial" w:hAnsi="Arial" w:cs="Arial"/>
          <w:b/>
          <w:bCs/>
        </w:rPr>
        <w:tab/>
        <w:t>Prioritization of potential therapeutic targets</w:t>
      </w:r>
    </w:p>
    <w:p w14:paraId="137204F4" w14:textId="77777777" w:rsidR="00353344" w:rsidRDefault="00933FF3" w:rsidP="00F53004">
      <w:pPr>
        <w:pStyle w:val="Body"/>
        <w:rPr>
          <w:rFonts w:ascii="Arial" w:hAnsi="Arial" w:cs="Arial"/>
        </w:rPr>
      </w:pPr>
      <w:r w:rsidRPr="00B40BBD">
        <w:rPr>
          <w:rFonts w:ascii="Arial" w:hAnsi="Arial" w:cs="Arial"/>
        </w:rPr>
        <w:t>The preliminary list of candidate proteins from the TDR Targets database was refined by incorporating additional criteria derived from bioinformatic analyses combined with an extensive literature review, resulting in the development of an in-house scoring model. This approach considered key structural and functional features relevant to drug target suitability. Specifically, transmembrane helices were predicted using TMHMM 2.0</w:t>
      </w:r>
      <w:r w:rsidR="0085565B" w:rsidRPr="00B40BBD">
        <w:rPr>
          <w:rFonts w:ascii="Arial" w:hAnsi="Arial" w:cs="Arial"/>
        </w:rPr>
        <w:t xml:space="preserve"> </w:t>
      </w:r>
      <w:r w:rsidR="0085565B" w:rsidRPr="00B40BBD">
        <w:rPr>
          <w:rFonts w:ascii="Arial" w:hAnsi="Arial" w:cs="Arial"/>
        </w:rPr>
        <w:fldChar w:fldCharType="begin"/>
      </w:r>
      <w:r w:rsidR="0085565B" w:rsidRPr="00B40BBD">
        <w:rPr>
          <w:rFonts w:ascii="Arial" w:hAnsi="Arial" w:cs="Arial"/>
        </w:rPr>
        <w:instrText xml:space="preserve"> ADDIN ZOTERO_ITEM CSL_CITATION {"citationID":"sS14sLJp","properties":{"formattedCitation":"(Krogh et al., 2001)","plainCitation":"(Krogh et al., 2001)","noteIndex":0},"citationItems":[{"id":15030,"uris":["http://zotero.org/users/8036093/items/5UB65Z2Z"],"itemData":{"id":15030,"type":"article-journal","abstract":"We describe and validate a new membrane protein topology prediction method, TMHMM, based on a hidden Markov model. We present a detailed analysis of TMHMM’s performance, and show that it correctly predicts 97–98 % of the transmembrane helices. Additionally, TMHMM can discriminate between soluble and membrane proteins with both specificity and sensitivity better than 99 %, although the accuracy drops when signal peptides are present. This high degree of accuracy allowed us to predict reliably integral membrane proteins in a large collection of genomes. Based on these predictions, we estimate that 20–30 % of all genes in most genomes encode membrane proteins, which is in agreement with previous estimates. We further discovered that proteins with Nin-Cin topologies are strongly preferred in all examined organisms, except Caenorhabditis elegans, where the large number of 7TM receptors increases the counts for Nout-Cin topologies. We discuss the possible relevance of this finding for our understanding of membrane protein assembly mechanisms. A TMHMM prediction service is available at http://www.cbs.dtu.dk/services/TMHMM/.","container-title":"Journal of Molecular Biology","DOI":"10.1006/jmbi.2000.4315","ISSN":"0022-2836","issue":"3","journalAbbreviation":"Journal of Molecular Biology","page":"567-580","source":"ScienceDirect","title":"Prédiction de la topologie des protéines transmembranaires avec un modèle de Markov caché : application aux génomes complets 1","title-short":"Prédiction de la topologie des protéines transmembranaires avec un modèle de Markov caché","volume":"305","author":[{"family":"Krogh","given":"Anders"},{"family":"Larsson","given":"Björn"},{"family":"Heijne","given":"Gunnar","non-dropping-particle":"von"},{"family":"Sonnhammer","given":"Erik L. L"}],"issued":{"date-parts":[["2001",1,19]]}}}],"schema":"https://github.com/citation-style-language/schema/raw/master/csl-citation.json"} </w:instrText>
      </w:r>
      <w:r w:rsidR="0085565B" w:rsidRPr="00B40BBD">
        <w:rPr>
          <w:rFonts w:ascii="Arial" w:hAnsi="Arial" w:cs="Arial"/>
        </w:rPr>
        <w:fldChar w:fldCharType="separate"/>
      </w:r>
      <w:r w:rsidR="0085565B" w:rsidRPr="00B40BBD">
        <w:rPr>
          <w:rFonts w:ascii="Arial" w:hAnsi="Arial" w:cs="Arial"/>
        </w:rPr>
        <w:t>(Krogh et al., 2001)</w:t>
      </w:r>
      <w:r w:rsidR="0085565B" w:rsidRPr="00B40BBD">
        <w:rPr>
          <w:rFonts w:ascii="Arial" w:hAnsi="Arial" w:cs="Arial"/>
        </w:rPr>
        <w:fldChar w:fldCharType="end"/>
      </w:r>
      <w:r w:rsidRPr="00B40BBD">
        <w:rPr>
          <w:rFonts w:ascii="Arial" w:hAnsi="Arial" w:cs="Arial"/>
        </w:rPr>
        <w:t>, as membrane proteins can pose challenges for drug targeting due to limited accessibility and solubility</w:t>
      </w:r>
      <w:r w:rsidR="0085565B" w:rsidRPr="00B40BBD">
        <w:rPr>
          <w:rFonts w:ascii="Arial" w:hAnsi="Arial" w:cs="Arial"/>
        </w:rPr>
        <w:fldChar w:fldCharType="begin"/>
      </w:r>
      <w:r w:rsidR="0085565B" w:rsidRPr="00B40BBD">
        <w:rPr>
          <w:rFonts w:ascii="Arial" w:hAnsi="Arial" w:cs="Arial"/>
        </w:rPr>
        <w:instrText xml:space="preserve"> ADDIN ZOTERO_ITEM CSL_CITATION {"citationID":"6pipeCzG","properties":{"formattedCitation":"(Yin &amp; Flynn, 2016)","plainCitation":"(Yin &amp; Flynn, 2016)","noteIndex":0},"citationItems":[{"id":15032,"uris":["http://zotero.org/users/8036093/items/4LX8S7GG"],"itemData":{"id":15032,"type":"article-journal","abstract":"The majority of therapeutics target membrane proteins, accessible on the surface of cells, to alter cellular signaling. Cells use membrane proteins to transduce signals into cells, transport ions and molecules, bind the cell to a surface or substrate, and catalyze reactions. Newly devised technologies allow us to drug conventionally “undruggable” regions of membrane proteins, enabling modulation of protein–protein, protein–lipid, and protein–nucleic acid interactions. In this review, we survey the state of the art in high-throughput screening and rational design in drug discovery, and we evaluate the advances in biological understanding and technological capacity that will drive pharmacotherapy forward against unorthodox membrane protein targets.","container-title":"Annual review of biomedical engineering","DOI":"10.1146/annurev-bioeng-092115-025322","ISSN":"1523-9829","journalAbbreviation":"Annu Rev Biomed Eng","note":"PMID: 26863923\nPMCID: PMC4968933","page":"51-76","source":"PubMed Central","title":"Drugging Membrane Protein Interactions","volume":"18","author":[{"family":"Yin","given":"Hang"},{"family":"Flynn","given":"Aaron D."}],"issued":{"date-parts":[["2016",7,11]]}}}],"schema":"https://github.com/citation-style-language/schema/raw/master/csl-citation.json"} </w:instrText>
      </w:r>
      <w:r w:rsidR="0085565B" w:rsidRPr="00B40BBD">
        <w:rPr>
          <w:rFonts w:ascii="Arial" w:hAnsi="Arial" w:cs="Arial"/>
        </w:rPr>
        <w:fldChar w:fldCharType="separate"/>
      </w:r>
      <w:r w:rsidR="0085565B" w:rsidRPr="00B40BBD">
        <w:rPr>
          <w:rFonts w:ascii="Arial" w:hAnsi="Arial" w:cs="Arial"/>
        </w:rPr>
        <w:t>(Yin &amp; Flynn, 2016)</w:t>
      </w:r>
      <w:r w:rsidR="0085565B" w:rsidRPr="00B40BBD">
        <w:rPr>
          <w:rFonts w:ascii="Arial" w:hAnsi="Arial" w:cs="Arial"/>
        </w:rPr>
        <w:fldChar w:fldCharType="end"/>
      </w:r>
      <w:r w:rsidRPr="00B40BBD">
        <w:rPr>
          <w:rFonts w:ascii="Arial" w:hAnsi="Arial" w:cs="Arial"/>
        </w:rPr>
        <w:t>. The protein sequence length for each candidate was obtained from UniProt</w:t>
      </w:r>
      <w:r w:rsidR="0085565B" w:rsidRPr="00B40BBD">
        <w:rPr>
          <w:rFonts w:ascii="Arial" w:hAnsi="Arial" w:cs="Arial"/>
        </w:rPr>
        <w:t xml:space="preserve"> </w:t>
      </w:r>
      <w:r w:rsidR="0085565B" w:rsidRPr="00B40BBD">
        <w:rPr>
          <w:rFonts w:ascii="Arial" w:hAnsi="Arial" w:cs="Arial"/>
        </w:rPr>
        <w:fldChar w:fldCharType="begin"/>
      </w:r>
      <w:r w:rsidR="0085565B" w:rsidRPr="00B40BBD">
        <w:rPr>
          <w:rFonts w:ascii="Arial" w:hAnsi="Arial" w:cs="Arial"/>
        </w:rPr>
        <w:instrText xml:space="preserve"> ADDIN ZOTERO_ITEM CSL_CITATION {"citationID":"GQT4icoE","properties":{"formattedCitation":"(The UniProt Consortium, 2023)","plainCitation":"(The UniProt Consortium, 2023)","noteIndex":0},"citationItems":[{"id":625,"uris":["http://zotero.org/users/8036093/items/FRAD8V5A"],"itemData":{"id":625,"type":"article-journal","abstract":"The aim of the UniProt Knowledgebase is to provide users with a comprehensive, high-quality and freely accessible set of protein sequences annotated with functional information. In this publication we describe enhancements made to our data processing pipeline and to our website to adapt to an ever-increasing information content. The number of sequences in UniProtKB has risen to over 227 million and we are working towards including a reference proteome for each taxonomic group. We continue to extract detailed annotations from the literature to update or create reviewed entries, while unreviewed entries are supplemented with annotations provided by automated systems using a variety of machine-learning techniques. In addition, the scientific community continues their contributions of publications and annotations to UniProt entries of their interest. Finally, we describe our new website (https://www.uniprot.org/), designed to enhance our users’ experience and make our data easily accessible to the research community. This interface includes access to AlphaFold structures for more than 85% of all entries as well as improved visualisations for subcellular localisation of proteins.","container-title":"Nucleic Acids Research","DOI":"10.1093/nar/gkac1052","ISSN":"0305-1048","issue":"D1","journalAbbreviation":"Nucleic Acids Research","page":"D523-D531","title":"UniProt: the Universal Protein Knowledgebase in 2023","volume":"51","author":[{"literal":"The UniProt Consortium"}],"issued":{"date-parts":[["2023",1,6]]}}}],"schema":"https://github.com/citation-style-language/schema/raw/master/csl-citation.json"} </w:instrText>
      </w:r>
      <w:r w:rsidR="0085565B" w:rsidRPr="00B40BBD">
        <w:rPr>
          <w:rFonts w:ascii="Arial" w:hAnsi="Arial" w:cs="Arial"/>
        </w:rPr>
        <w:fldChar w:fldCharType="separate"/>
      </w:r>
      <w:r w:rsidR="0085565B" w:rsidRPr="00B40BBD">
        <w:rPr>
          <w:rFonts w:ascii="Arial" w:hAnsi="Arial" w:cs="Arial"/>
        </w:rPr>
        <w:t>(The UniProt Consortium, 2023)</w:t>
      </w:r>
      <w:r w:rsidR="0085565B" w:rsidRPr="00B40BBD">
        <w:rPr>
          <w:rFonts w:ascii="Arial" w:hAnsi="Arial" w:cs="Arial"/>
        </w:rPr>
        <w:fldChar w:fldCharType="end"/>
      </w:r>
      <w:r w:rsidRPr="00B40BBD">
        <w:rPr>
          <w:rFonts w:ascii="Arial" w:hAnsi="Arial" w:cs="Arial"/>
        </w:rPr>
        <w:t xml:space="preserve">, favoring proteins of manageable size to facilitate drug design efforts. Sequence identity was assessed using </w:t>
      </w:r>
      <w:proofErr w:type="spellStart"/>
      <w:r w:rsidRPr="00B40BBD">
        <w:rPr>
          <w:rFonts w:ascii="Arial" w:hAnsi="Arial" w:cs="Arial"/>
        </w:rPr>
        <w:t>Clustal</w:t>
      </w:r>
      <w:proofErr w:type="spellEnd"/>
      <w:r w:rsidRPr="00B40BBD">
        <w:rPr>
          <w:rFonts w:ascii="Arial" w:hAnsi="Arial" w:cs="Arial"/>
        </w:rPr>
        <w:t xml:space="preserve"> W</w:t>
      </w:r>
      <w:r w:rsidR="0085565B" w:rsidRPr="00B40BBD">
        <w:rPr>
          <w:rFonts w:ascii="Arial" w:hAnsi="Arial" w:cs="Arial"/>
        </w:rPr>
        <w:t xml:space="preserve"> </w:t>
      </w:r>
      <w:r w:rsidR="0085565B" w:rsidRPr="00B40BBD">
        <w:rPr>
          <w:rFonts w:ascii="Arial" w:hAnsi="Arial" w:cs="Arial"/>
        </w:rPr>
        <w:fldChar w:fldCharType="begin"/>
      </w:r>
      <w:r w:rsidR="000D49EF" w:rsidRPr="00B40BBD">
        <w:rPr>
          <w:rFonts w:ascii="Arial" w:hAnsi="Arial" w:cs="Arial"/>
        </w:rPr>
        <w:instrText xml:space="preserve"> ADDIN ZOTERO_ITEM CSL_CITATION {"citationID":"SNAWKYl0","properties":{"formattedCitation":"(Thompson et al., 2003)","plainCitation":"(Thompson et al., 2003)","noteIndex":0},"citationItems":[{"id":194,"uris":["http://zotero.org/users/8036093/items/HZT3G7S8"],"itemData":{"id":194,"type":"article-journal","container-title":"Current Protocols in Bioinformatics","DOI":"10.1002/0471250953.bi0203s00","ISSN":"1934-3396, 1934-340X","issue":"1","journalAbbreviation":"CP in Bioinformatics","language":"en","source":"DOI.org (Crossref)","title":"Multiple Sequence Alignment Using ClustalW and ClustalX","URL":"https://onlinelibrary.wiley.com/doi/10.1002/0471250953.bi0203s00","volume":"00","author":[{"family":"Thompson","given":"Julie D."},{"family":"Gibson","given":"Toby. J."},{"family":"Higgins","given":"Des G."}],"accessed":{"date-parts":[["2023",6,7]]},"issued":{"date-parts":[["2003",1]]}}}],"schema":"https://github.com/citation-style-language/schema/raw/master/csl-citation.json"} </w:instrText>
      </w:r>
      <w:r w:rsidR="0085565B" w:rsidRPr="00B40BBD">
        <w:rPr>
          <w:rFonts w:ascii="Arial" w:hAnsi="Arial" w:cs="Arial"/>
        </w:rPr>
        <w:fldChar w:fldCharType="separate"/>
      </w:r>
      <w:r w:rsidR="000D49EF" w:rsidRPr="00B40BBD">
        <w:rPr>
          <w:rFonts w:ascii="Arial" w:hAnsi="Arial" w:cs="Arial"/>
        </w:rPr>
        <w:t>(Thompson et al., 2003)</w:t>
      </w:r>
      <w:r w:rsidR="0085565B" w:rsidRPr="00B40BBD">
        <w:rPr>
          <w:rFonts w:ascii="Arial" w:hAnsi="Arial" w:cs="Arial"/>
        </w:rPr>
        <w:fldChar w:fldCharType="end"/>
      </w:r>
      <w:r w:rsidRPr="00B40BBD">
        <w:rPr>
          <w:rFonts w:ascii="Arial" w:hAnsi="Arial" w:cs="Arial"/>
        </w:rPr>
        <w:t>, enabling prioritization of proteins with low similarity to human orthologs, thereby minimizing off-target effects and enhancing selectivity</w:t>
      </w:r>
      <w:r w:rsidR="00A726E0" w:rsidRPr="00B40BBD">
        <w:rPr>
          <w:rFonts w:ascii="Arial" w:hAnsi="Arial" w:cs="Arial"/>
        </w:rPr>
        <w:fldChar w:fldCharType="begin"/>
      </w:r>
      <w:r w:rsidR="00A726E0" w:rsidRPr="00B40BBD">
        <w:rPr>
          <w:rFonts w:ascii="Arial" w:hAnsi="Arial" w:cs="Arial"/>
        </w:rPr>
        <w:instrText xml:space="preserve"> ADDIN ZOTERO_ITEM CSL_CITATION {"citationID":"pRqox23i","properties":{"formattedCitation":"(Beaudoin et al., 2025)","plainCitation":"(Beaudoin et al., 2025)","noteIndex":0},"citationItems":[{"id":15035,"uris":["http://zotero.org/users/8036093/items/TFGMRCEC"],"itemData":{"id":15035,"type":"article-journal","abstract":"Similarity between candidate drug targets and human proteins is commonly assessed to minimize the occurrence of side effects. Although numerous drugs have been found to disrupt the health of the human microbiome, no comprehensive comparison between established drug targets and the human microbiome metaproteome has yet been conducted. Therefore, herein, sequence and structure alignments between human and pathogen drug targets and representative human gut, oral, and vaginal microbiome metaproteomes were performed. Both human and pathogen drug targets were found to be similar in sequence, function, structure, and drug binding capacity to proteins in diverse pathogenic and non-pathogenic bacteria from all three microbiomes. The gut metaproteome was identified as particularly susceptible overall to off-target effects. Certain symptoms, such as infections and immune disorders, may be more common among drugs that non-selectively target host microbiota. These findings suggest that similarities between human microbiome metaproteomes and drug target candidates should be routinely checked.","container-title":"The Pharmacogenomics Journal","DOI":"10.1038/s41397-025-00367-0","ISSN":"1473-1150","issue":"3","journalAbbreviation":"Pharmacogenomics J","language":"en","license":"2025 The Author(s)","note":"publisher: Nature Publishing Group","page":"9","source":"www.nature.com","title":"Similarity of drug targets to human microbiome metaproteome promotes pharmacological promiscuity","volume":"25","author":[{"family":"Beaudoin","given":"Christopher A."},{"family":"Norget","given":"Shannon"},{"family":"Omran","given":"Ziad"},{"family":"Hala","given":"Sharif"},{"family":"Daqeeq","given":"Abdullah H."},{"family":"Burnet","given":"Philip W. J."},{"family":"Blundell","given":"Tom L."},{"family":"Tonder","given":"Andries J.","non-dropping-particle":"van"}],"issued":{"date-parts":[["2025",4,17]]}}}],"schema":"https://github.com/citation-style-language/schema/raw/master/csl-citation.json"} </w:instrText>
      </w:r>
      <w:r w:rsidR="00A726E0" w:rsidRPr="00B40BBD">
        <w:rPr>
          <w:rFonts w:ascii="Arial" w:hAnsi="Arial" w:cs="Arial"/>
        </w:rPr>
        <w:fldChar w:fldCharType="separate"/>
      </w:r>
      <w:r w:rsidR="00A726E0" w:rsidRPr="00B40BBD">
        <w:rPr>
          <w:rFonts w:ascii="Arial" w:hAnsi="Arial" w:cs="Arial"/>
        </w:rPr>
        <w:t>(Beaudoin et al., 2025)</w:t>
      </w:r>
      <w:r w:rsidR="00A726E0" w:rsidRPr="00B40BBD">
        <w:rPr>
          <w:rFonts w:ascii="Arial" w:hAnsi="Arial" w:cs="Arial"/>
        </w:rPr>
        <w:fldChar w:fldCharType="end"/>
      </w:r>
      <w:r w:rsidRPr="00B40BBD">
        <w:rPr>
          <w:rFonts w:ascii="Arial" w:hAnsi="Arial" w:cs="Arial"/>
        </w:rPr>
        <w:t xml:space="preserve">. Functional </w:t>
      </w:r>
      <w:r w:rsidRPr="00933FF3">
        <w:rPr>
          <w:rFonts w:ascii="Arial" w:hAnsi="Arial" w:cs="Arial"/>
        </w:rPr>
        <w:t>domains were identified using the SMART database</w:t>
      </w:r>
      <w:r w:rsidR="00A726E0">
        <w:rPr>
          <w:rFonts w:ascii="Arial" w:hAnsi="Arial" w:cs="Arial"/>
        </w:rPr>
        <w:t xml:space="preserve"> </w:t>
      </w:r>
      <w:r w:rsidR="00A726E0">
        <w:rPr>
          <w:rFonts w:ascii="Arial" w:hAnsi="Arial" w:cs="Arial"/>
        </w:rPr>
        <w:fldChar w:fldCharType="begin"/>
      </w:r>
      <w:r w:rsidR="00A726E0">
        <w:rPr>
          <w:rFonts w:ascii="Arial" w:hAnsi="Arial" w:cs="Arial"/>
        </w:rPr>
        <w:instrText xml:space="preserve"> ADDIN ZOTERO_ITEM CSL_CITATION {"citationID":"kWvsnFb4","properties":{"formattedCitation":"(Letunic et al., 2021)","plainCitation":"(Letunic et al., 2021)","noteIndex":0},"citationItems":[{"id":193,"uris":["http://zotero.org/users/8036093/items/UUGA2XQE"],"itemData":{"id":193,"type":"article-journal","abstract":"Abstract\n            SMART (Simple Modular Architecture Research Tool) is a web resource (https://smart.embl.de) for the identification and annotation of protein domains and the analysis of protein domain architectures. SMART version 9 contains manually curated models for more than 1300 protein domains, with a topical set of 68 new models added since our last update article (1). All the new models are for diverse recombinase families and subfamilies and as a set they provide a comprehensive overview of mobile element recombinases namely transposase, integrase, relaxase, resolvase, cas1 casposase and Xer like cellular recombinase. Further updates include the synchronization of the underlying protein databases with UniProt (2), Ensembl (3) and STRING (4), greatly increasing the total number of annotated domains and other protein features available in architecture analysis mode. Furthermore, SMART’s vector-based protein display engine has been extended and updated to use the latest web technologies and the domain architecture analysis components have been optimized to handle the increased number of protein features available.","container-title":"Nucleic Acids Research","DOI":"10.1093/nar/gkaa937","ISSN":"0305-1048, 1362-4962","issue":"D1","language":"en","page":"D458-D460","source":"DOI.org (Crossref)","title":"SMART: recent updates, new developments and status in 2020","title-short":"SMART","volume":"49","author":[{"family":"Letunic","given":"Ivica"},{"family":"Khedkar","given":"Supriya"},{"family":"Bork","given":"Peer"}],"issued":{"date-parts":[["2021",1,8]]}}}],"schema":"https://github.com/citation-style-language/schema/raw/master/csl-citation.json"} </w:instrText>
      </w:r>
      <w:r w:rsidR="00A726E0">
        <w:rPr>
          <w:rFonts w:ascii="Arial" w:hAnsi="Arial" w:cs="Arial"/>
        </w:rPr>
        <w:fldChar w:fldCharType="separate"/>
      </w:r>
      <w:r w:rsidR="00A726E0" w:rsidRPr="00A726E0">
        <w:rPr>
          <w:rFonts w:ascii="Arial" w:hAnsi="Arial" w:cs="Arial"/>
        </w:rPr>
        <w:t>(Letunic et al., 2021)</w:t>
      </w:r>
      <w:r w:rsidR="00A726E0">
        <w:rPr>
          <w:rFonts w:ascii="Arial" w:hAnsi="Arial" w:cs="Arial"/>
        </w:rPr>
        <w:fldChar w:fldCharType="end"/>
      </w:r>
      <w:r w:rsidRPr="00933FF3">
        <w:rPr>
          <w:rFonts w:ascii="Arial" w:hAnsi="Arial" w:cs="Arial"/>
        </w:rPr>
        <w:t xml:space="preserve"> to provide insights into protein complexity and potential </w:t>
      </w:r>
      <w:proofErr w:type="spellStart"/>
      <w:r w:rsidRPr="00933FF3">
        <w:rPr>
          <w:rFonts w:ascii="Arial" w:hAnsi="Arial" w:cs="Arial"/>
        </w:rPr>
        <w:t>druggability</w:t>
      </w:r>
      <w:proofErr w:type="spellEnd"/>
      <w:r w:rsidRPr="00933FF3">
        <w:rPr>
          <w:rFonts w:ascii="Arial" w:hAnsi="Arial" w:cs="Arial"/>
        </w:rPr>
        <w:t>, with proteins exhibiting a higher number of domains generally being favored due to their increased functional versatility and opportunities for targeted intervention</w:t>
      </w:r>
      <w:r w:rsidR="00A3511D">
        <w:rPr>
          <w:rFonts w:ascii="Arial" w:hAnsi="Arial" w:cs="Arial"/>
        </w:rPr>
        <w:t xml:space="preserve"> </w:t>
      </w:r>
      <w:r w:rsidR="00A3511D">
        <w:rPr>
          <w:rFonts w:ascii="Arial" w:hAnsi="Arial" w:cs="Arial"/>
        </w:rPr>
        <w:fldChar w:fldCharType="begin"/>
      </w:r>
      <w:r w:rsidR="00A3511D">
        <w:rPr>
          <w:rFonts w:ascii="Arial" w:hAnsi="Arial" w:cs="Arial"/>
        </w:rPr>
        <w:instrText xml:space="preserve"> ADDIN ZOTERO_ITEM CSL_CITATION {"citationID":"Cp2sPnTx","properties":{"formattedCitation":"(Vishwanath et al., 2018)","plainCitation":"(Vishwanath et al., 2018)","noteIndex":0},"citationItems":[{"id":15037,"uris":["http://zotero.org/users/8036093/items/ER36EFL7"],"itemData":{"id":15037,"type":"article-journal","abstract":"The majority of the proteins encoded in the genomes of eukaryotes contain more than one domain. Reasons for high prevalence of multi-domain proteins in various organisms have been attributed to higher stability and functional and folding advantages over single-domain proteins. Despite these advantages, many proteins are composed of only one domain while their homologous domains are part of multi-domain proteins. In the study presented here, differences in the properties of protein domains in single-domain and multi-domain systems and their influence on functions are discussed. We studied 20 pairs of identical protein domains, which were crystallized in two forms (a) tethered to other proteins domains and (b) tethered to fewer protein domains than (a) or not tethered to any protein domain. Results suggest that tethering of domains in multi-domain proteins influences the structural, dynamic and energetic properties of the constituent protein domains. 50% of the protein domain pairs show significant structural deviations while 90% of the protein domain pairs show differences in dynamics and 12% of the residues show differences in the energetics. To gain further insights on the influence of tethering on the function of the domains, 4 pairs of homologous protein domains, where one of them is a full-length single-domain protein and the other protein domain is a part of a multi-domain protein, were studied. Analyses showed that identical and structurally equivalent functional residues show differential dynamics in homologous protein domains; though comparable dynamics between in-silico generated chimera protein and multi-domain proteins were observed. From these observations, the differences observed in the functions of homologous proteins could be attributed to the presence of tethered domain. Overall, we conclude that tethered domains in multi-domain proteins not only provide stability or folding advantages but also influence pathways resulting in differences in function or regulatory properties., High prevalence of multi-domain proteins in proteomes has been attributed to higher stability and functional and folding advantages of the multi-domain proteins. Influence of tethering of domains on the overall properties of proteins has been well studied but its influence on the properties of the constituent domains is largely unaddressed. Here, we investigate the influence of tethering of domains in multi-domain proteins on the structural, dynamics and energetics properties of the constituent domains and its implications on the functions of proteins. To this end, comparative analyses were carried out for identical protein domains crystallized in tethered and untethered forms. Also, comparative analyses of single-domain proteins and their homologous multi-domain proteins were performed. The analyses suggest that tethering influences the structural, dynamic and energetic properties of constituent protein domains. Our observations hint at regulation of protein domains by tethered domains in multi-domain systems, which may manifest at the differential function observed between single-domain and homologous multi-domain proteins.","container-title":"PLoS Computational Biology","DOI":"10.1371/journal.pcbi.1006008","ISSN":"1553-734X","issue":"2","journalAbbreviation":"PLoS Comput Biol","note":"PMID: 29432415\nPMCID: PMC5825166","page":"e1006008","source":"PubMed Central","title":"Same but not alike: Structure, flexibility and energetics of domains in multi-domain proteins are influenced by the presence of other domains","title-short":"Same but not alike","volume":"14","author":[{"family":"Vishwanath","given":"Sneha"},{"family":"Brevern","given":"Alexandre G.","non-dropping-particle":"de"},{"family":"Srinivasan","given":"Narayanaswamy"}],"issued":{"date-parts":[["2018",2,12]]}}}],"schema":"https://github.com/citation-style-language/schema/raw/master/csl-citation.json"} </w:instrText>
      </w:r>
      <w:r w:rsidR="00A3511D">
        <w:rPr>
          <w:rFonts w:ascii="Arial" w:hAnsi="Arial" w:cs="Arial"/>
        </w:rPr>
        <w:fldChar w:fldCharType="separate"/>
      </w:r>
      <w:r w:rsidR="00A3511D" w:rsidRPr="00A3511D">
        <w:rPr>
          <w:rFonts w:ascii="Arial" w:hAnsi="Arial" w:cs="Arial"/>
        </w:rPr>
        <w:t>(Vishwanath et al., 2018)</w:t>
      </w:r>
      <w:r w:rsidR="00A3511D">
        <w:rPr>
          <w:rFonts w:ascii="Arial" w:hAnsi="Arial" w:cs="Arial"/>
        </w:rPr>
        <w:fldChar w:fldCharType="end"/>
      </w:r>
      <w:r w:rsidRPr="00933FF3">
        <w:rPr>
          <w:rFonts w:ascii="Arial" w:hAnsi="Arial" w:cs="Arial"/>
        </w:rPr>
        <w:t>. Conservation and variability of protein regions were analyzed to evaluate the risk of drug resistance and to prioritize proteins that are highly conserved and exhibit a low number of mutations, thereby increasing the likelihood of sustained target efficacy</w:t>
      </w:r>
      <w:r w:rsidR="00E22A10">
        <w:rPr>
          <w:rFonts w:ascii="Arial" w:hAnsi="Arial" w:cs="Arial"/>
        </w:rPr>
        <w:fldChar w:fldCharType="begin"/>
      </w:r>
      <w:r w:rsidR="00E22A10">
        <w:rPr>
          <w:rFonts w:ascii="Arial" w:hAnsi="Arial" w:cs="Arial"/>
        </w:rPr>
        <w:instrText xml:space="preserve"> ADDIN ZOTERO_ITEM CSL_CITATION {"citationID":"4fpVTHon","properties":{"formattedCitation":"(Wang et al., 2013)","plainCitation":"(Wang et al., 2013)","noteIndex":0},"citationItems":[{"id":15041,"uris":["http://zotero.org/users/8036093/items/A25W4PMP"],"itemData":{"id":15041,"type":"article-journal","abstract":"The druggable subset of the human genome, termed the “druggable genome,” provides the pharmaceutical industry with a unique opportunity for the advancement of new therapeutic interventions for a multitude of diseases and disorders. To date, there is no systematic assessment of the evolutionary history and nature of the defined druggable proteins derived from the contemporary druggable genome (i.e., proteins that bind or are predicted to bind with high affinity to a biologic). An understanding of drug–protein target interactions in specific cellular compartments is crucial for the optimal therapeutic delivery of pharmaceutical agents, as well as for preclinical drug trials in model animals. This study applied the concept of pharmacophylogenomics, the study of genes, evolution, and drug targets, to conduct an evolutionary survey of drug targets with respect to their subcellular localizations. Using multiple models and modes of druggable genome comparison, the results concordantly indicated that orthologous drug targets with a nuclear localization in the human, macaque, mouse, and rat showed a higher trend for evolutionary conservation compared with drug targets in the cell membrane and the extracellular compartment. As such, this study provides important information regarding druggable protein targets and the druggable genome at the pharmacophylogenomics level.","container-title":"Genome Biology and Evolution","DOI":"10.1093/gbe/evt092","ISSN":"1759-6653","issue":"7","journalAbbreviation":"Genome Biol Evol","page":"1291-1297","source":"Silverchair","title":"Evolutionary Survey of Druggable Protein Targets with Respect to Their Subcellular Localizations","volume":"5","author":[{"family":"Wang","given":"Xiaotong"},{"family":"Wang","given":"Rui"},{"family":"Zhang","given":"Yanfeng"},{"family":"Zhang","given":"Hao"}],"issued":{"date-parts":[["2013",7,1]]}}}],"schema":"https://github.com/citation-style-language/schema/raw/master/csl-citation.json"} </w:instrText>
      </w:r>
      <w:r w:rsidR="00E22A10">
        <w:rPr>
          <w:rFonts w:ascii="Arial" w:hAnsi="Arial" w:cs="Arial"/>
        </w:rPr>
        <w:fldChar w:fldCharType="separate"/>
      </w:r>
      <w:r w:rsidR="00E22A10" w:rsidRPr="00E22A10">
        <w:rPr>
          <w:rFonts w:ascii="Arial" w:hAnsi="Arial" w:cs="Arial"/>
        </w:rPr>
        <w:t>(Wang et al., 2013)</w:t>
      </w:r>
      <w:r w:rsidR="00E22A10">
        <w:rPr>
          <w:rFonts w:ascii="Arial" w:hAnsi="Arial" w:cs="Arial"/>
        </w:rPr>
        <w:fldChar w:fldCharType="end"/>
      </w:r>
      <w:r w:rsidRPr="00933FF3">
        <w:rPr>
          <w:rFonts w:ascii="Arial" w:hAnsi="Arial" w:cs="Arial"/>
        </w:rPr>
        <w:t xml:space="preserve">. These features were determined via the </w:t>
      </w:r>
      <w:proofErr w:type="spellStart"/>
      <w:r w:rsidRPr="00933FF3">
        <w:rPr>
          <w:rFonts w:ascii="Arial" w:hAnsi="Arial" w:cs="Arial"/>
        </w:rPr>
        <w:t>ConSurf</w:t>
      </w:r>
      <w:proofErr w:type="spellEnd"/>
      <w:r w:rsidRPr="00933FF3">
        <w:rPr>
          <w:rFonts w:ascii="Arial" w:hAnsi="Arial" w:cs="Arial"/>
        </w:rPr>
        <w:t xml:space="preserve"> server</w:t>
      </w:r>
      <w:r w:rsidR="00E22A10">
        <w:rPr>
          <w:rFonts w:ascii="Arial" w:hAnsi="Arial" w:cs="Arial"/>
        </w:rPr>
        <w:fldChar w:fldCharType="begin"/>
      </w:r>
      <w:r w:rsidR="00E22A10">
        <w:rPr>
          <w:rFonts w:ascii="Arial" w:hAnsi="Arial" w:cs="Arial"/>
        </w:rPr>
        <w:instrText xml:space="preserve"> ADDIN ZOTERO_ITEM CSL_CITATION {"citationID":"He2Esium","properties":{"formattedCitation":"(Ashkenazy et al., 2016)","plainCitation":"(Ashkenazy et al., 2016)","noteIndex":0},"citationItems":[{"id":1042,"uris":["http://zotero.org/users/8036093/items/YLKHTE7N"],"itemData":{"id":1042,"type":"article-journal","abstract":"The degree of evolutionary conservation of an amino acid in a protein or a nucleic acid in DNA/RNA reflects a balance between its natural tendency to mutate and the overall need to retain the structural integrity and function of the macromolecule. The ConSurf web server (http://consurf.tau.ac.il), established over 15 years ago, analyses the evolutionary pattern of the amino/nucleic acids of the macromolecule to reveal regions that are important for structure and/or function. Starting from a query sequence or structure, the server automatically collects homologues, infers their multiple sequence alignment and reconstructs a phylogenetic tree that reflects their evolutionary relations. These data are then used, within a probabilistic framework, to estimate the evolutionary rates of each sequence position. Here we introduce several new features into ConSurf, including automatic selection of the best evolutionary model used to infer the rates, the ability to homology-model query proteins, prediction of the secondary structure of query RNA molecules from sequence, the ability to view the biological assembly of a query (in addition to the single chain), mapping of the conservation grades onto 2D RNA models and an advanced view of the phylogenetic tree that enables interactively rerunning ConSurf with the taxa of a sub-tree.","container-title":"Nucleic Acids Research","DOI":"10.1093/nar/gkw408","ISSN":"0305-1048","issue":"Web Server issue","journalAbbreviation":"Nucleic Acids Res","note":"PMID: 27166375\nPMCID: PMC4987940","page":"W344-W350","source":"PubMed Central","title":"ConSurf 2016: an improved methodology to estimate and visualize evolutionary conservation in macromolecules","title-short":"ConSurf 2016","volume":"44","author":[{"family":"Ashkenazy","given":"Haim"},{"family":"Abadi","given":"Shiran"},{"family":"Martz","given":"Eric"},{"family":"Chay","given":"Ofer"},{"family":"Mayrose","given":"Itay"},{"family":"Pupko","given":"Tal"},{"family":"Ben-Tal","given":"Nir"}],"issued":{"date-parts":[["2016",7,8]]}}}],"schema":"https://github.com/citation-style-language/schema/raw/master/csl-citation.json"} </w:instrText>
      </w:r>
      <w:r w:rsidR="00E22A10">
        <w:rPr>
          <w:rFonts w:ascii="Arial" w:hAnsi="Arial" w:cs="Arial"/>
        </w:rPr>
        <w:fldChar w:fldCharType="separate"/>
      </w:r>
      <w:r w:rsidR="00E22A10" w:rsidRPr="00E22A10">
        <w:rPr>
          <w:rFonts w:ascii="Arial" w:hAnsi="Arial" w:cs="Arial"/>
        </w:rPr>
        <w:t>(Ashkenazy et al., 2016)</w:t>
      </w:r>
      <w:r w:rsidR="00E22A10">
        <w:rPr>
          <w:rFonts w:ascii="Arial" w:hAnsi="Arial" w:cs="Arial"/>
        </w:rPr>
        <w:fldChar w:fldCharType="end"/>
      </w:r>
      <w:r w:rsidRPr="00933FF3">
        <w:rPr>
          <w:rFonts w:ascii="Arial" w:hAnsi="Arial" w:cs="Arial"/>
        </w:rPr>
        <w:t>, which helped identify conserved regions frequently associated with essential functional roles</w:t>
      </w:r>
      <w:r w:rsidR="00E22A10">
        <w:rPr>
          <w:rFonts w:ascii="Arial" w:hAnsi="Arial" w:cs="Arial"/>
        </w:rPr>
        <w:fldChar w:fldCharType="begin"/>
      </w:r>
      <w:r w:rsidR="00E22A10">
        <w:rPr>
          <w:rFonts w:ascii="Arial" w:hAnsi="Arial" w:cs="Arial"/>
        </w:rPr>
        <w:instrText xml:space="preserve"> ADDIN ZOTERO_ITEM CSL_CITATION {"citationID":"qn6qAlvJ","properties":{"formattedCitation":"(Cagiada et al., 2023)","plainCitation":"(Cagiada et al., 2023)","noteIndex":0},"citationItems":[{"id":15044,"uris":["http://zotero.org/users/8036093/items/WCX6GQ5N"],"itemData":{"id":15044,"type":"article-journal","abstract":"Proteins play important roles in biology, biotechnology and pharmacology, and missense variants are a common cause of disease. Discovering functionally important sites in proteins is a central but difficult problem because of the lack of large, systematic data sets. Sequence conservation can highlight residues that are functionally important but is often convoluted with a signal for preserving structural stability. We here present a machine learning method to predict functional sites by combining statistical models for protein sequences with biophysical models of stability. We train the model using multiplexed experimental data on variant effects and validate it broadly. We show how the model can be used to discover active sites, as well as regulatory and binding sites. We illustrate the utility of the model by prospective prediction and subsequent experimental validation on the functional consequences of missense variants in HPRT1 which may cause Lesch-Nyhan syndrome, and pinpoint the molecular mechanisms by which they cause disease.","container-title":"Nature Communications","DOI":"10.1038/s41467-023-39909-0","ISSN":"2041-1723","issue":"1","journalAbbreviation":"Nat Commun","language":"en","license":"2023 The Author(s)","note":"publisher: Nature Publishing Group","page":"4175","source":"www.nature.com","title":"Discovering functionally important sites in proteins","volume":"14","author":[{"family":"Cagiada","given":"Matteo"},{"family":"Bottaro","given":"Sandro"},{"family":"Lindemose","given":"Søren"},{"family":"Schenstrøm","given":"Signe M."},{"family":"Stein","given":"Amelie"},{"family":"Hartmann-Petersen","given":"Rasmus"},{"family":"Lindorff-Larsen","given":"Kresten"}],"issued":{"date-parts":[["2023",7,13]]}}}],"schema":"https://github.com/citation-style-language/schema/raw/master/csl-citation.json"} </w:instrText>
      </w:r>
      <w:r w:rsidR="00E22A10">
        <w:rPr>
          <w:rFonts w:ascii="Arial" w:hAnsi="Arial" w:cs="Arial"/>
        </w:rPr>
        <w:fldChar w:fldCharType="separate"/>
      </w:r>
      <w:r w:rsidR="00E22A10" w:rsidRPr="00E22A10">
        <w:rPr>
          <w:rFonts w:ascii="Arial" w:hAnsi="Arial" w:cs="Arial"/>
        </w:rPr>
        <w:t>(Cagiada et al., 2023)</w:t>
      </w:r>
      <w:r w:rsidR="00E22A10">
        <w:rPr>
          <w:rFonts w:ascii="Arial" w:hAnsi="Arial" w:cs="Arial"/>
        </w:rPr>
        <w:fldChar w:fldCharType="end"/>
      </w:r>
      <w:r w:rsidRPr="00933FF3">
        <w:rPr>
          <w:rFonts w:ascii="Arial" w:hAnsi="Arial" w:cs="Arial"/>
        </w:rPr>
        <w:t xml:space="preserve">. Additionally, protein stability was calculated using </w:t>
      </w:r>
      <w:proofErr w:type="spellStart"/>
      <w:r w:rsidRPr="00933FF3">
        <w:rPr>
          <w:rFonts w:ascii="Arial" w:hAnsi="Arial" w:cs="Arial"/>
        </w:rPr>
        <w:t>ProtParam</w:t>
      </w:r>
      <w:proofErr w:type="spellEnd"/>
      <w:r w:rsidR="00E22A10">
        <w:rPr>
          <w:rFonts w:ascii="Arial" w:hAnsi="Arial" w:cs="Arial"/>
        </w:rPr>
        <w:fldChar w:fldCharType="begin"/>
      </w:r>
      <w:r w:rsidR="00E22A10">
        <w:rPr>
          <w:rFonts w:ascii="Arial" w:hAnsi="Arial" w:cs="Arial"/>
        </w:rPr>
        <w:instrText xml:space="preserve"> ADDIN ZOTERO_ITEM CSL_CITATION {"citationID":"VWgedP9L","properties":{"formattedCitation":"(Garg et al., 2016)","plainCitation":"(Garg et al., 2016)","noteIndex":0},"citationItems":[{"id":85,"uris":["http://zotero.org/users/8036093/items/YD4L5BKV"],"itemData":{"id":85,"type":"article-journal","abstract":"Physico-chemical properties reflect the functional and structural characteristics of a protein. The comparative study of the physicochemical\nproperties is important to know role of a protein in exploring its molecular evolution. A number of online and offline\ntools are available for calculating the physico-chemical properties of a single protein sequence. However, a tool is not available for\na comparative study with graphical visualization of Multi-FASTA sequences. Hence, we describe the development and utility of\nMFPPI V.1.0 (a web interface developed in JAVA platform) to input each FASTA sequence from Multi-FASTA file into the\nProtParam web server for the calculation of physico-chemical properties. MFPPI V.1.0 calculates different physico-chemical\nproperties for a given set of proteins in a single run and saves the data in the MSExcel sheet. Furthermore, it provides a graphical\nrepresentation of protein physico-chemical properties for analysis and visualization of data in a user-friendly manner. Therefore,\nthe output from the analysis helps to understand compositional changes and functional relationship in evolution among\norganisms. We have demonstrated the utility of MFPPI V.1.0 using 17 mtATP6 protein sequences from different mammalian\nspecies. It is available for free at http://insilicogenomics.in/mfpcalc/mfppi.html.","container-title":"Bioinformation","DOI":"10.6026/97320630012074","ISSN":"0973-2063","issue":"2","journalAbbreviation":"Bioinformation","note":"PMID: 28104964\nPMCID: PMC5237651","page":"74-77","source":"PubMed Central","title":"MFPPI – Multi FASTA ProtParam Interface","volume":"12","author":[{"family":"Garg","given":"Vijay Kumar"},{"family":"Avashthi","given":"Himanshu"},{"family":"Tiwari","given":"Apoorv"},{"family":"Jain","given":"Prashant Ankur"},{"family":"Ramkete","given":"Pramod Wasudev"},{"family":"Kayastha","given":"Arvind Mohan"},{"family":"Singh","given":"Vinay Kumar"}],"issued":{"date-parts":[["2016",4,10]]}}}],"schema":"https://github.com/citation-style-language/schema/raw/master/csl-citation.json"} </w:instrText>
      </w:r>
      <w:r w:rsidR="00E22A10">
        <w:rPr>
          <w:rFonts w:ascii="Arial" w:hAnsi="Arial" w:cs="Arial"/>
        </w:rPr>
        <w:fldChar w:fldCharType="separate"/>
      </w:r>
      <w:r w:rsidR="00E22A10" w:rsidRPr="00E22A10">
        <w:rPr>
          <w:rFonts w:ascii="Arial" w:hAnsi="Arial" w:cs="Arial"/>
        </w:rPr>
        <w:t>(Garg et al., 2016)</w:t>
      </w:r>
      <w:r w:rsidR="00E22A10">
        <w:rPr>
          <w:rFonts w:ascii="Arial" w:hAnsi="Arial" w:cs="Arial"/>
        </w:rPr>
        <w:fldChar w:fldCharType="end"/>
      </w:r>
      <w:r w:rsidRPr="00933FF3">
        <w:rPr>
          <w:rFonts w:ascii="Arial" w:hAnsi="Arial" w:cs="Arial"/>
        </w:rPr>
        <w:t>, with stable proteins deemed more desirable as targets due to their higher likelihood of successful expression and purification</w:t>
      </w:r>
      <w:r w:rsidR="000A3D35">
        <w:rPr>
          <w:rFonts w:ascii="Arial" w:hAnsi="Arial" w:cs="Arial"/>
        </w:rPr>
        <w:fldChar w:fldCharType="begin"/>
      </w:r>
      <w:r w:rsidR="000A3D35">
        <w:rPr>
          <w:rFonts w:ascii="Arial" w:hAnsi="Arial" w:cs="Arial"/>
        </w:rPr>
        <w:instrText xml:space="preserve"> ADDIN ZOTERO_ITEM CSL_CITATION {"citationID":"yPCAL9Af","properties":{"formattedCitation":"(Kwan et al., 2022)","plainCitation":"(Kwan et al., 2022)","noteIndex":0},"citationItems":[{"id":15046,"uris":["http://zotero.org/users/8036093/items/T8YYTVDE"],"itemData":{"id":15046,"type":"article-journal","abstract":"Structure-function relationships of biological macromolecules, in particular proteins, provide crucial insights for fundamental biochemistry, medical research and early drug discovery. However, production of recombinant proteins, either for structure determination, functional studies, or to be used as biopharmaceutical products, is often hampered by their instability and propensity to aggregate in solution in vitro. Protein samples of poor quality are often associated with reduced reproducibility as well as high research and production expenses. Several biophysical methods are available for measuring protein aggregation and stability. Yet, discovering and developing means to improve protein behaviour and structure-function integrity remains a demanding task. Here, we discuss workflows that are made possible by adapting established biophysical methods to high-throughput screening approaches. Rapid identification and optimisation of conditions that promote protein stability and reduce aggregation will support researchers and industry to maximise sample quality, stability and reproducibility, thereby reducing research and development time and costs.","container-title":"Frontiers in Molecular Biosciences","DOI":"10.3389/fmolb.2022.890862","ISSN":"2296-889X","journalAbbreviation":"Front. Mol. Biosci.","language":"English","note":"publisher: Frontiers","source":"Frontiers","title":"Measuring Protein Aggregation and Stability Using High-Throughput Biophysical Approaches","URL":"https://www.frontiersin.org/journals/molecular-biosciences/articles/10.3389/fmolb.2022.890862/full","volume":"9","author":[{"family":"Kwan","given":"Tristan O. C."},{"family":"Kolek","given":"Stefan A."},{"family":"Danson","given":"Amy E."},{"family":"Reis","given":"Rosana I."},{"family":"Camacho","given":"Ines S."},{"family":"Shaw Stewart","given":"Patrick D."},{"family":"Moraes","given":"Isabel"}],"accessed":{"date-parts":[["2025",8,3]]},"issued":{"date-parts":[["2022",5,16]]}}}],"schema":"https://github.com/citation-style-language/schema/raw/master/csl-citation.json"} </w:instrText>
      </w:r>
      <w:r w:rsidR="000A3D35">
        <w:rPr>
          <w:rFonts w:ascii="Arial" w:hAnsi="Arial" w:cs="Arial"/>
        </w:rPr>
        <w:fldChar w:fldCharType="separate"/>
      </w:r>
      <w:r w:rsidR="000A3D35" w:rsidRPr="000A3D35">
        <w:rPr>
          <w:rFonts w:ascii="Arial" w:hAnsi="Arial" w:cs="Arial"/>
        </w:rPr>
        <w:t>(Kwan et al., 2022)</w:t>
      </w:r>
      <w:r w:rsidR="000A3D35">
        <w:rPr>
          <w:rFonts w:ascii="Arial" w:hAnsi="Arial" w:cs="Arial"/>
        </w:rPr>
        <w:fldChar w:fldCharType="end"/>
      </w:r>
      <w:r w:rsidRPr="00933FF3">
        <w:rPr>
          <w:rFonts w:ascii="Arial" w:hAnsi="Arial" w:cs="Arial"/>
        </w:rPr>
        <w:t xml:space="preserve">. Subcellular localization was predicted with </w:t>
      </w:r>
      <w:proofErr w:type="spellStart"/>
      <w:r w:rsidRPr="00933FF3">
        <w:rPr>
          <w:rFonts w:ascii="Arial" w:hAnsi="Arial" w:cs="Arial"/>
        </w:rPr>
        <w:t>ESLpred</w:t>
      </w:r>
      <w:proofErr w:type="spellEnd"/>
      <w:r w:rsidR="000A3D35">
        <w:rPr>
          <w:rFonts w:ascii="Arial" w:hAnsi="Arial" w:cs="Arial"/>
        </w:rPr>
        <w:t xml:space="preserve"> </w:t>
      </w:r>
      <w:r w:rsidR="000A3D35">
        <w:rPr>
          <w:rFonts w:ascii="Arial" w:hAnsi="Arial" w:cs="Arial"/>
        </w:rPr>
        <w:fldChar w:fldCharType="begin"/>
      </w:r>
      <w:r w:rsidR="000A3D35">
        <w:rPr>
          <w:rFonts w:ascii="Arial" w:hAnsi="Arial" w:cs="Arial"/>
        </w:rPr>
        <w:instrText xml:space="preserve"> ADDIN ZOTERO_ITEM CSL_CITATION {"citationID":"r9puf4yO","properties":{"formattedCitation":"(Bhasin &amp; Raghava, 2004)","plainCitation":"(Bhasin &amp; Raghava, 2004)","noteIndex":0},"citationItems":[{"id":190,"uris":["http://zotero.org/users/8036093/items/6GZW5X9D"],"itemData":{"id":190,"type":"article-journal","abstract":"Automated prediction of subcellular localization of proteins is an important step in the functional annotation of genomes. The existing subcellular localization prediction methods are based on either amino acid composition or N-terminal characteristics of the proteins. In this paper, support vector machine (SVM) has been used to predict the subcellular location of eukaryotic proteins from their different features such as amino acid composition, dipeptide composition and physico-chemical properties. The SVM module based on dipeptide composition performed better than the SVM modules based on amino acid composition or physico-chemical properties. In addition, PSI-BLAST was also used to search the query sequence against the dataset of proteins (experimentally annotated proteins) to predict its subcellular location. In order to improve the prediction accuracy, we developed a hybrid module using all features of a protein, which consisted of an input vector of 458 dimensions (400 dipeptide compositions, 33 properties, 20 amino acid compositions of the protein and 5 from PSI-BLAST output). Using this hybrid approach, the prediction accuracies of nuclear, cytoplasmic, mitochondrial and extracellular proteins reached 95.3, 85.2, 68.2 and 88.9%, respectively. The overall prediction accuracy of SVM modules based on amino acid composition, physico-chemical properties, dipeptide composition and the hybrid approach was 78.1, 77.8, 82.9 and 88.0%, respectively. The accuracy of all the modules was evaluated using a 5-fold cross-validation technique. Assigning a reliability index (reliability index ≥3), 73.5% of prediction can be made with an accuracy of 96.4%. Based on the above approach, an online web server ESLpred was developed, which is available at http://www.imtech.res.in/raghava/eslpred/.","container-title":"Nucleic Acids Research","DOI":"10.1093/nar/gkh350","ISSN":"0305-1048","issue":"Web Server issue","journalAbbreviation":"Nucleic Acids Res","note":"PMID: 15215421\nPMCID: PMC441488","page":"W414-W419","source":"PubMed Central","title":"ESLpred: SVM-based method for subcellular localization of eukaryotic proteins using dipeptide composition and PSI-BLAST","title-short":"ESLpred","volume":"32","author":[{"family":"Bhasin","given":"Manoj"},{"family":"Raghava","given":"G. P. S."}],"issued":{"date-parts":[["2004",7,1]]}}}],"schema":"https://github.com/citation-style-language/schema/raw/master/csl-citation.json"} </w:instrText>
      </w:r>
      <w:r w:rsidR="000A3D35">
        <w:rPr>
          <w:rFonts w:ascii="Arial" w:hAnsi="Arial" w:cs="Arial"/>
        </w:rPr>
        <w:fldChar w:fldCharType="separate"/>
      </w:r>
      <w:r w:rsidR="000A3D35" w:rsidRPr="000A3D35">
        <w:rPr>
          <w:rFonts w:ascii="Arial" w:hAnsi="Arial" w:cs="Arial"/>
        </w:rPr>
        <w:t>(</w:t>
      </w:r>
      <w:proofErr w:type="spellStart"/>
      <w:r w:rsidR="000A3D35" w:rsidRPr="000A3D35">
        <w:rPr>
          <w:rFonts w:ascii="Arial" w:hAnsi="Arial" w:cs="Arial"/>
        </w:rPr>
        <w:t>Bhasin</w:t>
      </w:r>
      <w:proofErr w:type="spellEnd"/>
      <w:r w:rsidR="000A3D35" w:rsidRPr="000A3D35">
        <w:rPr>
          <w:rFonts w:ascii="Arial" w:hAnsi="Arial" w:cs="Arial"/>
        </w:rPr>
        <w:t xml:space="preserve"> &amp; Raghava, 2004)</w:t>
      </w:r>
      <w:r w:rsidR="000A3D35">
        <w:rPr>
          <w:rFonts w:ascii="Arial" w:hAnsi="Arial" w:cs="Arial"/>
        </w:rPr>
        <w:fldChar w:fldCharType="end"/>
      </w:r>
      <w:r w:rsidRPr="00933FF3">
        <w:rPr>
          <w:rFonts w:ascii="Arial" w:hAnsi="Arial" w:cs="Arial"/>
        </w:rPr>
        <w:t>, prioritizing extracellular or cytoplasmic proteins, which are generally more accessible to drugs and therefore represent more viable targets</w:t>
      </w:r>
      <w:r w:rsidR="001736E5">
        <w:rPr>
          <w:rFonts w:ascii="Arial" w:hAnsi="Arial" w:cs="Arial"/>
        </w:rPr>
        <w:fldChar w:fldCharType="begin"/>
      </w:r>
      <w:r w:rsidR="001736E5">
        <w:rPr>
          <w:rFonts w:ascii="Arial" w:hAnsi="Arial" w:cs="Arial"/>
        </w:rPr>
        <w:instrText xml:space="preserve"> ADDIN ZOTERO_ITEM CSL_CITATION {"citationID":"Pe5WzLRT","properties":{"formattedCitation":"(Alanzi et al., 2025)","plainCitation":"(Alanzi et al., 2025)","noteIndex":0},"citationItems":[{"id":15048,"uris":["http://zotero.org/users/8036093/items/27SNEWA6"],"itemData":{"id":15048,"type":"article-journal","abstract":"Klebsiella michiganensis, an emerging multidrug-resistant pathogen, poses a significant public health threat. This study employed subtractive genomics to identify potential therapeutic targets in K. michiganensis THO-011. From 4,024 predicted open reading frames, we identified non-redundant, human non-homologous proteins and analyzed them for essentiality, subcellular localization, and metabolic pathway involvement. Two promising druggable targets, WP_004097788.1 and WP_219541799, vital for bacterial survival, were identified. Using AlphaFold-predicted structures, virtual screening of 10,000 natural compounds from the LOTUS database, alongside DrugBank controls, identified LTS0037797 and LTS0037810 as top inhibitors. Glide Gscores ranked these compounds, with validation via MM-GBSA binding energy and molecular dynamics simulations confirming their stability and binding efficacy. These findings highlight novel therapeutic strategies against K. michiganensis, with further in vitro studies necessary to advance these inhibitors to clinical application.","container-title":"Scientific Reports","DOI":"10.1038/s41598-025-08107-x","ISSN":"2045-2322","journalAbbreviation":"Sci Rep","note":"PMID: 40610643\nPMCID: PMC12226713","page":"23776","source":"PubMed Central","title":"Subtractive proteomics and molecular docking identify therapeutic targets and drug candidates in drug resistant Klebsiella Michiganensis THO-011","volume":"15","author":[{"family":"Alanzi","given":"Abdullah R."},{"family":"Alanazi","given":"Ahmad Z."},{"family":"Alhazzani","given":"Khalid"},{"family":"Abbas","given":"Munawar"}],"issued":{"date-parts":[["2025",7,3]]}}}],"schema":"https://github.com/citation-style-language/schema/raw/master/csl-citation.json"} </w:instrText>
      </w:r>
      <w:r w:rsidR="001736E5">
        <w:rPr>
          <w:rFonts w:ascii="Arial" w:hAnsi="Arial" w:cs="Arial"/>
        </w:rPr>
        <w:fldChar w:fldCharType="separate"/>
      </w:r>
      <w:r w:rsidR="001736E5" w:rsidRPr="001736E5">
        <w:rPr>
          <w:rFonts w:ascii="Arial" w:hAnsi="Arial" w:cs="Arial"/>
        </w:rPr>
        <w:t>(Alanzi et al., 2025)</w:t>
      </w:r>
      <w:r w:rsidR="001736E5">
        <w:rPr>
          <w:rFonts w:ascii="Arial" w:hAnsi="Arial" w:cs="Arial"/>
        </w:rPr>
        <w:fldChar w:fldCharType="end"/>
      </w:r>
      <w:r w:rsidRPr="00933FF3">
        <w:rPr>
          <w:rFonts w:ascii="Arial" w:hAnsi="Arial" w:cs="Arial"/>
        </w:rPr>
        <w:t>.</w:t>
      </w:r>
      <w:r>
        <w:rPr>
          <w:rFonts w:ascii="Arial" w:hAnsi="Arial" w:cs="Arial"/>
        </w:rPr>
        <w:t xml:space="preserve"> </w:t>
      </w:r>
      <w:proofErr w:type="spellStart"/>
      <w:r w:rsidRPr="00933FF3">
        <w:rPr>
          <w:rFonts w:ascii="Arial" w:hAnsi="Arial" w:cs="Arial"/>
        </w:rPr>
        <w:t>Orthology</w:t>
      </w:r>
      <w:proofErr w:type="spellEnd"/>
      <w:r w:rsidRPr="00933FF3">
        <w:rPr>
          <w:rFonts w:ascii="Arial" w:hAnsi="Arial" w:cs="Arial"/>
        </w:rPr>
        <w:t xml:space="preserve"> searches were also </w:t>
      </w:r>
      <w:r w:rsidRPr="00B40BBD">
        <w:rPr>
          <w:rFonts w:ascii="Arial" w:hAnsi="Arial" w:cs="Arial"/>
        </w:rPr>
        <w:t xml:space="preserve">conducted using </w:t>
      </w:r>
      <w:proofErr w:type="spellStart"/>
      <w:r w:rsidRPr="00B40BBD">
        <w:rPr>
          <w:rFonts w:ascii="Arial" w:hAnsi="Arial" w:cs="Arial"/>
        </w:rPr>
        <w:t>OrthoDB</w:t>
      </w:r>
      <w:proofErr w:type="spellEnd"/>
      <w:r w:rsidR="001736E5" w:rsidRPr="00B40BBD">
        <w:rPr>
          <w:rFonts w:ascii="Arial" w:hAnsi="Arial" w:cs="Arial"/>
        </w:rPr>
        <w:t xml:space="preserve"> </w:t>
      </w:r>
      <w:r w:rsidR="001736E5" w:rsidRPr="00B40BBD">
        <w:rPr>
          <w:rFonts w:ascii="Arial" w:hAnsi="Arial" w:cs="Arial"/>
        </w:rPr>
        <w:fldChar w:fldCharType="begin"/>
      </w:r>
      <w:r w:rsidR="001736E5" w:rsidRPr="00B40BBD">
        <w:rPr>
          <w:rFonts w:ascii="Arial" w:hAnsi="Arial" w:cs="Arial"/>
        </w:rPr>
        <w:instrText xml:space="preserve"> ADDIN ZOTERO_ITEM CSL_CITATION {"citationID":"cm5S0iTJ","properties":{"formattedCitation":"(Kriventseva et al., 2019)","plainCitation":"(Kriventseva et al., 2019)","noteIndex":0},"citationItems":[{"id":566,"uris":["http://zotero.org/users/8036093/items/5J53KRY2"],"itemData":{"id":566,"type":"article-journal","abstract":"OrthoDB (https://www.orthodb.org) provides evolutionary and functional annotations of orthologs. This update features a major scaling up of the resource coverage, sampling the genomic diversity of 1271 eukaryotes, 6013 prokaryotes and 6488 viruses. These include putative orthologs among 448 metazoan, 117 plant, 549 fungal, 148 protist, 5609 bacterial, and 404 archaeal genomes, picking up the best sequenced and annotated representatives for each species or operational taxonomic unit. OrthoDB relies on a concept of hierarchy of levels-of-orthology to enable more ﬁnely resolved gene orthologies for more closely related species. Since orthologs are the most likely candidates to retain functions of their ancestor gene, OrthoDB is aimed at narrowing down hypotheses about ge</w:instrText>
      </w:r>
      <w:r w:rsidR="001736E5" w:rsidRPr="00435077">
        <w:rPr>
          <w:rFonts w:ascii="Arial" w:hAnsi="Arial" w:cs="Arial"/>
          <w:lang w:val="fr-FR"/>
        </w:rPr>
        <w:instrText xml:space="preserve">ne functions and enabling comparative evolutionary studies. Optional registered-user sessions allow on-line BUSCO assessments of gene set completeness and mapping of the uploaded data to OrthoDB to enable further interactive exploration of related annotations and generation of comparative charts. The accelerating expansion of genomics data continues to add valuable information, and OrthoDB strives to provide orthologs from the broadest coverage of species, as well as to extensively collate available functional annotations and to compute evolutionary annotations. The data can be browsed online, downloaded or assessed via REST API or SPARQL RDF compatible with both UniProt and Ensembl.","container-title":"Nucleic Acids Research","DOI":"10.1093/nar/gky1053","ISSN":"0305-1048, 1362-4962","issue":"D1","language":"en","page":"D807-D811","source":"DOI.org (Crossref)","title":"OrthoDB v10: sampling the diversity of animal, plant, fungal, protist, bacterial and viral genomes for evolutionary and functional annotations of orthologs","title-short":"OrthoDB v10","volume":"47","author":[{"family":"Kriventseva","given":"Evgenia V"},{"family":"Kuznetsov","given":"Dmitry"},{"family":"Tegenfeldt","given":"Fredrik"},{"family":"Manni","given":"Mosè"},{"family":"Dias","given":"Renata"},{"family":"Simão","given":"Felipe A"},{"family":"Zdobnov","given":"Evgeny M"}],"issued":{"date-parts":[["2019",1,8]]}}}],"schema":"https://github.com/citation-style-language/schema/raw/master/csl-citation.json"} </w:instrText>
      </w:r>
      <w:r w:rsidR="001736E5" w:rsidRPr="00B40BBD">
        <w:rPr>
          <w:rFonts w:ascii="Arial" w:hAnsi="Arial" w:cs="Arial"/>
        </w:rPr>
        <w:fldChar w:fldCharType="separate"/>
      </w:r>
      <w:r w:rsidR="001736E5" w:rsidRPr="00435077">
        <w:rPr>
          <w:rFonts w:ascii="Arial" w:hAnsi="Arial" w:cs="Arial"/>
          <w:lang w:val="fr-FR"/>
        </w:rPr>
        <w:t>(</w:t>
      </w:r>
      <w:proofErr w:type="spellStart"/>
      <w:r w:rsidR="001736E5" w:rsidRPr="00435077">
        <w:rPr>
          <w:rFonts w:ascii="Arial" w:hAnsi="Arial" w:cs="Arial"/>
          <w:lang w:val="fr-FR"/>
        </w:rPr>
        <w:t>Kriventseva</w:t>
      </w:r>
      <w:proofErr w:type="spellEnd"/>
      <w:r w:rsidR="001736E5" w:rsidRPr="00435077">
        <w:rPr>
          <w:rFonts w:ascii="Arial" w:hAnsi="Arial" w:cs="Arial"/>
          <w:lang w:val="fr-FR"/>
        </w:rPr>
        <w:t xml:space="preserve"> et al., 2019)</w:t>
      </w:r>
      <w:r w:rsidR="001736E5" w:rsidRPr="00B40BBD">
        <w:rPr>
          <w:rFonts w:ascii="Arial" w:hAnsi="Arial" w:cs="Arial"/>
        </w:rPr>
        <w:fldChar w:fldCharType="end"/>
      </w:r>
      <w:r w:rsidRPr="00435077">
        <w:rPr>
          <w:rFonts w:ascii="Arial" w:hAnsi="Arial" w:cs="Arial"/>
          <w:lang w:val="fr-FR"/>
        </w:rPr>
        <w:t>, EggNOG</w:t>
      </w:r>
      <w:r w:rsidR="001736E5" w:rsidRPr="00435077">
        <w:rPr>
          <w:rFonts w:ascii="Arial" w:hAnsi="Arial" w:cs="Arial"/>
          <w:lang w:val="fr-FR"/>
        </w:rPr>
        <w:t xml:space="preserve"> </w:t>
      </w:r>
      <w:r w:rsidR="001736E5" w:rsidRPr="00B40BBD">
        <w:rPr>
          <w:rFonts w:ascii="Arial" w:hAnsi="Arial" w:cs="Arial"/>
        </w:rPr>
        <w:fldChar w:fldCharType="begin"/>
      </w:r>
      <w:r w:rsidR="001736E5" w:rsidRPr="00435077">
        <w:rPr>
          <w:rFonts w:ascii="Arial" w:hAnsi="Arial" w:cs="Arial"/>
          <w:lang w:val="fr-FR"/>
        </w:rPr>
        <w:instrText xml:space="preserve"> ADDIN ZOTERO_ITEM CSL_CITATION {"citationID":"D68pMfUI","properties":{"formattedCitation":"(Hern\\uc0\\u225{}ndez-Plaza et al., 2023)","plainCitation":"(Hernández-Plaza et al., 2023)","noteIndex":0},"citationItems":[{"id":609,"uris":["http://zotero.org/users/8036093/items/3VATIU99"],"itemData":{"id":609,"type":"article-journal","abstract":"The eggNOG (evolutionary gene genealogy Non-supervised Orthologous Groups) database is a bioinformatics resource providing orthology data and comprehensive functional information for organisms from all domains of life. Here, we present a major update of the database and website (version 6.0), which increases the number of covered organisms to 12 535 reference species, expands functional annotations, and implements new functionality. In total, eggNOG 6.0 provides a hierarchy of over 17M orthologous groups (OGs) computed at 1601 taxonomic levels, spanning 10 756 bacterial, 457 archaeal and 1322 eukaryotic organisms. OGs have been thoroughly annotated using recent knowledge from functional databases, including KEGG, Gene Ontology, UniProtKB, BiGG, CAZy, CARD, PFAM and SMART. eggNOG also offers phylogenetic trees for all OGs, maximising utility and versatility for end users while allowing researchers to investigate the evolutionary history of speciation and duplication events as well as the phylogenetic distribution of functional terms within each OG. Furthermore, the eggNOG 6.0 website contains new functionality to mine orthology and functional data with ease, including the possibility of generating phylogenetic profiles for multiple OGs across species or identifying single-copy OGs at custom taxonomic levels. eggNOG 6.0 is available at http://eggnog6.embl.de.","container-title":"Nucleic Acids Research","DOI":"10.1093/nar/gkac1022","ISSN":"0305-1048","issue":"D1","journalAbbreviation":"Nucleic Acids Research","page":"D389-D394","title":"eggNOG 6.0: enabling comparative genomics across 12 535 organisms","volume":"51","author":[{"family":"Hernández-Plaza","given":"Ana"},{"family":"Szklarczyk","given":"Damian"},{"family":"Botas","given":"Jorge"},{"family":"Cantalapiedra","given":"Carlos P"},{"family":"Giner-Lamia","given":"Joaquín"},{"family":"Mende","given":"Daniel R"},{"family":"Kirsch","given":"Rebecca"},{"family":"Rattei","given":"Thomas"},{"family":"Letunic","given":"Ivica"},{"family":"Jensen","given":"Lars J"},{"family":"Bork","given":"Peer"},{"family":"von Mering","given":"Christian"},{"family":"Huerta-Cepas","given":"Jaime"}],"issued":{"date-parts":[["2023",1,6]]}}}],"schema":"https://github.com/citation-style-language/schema/raw/master/csl-citation.json"} </w:instrText>
      </w:r>
      <w:r w:rsidR="001736E5" w:rsidRPr="00B40BBD">
        <w:rPr>
          <w:rFonts w:ascii="Arial" w:hAnsi="Arial" w:cs="Arial"/>
        </w:rPr>
        <w:fldChar w:fldCharType="separate"/>
      </w:r>
      <w:r w:rsidR="001736E5" w:rsidRPr="00435077">
        <w:rPr>
          <w:rFonts w:ascii="Arial" w:hAnsi="Arial" w:cs="Arial"/>
          <w:lang w:val="fr-FR"/>
        </w:rPr>
        <w:t>(Hernández-Plaza et al., 2023)</w:t>
      </w:r>
      <w:r w:rsidR="001736E5" w:rsidRPr="00B40BBD">
        <w:rPr>
          <w:rFonts w:ascii="Arial" w:hAnsi="Arial" w:cs="Arial"/>
        </w:rPr>
        <w:fldChar w:fldCharType="end"/>
      </w:r>
      <w:r w:rsidRPr="00435077">
        <w:rPr>
          <w:rFonts w:ascii="Arial" w:hAnsi="Arial" w:cs="Arial"/>
          <w:lang w:val="fr-FR"/>
        </w:rPr>
        <w:t>, and KEGG</w:t>
      </w:r>
      <w:r w:rsidR="001736E5" w:rsidRPr="00435077">
        <w:rPr>
          <w:rFonts w:ascii="Arial" w:hAnsi="Arial" w:cs="Arial"/>
          <w:lang w:val="fr-FR"/>
        </w:rPr>
        <w:t xml:space="preserve"> </w:t>
      </w:r>
      <w:r w:rsidR="001736E5" w:rsidRPr="00B40BBD">
        <w:rPr>
          <w:rFonts w:ascii="Arial" w:hAnsi="Arial" w:cs="Arial"/>
        </w:rPr>
        <w:fldChar w:fldCharType="begin"/>
      </w:r>
      <w:r w:rsidR="001736E5" w:rsidRPr="00435077">
        <w:rPr>
          <w:rFonts w:ascii="Arial" w:hAnsi="Arial" w:cs="Arial"/>
          <w:lang w:val="fr-FR"/>
        </w:rPr>
        <w:instrText xml:space="preserve"> ADDIN ZOTERO_ITEM CSL_CITATION {"citationID":"gZ1szQ2s","properties":{"formattedCitation":"(Kanehisa et al., 2022)","plainCitation":"(Kanehisa et al., 2022)","noteIndex":0},"citationItems":[{"id":608,"uris":["http://zotero.org/users/8036093/items/QJ8LMXB4"],"itemData":{"id":608,"type":"article-journal","abstract":"KEGG (https://www.kegg.jp) is a manually curated database resource integrating various biological objects categorized into systems, genomic, chemical and health information. Each object (database entry) is identified by the KEGG identifier (kid), which generally takes the form of a prefix followed by a five-digit number, and can be retrie</w:instrText>
      </w:r>
      <w:r w:rsidR="001736E5" w:rsidRPr="00435077">
        <w:rPr>
          <w:rFonts w:ascii="Arial" w:hAnsi="Arial" w:cs="Arial"/>
        </w:rPr>
        <w:instrText>ved by appending /entry/kid in the URL. The KEGG pathway map viewer, the Brite hierarchy viewer and the newly released KEGG genome browser can be launched by appending /pathway/kid, /brite/kid and /genome/kid, respectively, in the URL. Together with an improved annotation procedure for KO (KEGG Orthology) assignment, an increasing number of eukaryotic genomes have been included in KEGG for better representation of organisms in the taxonomic tree. Multiple taxonomy files are generated for classification of KEGG organisms and viruses, and the Brite hierarchy viewer is used for taxonomy mapping, a variant of Brite mapping in the new KEGG Mapper suite. The taxonomy mapping enables analysis of, for example, how functional links of genes in the pathway and physical links of genes on the chromoso</w:instrText>
      </w:r>
      <w:r w:rsidR="001736E5" w:rsidRPr="00B40BBD">
        <w:rPr>
          <w:rFonts w:ascii="Arial" w:hAnsi="Arial" w:cs="Arial"/>
        </w:rPr>
        <w:instrText xml:space="preserve">me are conserved among organism groups.","container-title":"Nucleic Acids Research","DOI":"10.1093/nar/gkac963","ISSN":"0305-1048","issue":"D1","journalAbbreviation":"Nucleic Acids Res","note":"PMID: 36300620\nPMCID: PMC9825424","page":"D587-D592","source":"PubMed Central","title":"KEGG for taxonomy-based analysis of pathways and genomes","volume":"51","author":[{"family":"Kanehisa","given":"Minoru"},{"family":"Furumichi","given":"Miho"},{"family":"Sato","given":"Yoko"},{"family":"Kawashima","given":"Masayuki"},{"family":"Ishiguro-Watanabe","given":"Mari"}],"issued":{"date-parts":[["2022",10,27]]}}}],"schema":"https://github.com/citation-style-language/schema/raw/master/csl-citation.json"} </w:instrText>
      </w:r>
      <w:r w:rsidR="001736E5" w:rsidRPr="00B40BBD">
        <w:rPr>
          <w:rFonts w:ascii="Arial" w:hAnsi="Arial" w:cs="Arial"/>
        </w:rPr>
        <w:fldChar w:fldCharType="separate"/>
      </w:r>
      <w:r w:rsidR="001736E5" w:rsidRPr="00B40BBD">
        <w:rPr>
          <w:rFonts w:ascii="Arial" w:hAnsi="Arial" w:cs="Arial"/>
        </w:rPr>
        <w:t>(Kanehisa et al., 2022)</w:t>
      </w:r>
      <w:r w:rsidR="001736E5" w:rsidRPr="00B40BBD">
        <w:rPr>
          <w:rFonts w:ascii="Arial" w:hAnsi="Arial" w:cs="Arial"/>
        </w:rPr>
        <w:fldChar w:fldCharType="end"/>
      </w:r>
      <w:r w:rsidRPr="00B40BBD">
        <w:rPr>
          <w:rFonts w:ascii="Arial" w:hAnsi="Arial" w:cs="Arial"/>
        </w:rPr>
        <w:t xml:space="preserve"> to confirm parasite specificity and exclude targets with human orthologs, thereby minimizing potential toxicity risks</w:t>
      </w:r>
      <w:r w:rsidR="001736E5" w:rsidRPr="00B40BBD">
        <w:rPr>
          <w:rFonts w:ascii="Arial" w:hAnsi="Arial" w:cs="Arial"/>
        </w:rPr>
        <w:t xml:space="preserve"> </w:t>
      </w:r>
      <w:r w:rsidR="001736E5" w:rsidRPr="00B40BBD">
        <w:rPr>
          <w:rFonts w:ascii="Arial" w:hAnsi="Arial" w:cs="Arial"/>
        </w:rPr>
        <w:fldChar w:fldCharType="begin"/>
      </w:r>
      <w:r w:rsidR="001736E5" w:rsidRPr="00B40BBD">
        <w:rPr>
          <w:rFonts w:ascii="Arial" w:hAnsi="Arial" w:cs="Arial"/>
        </w:rPr>
        <w:instrText xml:space="preserve"> ADDIN ZOTERO_ITEM CSL_CITATION {"citationID":"x7gJB7CV","properties":{"formattedCitation":"(Doyle et al., 2010)","plainCitation":"(Doyle et al., 2010)","noteIndex":0},"citationItems":[{"id":15051,"uris":["http://zotero.org/users/8036093/items/9VWJ7SSC"],"itemData":{"id":15051,"type":"article-journal","abstract":"New drug targets are urgently needed for parasites of socio-economic importance. Genes that are essential for parasite survival are highly desirable targets, but information on these genes is lacking, as gene knockouts or knockdowns are difficult to perform in many species of parasites. We examined the applicability of large-scale essentiality information from four model eukaryotes, Caenorhabditis elegans, Drosophila melanogaster, Mus musculus and Saccharomyces cerevisiae, to discover essential genes in each of their genomes. Parasite genes that lack orthologues in their host are desirable as selective targets, so we also examined prediction of essential genes within this subset.","container-title":"BMC Genomics","DOI":"10.1186/1471-2164-11-222","ISSN":"1471-2164","issue":"1","journalAbbreviation":"BMC Genomics","page":"222","source":"BioMed Central","title":"Drug target prediction and prioritization: using orthology to predict essentiality in parasite genomes","title-short":"Drug target prediction and prioritization","volume":"11","author":[{"family":"Doyle","given":"Maria A."},{"family":"Gasser","given":"Robin B."},{"family":"Woodcroft","given":"Ben J."},{"family":"Hall","given":"Ross S."},{"family":"Ralph","given":"Stuart A."}],"issued":{"date-parts":[["2010",4,3]]}}}],"schema":"https://github.com/citation-style-language/schema/raw/master/csl-citation.json"} </w:instrText>
      </w:r>
      <w:r w:rsidR="001736E5" w:rsidRPr="00B40BBD">
        <w:rPr>
          <w:rFonts w:ascii="Arial" w:hAnsi="Arial" w:cs="Arial"/>
        </w:rPr>
        <w:fldChar w:fldCharType="separate"/>
      </w:r>
      <w:r w:rsidR="001736E5" w:rsidRPr="00B40BBD">
        <w:rPr>
          <w:rFonts w:ascii="Arial" w:hAnsi="Arial" w:cs="Arial"/>
        </w:rPr>
        <w:t>(Doyle et al., 2010)</w:t>
      </w:r>
      <w:r w:rsidR="001736E5" w:rsidRPr="00B40BBD">
        <w:rPr>
          <w:rFonts w:ascii="Arial" w:hAnsi="Arial" w:cs="Arial"/>
        </w:rPr>
        <w:fldChar w:fldCharType="end"/>
      </w:r>
      <w:r w:rsidRPr="00B40BBD">
        <w:rPr>
          <w:rFonts w:ascii="Arial" w:hAnsi="Arial" w:cs="Arial"/>
        </w:rPr>
        <w:t xml:space="preserve">. </w:t>
      </w:r>
      <w:r w:rsidR="00FA40E3" w:rsidRPr="00FA40E3">
        <w:rPr>
          <w:rFonts w:ascii="Arial" w:hAnsi="Arial" w:cs="Arial"/>
        </w:rPr>
        <w:t>All tools were used with default settings.</w:t>
      </w:r>
    </w:p>
    <w:p w14:paraId="71EF56D3" w14:textId="77777777" w:rsidR="00DD1EA1" w:rsidRDefault="00933FF3" w:rsidP="00DD1EA1">
      <w:pPr>
        <w:pStyle w:val="Body"/>
        <w:rPr>
          <w:rFonts w:ascii="Arial" w:hAnsi="Arial" w:cs="Arial"/>
        </w:rPr>
      </w:pPr>
      <w:r w:rsidRPr="00B40BBD">
        <w:rPr>
          <w:rFonts w:ascii="Arial" w:hAnsi="Arial" w:cs="Arial"/>
        </w:rPr>
        <w:lastRenderedPageBreak/>
        <w:t xml:space="preserve">To facilitate the selection and ranking of the most promising therapeutic targets, prioritization scores ranging from 0 to 3 were established for each </w:t>
      </w:r>
      <w:r w:rsidRPr="00933FF3">
        <w:rPr>
          <w:rFonts w:ascii="Arial" w:hAnsi="Arial" w:cs="Arial"/>
        </w:rPr>
        <w:t>of these criteria. Proteins exhibiting favorable characteristics such as absence of transmembrane helices, moderate length (≤ 500 amino acids), low sequence identity with human homologs (&lt; 25%), a high number of functional domains, low sequence variability, and extracellular or cytoplasmic localization were assigned higher scores.</w:t>
      </w:r>
      <w:r>
        <w:rPr>
          <w:rFonts w:ascii="Arial" w:hAnsi="Arial" w:cs="Arial"/>
        </w:rPr>
        <w:t xml:space="preserve"> </w:t>
      </w:r>
      <w:r w:rsidR="00DD1EA1" w:rsidRPr="00DD1EA1">
        <w:rPr>
          <w:rFonts w:ascii="Arial" w:hAnsi="Arial" w:cs="Arial"/>
        </w:rPr>
        <w:t>A comprehensive score was calculated for each protein by summing the scores assigned to each parameter using a customized Python script. This integrated scoring approach enabled a systematic and hierarchical ranking of candidate targets, making the prioritization transparent and allowing the identification of the most promising therapeutic targets based on their structural suitability, parasite specificity, potential drug accessibility, and reduced risk of resistance development. The resulting rankings were visually represented as a heatmap, also generated using the same customized Python script. Table 2 below summarizes the parameters, selection criteria, and the scores assigned to each criterion used in this prioritization process.</w:t>
      </w:r>
    </w:p>
    <w:p w14:paraId="6A40B2F9" w14:textId="05B45361" w:rsidR="00790ADA" w:rsidRDefault="001743ED" w:rsidP="00DD1EA1">
      <w:pPr>
        <w:pStyle w:val="Body"/>
        <w:rPr>
          <w:rFonts w:ascii="Arial" w:hAnsi="Arial" w:cs="Arial"/>
        </w:rPr>
      </w:pPr>
      <w:r w:rsidRPr="001743ED">
        <w:rPr>
          <w:rFonts w:ascii="Arial" w:hAnsi="Arial" w:cs="Arial"/>
        </w:rPr>
        <w:t xml:space="preserve">Table </w:t>
      </w:r>
      <w:r w:rsidR="00A40DDD">
        <w:rPr>
          <w:rFonts w:ascii="Arial" w:hAnsi="Arial" w:cs="Arial"/>
        </w:rPr>
        <w:t>2</w:t>
      </w:r>
      <w:r w:rsidRPr="001743ED">
        <w:rPr>
          <w:rFonts w:ascii="Arial" w:hAnsi="Arial" w:cs="Arial"/>
        </w:rPr>
        <w:t>. Prioritization criteria for therapeutic targets used.</w:t>
      </w:r>
    </w:p>
    <w:tbl>
      <w:tblPr>
        <w:tblStyle w:val="3"/>
        <w:tblW w:w="8005" w:type="dxa"/>
        <w:tblLayout w:type="fixed"/>
        <w:tblLook w:val="0400" w:firstRow="0" w:lastRow="0" w:firstColumn="0" w:lastColumn="0" w:noHBand="0" w:noVBand="1"/>
      </w:tblPr>
      <w:tblGrid>
        <w:gridCol w:w="3005"/>
        <w:gridCol w:w="3005"/>
        <w:gridCol w:w="1995"/>
      </w:tblGrid>
      <w:tr w:rsidR="001743ED" w:rsidRPr="00F53004" w14:paraId="096D1E16" w14:textId="77777777" w:rsidTr="00933FF3">
        <w:trPr>
          <w:cnfStyle w:val="000000100000" w:firstRow="0" w:lastRow="0" w:firstColumn="0" w:lastColumn="0" w:oddVBand="0" w:evenVBand="0" w:oddHBand="1" w:evenHBand="0" w:firstRowFirstColumn="0" w:firstRowLastColumn="0" w:lastRowFirstColumn="0" w:lastRowLastColumn="0"/>
        </w:trPr>
        <w:tc>
          <w:tcPr>
            <w:tcW w:w="8005" w:type="dxa"/>
            <w:gridSpan w:val="3"/>
          </w:tcPr>
          <w:p w14:paraId="434000D7" w14:textId="77777777" w:rsidR="001743ED" w:rsidRPr="00F53004" w:rsidRDefault="001743ED" w:rsidP="00DD1EA1">
            <w:pPr>
              <w:pStyle w:val="Body"/>
              <w:spacing w:after="0"/>
              <w:rPr>
                <w:rFonts w:ascii="Arial" w:hAnsi="Arial" w:cs="Arial"/>
                <w:b/>
                <w:sz w:val="20"/>
                <w:szCs w:val="20"/>
              </w:rPr>
            </w:pPr>
            <w:r w:rsidRPr="00F53004">
              <w:rPr>
                <w:rFonts w:ascii="Arial" w:hAnsi="Arial" w:cs="Arial"/>
                <w:b/>
                <w:sz w:val="20"/>
                <w:szCs w:val="20"/>
              </w:rPr>
              <w:tab/>
              <w:t>Selection criteria for therapeutic target hierarchization</w:t>
            </w:r>
            <w:r w:rsidRPr="00F53004">
              <w:rPr>
                <w:rFonts w:ascii="Arial" w:hAnsi="Arial" w:cs="Arial"/>
                <w:b/>
                <w:sz w:val="20"/>
                <w:szCs w:val="20"/>
              </w:rPr>
              <w:tab/>
              <w:t xml:space="preserve"> </w:t>
            </w:r>
          </w:p>
        </w:tc>
      </w:tr>
      <w:tr w:rsidR="001743ED" w:rsidRPr="00F53004" w14:paraId="7414662C" w14:textId="77777777" w:rsidTr="00933FF3">
        <w:tc>
          <w:tcPr>
            <w:tcW w:w="6010" w:type="dxa"/>
            <w:gridSpan w:val="2"/>
          </w:tcPr>
          <w:p w14:paraId="3A27EDA3" w14:textId="77777777" w:rsidR="001743ED" w:rsidRPr="00F53004" w:rsidRDefault="001743ED" w:rsidP="00DD1EA1">
            <w:pPr>
              <w:pStyle w:val="Body"/>
              <w:spacing w:after="0"/>
              <w:rPr>
                <w:rFonts w:ascii="Arial" w:hAnsi="Arial" w:cs="Arial"/>
                <w:b/>
                <w:sz w:val="20"/>
                <w:szCs w:val="20"/>
              </w:rPr>
            </w:pPr>
            <w:r w:rsidRPr="00F53004">
              <w:rPr>
                <w:rFonts w:ascii="Arial" w:hAnsi="Arial" w:cs="Arial"/>
                <w:b/>
                <w:sz w:val="20"/>
                <w:szCs w:val="20"/>
              </w:rPr>
              <w:t>Criteria</w:t>
            </w:r>
          </w:p>
        </w:tc>
        <w:tc>
          <w:tcPr>
            <w:tcW w:w="1995" w:type="dxa"/>
          </w:tcPr>
          <w:p w14:paraId="28D4502C" w14:textId="77777777" w:rsidR="001743ED" w:rsidRPr="00F53004" w:rsidRDefault="001743ED" w:rsidP="00DD1EA1">
            <w:pPr>
              <w:pStyle w:val="Body"/>
              <w:spacing w:after="0"/>
              <w:jc w:val="center"/>
              <w:rPr>
                <w:rFonts w:ascii="Arial" w:hAnsi="Arial" w:cs="Arial"/>
                <w:b/>
                <w:sz w:val="20"/>
                <w:szCs w:val="20"/>
              </w:rPr>
            </w:pPr>
            <w:r w:rsidRPr="00F53004">
              <w:rPr>
                <w:rFonts w:ascii="Arial" w:hAnsi="Arial" w:cs="Arial"/>
                <w:b/>
                <w:sz w:val="20"/>
                <w:szCs w:val="20"/>
              </w:rPr>
              <w:t>Score</w:t>
            </w:r>
          </w:p>
        </w:tc>
      </w:tr>
      <w:tr w:rsidR="001743ED" w:rsidRPr="00F53004" w14:paraId="719E2BB0"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val="restart"/>
          </w:tcPr>
          <w:p w14:paraId="4DA09D0C"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Transmembrane helix</w:t>
            </w:r>
          </w:p>
        </w:tc>
        <w:tc>
          <w:tcPr>
            <w:tcW w:w="3005" w:type="dxa"/>
          </w:tcPr>
          <w:p w14:paraId="25B5A0F7"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Presence </w:t>
            </w:r>
          </w:p>
        </w:tc>
        <w:tc>
          <w:tcPr>
            <w:tcW w:w="1995" w:type="dxa"/>
          </w:tcPr>
          <w:p w14:paraId="43ECE1C5"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0</w:t>
            </w:r>
          </w:p>
        </w:tc>
      </w:tr>
      <w:tr w:rsidR="001743ED" w:rsidRPr="00F53004" w14:paraId="258FCAAA" w14:textId="77777777" w:rsidTr="00933FF3">
        <w:tc>
          <w:tcPr>
            <w:tcW w:w="3005" w:type="dxa"/>
            <w:vMerge/>
          </w:tcPr>
          <w:p w14:paraId="5BFEF912" w14:textId="77777777" w:rsidR="001743ED" w:rsidRPr="00F53004" w:rsidRDefault="001743ED" w:rsidP="00DD1EA1">
            <w:pPr>
              <w:pStyle w:val="Body"/>
              <w:spacing w:after="0"/>
              <w:rPr>
                <w:rFonts w:ascii="Arial" w:hAnsi="Arial" w:cs="Arial"/>
                <w:sz w:val="20"/>
                <w:szCs w:val="20"/>
              </w:rPr>
            </w:pPr>
          </w:p>
        </w:tc>
        <w:tc>
          <w:tcPr>
            <w:tcW w:w="3005" w:type="dxa"/>
          </w:tcPr>
          <w:p w14:paraId="5FA60460"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Absence </w:t>
            </w:r>
          </w:p>
        </w:tc>
        <w:tc>
          <w:tcPr>
            <w:tcW w:w="1995" w:type="dxa"/>
          </w:tcPr>
          <w:p w14:paraId="7F02B2BC"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6791F586"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val="restart"/>
          </w:tcPr>
          <w:p w14:paraId="185E92AF" w14:textId="77777777" w:rsidR="001743ED" w:rsidRPr="00F53004" w:rsidRDefault="001743ED" w:rsidP="00DD1EA1">
            <w:pPr>
              <w:pStyle w:val="Body"/>
              <w:spacing w:after="0"/>
              <w:rPr>
                <w:rFonts w:ascii="Arial" w:hAnsi="Arial" w:cs="Arial"/>
                <w:sz w:val="20"/>
                <w:szCs w:val="20"/>
              </w:rPr>
            </w:pPr>
          </w:p>
          <w:p w14:paraId="7F2DFC84"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Sequence size</w:t>
            </w:r>
          </w:p>
        </w:tc>
        <w:tc>
          <w:tcPr>
            <w:tcW w:w="3005" w:type="dxa"/>
          </w:tcPr>
          <w:p w14:paraId="223D55F5"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&lt;= 500 amino acids</w:t>
            </w:r>
          </w:p>
        </w:tc>
        <w:tc>
          <w:tcPr>
            <w:tcW w:w="1995" w:type="dxa"/>
          </w:tcPr>
          <w:p w14:paraId="2617512D"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3</w:t>
            </w:r>
          </w:p>
        </w:tc>
      </w:tr>
      <w:tr w:rsidR="001743ED" w:rsidRPr="00F53004" w14:paraId="435106C4" w14:textId="77777777" w:rsidTr="00933FF3">
        <w:tc>
          <w:tcPr>
            <w:tcW w:w="3005" w:type="dxa"/>
            <w:vMerge/>
          </w:tcPr>
          <w:p w14:paraId="65850F23" w14:textId="77777777" w:rsidR="001743ED" w:rsidRPr="00F53004" w:rsidRDefault="001743ED" w:rsidP="00DD1EA1">
            <w:pPr>
              <w:pStyle w:val="Body"/>
              <w:spacing w:after="0"/>
              <w:rPr>
                <w:rFonts w:ascii="Arial" w:hAnsi="Arial" w:cs="Arial"/>
                <w:sz w:val="20"/>
                <w:szCs w:val="20"/>
              </w:rPr>
            </w:pPr>
          </w:p>
        </w:tc>
        <w:tc>
          <w:tcPr>
            <w:tcW w:w="3005" w:type="dxa"/>
          </w:tcPr>
          <w:p w14:paraId="3CA29C6A"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500-700 amino acids</w:t>
            </w:r>
          </w:p>
        </w:tc>
        <w:tc>
          <w:tcPr>
            <w:tcW w:w="1995" w:type="dxa"/>
          </w:tcPr>
          <w:p w14:paraId="45575B29"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7F18EBDD"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167D6300" w14:textId="77777777" w:rsidR="001743ED" w:rsidRPr="00F53004" w:rsidRDefault="001743ED" w:rsidP="00DD1EA1">
            <w:pPr>
              <w:pStyle w:val="Body"/>
              <w:spacing w:after="0"/>
              <w:rPr>
                <w:rFonts w:ascii="Arial" w:hAnsi="Arial" w:cs="Arial"/>
                <w:sz w:val="20"/>
                <w:szCs w:val="20"/>
              </w:rPr>
            </w:pPr>
          </w:p>
        </w:tc>
        <w:tc>
          <w:tcPr>
            <w:tcW w:w="3005" w:type="dxa"/>
          </w:tcPr>
          <w:p w14:paraId="634BA9A6"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&gt; 700 amino acids</w:t>
            </w:r>
          </w:p>
        </w:tc>
        <w:tc>
          <w:tcPr>
            <w:tcW w:w="1995" w:type="dxa"/>
          </w:tcPr>
          <w:p w14:paraId="68B83D6A"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57A71B5A" w14:textId="77777777" w:rsidTr="00933FF3">
        <w:tc>
          <w:tcPr>
            <w:tcW w:w="3005" w:type="dxa"/>
            <w:vMerge w:val="restart"/>
          </w:tcPr>
          <w:p w14:paraId="7A1D6DC0" w14:textId="77777777" w:rsidR="001743ED" w:rsidRPr="00F53004" w:rsidRDefault="001743ED" w:rsidP="00DD1EA1">
            <w:pPr>
              <w:pStyle w:val="Body"/>
              <w:spacing w:after="0"/>
              <w:rPr>
                <w:rFonts w:ascii="Arial" w:hAnsi="Arial" w:cs="Arial"/>
                <w:sz w:val="20"/>
                <w:szCs w:val="20"/>
              </w:rPr>
            </w:pPr>
          </w:p>
          <w:p w14:paraId="56085150"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Identity to Human Ortholog</w:t>
            </w:r>
          </w:p>
        </w:tc>
        <w:tc>
          <w:tcPr>
            <w:tcW w:w="3005" w:type="dxa"/>
          </w:tcPr>
          <w:p w14:paraId="18245FED"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&lt; 25%</w:t>
            </w:r>
          </w:p>
        </w:tc>
        <w:tc>
          <w:tcPr>
            <w:tcW w:w="1995" w:type="dxa"/>
          </w:tcPr>
          <w:p w14:paraId="4680D639"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3</w:t>
            </w:r>
          </w:p>
        </w:tc>
      </w:tr>
      <w:tr w:rsidR="001743ED" w:rsidRPr="00F53004" w14:paraId="29DD1393"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40D132F2" w14:textId="77777777" w:rsidR="001743ED" w:rsidRPr="00F53004" w:rsidRDefault="001743ED" w:rsidP="00DD1EA1">
            <w:pPr>
              <w:pStyle w:val="Body"/>
              <w:spacing w:after="0"/>
              <w:rPr>
                <w:rFonts w:ascii="Arial" w:hAnsi="Arial" w:cs="Arial"/>
                <w:sz w:val="20"/>
                <w:szCs w:val="20"/>
              </w:rPr>
            </w:pPr>
          </w:p>
        </w:tc>
        <w:tc>
          <w:tcPr>
            <w:tcW w:w="3005" w:type="dxa"/>
          </w:tcPr>
          <w:p w14:paraId="349C534B"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25-30%</w:t>
            </w:r>
          </w:p>
        </w:tc>
        <w:tc>
          <w:tcPr>
            <w:tcW w:w="1995" w:type="dxa"/>
          </w:tcPr>
          <w:p w14:paraId="6C3434DE"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6A6FC215" w14:textId="77777777" w:rsidTr="00933FF3">
        <w:trPr>
          <w:trHeight w:val="243"/>
        </w:trPr>
        <w:tc>
          <w:tcPr>
            <w:tcW w:w="3005" w:type="dxa"/>
            <w:vMerge/>
          </w:tcPr>
          <w:p w14:paraId="2144A9AC" w14:textId="77777777" w:rsidR="001743ED" w:rsidRPr="00F53004" w:rsidRDefault="001743ED" w:rsidP="00DD1EA1">
            <w:pPr>
              <w:pStyle w:val="Body"/>
              <w:spacing w:after="0"/>
              <w:rPr>
                <w:rFonts w:ascii="Arial" w:hAnsi="Arial" w:cs="Arial"/>
                <w:sz w:val="20"/>
                <w:szCs w:val="20"/>
              </w:rPr>
            </w:pPr>
          </w:p>
        </w:tc>
        <w:tc>
          <w:tcPr>
            <w:tcW w:w="3005" w:type="dxa"/>
          </w:tcPr>
          <w:p w14:paraId="622DF8F5"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&gt; 30%</w:t>
            </w:r>
          </w:p>
        </w:tc>
        <w:tc>
          <w:tcPr>
            <w:tcW w:w="1995" w:type="dxa"/>
          </w:tcPr>
          <w:p w14:paraId="18B4C82A"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2EC0C5E7"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val="restart"/>
          </w:tcPr>
          <w:p w14:paraId="5C757CC3" w14:textId="77777777" w:rsidR="001743ED" w:rsidRPr="00F53004" w:rsidRDefault="001743ED" w:rsidP="00DD1EA1">
            <w:pPr>
              <w:pStyle w:val="Body"/>
              <w:spacing w:after="0"/>
              <w:rPr>
                <w:rFonts w:ascii="Arial" w:hAnsi="Arial" w:cs="Arial"/>
                <w:sz w:val="20"/>
                <w:szCs w:val="20"/>
              </w:rPr>
            </w:pPr>
          </w:p>
          <w:p w14:paraId="22403C94"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Number of Domains</w:t>
            </w:r>
          </w:p>
        </w:tc>
        <w:tc>
          <w:tcPr>
            <w:tcW w:w="3005" w:type="dxa"/>
          </w:tcPr>
          <w:p w14:paraId="1560B749"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3 </w:t>
            </w:r>
          </w:p>
        </w:tc>
        <w:tc>
          <w:tcPr>
            <w:tcW w:w="1995" w:type="dxa"/>
          </w:tcPr>
          <w:p w14:paraId="3A6423DE"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3</w:t>
            </w:r>
          </w:p>
        </w:tc>
      </w:tr>
      <w:tr w:rsidR="001743ED" w:rsidRPr="00F53004" w14:paraId="2518E800" w14:textId="77777777" w:rsidTr="00933FF3">
        <w:tc>
          <w:tcPr>
            <w:tcW w:w="3005" w:type="dxa"/>
            <w:vMerge/>
          </w:tcPr>
          <w:p w14:paraId="347508FC" w14:textId="77777777" w:rsidR="001743ED" w:rsidRPr="00F53004" w:rsidRDefault="001743ED" w:rsidP="00DD1EA1">
            <w:pPr>
              <w:pStyle w:val="Body"/>
              <w:spacing w:after="0"/>
              <w:rPr>
                <w:rFonts w:ascii="Arial" w:hAnsi="Arial" w:cs="Arial"/>
                <w:sz w:val="20"/>
                <w:szCs w:val="20"/>
              </w:rPr>
            </w:pPr>
          </w:p>
        </w:tc>
        <w:tc>
          <w:tcPr>
            <w:tcW w:w="3005" w:type="dxa"/>
          </w:tcPr>
          <w:p w14:paraId="08E66BC4"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2 </w:t>
            </w:r>
          </w:p>
        </w:tc>
        <w:tc>
          <w:tcPr>
            <w:tcW w:w="1995" w:type="dxa"/>
          </w:tcPr>
          <w:p w14:paraId="0AC0E4DF"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196CCA18"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47890930" w14:textId="77777777" w:rsidR="001743ED" w:rsidRPr="00F53004" w:rsidRDefault="001743ED" w:rsidP="00DD1EA1">
            <w:pPr>
              <w:pStyle w:val="Body"/>
              <w:spacing w:after="0"/>
              <w:rPr>
                <w:rFonts w:ascii="Arial" w:hAnsi="Arial" w:cs="Arial"/>
                <w:sz w:val="20"/>
                <w:szCs w:val="20"/>
              </w:rPr>
            </w:pPr>
          </w:p>
        </w:tc>
        <w:tc>
          <w:tcPr>
            <w:tcW w:w="3005" w:type="dxa"/>
          </w:tcPr>
          <w:p w14:paraId="6F325153"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1 </w:t>
            </w:r>
          </w:p>
        </w:tc>
        <w:tc>
          <w:tcPr>
            <w:tcW w:w="1995" w:type="dxa"/>
          </w:tcPr>
          <w:p w14:paraId="7866C3A7"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005FCC4F" w14:textId="77777777" w:rsidTr="00933FF3">
        <w:tc>
          <w:tcPr>
            <w:tcW w:w="3005" w:type="dxa"/>
            <w:vMerge w:val="restart"/>
          </w:tcPr>
          <w:p w14:paraId="7D91A7E6" w14:textId="77777777" w:rsidR="001743ED" w:rsidRPr="00F53004" w:rsidRDefault="001743ED" w:rsidP="00DD1EA1">
            <w:pPr>
              <w:pStyle w:val="Body"/>
              <w:spacing w:after="0"/>
              <w:rPr>
                <w:rFonts w:ascii="Arial" w:hAnsi="Arial" w:cs="Arial"/>
                <w:sz w:val="20"/>
                <w:szCs w:val="20"/>
              </w:rPr>
            </w:pPr>
          </w:p>
          <w:p w14:paraId="57E310B3"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Variability</w:t>
            </w:r>
          </w:p>
        </w:tc>
        <w:tc>
          <w:tcPr>
            <w:tcW w:w="3005" w:type="dxa"/>
          </w:tcPr>
          <w:p w14:paraId="3D047D77"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&lt;35% </w:t>
            </w:r>
          </w:p>
        </w:tc>
        <w:tc>
          <w:tcPr>
            <w:tcW w:w="1995" w:type="dxa"/>
          </w:tcPr>
          <w:p w14:paraId="704E2148"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6C27D288"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762D9DA1" w14:textId="77777777" w:rsidR="001743ED" w:rsidRPr="00F53004" w:rsidRDefault="001743ED" w:rsidP="00DD1EA1">
            <w:pPr>
              <w:pStyle w:val="Body"/>
              <w:spacing w:after="0"/>
              <w:rPr>
                <w:rFonts w:ascii="Arial" w:hAnsi="Arial" w:cs="Arial"/>
                <w:sz w:val="20"/>
                <w:szCs w:val="20"/>
              </w:rPr>
            </w:pPr>
          </w:p>
        </w:tc>
        <w:tc>
          <w:tcPr>
            <w:tcW w:w="3005" w:type="dxa"/>
          </w:tcPr>
          <w:p w14:paraId="4F052CC3"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&gt; 35% </w:t>
            </w:r>
          </w:p>
        </w:tc>
        <w:tc>
          <w:tcPr>
            <w:tcW w:w="1995" w:type="dxa"/>
          </w:tcPr>
          <w:p w14:paraId="1493260F"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771957A1" w14:textId="77777777" w:rsidTr="00933FF3">
        <w:tc>
          <w:tcPr>
            <w:tcW w:w="3005" w:type="dxa"/>
            <w:vMerge w:val="restart"/>
          </w:tcPr>
          <w:p w14:paraId="4EC49761" w14:textId="77777777" w:rsidR="001743ED" w:rsidRPr="00F53004" w:rsidRDefault="001743ED" w:rsidP="00DD1EA1">
            <w:pPr>
              <w:pStyle w:val="Body"/>
              <w:spacing w:after="0"/>
              <w:rPr>
                <w:rFonts w:ascii="Arial" w:hAnsi="Arial" w:cs="Arial"/>
                <w:sz w:val="20"/>
                <w:szCs w:val="20"/>
              </w:rPr>
            </w:pPr>
          </w:p>
          <w:p w14:paraId="66F03456"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Stability index</w:t>
            </w:r>
          </w:p>
        </w:tc>
        <w:tc>
          <w:tcPr>
            <w:tcW w:w="3005" w:type="dxa"/>
          </w:tcPr>
          <w:p w14:paraId="2814A7C0"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&lt;= 40 </w:t>
            </w:r>
          </w:p>
        </w:tc>
        <w:tc>
          <w:tcPr>
            <w:tcW w:w="1995" w:type="dxa"/>
          </w:tcPr>
          <w:p w14:paraId="3B7448CB"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7D1E0AEE"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2243AB0F" w14:textId="77777777" w:rsidR="001743ED" w:rsidRPr="00F53004" w:rsidRDefault="001743ED" w:rsidP="00DD1EA1">
            <w:pPr>
              <w:pStyle w:val="Body"/>
              <w:spacing w:after="0"/>
              <w:rPr>
                <w:rFonts w:ascii="Arial" w:hAnsi="Arial" w:cs="Arial"/>
                <w:sz w:val="20"/>
                <w:szCs w:val="20"/>
              </w:rPr>
            </w:pPr>
          </w:p>
        </w:tc>
        <w:tc>
          <w:tcPr>
            <w:tcW w:w="3005" w:type="dxa"/>
          </w:tcPr>
          <w:p w14:paraId="190623C3"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&gt; 40</w:t>
            </w:r>
          </w:p>
        </w:tc>
        <w:tc>
          <w:tcPr>
            <w:tcW w:w="1995" w:type="dxa"/>
          </w:tcPr>
          <w:p w14:paraId="1B96A3FE"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r w:rsidR="001743ED" w:rsidRPr="00F53004" w14:paraId="01A32CF5" w14:textId="77777777" w:rsidTr="00933FF3">
        <w:tc>
          <w:tcPr>
            <w:tcW w:w="3005" w:type="dxa"/>
            <w:vMerge w:val="restart"/>
          </w:tcPr>
          <w:p w14:paraId="04964D7E" w14:textId="77777777" w:rsidR="001743ED" w:rsidRPr="00F53004" w:rsidRDefault="001743ED" w:rsidP="00DD1EA1">
            <w:pPr>
              <w:pStyle w:val="Body"/>
              <w:spacing w:after="0"/>
              <w:rPr>
                <w:rFonts w:ascii="Arial" w:hAnsi="Arial" w:cs="Arial"/>
                <w:sz w:val="20"/>
                <w:szCs w:val="20"/>
              </w:rPr>
            </w:pPr>
          </w:p>
          <w:p w14:paraId="15278629" w14:textId="56755962"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 xml:space="preserve">Cellular </w:t>
            </w:r>
            <w:r w:rsidR="00B85BB8" w:rsidRPr="00F53004">
              <w:rPr>
                <w:rFonts w:ascii="Arial" w:hAnsi="Arial" w:cs="Arial"/>
                <w:sz w:val="20"/>
                <w:szCs w:val="20"/>
              </w:rPr>
              <w:t>localization</w:t>
            </w:r>
            <w:r w:rsidRPr="00F53004">
              <w:rPr>
                <w:rFonts w:ascii="Arial" w:hAnsi="Arial" w:cs="Arial"/>
                <w:sz w:val="20"/>
                <w:szCs w:val="20"/>
              </w:rPr>
              <w:t xml:space="preserve"> </w:t>
            </w:r>
          </w:p>
        </w:tc>
        <w:tc>
          <w:tcPr>
            <w:tcW w:w="3005" w:type="dxa"/>
          </w:tcPr>
          <w:p w14:paraId="28528CE4"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Extracellular</w:t>
            </w:r>
          </w:p>
        </w:tc>
        <w:tc>
          <w:tcPr>
            <w:tcW w:w="1995" w:type="dxa"/>
          </w:tcPr>
          <w:p w14:paraId="01F3D0F0"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3</w:t>
            </w:r>
          </w:p>
        </w:tc>
      </w:tr>
      <w:tr w:rsidR="001743ED" w:rsidRPr="00F53004" w14:paraId="364BE497" w14:textId="77777777" w:rsidTr="00933FF3">
        <w:trPr>
          <w:cnfStyle w:val="000000100000" w:firstRow="0" w:lastRow="0" w:firstColumn="0" w:lastColumn="0" w:oddVBand="0" w:evenVBand="0" w:oddHBand="1" w:evenHBand="0" w:firstRowFirstColumn="0" w:firstRowLastColumn="0" w:lastRowFirstColumn="0" w:lastRowLastColumn="0"/>
        </w:trPr>
        <w:tc>
          <w:tcPr>
            <w:tcW w:w="3005" w:type="dxa"/>
            <w:vMerge/>
          </w:tcPr>
          <w:p w14:paraId="6C005519" w14:textId="77777777" w:rsidR="001743ED" w:rsidRPr="00F53004" w:rsidRDefault="001743ED" w:rsidP="00DD1EA1">
            <w:pPr>
              <w:pStyle w:val="Body"/>
              <w:spacing w:after="0"/>
              <w:rPr>
                <w:rFonts w:ascii="Arial" w:hAnsi="Arial" w:cs="Arial"/>
                <w:sz w:val="20"/>
                <w:szCs w:val="20"/>
              </w:rPr>
            </w:pPr>
          </w:p>
        </w:tc>
        <w:tc>
          <w:tcPr>
            <w:tcW w:w="3005" w:type="dxa"/>
          </w:tcPr>
          <w:p w14:paraId="63CD835B"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Cytoplasmic</w:t>
            </w:r>
          </w:p>
        </w:tc>
        <w:tc>
          <w:tcPr>
            <w:tcW w:w="1995" w:type="dxa"/>
          </w:tcPr>
          <w:p w14:paraId="5E351AA4"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2</w:t>
            </w:r>
          </w:p>
        </w:tc>
      </w:tr>
      <w:tr w:rsidR="001743ED" w:rsidRPr="00F53004" w14:paraId="6F63CE96" w14:textId="77777777" w:rsidTr="00933FF3">
        <w:tc>
          <w:tcPr>
            <w:tcW w:w="3005" w:type="dxa"/>
            <w:vMerge/>
          </w:tcPr>
          <w:p w14:paraId="188D349F" w14:textId="77777777" w:rsidR="001743ED" w:rsidRPr="00F53004" w:rsidRDefault="001743ED" w:rsidP="00DD1EA1">
            <w:pPr>
              <w:pStyle w:val="Body"/>
              <w:spacing w:after="0"/>
              <w:rPr>
                <w:rFonts w:ascii="Arial" w:hAnsi="Arial" w:cs="Arial"/>
                <w:sz w:val="20"/>
                <w:szCs w:val="20"/>
              </w:rPr>
            </w:pPr>
          </w:p>
        </w:tc>
        <w:tc>
          <w:tcPr>
            <w:tcW w:w="3005" w:type="dxa"/>
          </w:tcPr>
          <w:p w14:paraId="7C288157" w14:textId="77777777" w:rsidR="001743ED" w:rsidRPr="00F53004" w:rsidRDefault="001743ED" w:rsidP="00DD1EA1">
            <w:pPr>
              <w:pStyle w:val="Body"/>
              <w:spacing w:after="0"/>
              <w:rPr>
                <w:rFonts w:ascii="Arial" w:hAnsi="Arial" w:cs="Arial"/>
                <w:sz w:val="20"/>
                <w:szCs w:val="20"/>
              </w:rPr>
            </w:pPr>
            <w:r w:rsidRPr="00F53004">
              <w:rPr>
                <w:rFonts w:ascii="Arial" w:hAnsi="Arial" w:cs="Arial"/>
                <w:sz w:val="20"/>
                <w:szCs w:val="20"/>
              </w:rPr>
              <w:t>Nuclear</w:t>
            </w:r>
          </w:p>
        </w:tc>
        <w:tc>
          <w:tcPr>
            <w:tcW w:w="1995" w:type="dxa"/>
          </w:tcPr>
          <w:p w14:paraId="38F6CEAE" w14:textId="77777777" w:rsidR="001743ED" w:rsidRPr="00F53004" w:rsidRDefault="001743ED" w:rsidP="00DD1EA1">
            <w:pPr>
              <w:pStyle w:val="Body"/>
              <w:spacing w:after="0"/>
              <w:jc w:val="center"/>
              <w:rPr>
                <w:rFonts w:ascii="Arial" w:hAnsi="Arial" w:cs="Arial"/>
                <w:sz w:val="20"/>
                <w:szCs w:val="20"/>
              </w:rPr>
            </w:pPr>
            <w:r w:rsidRPr="00F53004">
              <w:rPr>
                <w:rFonts w:ascii="Arial" w:hAnsi="Arial" w:cs="Arial"/>
                <w:sz w:val="20"/>
                <w:szCs w:val="20"/>
              </w:rPr>
              <w:t>1</w:t>
            </w:r>
          </w:p>
        </w:tc>
      </w:tr>
    </w:tbl>
    <w:p w14:paraId="7B08761B" w14:textId="77777777" w:rsidR="001743ED" w:rsidRPr="00FB3A86" w:rsidRDefault="001743ED" w:rsidP="001743ED">
      <w:pPr>
        <w:pStyle w:val="Body"/>
        <w:spacing w:after="0"/>
        <w:rPr>
          <w:rFonts w:ascii="Arial" w:hAnsi="Arial" w:cs="Arial"/>
        </w:rPr>
      </w:pPr>
    </w:p>
    <w:p w14:paraId="4F1EDF29" w14:textId="1DD6C10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0921B4" w14:textId="04165126" w:rsidR="006F1855" w:rsidRPr="00771E10" w:rsidRDefault="006F1855" w:rsidP="00C43701">
      <w:pPr>
        <w:pStyle w:val="Head1"/>
        <w:jc w:val="both"/>
        <w:rPr>
          <w:rFonts w:ascii="Arial" w:hAnsi="Arial" w:cs="Arial"/>
          <w:b w:val="0"/>
          <w:caps w:val="0"/>
          <w:sz w:val="20"/>
        </w:rPr>
      </w:pPr>
      <w:r w:rsidRPr="00CE04C3">
        <w:rPr>
          <w:rFonts w:ascii="Arial" w:hAnsi="Arial" w:cs="Arial"/>
          <w:b w:val="0"/>
          <w:caps w:val="0"/>
          <w:sz w:val="20"/>
        </w:rPr>
        <w:t xml:space="preserve">In this study, we used the TDR Targets database, approved by the World Health Organization, combined with in-house scoring criteria and literature mining, to identify and prioritize </w:t>
      </w:r>
      <w:r w:rsidRPr="00CE04C3">
        <w:rPr>
          <w:rFonts w:ascii="Arial" w:hAnsi="Arial" w:cs="Arial"/>
          <w:b w:val="0"/>
          <w:i/>
          <w:iCs/>
          <w:caps w:val="0"/>
          <w:sz w:val="20"/>
        </w:rPr>
        <w:t>Plasmodium falciparum</w:t>
      </w:r>
      <w:r w:rsidRPr="00CE04C3">
        <w:rPr>
          <w:rFonts w:ascii="Arial" w:hAnsi="Arial" w:cs="Arial"/>
          <w:b w:val="0"/>
          <w:caps w:val="0"/>
          <w:sz w:val="20"/>
        </w:rPr>
        <w:t xml:space="preserve"> therapeutic targets. Our multidimensional computational pipeline applied stringent selection filters to retain proteins that are biologically relevant, parasite</w:t>
      </w:r>
      <w:r w:rsidR="001432D5" w:rsidRPr="00CE04C3">
        <w:rPr>
          <w:rFonts w:ascii="Arial" w:hAnsi="Arial" w:cs="Arial"/>
          <w:b w:val="0"/>
          <w:caps w:val="0"/>
          <w:sz w:val="20"/>
        </w:rPr>
        <w:t xml:space="preserve"> </w:t>
      </w:r>
      <w:r w:rsidRPr="00CE04C3">
        <w:rPr>
          <w:rFonts w:ascii="Arial" w:hAnsi="Arial" w:cs="Arial"/>
          <w:b w:val="0"/>
          <w:caps w:val="0"/>
          <w:sz w:val="20"/>
        </w:rPr>
        <w:t>specific, essential for survival, and potentially druggable. A detailed description of this pipeline is provided in the Methods section.</w:t>
      </w:r>
      <w:r w:rsidR="00771E10">
        <w:rPr>
          <w:rFonts w:ascii="Arial" w:hAnsi="Arial" w:cs="Arial"/>
          <w:b w:val="0"/>
          <w:caps w:val="0"/>
          <w:sz w:val="20"/>
        </w:rPr>
        <w:t xml:space="preserve"> </w:t>
      </w:r>
      <w:r w:rsidRPr="00CE04C3">
        <w:rPr>
          <w:rFonts w:ascii="Arial" w:hAnsi="Arial" w:cs="Arial"/>
          <w:b w:val="0"/>
          <w:caps w:val="0"/>
          <w:sz w:val="20"/>
        </w:rPr>
        <w:t xml:space="preserve">Briefly, we focused on proteins expressed during the intraerythrocytic stage and excluded those with human orthologs or low essentiality. We further filtered based on </w:t>
      </w:r>
      <w:proofErr w:type="spellStart"/>
      <w:r w:rsidRPr="00CE04C3">
        <w:rPr>
          <w:rFonts w:ascii="Arial" w:hAnsi="Arial" w:cs="Arial"/>
          <w:b w:val="0"/>
          <w:caps w:val="0"/>
          <w:sz w:val="20"/>
        </w:rPr>
        <w:t>druggability</w:t>
      </w:r>
      <w:proofErr w:type="spellEnd"/>
      <w:r w:rsidRPr="00CE04C3">
        <w:rPr>
          <w:rFonts w:ascii="Arial" w:hAnsi="Arial" w:cs="Arial"/>
          <w:b w:val="0"/>
          <w:caps w:val="0"/>
          <w:sz w:val="20"/>
        </w:rPr>
        <w:t xml:space="preserve"> scores, protein expression levels, and PubMed-indexed experimental support. To refine this list, we applied </w:t>
      </w:r>
      <w:bookmarkStart w:id="1" w:name="_Hlk205155008"/>
      <w:r w:rsidRPr="00CE04C3">
        <w:rPr>
          <w:rFonts w:ascii="Arial" w:hAnsi="Arial" w:cs="Arial"/>
          <w:b w:val="0"/>
          <w:caps w:val="0"/>
          <w:sz w:val="20"/>
        </w:rPr>
        <w:t xml:space="preserve">an internal scoring framework </w:t>
      </w:r>
      <w:bookmarkEnd w:id="1"/>
      <w:r w:rsidRPr="00CE04C3">
        <w:rPr>
          <w:rFonts w:ascii="Arial" w:hAnsi="Arial" w:cs="Arial"/>
          <w:b w:val="0"/>
          <w:caps w:val="0"/>
          <w:sz w:val="20"/>
        </w:rPr>
        <w:t>that assessed features relevant to drug development, such as size, sequence conservation, subcellular localization, presence of transmembrane domains, number of functional domains, sequence similarity to human proteins, and protein stability.</w:t>
      </w:r>
      <w:r w:rsidR="008D26C1" w:rsidRPr="00CE04C3">
        <w:rPr>
          <w:rFonts w:ascii="Arial" w:hAnsi="Arial" w:cs="Arial"/>
          <w:b w:val="0"/>
          <w:caps w:val="0"/>
          <w:sz w:val="20"/>
        </w:rPr>
        <w:t xml:space="preserve"> </w:t>
      </w:r>
      <w:r w:rsidRPr="00CE04C3">
        <w:rPr>
          <w:rFonts w:ascii="Arial" w:hAnsi="Arial" w:cs="Arial"/>
          <w:b w:val="0"/>
          <w:caps w:val="0"/>
          <w:sz w:val="20"/>
        </w:rPr>
        <w:t>Application of these stringent filters and prioritization criteria resulted in a final list of sixteen (16) high-priority therapeutic targets. These proteins demonstrated an optimal combination of favorable drug</w:t>
      </w:r>
      <w:r w:rsidR="00942B95" w:rsidRPr="00CE04C3">
        <w:rPr>
          <w:rFonts w:ascii="Arial" w:hAnsi="Arial" w:cs="Arial"/>
          <w:b w:val="0"/>
          <w:caps w:val="0"/>
          <w:sz w:val="20"/>
        </w:rPr>
        <w:t xml:space="preserve"> </w:t>
      </w:r>
      <w:r w:rsidRPr="00CE04C3">
        <w:rPr>
          <w:rFonts w:ascii="Arial" w:hAnsi="Arial" w:cs="Arial"/>
          <w:b w:val="0"/>
          <w:caps w:val="0"/>
          <w:sz w:val="20"/>
        </w:rPr>
        <w:t xml:space="preserve">target </w:t>
      </w:r>
      <w:r w:rsidRPr="00CE04C3">
        <w:rPr>
          <w:rFonts w:ascii="Arial" w:hAnsi="Arial" w:cs="Arial"/>
          <w:b w:val="0"/>
          <w:caps w:val="0"/>
          <w:sz w:val="20"/>
        </w:rPr>
        <w:lastRenderedPageBreak/>
        <w:t>properties and biological relevance. Figure 1 presents a heatmap summarizing the cumulative prioritization scores assigned to each candidate. Darker shades reflect higher cumulative scores, enabling intuitive comparison of target quality across the set.</w:t>
      </w:r>
      <w:r w:rsidR="00C43701" w:rsidRPr="00CE04C3">
        <w:rPr>
          <w:rFonts w:ascii="Arial" w:hAnsi="Arial" w:cs="Arial"/>
          <w:b w:val="0"/>
          <w:caps w:val="0"/>
          <w:sz w:val="20"/>
        </w:rPr>
        <w:t xml:space="preserve"> </w:t>
      </w:r>
      <w:r w:rsidRPr="00CE04C3">
        <w:rPr>
          <w:rFonts w:ascii="Arial" w:hAnsi="Arial" w:cs="Arial"/>
          <w:b w:val="0"/>
          <w:caps w:val="0"/>
          <w:sz w:val="20"/>
        </w:rPr>
        <w:t xml:space="preserve">Among the top-ranked candidates were </w:t>
      </w:r>
      <w:r w:rsidR="00381FC2" w:rsidRPr="00CE04C3">
        <w:rPr>
          <w:rFonts w:ascii="Arial" w:hAnsi="Arial" w:cs="Arial"/>
          <w:b w:val="0"/>
          <w:caps w:val="0"/>
          <w:sz w:val="20"/>
        </w:rPr>
        <w:t>Adenylate kinase,</w:t>
      </w:r>
      <w:r w:rsidR="005F157A" w:rsidRPr="00CE04C3">
        <w:rPr>
          <w:rFonts w:ascii="Arial" w:hAnsi="Arial" w:cs="Arial"/>
          <w:b w:val="0"/>
          <w:caps w:val="0"/>
          <w:sz w:val="20"/>
        </w:rPr>
        <w:t xml:space="preserve"> Chloroquine </w:t>
      </w:r>
      <w:r w:rsidR="00A536B3" w:rsidRPr="00CE04C3">
        <w:rPr>
          <w:rFonts w:ascii="Arial" w:hAnsi="Arial" w:cs="Arial"/>
          <w:b w:val="0"/>
          <w:caps w:val="0"/>
          <w:sz w:val="20"/>
        </w:rPr>
        <w:t>R</w:t>
      </w:r>
      <w:r w:rsidR="005F157A" w:rsidRPr="00CE04C3">
        <w:rPr>
          <w:rFonts w:ascii="Arial" w:hAnsi="Arial" w:cs="Arial"/>
          <w:b w:val="0"/>
          <w:caps w:val="0"/>
          <w:sz w:val="20"/>
        </w:rPr>
        <w:t xml:space="preserve">esistance </w:t>
      </w:r>
      <w:r w:rsidR="00A536B3" w:rsidRPr="00CE04C3">
        <w:rPr>
          <w:rFonts w:ascii="Arial" w:hAnsi="Arial" w:cs="Arial"/>
          <w:b w:val="0"/>
          <w:caps w:val="0"/>
          <w:sz w:val="20"/>
        </w:rPr>
        <w:t>T</w:t>
      </w:r>
      <w:r w:rsidR="005F157A" w:rsidRPr="00CE04C3">
        <w:rPr>
          <w:rFonts w:ascii="Arial" w:hAnsi="Arial" w:cs="Arial"/>
          <w:b w:val="0"/>
          <w:caps w:val="0"/>
          <w:sz w:val="20"/>
        </w:rPr>
        <w:t>r</w:t>
      </w:r>
      <w:r w:rsidR="00A536B3" w:rsidRPr="00CE04C3">
        <w:rPr>
          <w:rFonts w:ascii="Arial" w:hAnsi="Arial" w:cs="Arial"/>
          <w:b w:val="0"/>
          <w:caps w:val="0"/>
          <w:sz w:val="20"/>
        </w:rPr>
        <w:t xml:space="preserve">ansporter (PFCRT), </w:t>
      </w:r>
      <w:proofErr w:type="spellStart"/>
      <w:r w:rsidRPr="00CE04C3">
        <w:rPr>
          <w:rFonts w:ascii="Arial" w:hAnsi="Arial" w:cs="Arial"/>
          <w:b w:val="0"/>
          <w:caps w:val="0"/>
          <w:sz w:val="20"/>
        </w:rPr>
        <w:t>Adenylosuccinate</w:t>
      </w:r>
      <w:proofErr w:type="spellEnd"/>
      <w:r w:rsidRPr="00CE04C3">
        <w:rPr>
          <w:rFonts w:ascii="Arial" w:hAnsi="Arial" w:cs="Arial"/>
          <w:b w:val="0"/>
          <w:caps w:val="0"/>
          <w:sz w:val="20"/>
        </w:rPr>
        <w:t xml:space="preserve"> lyase (</w:t>
      </w:r>
      <w:proofErr w:type="spellStart"/>
      <w:r w:rsidR="00B027A8" w:rsidRPr="00CE04C3">
        <w:rPr>
          <w:rFonts w:ascii="Arial" w:hAnsi="Arial" w:cs="Arial"/>
          <w:b w:val="0"/>
          <w:i/>
          <w:iCs/>
          <w:caps w:val="0"/>
          <w:sz w:val="20"/>
        </w:rPr>
        <w:t>Pf</w:t>
      </w:r>
      <w:r w:rsidRPr="00CE04C3">
        <w:rPr>
          <w:rFonts w:ascii="Arial" w:hAnsi="Arial" w:cs="Arial"/>
          <w:b w:val="0"/>
          <w:i/>
          <w:iCs/>
          <w:caps w:val="0"/>
          <w:sz w:val="20"/>
        </w:rPr>
        <w:t>ADSL</w:t>
      </w:r>
      <w:proofErr w:type="spellEnd"/>
      <w:r w:rsidRPr="00CE04C3">
        <w:rPr>
          <w:rFonts w:ascii="Arial" w:hAnsi="Arial" w:cs="Arial"/>
          <w:b w:val="0"/>
          <w:caps w:val="0"/>
          <w:sz w:val="20"/>
        </w:rPr>
        <w:t>), Phosphatidylserine decarboxylase (</w:t>
      </w:r>
      <w:proofErr w:type="spellStart"/>
      <w:r w:rsidR="00B027A8" w:rsidRPr="00CE04C3">
        <w:rPr>
          <w:rFonts w:ascii="Arial" w:hAnsi="Arial" w:cs="Arial"/>
          <w:b w:val="0"/>
          <w:i/>
          <w:iCs/>
          <w:caps w:val="0"/>
          <w:sz w:val="20"/>
        </w:rPr>
        <w:t>Pf</w:t>
      </w:r>
      <w:r w:rsidRPr="00CE04C3">
        <w:rPr>
          <w:rFonts w:ascii="Arial" w:hAnsi="Arial" w:cs="Arial"/>
          <w:b w:val="0"/>
          <w:i/>
          <w:iCs/>
          <w:caps w:val="0"/>
          <w:sz w:val="20"/>
        </w:rPr>
        <w:t>PSD</w:t>
      </w:r>
      <w:proofErr w:type="spellEnd"/>
      <w:r w:rsidRPr="00CE04C3">
        <w:rPr>
          <w:rFonts w:ascii="Arial" w:hAnsi="Arial" w:cs="Arial"/>
          <w:b w:val="0"/>
          <w:caps w:val="0"/>
          <w:sz w:val="20"/>
        </w:rPr>
        <w:t>)</w:t>
      </w:r>
      <w:r w:rsidR="00EF5C05" w:rsidRPr="00CE04C3">
        <w:rPr>
          <w:rFonts w:ascii="Arial" w:hAnsi="Arial" w:cs="Arial"/>
          <w:b w:val="0"/>
          <w:caps w:val="0"/>
          <w:sz w:val="20"/>
        </w:rPr>
        <w:t xml:space="preserve"> and Protein disulfide-isomerase (</w:t>
      </w:r>
      <w:proofErr w:type="spellStart"/>
      <w:r w:rsidR="00B027A8" w:rsidRPr="00CE04C3">
        <w:rPr>
          <w:rFonts w:ascii="Arial" w:hAnsi="Arial" w:cs="Arial"/>
          <w:b w:val="0"/>
          <w:i/>
          <w:iCs/>
          <w:caps w:val="0"/>
          <w:sz w:val="20"/>
        </w:rPr>
        <w:t>Pf</w:t>
      </w:r>
      <w:r w:rsidR="00EF5C05" w:rsidRPr="00CE04C3">
        <w:rPr>
          <w:rFonts w:ascii="Arial" w:hAnsi="Arial" w:cs="Arial"/>
          <w:b w:val="0"/>
          <w:i/>
          <w:iCs/>
          <w:caps w:val="0"/>
          <w:sz w:val="20"/>
        </w:rPr>
        <w:t>PDI</w:t>
      </w:r>
      <w:proofErr w:type="spellEnd"/>
      <w:r w:rsidR="00EF5C05" w:rsidRPr="00CE04C3">
        <w:rPr>
          <w:rFonts w:ascii="Arial" w:hAnsi="Arial" w:cs="Arial"/>
          <w:b w:val="0"/>
          <w:caps w:val="0"/>
          <w:sz w:val="20"/>
        </w:rPr>
        <w:t>)</w:t>
      </w:r>
      <w:r w:rsidRPr="00CE04C3">
        <w:rPr>
          <w:rFonts w:ascii="Arial" w:hAnsi="Arial" w:cs="Arial"/>
          <w:b w:val="0"/>
          <w:caps w:val="0"/>
          <w:sz w:val="20"/>
        </w:rPr>
        <w:t>. These proteins stand out due to their high essentiality, cytoplasmic localization, low sequence similarity to human proteins, and structural properties compatible with inhibitor binding. Their biological</w:t>
      </w:r>
      <w:r w:rsidRPr="00CE04C3">
        <w:rPr>
          <w:rFonts w:ascii="Arial" w:hAnsi="Arial" w:cs="Arial"/>
        </w:rPr>
        <w:t xml:space="preserve"> </w:t>
      </w:r>
      <w:r w:rsidRPr="00CE04C3">
        <w:rPr>
          <w:rFonts w:ascii="Arial" w:hAnsi="Arial" w:cs="Arial"/>
          <w:b w:val="0"/>
          <w:caps w:val="0"/>
          <w:sz w:val="20"/>
        </w:rPr>
        <w:t>functions are also well supported by existing literature, reinforcing their therapeutic potential</w:t>
      </w:r>
      <w:r w:rsidRPr="00CE04C3">
        <w:rPr>
          <w:rFonts w:ascii="Arial" w:hAnsi="Arial" w:cs="Arial"/>
        </w:rPr>
        <w:t>.</w:t>
      </w:r>
    </w:p>
    <w:p w14:paraId="0C3F4EAC" w14:textId="46B007DB" w:rsidR="009D0164" w:rsidRPr="00CE04C3" w:rsidRDefault="00B91B8B" w:rsidP="007408DF">
      <w:pPr>
        <w:jc w:val="both"/>
        <w:rPr>
          <w:rFonts w:ascii="Arial" w:hAnsi="Arial" w:cs="Arial"/>
        </w:rPr>
      </w:pPr>
      <w:r w:rsidRPr="00CE04C3">
        <w:rPr>
          <w:rFonts w:ascii="Arial" w:hAnsi="Arial" w:cs="Arial"/>
        </w:rPr>
        <w:t>Despite the rigorous methodology and richness of the integrated data, this study has some limitations that need to be taken into account for a nuanced interpretation of the results. Firstly, reliance on databases such as TDR Targets and published literature may introduce a representation bias. Some poorly studied or recently characterized proteins are likely to be underestimated or absent from the analysis, limiting the discovery of potential new targets</w:t>
      </w:r>
      <w:r w:rsidR="00ED4571" w:rsidRPr="00CE04C3">
        <w:rPr>
          <w:rFonts w:ascii="Arial" w:hAnsi="Arial" w:cs="Arial"/>
        </w:rPr>
        <w:t xml:space="preserve"> </w:t>
      </w:r>
      <w:r w:rsidR="00ED4571" w:rsidRPr="00CE04C3">
        <w:rPr>
          <w:rFonts w:ascii="Arial" w:hAnsi="Arial" w:cs="Arial"/>
        </w:rPr>
        <w:fldChar w:fldCharType="begin"/>
      </w:r>
      <w:r w:rsidR="00ED4571" w:rsidRPr="00CE04C3">
        <w:rPr>
          <w:rFonts w:ascii="Arial" w:hAnsi="Arial" w:cs="Arial"/>
        </w:rPr>
        <w:instrText xml:space="preserve"> ADDIN ZOTERO_ITEM CSL_CITATION {"citationID":"8LCRSVNX","properties":{"formattedCitation":"(Magari\\uc0\\u241{}os et al., 2012)","plainCitation":"(Magariños et al., 2012)","noteIndex":0},"citationItems":[{"id":15100,"uris":["http://zotero.org/users/8036093/items/TZB58I5S"],"itemData":{"id":15100,"type":"article-journal","abstract":"The TDR Targets Database (http://tdrtargets.org) has been designed and developed as an online resource to facilitate the rapid identification and prioritization of molecular targets for drug development, focusing on pathogens responsible for neglected human diseases. The database integrates pathogen specific genomic information with functional data (e.g. expression, phylogeny, essentiality) for genes collected from various sources, including literature curation. This information can be browsed and queried using an extensive web interface with functionalities for combining, saving, exporting and sharing the query results. Target genes can be ranked and prioritized using numerical weights assigned to the criteria used for querying. In this report we describe recent updates to the TDR Targets database, including the addition of new genomes (specifically helminths), and integration of chemical structure, property and bioactivity information for biological ligands, drugs and inhibitors and cheminformatic tools for querying and visualizing these chemical data. These changes greatly facilitate exploration of linkages (both known and predicted) between genes and small molecules, yielding insight into whether particular proteins may be druggable, effectively allowing the navigation of chemical space in a genomics context.","container-title":"Nucleic Acids Research","DOI":"10.1093/nar/gkr1053","ISSN":"0305-1048","issue":"D1","journalAbbreviation":"Nucleic Acids Res","page":"D1118-D1127","source":"Silverchair","title":"TDR Targets: a chemogenomics resource for neglected diseases","title-short":"TDR Targets","volume":"40","author":[{"family":"Magariños","given":"María P."},{"family":"Carmona","given":"Santiago J."},{"family":"Crowther","given":"Gregory J."},{"family":"Ralph","given":"Stuart A."},{"family":"Roos","given":"David S."},{"family":"Shanmugam","given":"Dhanasekaran"},{"family":"Van Voorhis","given":"Wesley C."},{"family":"Agüero","given":"Fernán"}],"issued":{"date-parts":[["2012",1,1]]}}}],"schema":"https://github.com/citation-style-language/schema/raw/master/csl-citation.json"} </w:instrText>
      </w:r>
      <w:r w:rsidR="00ED4571" w:rsidRPr="00CE04C3">
        <w:rPr>
          <w:rFonts w:ascii="Arial" w:hAnsi="Arial" w:cs="Arial"/>
        </w:rPr>
        <w:fldChar w:fldCharType="separate"/>
      </w:r>
      <w:r w:rsidR="00ED4571" w:rsidRPr="00CE04C3">
        <w:rPr>
          <w:rFonts w:ascii="Arial" w:hAnsi="Arial" w:cs="Arial"/>
        </w:rPr>
        <w:t>(Magariños et al., 2012)</w:t>
      </w:r>
      <w:r w:rsidR="00ED4571" w:rsidRPr="00CE04C3">
        <w:rPr>
          <w:rFonts w:ascii="Arial" w:hAnsi="Arial" w:cs="Arial"/>
        </w:rPr>
        <w:fldChar w:fldCharType="end"/>
      </w:r>
      <w:r w:rsidRPr="00CE04C3">
        <w:rPr>
          <w:rFonts w:ascii="Arial" w:hAnsi="Arial" w:cs="Arial"/>
        </w:rPr>
        <w:t xml:space="preserve">. Secondly, the prediction of </w:t>
      </w:r>
      <w:proofErr w:type="spellStart"/>
      <w:r w:rsidRPr="00CE04C3">
        <w:rPr>
          <w:rFonts w:ascii="Arial" w:hAnsi="Arial" w:cs="Arial"/>
        </w:rPr>
        <w:t>druggability</w:t>
      </w:r>
      <w:proofErr w:type="spellEnd"/>
      <w:r w:rsidRPr="00CE04C3">
        <w:rPr>
          <w:rFonts w:ascii="Arial" w:hAnsi="Arial" w:cs="Arial"/>
        </w:rPr>
        <w:t xml:space="preserve">, although solid due to the use of the TDR Targets database which compiles validated genomic, structural and pharmacological data, remains an estimate. It doesn't guarantee that a target will actually be accessible or effective in a therapeutic context, particularly given the biological and pharmacokinetic complexities encountered </w:t>
      </w:r>
      <w:r w:rsidRPr="002A3118">
        <w:rPr>
          <w:rFonts w:ascii="Arial" w:hAnsi="Arial" w:cs="Arial"/>
          <w:i/>
          <w:iCs/>
        </w:rPr>
        <w:t>in vivo</w:t>
      </w:r>
      <w:r w:rsidR="00E75BFB" w:rsidRPr="00CE04C3">
        <w:rPr>
          <w:rFonts w:ascii="Arial" w:hAnsi="Arial" w:cs="Arial"/>
        </w:rPr>
        <w:fldChar w:fldCharType="begin"/>
      </w:r>
      <w:r w:rsidR="00E75BFB" w:rsidRPr="00CE04C3">
        <w:rPr>
          <w:rFonts w:ascii="Arial" w:hAnsi="Arial" w:cs="Arial"/>
        </w:rPr>
        <w:instrText xml:space="preserve"> ADDIN ZOTERO_ITEM CSL_CITATION {"citationID":"YJpSG43e","properties":{"formattedCitation":"(Fauman et al., 2011)","plainCitation":"(Fauman et al., 2011)","noteIndex":0},"citationItems":[{"id":15103,"uris":["http://zotero.org/users/8036093/items/BRMZ4WNU"],"itemData":{"id":15103,"type":"article-journal","abstract":"A target is druggable if it can be modulated in vivo by a drug-like molecule. The general properties of oral drugs are summarized by the ‘rule of 5’ which specifies parameters related to size and lipophilicity. Structure-based target druggability assessment consists of predicting ligand-binding sites on the protein that are complementary to these drug-like properties. Automated identification of ligand-binding sites can use geometrical considerations alone or include specific physicochemical properties of the protein surface. Features of a pocket's size and shape, together with measures of its hydrophobicity, are most informative in identifying suitable drug-binding pockets. The recent availability of several validation sets of druggable versus undruggable targets has helped fuel the development of more elaborate methods.","collection-title":"Next Generation Therapeutics","container-title":"Current Opinion in Chemical Biology","DOI":"10.1016/j.cbpa.2011.05.020","ISSN":"1367-5931","issue":"4","journalAbbreviation":"Current Opinion in Chemical Biology","page":"463-468","source":"ScienceDirect","title":"Structure-based druggability assessment   —   identifying suitable targets for small molecule therapeutics","volume":"15","author":[{"family":"Fauman","given":"Eric B"},{"family":"Rai","given":"Brajesh K"},{"family":"Huang","given":"Enoch S"}],"issued":{"date-parts":[["2011",8,1]]}}}],"schema":"https://github.com/citation-style-language/schema/raw/master/csl-citation.json"} </w:instrText>
      </w:r>
      <w:r w:rsidR="00E75BFB" w:rsidRPr="00CE04C3">
        <w:rPr>
          <w:rFonts w:ascii="Arial" w:hAnsi="Arial" w:cs="Arial"/>
        </w:rPr>
        <w:fldChar w:fldCharType="separate"/>
      </w:r>
      <w:r w:rsidR="00E75BFB" w:rsidRPr="00CE04C3">
        <w:rPr>
          <w:rFonts w:ascii="Arial" w:hAnsi="Arial" w:cs="Arial"/>
        </w:rPr>
        <w:t>(Fauman et al., 2011)</w:t>
      </w:r>
      <w:r w:rsidR="00E75BFB" w:rsidRPr="00CE04C3">
        <w:rPr>
          <w:rFonts w:ascii="Arial" w:hAnsi="Arial" w:cs="Arial"/>
        </w:rPr>
        <w:fldChar w:fldCharType="end"/>
      </w:r>
      <w:r w:rsidR="00522CAB" w:rsidRPr="00CE04C3">
        <w:rPr>
          <w:rFonts w:ascii="Arial" w:hAnsi="Arial" w:cs="Arial"/>
        </w:rPr>
        <w:t>. Third</w:t>
      </w:r>
      <w:r w:rsidR="00A55565" w:rsidRPr="00CE04C3">
        <w:rPr>
          <w:rFonts w:ascii="Arial" w:hAnsi="Arial" w:cs="Arial"/>
        </w:rPr>
        <w:t xml:space="preserve">, a major limitation lies in the discrepancies observed between subcellular localizations predicted by bioinformatics tools and experimental results, particularly for proteins such as </w:t>
      </w:r>
      <w:proofErr w:type="spellStart"/>
      <w:r w:rsidR="00A55565" w:rsidRPr="00CE04C3">
        <w:rPr>
          <w:rFonts w:ascii="Arial" w:hAnsi="Arial" w:cs="Arial"/>
          <w:i/>
          <w:iCs/>
        </w:rPr>
        <w:t>PfPSD</w:t>
      </w:r>
      <w:proofErr w:type="spellEnd"/>
      <w:r w:rsidR="00A55565" w:rsidRPr="00CE04C3">
        <w:rPr>
          <w:rFonts w:ascii="Arial" w:hAnsi="Arial" w:cs="Arial"/>
          <w:i/>
          <w:iCs/>
        </w:rPr>
        <w:t xml:space="preserve"> </w:t>
      </w:r>
      <w:r w:rsidR="00A55565" w:rsidRPr="00CE04C3">
        <w:rPr>
          <w:rFonts w:ascii="Arial" w:hAnsi="Arial" w:cs="Arial"/>
        </w:rPr>
        <w:t xml:space="preserve">and </w:t>
      </w:r>
      <w:proofErr w:type="spellStart"/>
      <w:r w:rsidR="00A55565" w:rsidRPr="00CE04C3">
        <w:rPr>
          <w:rFonts w:ascii="Arial" w:hAnsi="Arial" w:cs="Arial"/>
          <w:i/>
          <w:iCs/>
        </w:rPr>
        <w:t>PfPDI</w:t>
      </w:r>
      <w:proofErr w:type="spellEnd"/>
      <w:r w:rsidR="00A55565" w:rsidRPr="00CE04C3">
        <w:rPr>
          <w:rFonts w:ascii="Arial" w:hAnsi="Arial" w:cs="Arial"/>
        </w:rPr>
        <w:t xml:space="preserve">. Localization was predicted using the </w:t>
      </w:r>
      <w:proofErr w:type="spellStart"/>
      <w:r w:rsidR="00A55565" w:rsidRPr="00CE04C3">
        <w:rPr>
          <w:rFonts w:ascii="Arial" w:hAnsi="Arial" w:cs="Arial"/>
        </w:rPr>
        <w:t>ESLpred</w:t>
      </w:r>
      <w:proofErr w:type="spellEnd"/>
      <w:r w:rsidR="00A55565" w:rsidRPr="00CE04C3">
        <w:rPr>
          <w:rFonts w:ascii="Arial" w:hAnsi="Arial" w:cs="Arial"/>
        </w:rPr>
        <w:t xml:space="preserve"> algorithm, a support vector machine (SVM)-based tool that analyzes protein sequence composition and evolutionary profiles to predict their subcellular compartments. However, while </w:t>
      </w:r>
      <w:proofErr w:type="spellStart"/>
      <w:r w:rsidR="00A55565" w:rsidRPr="00CE04C3">
        <w:rPr>
          <w:rFonts w:ascii="Arial" w:hAnsi="Arial" w:cs="Arial"/>
        </w:rPr>
        <w:t>ESLpred</w:t>
      </w:r>
      <w:proofErr w:type="spellEnd"/>
      <w:r w:rsidR="00A55565" w:rsidRPr="00CE04C3">
        <w:rPr>
          <w:rFonts w:ascii="Arial" w:hAnsi="Arial" w:cs="Arial"/>
        </w:rPr>
        <w:t xml:space="preserve"> localizes these proteins to compartments such as the mitochondrion or cytoplasm, experimental studies clearly demonstrate preferential localization in the endoplasmic reticulum</w:t>
      </w:r>
      <w:r w:rsidR="00783671" w:rsidRPr="00CE04C3">
        <w:rPr>
          <w:rFonts w:ascii="Arial" w:hAnsi="Arial" w:cs="Arial"/>
        </w:rPr>
        <w:t xml:space="preserve"> </w:t>
      </w:r>
      <w:r w:rsidR="008B4DA7" w:rsidRPr="00CE04C3">
        <w:rPr>
          <w:rFonts w:ascii="Arial" w:hAnsi="Arial" w:cs="Arial"/>
        </w:rPr>
        <w:fldChar w:fldCharType="begin"/>
      </w:r>
      <w:r w:rsidR="008B4DA7" w:rsidRPr="00CE04C3">
        <w:rPr>
          <w:rFonts w:ascii="Arial" w:hAnsi="Arial" w:cs="Arial"/>
        </w:rPr>
        <w:instrText xml:space="preserve"> ADDIN ZOTERO_ITEM CSL_CITATION {"citationID":"WJg9sKqr","properties":{"formattedCitation":"(Hendricson et al., 2019)","plainCitation":"(Hendricson et al., 2019)","noteIndex":0},"citationItems":[{"id":15107,"uris":["http://zotero.org/users/8036093/items/LU3645M6"],"itemData":{"id":15107,"type":"article-journal","abstract":"&lt;p&gt;Phosphatidylserine decarboxylases (PSDs) catalyze the decarboxylation of phosphatidylserine to generate phosphatidylethanolamine, a critical step in phospholipid metabolism in both prokaryotes and eukaryotes. Most PSDs are membrane-bound, and classical radioisotope-based assays for determining their activity &lt;i&gt;in vitro&lt;/i&gt; are not suitable for high-throughput drug screening. The finding that the PkPSD from &lt;i&gt;Plasmodium knowlesi&lt;/i&gt; can be purified in a soluble and active form and the recent development of a fluorescence-based distyrylbenzene-bis-aldehyde (DSB-3) assay to measure PSD activity &lt;i&gt;in vitro&lt;/i&gt; have laid the groundwork for screening chemical libraries for PSD inhibitors. Using this assay, here we conducted a high-throughput screen of a structurally diverse 130,858-compound library against PkPSD. Further characterization of the hits identified in this screening yielded five PkPSD inhibitors with IC&lt;sub&gt;50&lt;/sub&gt; values ranging from 3.1 to 42.3 μm. Lead compounds were evaluated against the pathogenic yeast &lt;i&gt;Candida albicans&lt;/i&gt; in the absence or presence of exogenous ethanolamine, and YU253467 and YU254403 were identified as inhibiting both nati</w:instrText>
      </w:r>
      <w:r w:rsidR="008B4DA7" w:rsidRPr="00435077">
        <w:rPr>
          <w:rFonts w:ascii="Arial" w:hAnsi="Arial" w:cs="Arial"/>
          <w:lang w:val="fr-FR"/>
        </w:rPr>
        <w:instrText xml:space="preserve">ve &lt;i&gt;C. albicans&lt;/i&gt; PSD mitochondrial activity and &lt;i&gt;C. albicans&lt;/i&gt; growth, with an MIC&lt;sub&gt;50&lt;/sub&gt; of 22.5 and 15 </w:instrText>
      </w:r>
      <w:r w:rsidR="008B4DA7" w:rsidRPr="00CE04C3">
        <w:rPr>
          <w:rFonts w:ascii="Arial" w:hAnsi="Arial" w:cs="Arial"/>
        </w:rPr>
        <w:instrText>μ</w:instrText>
      </w:r>
      <w:r w:rsidR="008B4DA7" w:rsidRPr="00435077">
        <w:rPr>
          <w:rFonts w:ascii="Arial" w:hAnsi="Arial" w:cs="Arial"/>
          <w:lang w:val="fr-FR"/>
        </w:rPr>
        <w:instrText xml:space="preserve">g/ml without ethanolamine and an MIC&lt;sub&gt;50&lt;/sub&gt; of 75 and 60 </w:instrText>
      </w:r>
      <w:r w:rsidR="008B4DA7" w:rsidRPr="00CE04C3">
        <w:rPr>
          <w:rFonts w:ascii="Arial" w:hAnsi="Arial" w:cs="Arial"/>
        </w:rPr>
        <w:instrText>μ</w:instrText>
      </w:r>
      <w:r w:rsidR="008B4DA7" w:rsidRPr="00435077">
        <w:rPr>
          <w:rFonts w:ascii="Arial" w:hAnsi="Arial" w:cs="Arial"/>
          <w:lang w:val="fr-FR"/>
        </w:rPr>
        <w:instrText xml:space="preserve">g/ml with ethanolamine, respectively. Together, these results provide the first proof of principle for the application of DSB-3–based fluorescent readouts in high-throughput screening for PSD inhibitors. The data set the stage for future analyses to identify more selective and potent PSD inhibitors with antimicrobial or antitumor activities.&lt;/p&gt;","container-title":"Journal of Biological Chemistry","DOI":"10.1074/jbc.RA119.007766","ISSN":"0021-9258, 1083-351X","issue":"32","journalAbbreviation":"Journal of Biological Chemistry","language":"English","note":"publisher: Elsevier\nPMID: 31227523","page":"12146-12156","source":"www.jbc.org","title":"High-throughput screening for phosphatidylserine decarboxylase inhibitors using a distyrylbenzene-bis-aldehyde (DSB-3)-based fluorescence assay","volume":"294","author":[{"family":"Hendricson","given":"Adam"},{"family":"Umlauf","given":"Sheila"},{"family":"Choi","given":"Jae-Yeon"},{"family":"Thekkiniath","given":"Jose"},{"family":"Surovtseva","given":"Yulia V."},{"family":"Fuller","given":"Kevin K."},{"family":"Reynolds","given":"Todd B."},{"family":"Voelker","given":"Dennis R."},{"family":"Mamoun","given":"Choukri Ben"}],"issued":{"date-parts":[["2019",8,9]]}}}],"schema":"https://github.com/citation-style-language/schema/raw/master/csl-citation.json"} </w:instrText>
      </w:r>
      <w:r w:rsidR="008B4DA7" w:rsidRPr="00CE04C3">
        <w:rPr>
          <w:rFonts w:ascii="Arial" w:hAnsi="Arial" w:cs="Arial"/>
        </w:rPr>
        <w:fldChar w:fldCharType="separate"/>
      </w:r>
      <w:r w:rsidR="008B4DA7" w:rsidRPr="00435077">
        <w:rPr>
          <w:rFonts w:ascii="Arial" w:hAnsi="Arial" w:cs="Arial"/>
          <w:lang w:val="fr-FR"/>
        </w:rPr>
        <w:t>(Hendricson et al., 2019)</w:t>
      </w:r>
      <w:r w:rsidR="008B4DA7" w:rsidRPr="00CE04C3">
        <w:rPr>
          <w:rFonts w:ascii="Arial" w:hAnsi="Arial" w:cs="Arial"/>
        </w:rPr>
        <w:fldChar w:fldCharType="end"/>
      </w:r>
      <w:r w:rsidR="008B4DA7" w:rsidRPr="00435077">
        <w:rPr>
          <w:rFonts w:ascii="Arial" w:hAnsi="Arial" w:cs="Arial"/>
          <w:lang w:val="fr-FR"/>
        </w:rPr>
        <w:t>,</w:t>
      </w:r>
      <w:r w:rsidR="00783671" w:rsidRPr="00CE04C3">
        <w:rPr>
          <w:rFonts w:ascii="Arial" w:hAnsi="Arial" w:cs="Arial"/>
        </w:rPr>
        <w:fldChar w:fldCharType="begin"/>
      </w:r>
      <w:r w:rsidR="00783671" w:rsidRPr="00435077">
        <w:rPr>
          <w:rFonts w:ascii="Arial" w:hAnsi="Arial" w:cs="Arial"/>
          <w:lang w:val="fr-FR"/>
        </w:rPr>
        <w:instrText xml:space="preserve"> ADDIN ZOTERO_ITEM CSL_CITATION {"citationID":"KJRPd8Mo","properties":{"formattedCitation":"(Cobb et al., 2021)","plainCitation":"(Cobb et al., 2021)","noteIndex":0},"citationItems":[{"id":14462,"uris":["http://zotero.org/users/8036093/items/E57FXAGZ"],"itemData":{"id":14462,"type":"article-journal","abstract":"Malaria remains a major global health problem, creating a constant need for research to identify druggable weaknesses in P. falciparum biology. As important components of cellular redox biology, members of the Thioredoxin (Trx) superfamily of proteins have received interest as potential drug targets in Apicomplexans. However, the function and essentiality of endoplasmic reticulum (ER)-localized Trx-domain proteins within P. falciparum has not been investigated. We generated conditional mutants of the protein PfJ2—an ER chaperone and member of the Trx superfamily—and show that it is essential for asexual parasite survival. Using a crosslinker specific for redox-active cysteines, we identified PfJ2 substrates as PfPDI8 and PfPDI11, both members of the Trx superfamily as well, which suggests a redox-regulatory role for PfJ2. Knockdown of these PDIs in PfJ2 conditional mutants show that PfPDI11 may not be essential. However, PfPDI8 is required for asexual growth and our data suggest it may work in a complex with PfJ2 and other ER chaperones. Finally, we show that the redox interactions between these Trx-domain proteins in the parasite ER and their substrates are sensitive to small molecule inhibition. Together these data build a model for how Trx-domain proteins in the P. falciparum ER work together to assist protein folding and demonstrate the suitability of ER-localized Trx-domain proteins for antimalarial drug development.","container-title":"PLOS Pathogens","DOI":"10.1371/journal.ppat.1009293","ISSN":"1553-7374","issue":"2","journalAbbreviation":"PLOS Pathogens","language":"fr","note":"publisher: Public Library of Science","page":"e1009293","source":"PLoS Journals","title":"A redox-active crosslinker reveals an essential and inhibitable oxidative folding network in the endoplasmic reticulum of malaria parasites","volume":"17","author":[{"family":"Cobb","given":"David W."},{"family":"Kudyba","given":"Heather M."},{"family":"Villegas","given":"Alejandra"},{"family":"Hoopmann","given":"Michael R."},{"family":"Baptista","given":"Rodrigo P."},{"family":"Bruton","given":"Baylee"},{"family":"Krakowiak","given":"Michelle"},{"family":"Moritz","given":"Robert L."},{"family":"Muralidharan","given":"Vasant"}],"issued":{"date-parts":[["2021",2,3]]}}}],"schema":"https://github.com/citation-style-language/schema/raw/master/csl-citation.json"} </w:instrText>
      </w:r>
      <w:r w:rsidR="00783671" w:rsidRPr="00CE04C3">
        <w:rPr>
          <w:rFonts w:ascii="Arial" w:hAnsi="Arial" w:cs="Arial"/>
        </w:rPr>
        <w:fldChar w:fldCharType="separate"/>
      </w:r>
      <w:r w:rsidR="00783671" w:rsidRPr="00435077">
        <w:rPr>
          <w:rFonts w:ascii="Arial" w:hAnsi="Arial" w:cs="Arial"/>
          <w:lang w:val="fr-FR"/>
        </w:rPr>
        <w:t>(Cobb et al., 2021)</w:t>
      </w:r>
      <w:r w:rsidR="00783671" w:rsidRPr="00CE04C3">
        <w:rPr>
          <w:rFonts w:ascii="Arial" w:hAnsi="Arial" w:cs="Arial"/>
        </w:rPr>
        <w:fldChar w:fldCharType="end"/>
      </w:r>
      <w:r w:rsidR="008B4DA7" w:rsidRPr="00435077">
        <w:rPr>
          <w:rFonts w:ascii="Arial" w:hAnsi="Arial" w:cs="Arial"/>
          <w:lang w:val="fr-FR"/>
        </w:rPr>
        <w:t>.</w:t>
      </w:r>
      <w:r w:rsidR="00A55565" w:rsidRPr="00435077">
        <w:rPr>
          <w:rFonts w:ascii="Arial" w:hAnsi="Arial" w:cs="Arial"/>
          <w:lang w:val="fr-FR"/>
        </w:rPr>
        <w:t>This discrepancy highlights the current limitations of computational tools, which often rely on sequence motifs and signatures that may not capture the specificity of protein</w:t>
      </w:r>
      <w:r w:rsidR="00A55565" w:rsidRPr="00435077">
        <w:rPr>
          <w:lang w:val="fr-FR"/>
        </w:rPr>
        <w:t xml:space="preserve"> </w:t>
      </w:r>
      <w:r w:rsidR="00A55565" w:rsidRPr="00435077">
        <w:rPr>
          <w:rFonts w:ascii="Arial" w:hAnsi="Arial" w:cs="Arial"/>
          <w:lang w:val="fr-FR"/>
        </w:rPr>
        <w:t>targeting mechanisms in parasites</w:t>
      </w:r>
      <w:r w:rsidR="001D6312" w:rsidRPr="00CE04C3">
        <w:rPr>
          <w:rFonts w:ascii="Arial" w:hAnsi="Arial" w:cs="Arial"/>
        </w:rPr>
        <w:fldChar w:fldCharType="begin"/>
      </w:r>
      <w:r w:rsidR="001D6312" w:rsidRPr="00435077">
        <w:rPr>
          <w:rFonts w:ascii="Arial" w:hAnsi="Arial" w:cs="Arial"/>
          <w:lang w:val="fr-FR"/>
        </w:rPr>
        <w:instrText xml:space="preserve"> ADDIN ZOTERO_ITEM CSL_CITATION {"citationID":"EPdw8ek7","properties":{"formattedCitation":"(De Vita et al., 2023)","plainCitation":"(De Vita et al., 2023)","noteIndex":0},"citationItems":[{"id":15110,"uris":["http://zotero.org/users/8036093/items/72TAHN7V"],"itemData":{"id":15110,"type":"article-journal","abstract":"The use of computational techniques in the early stages of drug discovery has recently experienced a boost, especially in the target identification step. Finding the biological partner(s) for new or existing synthetic and/or natural compounds by “wet” approaches may be challenging; therefore, preliminary in silico screening is even more recommended. After a brief overview of some of the most known target identification techniques, recent advances in structure-based computational approaches for target identification are reported in this digest, focusing on Inverse Virtual Screening and its recent applications. Moreover, future perspectives concerning the use of such methodologies, coupled or not with other approaches, are analyzed.","container-title":"Bioorganic &amp; Medicinal Chemistry Letters","DOI":"10.1016/j.bmcl.2023.129171","ISSN":"0960-894X","journalAbbreviation":"Bioorganic &amp; Medicinal Chemistry Letters","page":"129171","source":"Sci</w:instrText>
      </w:r>
      <w:r w:rsidR="001D6312" w:rsidRPr="00CE04C3">
        <w:rPr>
          <w:rFonts w:ascii="Arial" w:hAnsi="Arial" w:cs="Arial"/>
        </w:rPr>
        <w:instrText xml:space="preserve">enceDirect","title":"Target identification by structure-based computational approaches: Recent advances and perspectives","title-short":"Target identification by structure-based computational approaches","volume":"83","author":[{"family":"De Vita","given":"Simona"},{"family":"Chini","given":"Maria Giovanna"},{"family":"Bifulco","given":"Giuseppe"},{"family":"Lauro","given":"Gianluigi"}],"issued":{"date-parts":[["2023",3,1]]}}}],"schema":"https://github.com/citation-style-language/schema/raw/master/csl-citation.json"} </w:instrText>
      </w:r>
      <w:r w:rsidR="001D6312" w:rsidRPr="00CE04C3">
        <w:rPr>
          <w:rFonts w:ascii="Arial" w:hAnsi="Arial" w:cs="Arial"/>
        </w:rPr>
        <w:fldChar w:fldCharType="separate"/>
      </w:r>
      <w:r w:rsidR="001D6312" w:rsidRPr="00CE04C3">
        <w:rPr>
          <w:rFonts w:ascii="Arial" w:hAnsi="Arial" w:cs="Arial"/>
        </w:rPr>
        <w:t>(De Vita et al., 2023)</w:t>
      </w:r>
      <w:r w:rsidR="001D6312" w:rsidRPr="00CE04C3">
        <w:rPr>
          <w:rFonts w:ascii="Arial" w:hAnsi="Arial" w:cs="Arial"/>
        </w:rPr>
        <w:fldChar w:fldCharType="end"/>
      </w:r>
      <w:r w:rsidR="00A55565" w:rsidRPr="00CE04C3">
        <w:rPr>
          <w:rFonts w:ascii="Arial" w:hAnsi="Arial" w:cs="Arial"/>
        </w:rPr>
        <w:t>. These differences underscore the imperative need for rigorous experimental validation to confirm the relevance of the chosen targets.</w:t>
      </w:r>
      <w:r w:rsidR="009D0164" w:rsidRPr="00CE04C3">
        <w:rPr>
          <w:rFonts w:ascii="Arial" w:hAnsi="Arial" w:cs="Arial"/>
        </w:rPr>
        <w:t xml:space="preserve"> Fourth, the study primarily focuses on individual protein targets without integrating analysis of functional networks or the possibility of metabolic redundancies within the parasite. </w:t>
      </w:r>
      <w:r w:rsidR="009D0164" w:rsidRPr="00CE04C3">
        <w:rPr>
          <w:rFonts w:ascii="Arial" w:hAnsi="Arial" w:cs="Arial"/>
          <w:i/>
          <w:iCs/>
        </w:rPr>
        <w:t>Plasmodium falciparum</w:t>
      </w:r>
      <w:r w:rsidR="009D0164" w:rsidRPr="00CE04C3">
        <w:rPr>
          <w:rFonts w:ascii="Arial" w:hAnsi="Arial" w:cs="Arial"/>
        </w:rPr>
        <w:t xml:space="preserve"> often possesses compensatory mechanisms that can counteract the inhibition of a single protein, potentially reducing therapeutic efficacy. This observation suggests that combinatorial approaches targeting multiple pathways or proteins will likely be necessary to overcome these intrinsic resistances (Cowell et al., 2018</w:t>
      </w:r>
      <w:r w:rsidR="00DE149D" w:rsidRPr="00CE04C3">
        <w:rPr>
          <w:rFonts w:ascii="Arial" w:hAnsi="Arial" w:cs="Arial"/>
        </w:rPr>
        <w:t>). Finally</w:t>
      </w:r>
      <w:r w:rsidR="009D0164" w:rsidRPr="00CE04C3">
        <w:rPr>
          <w:rFonts w:ascii="Arial" w:hAnsi="Arial" w:cs="Arial"/>
        </w:rPr>
        <w:t xml:space="preserve">, translating results obtained in </w:t>
      </w:r>
      <w:r w:rsidR="009D0164" w:rsidRPr="00933742">
        <w:rPr>
          <w:rFonts w:ascii="Arial" w:hAnsi="Arial" w:cs="Arial"/>
          <w:i/>
          <w:iCs/>
        </w:rPr>
        <w:t>in silico</w:t>
      </w:r>
      <w:r w:rsidR="009D0164" w:rsidRPr="00CE04C3">
        <w:rPr>
          <w:rFonts w:ascii="Arial" w:hAnsi="Arial" w:cs="Arial"/>
        </w:rPr>
        <w:t xml:space="preserve"> or </w:t>
      </w:r>
      <w:r w:rsidR="009D0164" w:rsidRPr="00933742">
        <w:rPr>
          <w:rFonts w:ascii="Arial" w:hAnsi="Arial" w:cs="Arial"/>
          <w:i/>
          <w:iCs/>
        </w:rPr>
        <w:t>in vitro</w:t>
      </w:r>
      <w:r w:rsidR="009D0164" w:rsidRPr="00CE04C3">
        <w:rPr>
          <w:rFonts w:ascii="Arial" w:hAnsi="Arial" w:cs="Arial"/>
        </w:rPr>
        <w:t xml:space="preserve"> contexts into clinical applications remains a major challenge. Biological variations between parasite strains, host influence, and complex pharmacological interactions can significantly affect the efficacy and safety of drug candidates developed from these targets</w:t>
      </w:r>
      <w:r w:rsidR="002D2379" w:rsidRPr="00CE04C3">
        <w:rPr>
          <w:rFonts w:ascii="Arial" w:hAnsi="Arial" w:cs="Arial"/>
        </w:rPr>
        <w:t xml:space="preserve"> </w:t>
      </w:r>
      <w:r w:rsidR="002D2379" w:rsidRPr="00CE04C3">
        <w:rPr>
          <w:rFonts w:ascii="Arial" w:hAnsi="Arial" w:cs="Arial"/>
        </w:rPr>
        <w:fldChar w:fldCharType="begin"/>
      </w:r>
      <w:r w:rsidR="002D2379" w:rsidRPr="00CE04C3">
        <w:rPr>
          <w:rFonts w:ascii="Arial" w:hAnsi="Arial" w:cs="Arial"/>
        </w:rPr>
        <w:instrText xml:space="preserve"> ADDIN ZOTERO_ITEM CSL_CITATION {"citationID":"A1EXqHCm","properties":{"formattedCitation":"(Ashley et al., 2014)","plainCitation":"(Ashley et al., 2014)","noteIndex":0},"citationItems":[{"id":15112,"uris":["http://zotero.org/users/8036093/items/C32JB9J7"],"itemData":{"id":15112,"type":"article-journal","abstract":"In this article from Southeast Asia and Africa, the emergence of widespread decreased susceptibility of Plasmodium falciparum to artemisinins, detected throughout Southeast Asia, is associated with a point mutation in the kelch protein on chromosome 13. Artemisinin derivatives are highly potent, rapidly eliminated antimalarial drugs with a broad stage specificity of action. They clear parasitemia more rapidly than all other currently available antimalarial agents. In the 1990s, resistance to available antimalarial drugs such as chloroquine and sulfadoxine–pyrimethamine worsened across areas of the world where malaria is endemic. As a direct consequence, morbidity and mortality associated with malaria increased, especially among African children, who account for most deaths from malaria.1 The artemisinin-based combination therapies were introduced in the mid-1990s, when there was an imminent prospect of untreatable malaria in Southeast Asia, where resistance to all available antimalarial . . .","container-title":"New England Journal of Medicine","DOI":"10.1056/NEJMoa1314981","ISSN":"0028-4793","issue":"5","note":"publisher: Massachusetts Medical Society\n_eprint: https://www.nejm.org/doi/pdf/10.1056/NEJMoa1314981","page":"411-423","source":"Taylor and Francis+NEJM","title":"Spread of Artemisinin Resistance in Plasmodium falciparum Malaria","volume":"371","author":[{"family":"Ashley","given":"Elizabeth A."},{"family":"Dhorda","given":"Mehul"},{"family":"Fairhurst","given":"Rick M."},{"family":"Amaratunga","given":"Chanaki"},{"family":"Lim","given":"Parath"},{"family":"Suon","given":"Seila"},{"family":"Sreng","given":"Sokunthea"},{"family":"Anderson","given":"Jennifer M."},{"family":"Mao","given":"Sivanna"},{"family":"Sam","given":"Baramey"},{"family":"Sopha","given":"Chantha"},{"family":"Chuor","given":"Char Meng"},{"family":"Nguon","given":"Chea"},{"family":"Sovannaroth","given":"Siv"},{"family":"Pukrittayakamee","given":"Sasithon"},{"family":"Jittamala","given":"Podjanee"},{"family":"Chotivanich","given":"Kesinee"},{"family":"Chutasmit","given":"Kitipumi"},{"family":"Suchatsoonthorn","given":"Chaiyaporn"},{"family":"Runcharoen","given":"Ratchadaporn"},{"family":"Hien","given":"Tran Tinh"},{"family":"Thuy-Nhien","given":"Nguyen Thanh"},{"family":"Thanh","given":"Ngo Viet"},{"family":"Phu","given":"Nguyen Hoan"},{"family":"Htut","given":"Ye"},{"family":"Han","given":"Kay-Thwe"},{"family":"Aye","given":"Kyin Hla"},{"family":"Mokuolu","given":"Olugbenga A."},{"family":"Olaosebikan","given":"Rasaq R."},{"family":"Folaranmi","given":"Olaleke O."},{"family":"Mayxay","given":"Mayfong"},{"family":"Khanthavong","given":"Maniphone"},{"family":"Hongvanthong","given":"Bouasy"},{"family":"Newton","given":"Paul N."},{"family":"Onyamboko","given":"Marie A."},{"family":"Fanello","given":"Caterina I."},{"family":"Tshefu","given":"Antoinette K."},{"family":"Mishra","given":"Neelima"},{"family":"Valecha","given":"Neena"},{"family":"Phyo","given":"Aung Pyae"},{"family":"Nosten","given":"Francois"},{"family":"Yi","given":"Poravuth"},{"family":"Tripura","given":"Rupam"},{"family":"Borrmann","given":"Steffen"},{"family":"Bashraheil","given":"Mahfudh"},{"family":"Peshu","given":"Judy"},{"family":"Faiz","given":"M. Abul"},{"family":"Ghose","given":"Aniruddha"},{"family":"Hossain","given":"M. Amir"},{"family":"Samad","given":"Rasheda"},{"family":"Rahman","given":"M. Ridwanur"},{"family":"Hasan","given":"M. Mahtabuddin"},{"family":"Islam","given":"Akhterul"},{"family":"Miotto","given":"Olivo"},{"family":"Amato","given":"Roberto"},{"family":"MacInnis","given":"Bronwyn"},{"family":"Stalker","given":"Jim"},{"family":"Kwiatkowski","given":"Dominic P."},{"family":"Bozdech","given":"Zbynek"},{"family":"Jeeyapant","given":"Atthanee"},{"family":"Cheah","given":"Phaik Yeong"},{"family":"Sakulthaew","given":"Tharisara"},{"family":"Chalk","given":"Jeremy"},{"family":"Intharabut","given":"Benjamas"},{"family":"Silamut","given":"Kamolrat"},{"family":"Lee","given":"Sue J."},{"family":"Vihokhern","given":"Benchawan"},{"family":"Kunasol","given":"Chanon"},{"family":"Imwong","given":"Mallika"},{"family":"Tarning","given":"Joel"},{"family":"Taylor","given":"Walter J."},{"family":"Yeung","given":"Shunmay"},{"family":"Woodrow","given":"Charles J."},{"family":"Flegg","given":"Jennifer A."},{"family":"Das","given":"Debashish"},{"family":"Smith","given":"Jeffery"},{"family":"Venkatesan","given":"Meera"},{"family":"Plowe","given":"Christopher V."},{"family":"Stepniewska","given":"Kasia"},{"family":"Guerin","given":"Philippe J."},{"family":"Dondorp","given":"Arjen M."},{"family":"Day","given":"Nicholas P."},{"family":"White","given":"Nicholas J."}],"issued":{"date-parts":[["2014",7,31]]}}}],"schema":"https://github.com/citation-style-language/schema/raw/master/csl-citation.json"} </w:instrText>
      </w:r>
      <w:r w:rsidR="002D2379" w:rsidRPr="00CE04C3">
        <w:rPr>
          <w:rFonts w:ascii="Arial" w:hAnsi="Arial" w:cs="Arial"/>
        </w:rPr>
        <w:fldChar w:fldCharType="separate"/>
      </w:r>
      <w:r w:rsidR="002D2379" w:rsidRPr="00CE04C3">
        <w:rPr>
          <w:rFonts w:ascii="Arial" w:hAnsi="Arial" w:cs="Arial"/>
        </w:rPr>
        <w:t>(Ashley et al., 2014)</w:t>
      </w:r>
      <w:r w:rsidR="002D2379" w:rsidRPr="00CE04C3">
        <w:rPr>
          <w:rFonts w:ascii="Arial" w:hAnsi="Arial" w:cs="Arial"/>
        </w:rPr>
        <w:fldChar w:fldCharType="end"/>
      </w:r>
      <w:r w:rsidR="00A7107D" w:rsidRPr="00CE04C3">
        <w:rPr>
          <w:rFonts w:ascii="Arial" w:hAnsi="Arial" w:cs="Arial"/>
        </w:rPr>
        <w:t>,</w:t>
      </w:r>
      <w:r w:rsidR="009D0164" w:rsidRPr="00CE04C3">
        <w:rPr>
          <w:rFonts w:ascii="Arial" w:hAnsi="Arial" w:cs="Arial"/>
        </w:rPr>
        <w:t xml:space="preserve">.This assessment highlights the challenges and precautions associated with the search for new antimalarial treatments and emphasizes the importance of combining bioinformatic analysis, experimental validation, and </w:t>
      </w:r>
      <w:r w:rsidR="009D0164" w:rsidRPr="0074455D">
        <w:rPr>
          <w:rFonts w:ascii="Arial" w:hAnsi="Arial" w:cs="Arial"/>
          <w:i/>
          <w:iCs/>
        </w:rPr>
        <w:t>in vivo</w:t>
      </w:r>
      <w:r w:rsidR="009D0164" w:rsidRPr="00CE04C3">
        <w:rPr>
          <w:rFonts w:ascii="Arial" w:hAnsi="Arial" w:cs="Arial"/>
        </w:rPr>
        <w:t xml:space="preserve"> functional studies to effectively advance this field.</w:t>
      </w:r>
    </w:p>
    <w:p w14:paraId="412B808D" w14:textId="19070968" w:rsidR="00703EF3" w:rsidRDefault="00DC1FD2" w:rsidP="00A67A98">
      <w:pPr>
        <w:jc w:val="center"/>
      </w:pPr>
      <w:r w:rsidRPr="00F478AC">
        <w:rPr>
          <w:noProof/>
        </w:rPr>
        <w:lastRenderedPageBreak/>
        <w:drawing>
          <wp:inline distT="0" distB="0" distL="0" distR="0" wp14:anchorId="3E008D82" wp14:editId="4CF3176A">
            <wp:extent cx="3714604" cy="5356860"/>
            <wp:effectExtent l="0" t="0" r="635" b="0"/>
            <wp:docPr id="107278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89938" name=""/>
                    <pic:cNvPicPr/>
                  </pic:nvPicPr>
                  <pic:blipFill rotWithShape="1">
                    <a:blip r:embed="rId14"/>
                    <a:srcRect l="58724" t="3225" r="2290" b="3716"/>
                    <a:stretch>
                      <a:fillRect/>
                    </a:stretch>
                  </pic:blipFill>
                  <pic:spPr bwMode="auto">
                    <a:xfrm>
                      <a:off x="0" y="0"/>
                      <a:ext cx="3749291" cy="5406882"/>
                    </a:xfrm>
                    <a:prstGeom prst="rect">
                      <a:avLst/>
                    </a:prstGeom>
                    <a:ln>
                      <a:noFill/>
                    </a:ln>
                    <a:extLst>
                      <a:ext uri="{53640926-AAD7-44D8-BBD7-CCE9431645EC}">
                        <a14:shadowObscured xmlns:a14="http://schemas.microsoft.com/office/drawing/2010/main"/>
                      </a:ext>
                    </a:extLst>
                  </pic:spPr>
                </pic:pic>
              </a:graphicData>
            </a:graphic>
          </wp:inline>
        </w:drawing>
      </w:r>
    </w:p>
    <w:p w14:paraId="5D0E38E2" w14:textId="77777777" w:rsidR="00703EF3" w:rsidRDefault="00703EF3" w:rsidP="00441B6F">
      <w:pPr>
        <w:pStyle w:val="ConcHead"/>
        <w:spacing w:after="0"/>
        <w:jc w:val="both"/>
        <w:rPr>
          <w:rFonts w:ascii="Arial" w:hAnsi="Arial" w:cs="Arial"/>
        </w:rPr>
      </w:pPr>
    </w:p>
    <w:p w14:paraId="396C4C36" w14:textId="77777777" w:rsidR="00703EF3" w:rsidRDefault="00703EF3" w:rsidP="00441B6F">
      <w:pPr>
        <w:pStyle w:val="ConcHead"/>
        <w:spacing w:after="0"/>
        <w:jc w:val="both"/>
        <w:rPr>
          <w:rFonts w:ascii="Arial" w:hAnsi="Arial" w:cs="Arial"/>
        </w:rPr>
      </w:pPr>
    </w:p>
    <w:p w14:paraId="407DBBF1" w14:textId="50E4FF17" w:rsidR="00703EF3" w:rsidRDefault="00D146D2" w:rsidP="00441B6F">
      <w:pPr>
        <w:pStyle w:val="ConcHead"/>
        <w:spacing w:after="0"/>
        <w:jc w:val="both"/>
        <w:rPr>
          <w:rFonts w:ascii="Arial" w:hAnsi="Arial" w:cs="Arial"/>
          <w:b w:val="0"/>
          <w:caps w:val="0"/>
          <w:sz w:val="20"/>
        </w:rPr>
      </w:pPr>
      <w:r w:rsidRPr="00D146D2">
        <w:rPr>
          <w:rFonts w:ascii="Arial" w:hAnsi="Arial" w:cs="Arial"/>
          <w:b w:val="0"/>
          <w:caps w:val="0"/>
          <w:sz w:val="20"/>
        </w:rPr>
        <w:t>Fig</w:t>
      </w:r>
      <w:r w:rsidR="00EC1D2C">
        <w:rPr>
          <w:rFonts w:ascii="Arial" w:hAnsi="Arial" w:cs="Arial"/>
          <w:b w:val="0"/>
          <w:caps w:val="0"/>
          <w:sz w:val="20"/>
        </w:rPr>
        <w:t>.</w:t>
      </w:r>
      <w:r w:rsidRPr="00D146D2">
        <w:rPr>
          <w:rFonts w:ascii="Arial" w:hAnsi="Arial" w:cs="Arial"/>
          <w:b w:val="0"/>
          <w:caps w:val="0"/>
          <w:sz w:val="20"/>
        </w:rPr>
        <w:t xml:space="preserve"> 1. Heatmap </w:t>
      </w:r>
      <w:r>
        <w:rPr>
          <w:rFonts w:ascii="Arial" w:hAnsi="Arial" w:cs="Arial"/>
          <w:b w:val="0"/>
          <w:caps w:val="0"/>
          <w:sz w:val="20"/>
        </w:rPr>
        <w:t>d</w:t>
      </w:r>
      <w:r w:rsidRPr="00D146D2">
        <w:rPr>
          <w:rFonts w:ascii="Arial" w:hAnsi="Arial" w:cs="Arial"/>
          <w:b w:val="0"/>
          <w:caps w:val="0"/>
          <w:sz w:val="20"/>
        </w:rPr>
        <w:t xml:space="preserve">isplay of </w:t>
      </w:r>
      <w:r>
        <w:rPr>
          <w:rFonts w:ascii="Arial" w:hAnsi="Arial" w:cs="Arial"/>
          <w:b w:val="0"/>
          <w:caps w:val="0"/>
          <w:sz w:val="20"/>
        </w:rPr>
        <w:t>t</w:t>
      </w:r>
      <w:r w:rsidRPr="00D146D2">
        <w:rPr>
          <w:rFonts w:ascii="Arial" w:hAnsi="Arial" w:cs="Arial"/>
          <w:b w:val="0"/>
          <w:caps w:val="0"/>
          <w:sz w:val="20"/>
        </w:rPr>
        <w:t xml:space="preserve">otal </w:t>
      </w:r>
      <w:r>
        <w:rPr>
          <w:rFonts w:ascii="Arial" w:hAnsi="Arial" w:cs="Arial"/>
          <w:b w:val="0"/>
          <w:caps w:val="0"/>
          <w:sz w:val="20"/>
        </w:rPr>
        <w:t>p</w:t>
      </w:r>
      <w:r w:rsidRPr="00D146D2">
        <w:rPr>
          <w:rFonts w:ascii="Arial" w:hAnsi="Arial" w:cs="Arial"/>
          <w:b w:val="0"/>
          <w:caps w:val="0"/>
          <w:sz w:val="20"/>
        </w:rPr>
        <w:t xml:space="preserve">rioritization </w:t>
      </w:r>
      <w:r w:rsidR="00E43588">
        <w:rPr>
          <w:rFonts w:ascii="Arial" w:hAnsi="Arial" w:cs="Arial"/>
          <w:b w:val="0"/>
          <w:caps w:val="0"/>
          <w:sz w:val="20"/>
        </w:rPr>
        <w:t>s</w:t>
      </w:r>
      <w:r w:rsidRPr="00D146D2">
        <w:rPr>
          <w:rFonts w:ascii="Arial" w:hAnsi="Arial" w:cs="Arial"/>
          <w:b w:val="0"/>
          <w:caps w:val="0"/>
          <w:sz w:val="20"/>
        </w:rPr>
        <w:t xml:space="preserve">cores for </w:t>
      </w:r>
      <w:r w:rsidR="00E43588">
        <w:rPr>
          <w:rFonts w:ascii="Arial" w:hAnsi="Arial" w:cs="Arial"/>
          <w:b w:val="0"/>
          <w:caps w:val="0"/>
          <w:sz w:val="20"/>
        </w:rPr>
        <w:t>s</w:t>
      </w:r>
      <w:r w:rsidRPr="00D146D2">
        <w:rPr>
          <w:rFonts w:ascii="Arial" w:hAnsi="Arial" w:cs="Arial"/>
          <w:b w:val="0"/>
          <w:caps w:val="0"/>
          <w:sz w:val="20"/>
        </w:rPr>
        <w:t xml:space="preserve">ixteen </w:t>
      </w:r>
      <w:r w:rsidRPr="00D146D2">
        <w:rPr>
          <w:rFonts w:ascii="Arial" w:hAnsi="Arial" w:cs="Arial"/>
          <w:b w:val="0"/>
          <w:i/>
          <w:iCs/>
          <w:caps w:val="0"/>
          <w:sz w:val="20"/>
        </w:rPr>
        <w:t>P</w:t>
      </w:r>
      <w:r>
        <w:rPr>
          <w:rFonts w:ascii="Arial" w:hAnsi="Arial" w:cs="Arial"/>
          <w:b w:val="0"/>
          <w:i/>
          <w:iCs/>
          <w:caps w:val="0"/>
          <w:sz w:val="20"/>
        </w:rPr>
        <w:t>.</w:t>
      </w:r>
      <w:r w:rsidRPr="00D146D2">
        <w:rPr>
          <w:rFonts w:ascii="Arial" w:hAnsi="Arial" w:cs="Arial"/>
          <w:b w:val="0"/>
          <w:i/>
          <w:iCs/>
          <w:caps w:val="0"/>
          <w:sz w:val="20"/>
        </w:rPr>
        <w:t xml:space="preserve"> falciparum</w:t>
      </w:r>
      <w:r w:rsidRPr="00D146D2">
        <w:rPr>
          <w:rFonts w:ascii="Arial" w:hAnsi="Arial" w:cs="Arial"/>
          <w:b w:val="0"/>
          <w:caps w:val="0"/>
          <w:sz w:val="20"/>
        </w:rPr>
        <w:t xml:space="preserve"> Proteins Using a Multicriteria Scoring Approach</w:t>
      </w:r>
    </w:p>
    <w:p w14:paraId="752AD05A" w14:textId="77777777" w:rsidR="00D146D2" w:rsidRPr="00D146D2" w:rsidRDefault="00D146D2" w:rsidP="00441B6F">
      <w:pPr>
        <w:pStyle w:val="ConcHead"/>
        <w:spacing w:after="0"/>
        <w:jc w:val="both"/>
        <w:rPr>
          <w:rFonts w:ascii="Arial" w:hAnsi="Arial" w:cs="Arial"/>
          <w:b w:val="0"/>
          <w:caps w:val="0"/>
          <w:sz w:val="20"/>
        </w:rPr>
      </w:pPr>
    </w:p>
    <w:p w14:paraId="0E867779" w14:textId="77777777" w:rsidR="00703EF3" w:rsidRDefault="00703EF3" w:rsidP="00BE0AA9"/>
    <w:p w14:paraId="560DFF07" w14:textId="77777777" w:rsidR="00BE0AA9" w:rsidRPr="00D146D2" w:rsidRDefault="00BE0AA9" w:rsidP="00BE0AA9"/>
    <w:p w14:paraId="460289F3" w14:textId="2604503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72FF86" w14:textId="77777777" w:rsidR="00790ADA" w:rsidRPr="00FB3A86" w:rsidRDefault="00790ADA" w:rsidP="00441B6F">
      <w:pPr>
        <w:pStyle w:val="ConcHead"/>
        <w:spacing w:after="0"/>
        <w:jc w:val="both"/>
        <w:rPr>
          <w:rFonts w:ascii="Arial" w:hAnsi="Arial" w:cs="Arial"/>
        </w:rPr>
      </w:pPr>
    </w:p>
    <w:p w14:paraId="58C1A61F" w14:textId="5A1F488A" w:rsidR="00B01FCD" w:rsidRDefault="0083648A" w:rsidP="00692D4C">
      <w:pPr>
        <w:pStyle w:val="Body"/>
        <w:rPr>
          <w:rFonts w:ascii="Arial" w:hAnsi="Arial" w:cs="Arial"/>
        </w:rPr>
      </w:pPr>
      <w:r w:rsidRPr="0083648A">
        <w:rPr>
          <w:rFonts w:ascii="Arial" w:hAnsi="Arial" w:cs="Arial"/>
        </w:rPr>
        <w:t xml:space="preserve">In this study, we identified and prioritized sixteen validated therapeutic targets in </w:t>
      </w:r>
      <w:r w:rsidRPr="00303CC2">
        <w:rPr>
          <w:rFonts w:ascii="Arial" w:hAnsi="Arial" w:cs="Arial"/>
          <w:i/>
          <w:iCs/>
        </w:rPr>
        <w:t xml:space="preserve">Plasmodium falciparum </w:t>
      </w:r>
      <w:r w:rsidRPr="0083648A">
        <w:rPr>
          <w:rFonts w:ascii="Arial" w:hAnsi="Arial" w:cs="Arial"/>
        </w:rPr>
        <w:t xml:space="preserve">by integrating the WHO-approved TDR Targets database with </w:t>
      </w:r>
      <w:r w:rsidRPr="00AD2D8A">
        <w:rPr>
          <w:rFonts w:ascii="Arial" w:hAnsi="Arial" w:cs="Arial"/>
        </w:rPr>
        <w:t>custom</w:t>
      </w:r>
      <w:r w:rsidRPr="0083648A">
        <w:rPr>
          <w:rFonts w:ascii="Arial" w:hAnsi="Arial" w:cs="Arial"/>
        </w:rPr>
        <w:t xml:space="preserve"> scoring criteria and extensive literature validation. Our unified framework combined biological relevance, </w:t>
      </w:r>
      <w:proofErr w:type="spellStart"/>
      <w:r w:rsidRPr="0083648A">
        <w:rPr>
          <w:rFonts w:ascii="Arial" w:hAnsi="Arial" w:cs="Arial"/>
        </w:rPr>
        <w:t>druggability</w:t>
      </w:r>
      <w:proofErr w:type="spellEnd"/>
      <w:r w:rsidRPr="0083648A">
        <w:rPr>
          <w:rFonts w:ascii="Arial" w:hAnsi="Arial" w:cs="Arial"/>
        </w:rPr>
        <w:t>, structural characteristics, and host selectivity to generate a robust and biologically meaningful ranking of candidate proteins.</w:t>
      </w:r>
      <w:r>
        <w:rPr>
          <w:rFonts w:ascii="Arial" w:hAnsi="Arial" w:cs="Arial"/>
        </w:rPr>
        <w:t xml:space="preserve"> </w:t>
      </w:r>
      <w:r w:rsidRPr="0083648A">
        <w:rPr>
          <w:rFonts w:ascii="Arial" w:hAnsi="Arial" w:cs="Arial"/>
        </w:rPr>
        <w:t>Among these, five targets</w:t>
      </w:r>
      <w:r w:rsidR="007B6B9E">
        <w:rPr>
          <w:rFonts w:ascii="Arial" w:hAnsi="Arial" w:cs="Arial"/>
        </w:rPr>
        <w:t xml:space="preserve"> : </w:t>
      </w:r>
      <w:r w:rsidR="0065035B">
        <w:rPr>
          <w:rFonts w:ascii="Arial" w:hAnsi="Arial" w:cs="Arial"/>
        </w:rPr>
        <w:t>A</w:t>
      </w:r>
      <w:r w:rsidRPr="0083648A">
        <w:rPr>
          <w:rFonts w:ascii="Arial" w:hAnsi="Arial" w:cs="Arial"/>
        </w:rPr>
        <w:t xml:space="preserve">denylate kinase, </w:t>
      </w:r>
      <w:proofErr w:type="spellStart"/>
      <w:r w:rsidR="001B269B" w:rsidRPr="00E73893">
        <w:rPr>
          <w:rFonts w:ascii="Arial" w:hAnsi="Arial" w:cs="Arial"/>
          <w:i/>
          <w:iCs/>
        </w:rPr>
        <w:t>P.falciparum</w:t>
      </w:r>
      <w:proofErr w:type="spellEnd"/>
      <w:r w:rsidR="00AB32AC">
        <w:rPr>
          <w:rFonts w:ascii="Arial" w:hAnsi="Arial" w:cs="Arial"/>
        </w:rPr>
        <w:t xml:space="preserve"> Chloroquine Resistance Transporter (</w:t>
      </w:r>
      <w:proofErr w:type="spellStart"/>
      <w:r w:rsidRPr="00AD2D8A">
        <w:rPr>
          <w:rFonts w:ascii="Arial" w:hAnsi="Arial" w:cs="Arial"/>
          <w:i/>
          <w:iCs/>
        </w:rPr>
        <w:t>PfCRT</w:t>
      </w:r>
      <w:proofErr w:type="spellEnd"/>
      <w:r w:rsidR="00AB32AC">
        <w:rPr>
          <w:rFonts w:ascii="Arial" w:hAnsi="Arial" w:cs="Arial"/>
        </w:rPr>
        <w:t>)</w:t>
      </w:r>
      <w:r w:rsidRPr="0083648A">
        <w:rPr>
          <w:rFonts w:ascii="Arial" w:hAnsi="Arial" w:cs="Arial"/>
        </w:rPr>
        <w:t xml:space="preserve">, </w:t>
      </w:r>
      <w:proofErr w:type="spellStart"/>
      <w:r w:rsidR="00E73893">
        <w:rPr>
          <w:rFonts w:ascii="Arial" w:hAnsi="Arial" w:cs="Arial"/>
        </w:rPr>
        <w:t>A</w:t>
      </w:r>
      <w:r w:rsidRPr="0083648A">
        <w:rPr>
          <w:rFonts w:ascii="Arial" w:hAnsi="Arial" w:cs="Arial"/>
        </w:rPr>
        <w:t>denylo</w:t>
      </w:r>
      <w:r w:rsidR="00E73893">
        <w:rPr>
          <w:rFonts w:ascii="Arial" w:hAnsi="Arial" w:cs="Arial"/>
        </w:rPr>
        <w:t>S</w:t>
      </w:r>
      <w:r w:rsidRPr="0083648A">
        <w:rPr>
          <w:rFonts w:ascii="Arial" w:hAnsi="Arial" w:cs="Arial"/>
        </w:rPr>
        <w:t>uccinate</w:t>
      </w:r>
      <w:proofErr w:type="spellEnd"/>
      <w:r w:rsidRPr="0083648A">
        <w:rPr>
          <w:rFonts w:ascii="Arial" w:hAnsi="Arial" w:cs="Arial"/>
        </w:rPr>
        <w:t xml:space="preserve"> </w:t>
      </w:r>
      <w:r w:rsidR="00E73893">
        <w:rPr>
          <w:rFonts w:ascii="Arial" w:hAnsi="Arial" w:cs="Arial"/>
        </w:rPr>
        <w:t>L</w:t>
      </w:r>
      <w:r w:rsidRPr="0083648A">
        <w:rPr>
          <w:rFonts w:ascii="Arial" w:hAnsi="Arial" w:cs="Arial"/>
        </w:rPr>
        <w:t xml:space="preserve">yase (ADSL), </w:t>
      </w:r>
      <w:proofErr w:type="spellStart"/>
      <w:r w:rsidR="003059E5">
        <w:rPr>
          <w:rFonts w:ascii="Arial" w:hAnsi="Arial" w:cs="Arial"/>
        </w:rPr>
        <w:t>P</w:t>
      </w:r>
      <w:r w:rsidRPr="0083648A">
        <w:rPr>
          <w:rFonts w:ascii="Arial" w:hAnsi="Arial" w:cs="Arial"/>
        </w:rPr>
        <w:t>hosphatidyl</w:t>
      </w:r>
      <w:r w:rsidR="003059E5">
        <w:rPr>
          <w:rFonts w:ascii="Arial" w:hAnsi="Arial" w:cs="Arial"/>
        </w:rPr>
        <w:t>S</w:t>
      </w:r>
      <w:r w:rsidRPr="0083648A">
        <w:rPr>
          <w:rFonts w:ascii="Arial" w:hAnsi="Arial" w:cs="Arial"/>
        </w:rPr>
        <w:t>erine</w:t>
      </w:r>
      <w:proofErr w:type="spellEnd"/>
      <w:r w:rsidRPr="0083648A">
        <w:rPr>
          <w:rFonts w:ascii="Arial" w:hAnsi="Arial" w:cs="Arial"/>
        </w:rPr>
        <w:t xml:space="preserve"> </w:t>
      </w:r>
      <w:r w:rsidR="003059E5">
        <w:rPr>
          <w:rFonts w:ascii="Arial" w:hAnsi="Arial" w:cs="Arial"/>
        </w:rPr>
        <w:t>D</w:t>
      </w:r>
      <w:r w:rsidRPr="0083648A">
        <w:rPr>
          <w:rFonts w:ascii="Arial" w:hAnsi="Arial" w:cs="Arial"/>
        </w:rPr>
        <w:t xml:space="preserve">ecarboxylase (PSD), and </w:t>
      </w:r>
      <w:r w:rsidR="00580B64">
        <w:rPr>
          <w:rFonts w:ascii="Arial" w:hAnsi="Arial" w:cs="Arial"/>
        </w:rPr>
        <w:t>P</w:t>
      </w:r>
      <w:r w:rsidRPr="0083648A">
        <w:rPr>
          <w:rFonts w:ascii="Arial" w:hAnsi="Arial" w:cs="Arial"/>
        </w:rPr>
        <w:t xml:space="preserve">rotein </w:t>
      </w:r>
      <w:r w:rsidR="00580B64">
        <w:rPr>
          <w:rFonts w:ascii="Arial" w:hAnsi="Arial" w:cs="Arial"/>
        </w:rPr>
        <w:t>D</w:t>
      </w:r>
      <w:r w:rsidRPr="0083648A">
        <w:rPr>
          <w:rFonts w:ascii="Arial" w:hAnsi="Arial" w:cs="Arial"/>
        </w:rPr>
        <w:t xml:space="preserve">isulfide </w:t>
      </w:r>
      <w:r w:rsidR="00580B64">
        <w:rPr>
          <w:rFonts w:ascii="Arial" w:hAnsi="Arial" w:cs="Arial"/>
        </w:rPr>
        <w:t>I</w:t>
      </w:r>
      <w:r w:rsidRPr="0083648A">
        <w:rPr>
          <w:rFonts w:ascii="Arial" w:hAnsi="Arial" w:cs="Arial"/>
        </w:rPr>
        <w:t>somerase (PDI)</w:t>
      </w:r>
      <w:r w:rsidR="00580B64">
        <w:rPr>
          <w:rFonts w:ascii="Arial" w:hAnsi="Arial" w:cs="Arial"/>
        </w:rPr>
        <w:t xml:space="preserve"> </w:t>
      </w:r>
      <w:r w:rsidRPr="0083648A">
        <w:rPr>
          <w:rFonts w:ascii="Arial" w:hAnsi="Arial" w:cs="Arial"/>
        </w:rPr>
        <w:lastRenderedPageBreak/>
        <w:t xml:space="preserve">emerged as top priorities due to their essential roles in parasite survival, structural tractability, and significant divergence from human homologs, making them highly promising for selective drug </w:t>
      </w:r>
      <w:proofErr w:type="spellStart"/>
      <w:r w:rsidRPr="0083648A">
        <w:rPr>
          <w:rFonts w:ascii="Arial" w:hAnsi="Arial" w:cs="Arial"/>
        </w:rPr>
        <w:t>development.This</w:t>
      </w:r>
      <w:proofErr w:type="spellEnd"/>
      <w:r w:rsidRPr="0083648A">
        <w:rPr>
          <w:rFonts w:ascii="Arial" w:hAnsi="Arial" w:cs="Arial"/>
        </w:rPr>
        <w:t xml:space="preserve"> refined shortlist provides a strong foundation for structure-based drug discovery and experimental validation efforts aimed at advancing antimalarial therapies and overcoming the critical issue of drug resistance.</w:t>
      </w:r>
    </w:p>
    <w:p w14:paraId="180EE96D" w14:textId="77777777" w:rsidR="00790ADA" w:rsidRPr="00FB3A86" w:rsidRDefault="00790ADA" w:rsidP="00441B6F">
      <w:pPr>
        <w:pStyle w:val="Body"/>
        <w:spacing w:after="0"/>
        <w:rPr>
          <w:rFonts w:ascii="Arial" w:hAnsi="Arial" w:cs="Arial"/>
        </w:rPr>
      </w:pPr>
    </w:p>
    <w:p w14:paraId="69706DD2" w14:textId="77777777" w:rsidR="002124D3" w:rsidRDefault="002124D3" w:rsidP="00441B6F">
      <w:pPr>
        <w:pStyle w:val="ReferHead"/>
        <w:spacing w:after="0"/>
        <w:jc w:val="both"/>
        <w:rPr>
          <w:rFonts w:ascii="Arial" w:hAnsi="Arial" w:cs="Arial"/>
          <w:b w:val="0"/>
          <w:caps w:val="0"/>
          <w:sz w:val="20"/>
        </w:rPr>
      </w:pPr>
    </w:p>
    <w:p w14:paraId="246ECCB2" w14:textId="77777777" w:rsidR="002124D3" w:rsidRPr="002124D3" w:rsidRDefault="002124D3" w:rsidP="002124D3">
      <w:pPr>
        <w:pStyle w:val="ReferHead"/>
        <w:jc w:val="both"/>
        <w:rPr>
          <w:rFonts w:ascii="Arial" w:hAnsi="Arial" w:cs="Arial"/>
          <w:b w:val="0"/>
          <w:caps w:val="0"/>
          <w:sz w:val="20"/>
        </w:rPr>
      </w:pPr>
      <w:r w:rsidRPr="002124D3">
        <w:rPr>
          <w:rFonts w:ascii="Arial" w:hAnsi="Arial" w:cs="Arial"/>
          <w:b w:val="0"/>
          <w:caps w:val="0"/>
          <w:sz w:val="20"/>
        </w:rPr>
        <w:t>COMPETING INTERESTS DISCLAIMER:</w:t>
      </w:r>
    </w:p>
    <w:p w14:paraId="18F564CC" w14:textId="49AFA01B" w:rsidR="002124D3" w:rsidRDefault="002124D3" w:rsidP="002124D3">
      <w:pPr>
        <w:pStyle w:val="ReferHead"/>
        <w:spacing w:after="0"/>
        <w:jc w:val="both"/>
        <w:rPr>
          <w:rFonts w:ascii="Arial" w:hAnsi="Arial" w:cs="Arial"/>
          <w:b w:val="0"/>
          <w:caps w:val="0"/>
          <w:sz w:val="20"/>
        </w:rPr>
      </w:pPr>
      <w:r w:rsidRPr="002124D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4A1678" w14:textId="77777777" w:rsidR="002124D3" w:rsidRDefault="002124D3" w:rsidP="00441B6F">
      <w:pPr>
        <w:pStyle w:val="ReferHead"/>
        <w:spacing w:after="0"/>
        <w:jc w:val="both"/>
        <w:rPr>
          <w:rFonts w:ascii="Arial" w:hAnsi="Arial" w:cs="Arial"/>
          <w:b w:val="0"/>
          <w:caps w:val="0"/>
          <w:sz w:val="20"/>
        </w:rPr>
      </w:pPr>
    </w:p>
    <w:p w14:paraId="54B00909" w14:textId="77777777" w:rsidR="002124D3" w:rsidRDefault="002124D3" w:rsidP="00441B6F">
      <w:pPr>
        <w:pStyle w:val="ReferHead"/>
        <w:spacing w:after="0"/>
        <w:jc w:val="both"/>
        <w:rPr>
          <w:rFonts w:ascii="Arial" w:hAnsi="Arial" w:cs="Arial"/>
          <w:b w:val="0"/>
          <w:caps w:val="0"/>
          <w:sz w:val="20"/>
        </w:rPr>
      </w:pPr>
    </w:p>
    <w:p w14:paraId="7F738844" w14:textId="77777777" w:rsidR="002124D3" w:rsidRDefault="002124D3" w:rsidP="00441B6F">
      <w:pPr>
        <w:pStyle w:val="ReferHead"/>
        <w:spacing w:after="0"/>
        <w:jc w:val="both"/>
        <w:rPr>
          <w:rFonts w:ascii="Arial" w:hAnsi="Arial" w:cs="Arial"/>
          <w:b w:val="0"/>
          <w:caps w:val="0"/>
          <w:sz w:val="20"/>
        </w:rPr>
      </w:pPr>
    </w:p>
    <w:p w14:paraId="69B4174E" w14:textId="77777777" w:rsidR="002124D3" w:rsidRDefault="002124D3" w:rsidP="00441B6F">
      <w:pPr>
        <w:pStyle w:val="ReferHead"/>
        <w:spacing w:after="0"/>
        <w:jc w:val="both"/>
        <w:rPr>
          <w:rFonts w:ascii="Arial" w:hAnsi="Arial" w:cs="Arial"/>
          <w:b w:val="0"/>
          <w:caps w:val="0"/>
          <w:sz w:val="20"/>
        </w:rPr>
      </w:pPr>
    </w:p>
    <w:p w14:paraId="45AF8EE0" w14:textId="77777777" w:rsidR="002124D3" w:rsidRPr="00B33931" w:rsidRDefault="002124D3" w:rsidP="00441B6F">
      <w:pPr>
        <w:pStyle w:val="ReferHead"/>
        <w:spacing w:after="0"/>
        <w:jc w:val="both"/>
        <w:rPr>
          <w:rFonts w:ascii="Arial" w:hAnsi="Arial" w:cs="Arial"/>
          <w:b w:val="0"/>
          <w:caps w:val="0"/>
          <w:sz w:val="20"/>
        </w:rPr>
      </w:pPr>
    </w:p>
    <w:p w14:paraId="7A7DC5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02958F" w14:textId="77777777" w:rsidR="002124D3" w:rsidRDefault="002124D3" w:rsidP="00441B6F">
      <w:pPr>
        <w:pStyle w:val="ReferHead"/>
        <w:spacing w:after="0"/>
        <w:jc w:val="both"/>
        <w:rPr>
          <w:rFonts w:ascii="Arial" w:hAnsi="Arial" w:cs="Arial"/>
        </w:rPr>
      </w:pPr>
    </w:p>
    <w:p w14:paraId="78182E86" w14:textId="77777777" w:rsidR="00794CD9" w:rsidRPr="00794CD9" w:rsidRDefault="00794CD9" w:rsidP="00216808">
      <w:pPr>
        <w:pStyle w:val="Bibliography"/>
        <w:jc w:val="both"/>
        <w:rPr>
          <w:rFonts w:ascii="Arial" w:hAnsi="Arial" w:cs="Arial"/>
          <w:sz w:val="22"/>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794CD9">
        <w:rPr>
          <w:rFonts w:ascii="Arial" w:hAnsi="Arial" w:cs="Arial"/>
          <w:sz w:val="22"/>
        </w:rPr>
        <w:t xml:space="preserve">Alanzi, A. R., Alanazi, A. Z., Alhazzani, K., &amp; Abbas, M. (2025). Subtractive proteomics and molecular docking identify therapeutic targets and drug candidates in drug resistant Klebsiella Michiganensis THO-011. </w:t>
      </w:r>
      <w:r w:rsidRPr="00794CD9">
        <w:rPr>
          <w:rFonts w:ascii="Arial" w:hAnsi="Arial" w:cs="Arial"/>
          <w:i/>
          <w:iCs/>
          <w:sz w:val="22"/>
        </w:rPr>
        <w:t>Scientific Reports</w:t>
      </w:r>
      <w:r w:rsidRPr="00794CD9">
        <w:rPr>
          <w:rFonts w:ascii="Arial" w:hAnsi="Arial" w:cs="Arial"/>
          <w:sz w:val="22"/>
        </w:rPr>
        <w:t xml:space="preserve">, </w:t>
      </w:r>
      <w:r w:rsidRPr="00794CD9">
        <w:rPr>
          <w:rFonts w:ascii="Arial" w:hAnsi="Arial" w:cs="Arial"/>
          <w:i/>
          <w:iCs/>
          <w:sz w:val="22"/>
        </w:rPr>
        <w:t>15</w:t>
      </w:r>
      <w:r w:rsidRPr="00794CD9">
        <w:rPr>
          <w:rFonts w:ascii="Arial" w:hAnsi="Arial" w:cs="Arial"/>
          <w:sz w:val="22"/>
        </w:rPr>
        <w:t>, 23776. https://doi.org/10.1038/s41598-025-08107-x</w:t>
      </w:r>
    </w:p>
    <w:p w14:paraId="52BDC111"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Ali, F., Wali, H., Jan, S., Zia, A., Aslam, M., Ahmad, I., Afridi, S. G., Shams, S., &amp; Khan, A. (2021). Analysing the essential proteins set of Plasmodium falciparum PF3D7 for novel drug targets identification against malaria. </w:t>
      </w:r>
      <w:r w:rsidRPr="00794CD9">
        <w:rPr>
          <w:rFonts w:ascii="Arial" w:hAnsi="Arial" w:cs="Arial"/>
          <w:i/>
          <w:iCs/>
          <w:sz w:val="22"/>
        </w:rPr>
        <w:t>Malaria Journal</w:t>
      </w:r>
      <w:r w:rsidRPr="00794CD9">
        <w:rPr>
          <w:rFonts w:ascii="Arial" w:hAnsi="Arial" w:cs="Arial"/>
          <w:sz w:val="22"/>
        </w:rPr>
        <w:t xml:space="preserve">, </w:t>
      </w:r>
      <w:r w:rsidRPr="00794CD9">
        <w:rPr>
          <w:rFonts w:ascii="Arial" w:hAnsi="Arial" w:cs="Arial"/>
          <w:i/>
          <w:iCs/>
          <w:sz w:val="22"/>
        </w:rPr>
        <w:t>20</w:t>
      </w:r>
      <w:r w:rsidRPr="00794CD9">
        <w:rPr>
          <w:rFonts w:ascii="Arial" w:hAnsi="Arial" w:cs="Arial"/>
          <w:sz w:val="22"/>
        </w:rPr>
        <w:t>(1), 335. https://doi.org/10.1186/s12936-021-03865-1</w:t>
      </w:r>
    </w:p>
    <w:p w14:paraId="54A482B7"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Ashkenazy, H., Abadi, S., Martz, E., Chay, O., Mayrose, I., Pupko, T., &amp; Ben-Tal, N. (2016). ConSurf 2016: An improved methodology to estimate and visualize evolutionary conservation in macromolecules.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44</w:t>
      </w:r>
      <w:r w:rsidRPr="00794CD9">
        <w:rPr>
          <w:rFonts w:ascii="Arial" w:hAnsi="Arial" w:cs="Arial"/>
          <w:sz w:val="22"/>
        </w:rPr>
        <w:t>(Web Server issue), W344–W350. https://doi.org/10.1093/nar/gkw408</w:t>
      </w:r>
    </w:p>
    <w:p w14:paraId="463782A4"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Ashley, E. A., Dhorda, M., Fairhurst, R. M., Amaratunga, C., Lim, P., Suon, S., Sreng, S., Anderson, J. M., Mao, S., Sam, B., Sopha, C., Chuor, C. M., Nguon, C., Sovannaroth, S., Pukrittayakamee, S., Jittamala, P., Chotivanich, K., Chutasmit, K., Suchatsoonthorn, C., … White, N. J. (2014). Spread of Artemisinin Resistance in Plasmodium falciparum Malaria. </w:t>
      </w:r>
      <w:r w:rsidRPr="00794CD9">
        <w:rPr>
          <w:rFonts w:ascii="Arial" w:hAnsi="Arial" w:cs="Arial"/>
          <w:i/>
          <w:iCs/>
          <w:sz w:val="22"/>
        </w:rPr>
        <w:t>New England Journal of Medicine</w:t>
      </w:r>
      <w:r w:rsidRPr="00794CD9">
        <w:rPr>
          <w:rFonts w:ascii="Arial" w:hAnsi="Arial" w:cs="Arial"/>
          <w:sz w:val="22"/>
        </w:rPr>
        <w:t xml:space="preserve">, </w:t>
      </w:r>
      <w:r w:rsidRPr="00794CD9">
        <w:rPr>
          <w:rFonts w:ascii="Arial" w:hAnsi="Arial" w:cs="Arial"/>
          <w:i/>
          <w:iCs/>
          <w:sz w:val="22"/>
        </w:rPr>
        <w:t>371</w:t>
      </w:r>
      <w:r w:rsidRPr="00794CD9">
        <w:rPr>
          <w:rFonts w:ascii="Arial" w:hAnsi="Arial" w:cs="Arial"/>
          <w:sz w:val="22"/>
        </w:rPr>
        <w:t>(5), 411–423. https://doi.org/10.1056/NEJMoa1314981</w:t>
      </w:r>
    </w:p>
    <w:p w14:paraId="5A9BB773"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Beaudoin, C. A., Norget, S., Omran, Z., Hala, S., Daqeeq, A. H., Burnet, P. W. J., Blundell, T. L., &amp; van Tonder, A. J. (2025). Similarity of drug targets to human microbiome metaproteome promotes pharmacological promiscuity. </w:t>
      </w:r>
      <w:r w:rsidRPr="00794CD9">
        <w:rPr>
          <w:rFonts w:ascii="Arial" w:hAnsi="Arial" w:cs="Arial"/>
          <w:i/>
          <w:iCs/>
          <w:sz w:val="22"/>
        </w:rPr>
        <w:t>The Pharmacogenomics Journal</w:t>
      </w:r>
      <w:r w:rsidRPr="00794CD9">
        <w:rPr>
          <w:rFonts w:ascii="Arial" w:hAnsi="Arial" w:cs="Arial"/>
          <w:sz w:val="22"/>
        </w:rPr>
        <w:t xml:space="preserve">, </w:t>
      </w:r>
      <w:r w:rsidRPr="00794CD9">
        <w:rPr>
          <w:rFonts w:ascii="Arial" w:hAnsi="Arial" w:cs="Arial"/>
          <w:i/>
          <w:iCs/>
          <w:sz w:val="22"/>
        </w:rPr>
        <w:t>25</w:t>
      </w:r>
      <w:r w:rsidRPr="00794CD9">
        <w:rPr>
          <w:rFonts w:ascii="Arial" w:hAnsi="Arial" w:cs="Arial"/>
          <w:sz w:val="22"/>
        </w:rPr>
        <w:t>(3), 9. https://doi.org/10.1038/s41397-025-00367-0</w:t>
      </w:r>
    </w:p>
    <w:p w14:paraId="22D9A9DF"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Bhasin, M., &amp; Raghava, G. P. S. (2004). ESLpred: SVM-based method for subcellular localization of eukaryotic proteins using dipeptide composition and PSI-BLAST.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32</w:t>
      </w:r>
      <w:r w:rsidRPr="00794CD9">
        <w:rPr>
          <w:rFonts w:ascii="Arial" w:hAnsi="Arial" w:cs="Arial"/>
          <w:sz w:val="22"/>
        </w:rPr>
        <w:t>(Web Server issue), W414–W419. https://doi.org/10.1093/nar/gkh350</w:t>
      </w:r>
    </w:p>
    <w:p w14:paraId="1356837E"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Brhane, B. G., Fola, A. A., Nigussie, H., Leonetti, A., Kassa, M., Hailgiorgis, H., Wuletaw, Y., Abera, A., Mohammed, H., Sime, H., G/Tsadik, A., Assefa, G., Solomon, H., Tasew, G., Tollera, G., Hailu, M., Juliano, J. J., Assefa, A., Parr, J. B., &amp; Bailey, J. A. (2025). Rising prevalence of Plasmodium falciparum Artemisinin partial resistance </w:t>
      </w:r>
      <w:r w:rsidRPr="00794CD9">
        <w:rPr>
          <w:rFonts w:ascii="Arial" w:hAnsi="Arial" w:cs="Arial"/>
          <w:sz w:val="22"/>
        </w:rPr>
        <w:lastRenderedPageBreak/>
        <w:t xml:space="preserve">mutations in Ethiopia. </w:t>
      </w:r>
      <w:r w:rsidRPr="00794CD9">
        <w:rPr>
          <w:rFonts w:ascii="Arial" w:hAnsi="Arial" w:cs="Arial"/>
          <w:i/>
          <w:iCs/>
          <w:sz w:val="22"/>
        </w:rPr>
        <w:t>Communications Medicine</w:t>
      </w:r>
      <w:r w:rsidRPr="00794CD9">
        <w:rPr>
          <w:rFonts w:ascii="Arial" w:hAnsi="Arial" w:cs="Arial"/>
          <w:sz w:val="22"/>
        </w:rPr>
        <w:t xml:space="preserve">, </w:t>
      </w:r>
      <w:r w:rsidRPr="00794CD9">
        <w:rPr>
          <w:rFonts w:ascii="Arial" w:hAnsi="Arial" w:cs="Arial"/>
          <w:i/>
          <w:iCs/>
          <w:sz w:val="22"/>
        </w:rPr>
        <w:t>5</w:t>
      </w:r>
      <w:r w:rsidRPr="00794CD9">
        <w:rPr>
          <w:rFonts w:ascii="Arial" w:hAnsi="Arial" w:cs="Arial"/>
          <w:sz w:val="22"/>
        </w:rPr>
        <w:t>(1), 297. https://doi.org/10.1038/s43856-025-01008-0</w:t>
      </w:r>
    </w:p>
    <w:p w14:paraId="78FF2414"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Cagiada, M., Bottaro, S., Lindemose, S., Schenstrøm, S. M., Stein, A., Hartmann-Petersen, R., &amp; Lindorff-Larsen, K. (2023). Discovering functionally important sites in proteins. </w:t>
      </w:r>
      <w:r w:rsidRPr="00794CD9">
        <w:rPr>
          <w:rFonts w:ascii="Arial" w:hAnsi="Arial" w:cs="Arial"/>
          <w:i/>
          <w:iCs/>
          <w:sz w:val="22"/>
        </w:rPr>
        <w:t>Nature Communications</w:t>
      </w:r>
      <w:r w:rsidRPr="00794CD9">
        <w:rPr>
          <w:rFonts w:ascii="Arial" w:hAnsi="Arial" w:cs="Arial"/>
          <w:sz w:val="22"/>
        </w:rPr>
        <w:t xml:space="preserve">, </w:t>
      </w:r>
      <w:r w:rsidRPr="00794CD9">
        <w:rPr>
          <w:rFonts w:ascii="Arial" w:hAnsi="Arial" w:cs="Arial"/>
          <w:i/>
          <w:iCs/>
          <w:sz w:val="22"/>
        </w:rPr>
        <w:t>14</w:t>
      </w:r>
      <w:r w:rsidRPr="00794CD9">
        <w:rPr>
          <w:rFonts w:ascii="Arial" w:hAnsi="Arial" w:cs="Arial"/>
          <w:sz w:val="22"/>
        </w:rPr>
        <w:t>(1), 4175. https://doi.org/10.1038/s41467-023-39909-0</w:t>
      </w:r>
    </w:p>
    <w:p w14:paraId="6F181304"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Cobb, D. W., Kudyba, H. M., Villegas, A., Hoopmann, M. R., Baptista, R. P., Bruton, B., Krakowiak, M., Moritz, R. L., &amp; Muralidharan, V. (2021). A redox-active crosslinker reveals an essential and inhibitable oxidative folding network in the endoplasmic reticulum of malaria parasites. </w:t>
      </w:r>
      <w:r w:rsidRPr="00794CD9">
        <w:rPr>
          <w:rFonts w:ascii="Arial" w:hAnsi="Arial" w:cs="Arial"/>
          <w:i/>
          <w:iCs/>
          <w:sz w:val="22"/>
        </w:rPr>
        <w:t>PLOS Pathogens</w:t>
      </w:r>
      <w:r w:rsidRPr="00794CD9">
        <w:rPr>
          <w:rFonts w:ascii="Arial" w:hAnsi="Arial" w:cs="Arial"/>
          <w:sz w:val="22"/>
        </w:rPr>
        <w:t xml:space="preserve">, </w:t>
      </w:r>
      <w:r w:rsidRPr="00794CD9">
        <w:rPr>
          <w:rFonts w:ascii="Arial" w:hAnsi="Arial" w:cs="Arial"/>
          <w:i/>
          <w:iCs/>
          <w:sz w:val="22"/>
        </w:rPr>
        <w:t>17</w:t>
      </w:r>
      <w:r w:rsidRPr="00794CD9">
        <w:rPr>
          <w:rFonts w:ascii="Arial" w:hAnsi="Arial" w:cs="Arial"/>
          <w:sz w:val="22"/>
        </w:rPr>
        <w:t>(2), e1009293. https://doi.org/10.1371/journal.ppat.1009293</w:t>
      </w:r>
    </w:p>
    <w:p w14:paraId="099E751F"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Crowther, G. J., Shanmugam, D., Carmona, S. J., Doyle, M. A., Hertz-Fowler, C., Berriman, M., Nwaka, S., Ralph, S. A., Roos, D. S., Van Voorhis, W. C., &amp; Agüero, F. (2010). Identification of Attractive Drug Targets in Neglected-Disease Pathogens Using an In Silico Approach. </w:t>
      </w:r>
      <w:r w:rsidRPr="00794CD9">
        <w:rPr>
          <w:rFonts w:ascii="Arial" w:hAnsi="Arial" w:cs="Arial"/>
          <w:i/>
          <w:iCs/>
          <w:sz w:val="22"/>
        </w:rPr>
        <w:t>PLoS Neglected Tropical Diseases</w:t>
      </w:r>
      <w:r w:rsidRPr="00794CD9">
        <w:rPr>
          <w:rFonts w:ascii="Arial" w:hAnsi="Arial" w:cs="Arial"/>
          <w:sz w:val="22"/>
        </w:rPr>
        <w:t xml:space="preserve">, </w:t>
      </w:r>
      <w:r w:rsidRPr="00794CD9">
        <w:rPr>
          <w:rFonts w:ascii="Arial" w:hAnsi="Arial" w:cs="Arial"/>
          <w:i/>
          <w:iCs/>
          <w:sz w:val="22"/>
        </w:rPr>
        <w:t>4</w:t>
      </w:r>
      <w:r w:rsidRPr="00794CD9">
        <w:rPr>
          <w:rFonts w:ascii="Arial" w:hAnsi="Arial" w:cs="Arial"/>
          <w:sz w:val="22"/>
        </w:rPr>
        <w:t>(8), e804. https://doi.org/10.1371/journal.pntd.0000804</w:t>
      </w:r>
    </w:p>
    <w:p w14:paraId="1EFFD2B2" w14:textId="77777777" w:rsidR="00794CD9" w:rsidRPr="00794CD9" w:rsidRDefault="00794CD9" w:rsidP="00216808">
      <w:pPr>
        <w:pStyle w:val="Bibliography"/>
        <w:jc w:val="both"/>
        <w:rPr>
          <w:rFonts w:ascii="Arial" w:hAnsi="Arial" w:cs="Arial"/>
          <w:sz w:val="22"/>
        </w:rPr>
      </w:pPr>
      <w:r w:rsidRPr="00435077">
        <w:rPr>
          <w:rFonts w:ascii="Arial" w:hAnsi="Arial" w:cs="Arial"/>
          <w:sz w:val="22"/>
          <w:lang w:val="fr-FR"/>
        </w:rPr>
        <w:t xml:space="preserve">De Vita, S., Chini, M. G., Bifulco, G., &amp; Lauro, G. (2023). </w:t>
      </w:r>
      <w:r w:rsidRPr="00794CD9">
        <w:rPr>
          <w:rFonts w:ascii="Arial" w:hAnsi="Arial" w:cs="Arial"/>
          <w:sz w:val="22"/>
        </w:rPr>
        <w:t xml:space="preserve">Target identification by structure-based computational approaches: Recent advances and perspectives. </w:t>
      </w:r>
      <w:r w:rsidRPr="00794CD9">
        <w:rPr>
          <w:rFonts w:ascii="Arial" w:hAnsi="Arial" w:cs="Arial"/>
          <w:i/>
          <w:iCs/>
          <w:sz w:val="22"/>
        </w:rPr>
        <w:t>Bioorganic &amp; Medicinal Chemistry Letters</w:t>
      </w:r>
      <w:r w:rsidRPr="00794CD9">
        <w:rPr>
          <w:rFonts w:ascii="Arial" w:hAnsi="Arial" w:cs="Arial"/>
          <w:sz w:val="22"/>
        </w:rPr>
        <w:t xml:space="preserve">, </w:t>
      </w:r>
      <w:r w:rsidRPr="00794CD9">
        <w:rPr>
          <w:rFonts w:ascii="Arial" w:hAnsi="Arial" w:cs="Arial"/>
          <w:i/>
          <w:iCs/>
          <w:sz w:val="22"/>
        </w:rPr>
        <w:t>83</w:t>
      </w:r>
      <w:r w:rsidRPr="00794CD9">
        <w:rPr>
          <w:rFonts w:ascii="Arial" w:hAnsi="Arial" w:cs="Arial"/>
          <w:sz w:val="22"/>
        </w:rPr>
        <w:t>, 129171. https://doi.org/10.1016/j.bmcl.2023.129171</w:t>
      </w:r>
    </w:p>
    <w:p w14:paraId="5742C57D"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Doyle, M. A., Gasser, R. B., Woodcroft, B. J., Hall, R. S., &amp; Ralph, S. A. (2010). Drug target prediction and prioritization: Using orthology to predict essentiality in parasite genomes. </w:t>
      </w:r>
      <w:r w:rsidRPr="00794CD9">
        <w:rPr>
          <w:rFonts w:ascii="Arial" w:hAnsi="Arial" w:cs="Arial"/>
          <w:i/>
          <w:iCs/>
          <w:sz w:val="22"/>
        </w:rPr>
        <w:t>BMC Genomics</w:t>
      </w:r>
      <w:r w:rsidRPr="00794CD9">
        <w:rPr>
          <w:rFonts w:ascii="Arial" w:hAnsi="Arial" w:cs="Arial"/>
          <w:sz w:val="22"/>
        </w:rPr>
        <w:t xml:space="preserve">, </w:t>
      </w:r>
      <w:r w:rsidRPr="00794CD9">
        <w:rPr>
          <w:rFonts w:ascii="Arial" w:hAnsi="Arial" w:cs="Arial"/>
          <w:i/>
          <w:iCs/>
          <w:sz w:val="22"/>
        </w:rPr>
        <w:t>11</w:t>
      </w:r>
      <w:r w:rsidRPr="00794CD9">
        <w:rPr>
          <w:rFonts w:ascii="Arial" w:hAnsi="Arial" w:cs="Arial"/>
          <w:sz w:val="22"/>
        </w:rPr>
        <w:t>(1), 222. https://doi.org/10.1186/1471-2164-11-222</w:t>
      </w:r>
    </w:p>
    <w:p w14:paraId="379F298C"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Fauman, E. B., Rai, B. K., &amp; Huang, E. S. (2011). Structure-based druggability assessment—Identifying suitable targets for small molecule therapeutics. </w:t>
      </w:r>
      <w:r w:rsidRPr="00794CD9">
        <w:rPr>
          <w:rFonts w:ascii="Arial" w:hAnsi="Arial" w:cs="Arial"/>
          <w:i/>
          <w:iCs/>
          <w:sz w:val="22"/>
        </w:rPr>
        <w:t>Current Opinion in Chemical Biology</w:t>
      </w:r>
      <w:r w:rsidRPr="00794CD9">
        <w:rPr>
          <w:rFonts w:ascii="Arial" w:hAnsi="Arial" w:cs="Arial"/>
          <w:sz w:val="22"/>
        </w:rPr>
        <w:t xml:space="preserve">, </w:t>
      </w:r>
      <w:r w:rsidRPr="00794CD9">
        <w:rPr>
          <w:rFonts w:ascii="Arial" w:hAnsi="Arial" w:cs="Arial"/>
          <w:i/>
          <w:iCs/>
          <w:sz w:val="22"/>
        </w:rPr>
        <w:t>15</w:t>
      </w:r>
      <w:r w:rsidRPr="00794CD9">
        <w:rPr>
          <w:rFonts w:ascii="Arial" w:hAnsi="Arial" w:cs="Arial"/>
          <w:sz w:val="22"/>
        </w:rPr>
        <w:t>(4), 463–468. https://doi.org/10.1016/j.cbpa.2011.05.020</w:t>
      </w:r>
    </w:p>
    <w:p w14:paraId="7009B13B"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Garg, V. K., Avashthi, H., Tiwari, A., Jain, P. A., Ramkete, P. W., Kayastha, A. M., &amp; Singh, V. K. (2016). MFPPI – Multi FASTA ProtParam Interface. </w:t>
      </w:r>
      <w:r w:rsidRPr="00794CD9">
        <w:rPr>
          <w:rFonts w:ascii="Arial" w:hAnsi="Arial" w:cs="Arial"/>
          <w:i/>
          <w:iCs/>
          <w:sz w:val="22"/>
        </w:rPr>
        <w:t>Bioinformation</w:t>
      </w:r>
      <w:r w:rsidRPr="00794CD9">
        <w:rPr>
          <w:rFonts w:ascii="Arial" w:hAnsi="Arial" w:cs="Arial"/>
          <w:sz w:val="22"/>
        </w:rPr>
        <w:t xml:space="preserve">, </w:t>
      </w:r>
      <w:r w:rsidRPr="00794CD9">
        <w:rPr>
          <w:rFonts w:ascii="Arial" w:hAnsi="Arial" w:cs="Arial"/>
          <w:i/>
          <w:iCs/>
          <w:sz w:val="22"/>
        </w:rPr>
        <w:t>12</w:t>
      </w:r>
      <w:r w:rsidRPr="00794CD9">
        <w:rPr>
          <w:rFonts w:ascii="Arial" w:hAnsi="Arial" w:cs="Arial"/>
          <w:sz w:val="22"/>
        </w:rPr>
        <w:t>(2), 74–77. https://doi.org/10.6026/97320630012074</w:t>
      </w:r>
    </w:p>
    <w:p w14:paraId="3EE10850"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Hendricson, A., Umlauf, S., Choi, J.-Y., Thekkiniath, J., Surovtseva, Y. V., Fuller, K. K., Reynolds, T. B., Voelker, D. R., &amp; Mamoun, C. B. (2019). High-throughput screening for phosphatidylserine decarboxylase inhibitors using a distyrylbenzene-bis-aldehyde (DSB-3)-based fluorescence assay. </w:t>
      </w:r>
      <w:r w:rsidRPr="00794CD9">
        <w:rPr>
          <w:rFonts w:ascii="Arial" w:hAnsi="Arial" w:cs="Arial"/>
          <w:i/>
          <w:iCs/>
          <w:sz w:val="22"/>
        </w:rPr>
        <w:t>Journal of Biological Chemistry</w:t>
      </w:r>
      <w:r w:rsidRPr="00794CD9">
        <w:rPr>
          <w:rFonts w:ascii="Arial" w:hAnsi="Arial" w:cs="Arial"/>
          <w:sz w:val="22"/>
        </w:rPr>
        <w:t xml:space="preserve">, </w:t>
      </w:r>
      <w:r w:rsidRPr="00794CD9">
        <w:rPr>
          <w:rFonts w:ascii="Arial" w:hAnsi="Arial" w:cs="Arial"/>
          <w:i/>
          <w:iCs/>
          <w:sz w:val="22"/>
        </w:rPr>
        <w:t>294</w:t>
      </w:r>
      <w:r w:rsidRPr="00794CD9">
        <w:rPr>
          <w:rFonts w:ascii="Arial" w:hAnsi="Arial" w:cs="Arial"/>
          <w:sz w:val="22"/>
        </w:rPr>
        <w:t>(32), 12146–12156. https://doi.org/10.1074/jbc.RA119.007766</w:t>
      </w:r>
    </w:p>
    <w:p w14:paraId="5A08C3D8"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Hernández-Plaza, A., Szklarczyk, D., Botas, J., Cantalapiedra, C. P., Giner-Lamia, J., Mende, D. R., Kirsch, R., Rattei, T., Letunic, I., Jensen, L. J., Bork, P., von Mering, C., &amp; Huerta-Cepas, J. (2023). eggNOG 6.0: Enabling comparative genomics across 12 535 organisms.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51</w:t>
      </w:r>
      <w:r w:rsidRPr="00794CD9">
        <w:rPr>
          <w:rFonts w:ascii="Arial" w:hAnsi="Arial" w:cs="Arial"/>
          <w:sz w:val="22"/>
        </w:rPr>
        <w:t>(D1), D389–D394. https://doi.org/10.1093/nar/gkac1022</w:t>
      </w:r>
    </w:p>
    <w:p w14:paraId="1D4E2D0F"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Kanehisa, M., Furumichi, M., Sato, Y., Kawashima, M., &amp; Ishiguro-Watanabe, M. (2022). KEGG for taxonomy-based analysis of pathways and genomes.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51</w:t>
      </w:r>
      <w:r w:rsidRPr="00794CD9">
        <w:rPr>
          <w:rFonts w:ascii="Arial" w:hAnsi="Arial" w:cs="Arial"/>
          <w:sz w:val="22"/>
        </w:rPr>
        <w:t>(D1), D587–D592. https://doi.org/10.1093/nar/gkac963</w:t>
      </w:r>
    </w:p>
    <w:p w14:paraId="5B234807"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Kriventseva, E. V., Kuznetsov, D., Tegenfeldt, F., Manni, M., Dias, R., Simão, F. A., &amp; Zdobnov, E. M. (2019). OrthoDB v10: Sampling the diversity of animal, plant, fungal, protist, bacterial and viral genomes for evolutionary and functional annotations of orthologs.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47</w:t>
      </w:r>
      <w:r w:rsidRPr="00794CD9">
        <w:rPr>
          <w:rFonts w:ascii="Arial" w:hAnsi="Arial" w:cs="Arial"/>
          <w:sz w:val="22"/>
        </w:rPr>
        <w:t>(D1), D807–D811. https://doi.org/10.1093/nar/gky1053</w:t>
      </w:r>
    </w:p>
    <w:p w14:paraId="738F1B7E"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lastRenderedPageBreak/>
        <w:t xml:space="preserve">Krogh, A., Larsson, B., von Heijne, G., &amp; Sonnhammer, E. L. L. (2001). </w:t>
      </w:r>
      <w:r w:rsidRPr="00435077">
        <w:rPr>
          <w:rFonts w:ascii="Arial" w:hAnsi="Arial" w:cs="Arial"/>
          <w:sz w:val="22"/>
          <w:lang w:val="fr-FR"/>
        </w:rPr>
        <w:t xml:space="preserve">Prédiction de la topologie des protéines transmembranaires avec un modèle de Markov caché: Application aux génomes complets 1. </w:t>
      </w:r>
      <w:r w:rsidRPr="00794CD9">
        <w:rPr>
          <w:rFonts w:ascii="Arial" w:hAnsi="Arial" w:cs="Arial"/>
          <w:i/>
          <w:iCs/>
          <w:sz w:val="22"/>
        </w:rPr>
        <w:t>Journal of Molecular Biology</w:t>
      </w:r>
      <w:r w:rsidRPr="00794CD9">
        <w:rPr>
          <w:rFonts w:ascii="Arial" w:hAnsi="Arial" w:cs="Arial"/>
          <w:sz w:val="22"/>
        </w:rPr>
        <w:t xml:space="preserve">, </w:t>
      </w:r>
      <w:r w:rsidRPr="00794CD9">
        <w:rPr>
          <w:rFonts w:ascii="Arial" w:hAnsi="Arial" w:cs="Arial"/>
          <w:i/>
          <w:iCs/>
          <w:sz w:val="22"/>
        </w:rPr>
        <w:t>305</w:t>
      </w:r>
      <w:r w:rsidRPr="00794CD9">
        <w:rPr>
          <w:rFonts w:ascii="Arial" w:hAnsi="Arial" w:cs="Arial"/>
          <w:sz w:val="22"/>
        </w:rPr>
        <w:t>(3), 567–580. https://doi.org/10.1006/jmbi.2000.4315</w:t>
      </w:r>
    </w:p>
    <w:p w14:paraId="541EA0A4"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Kwan, T. O. C., Kolek, S. A., Danson, A. E., Reis, R. I., Camacho, I. S., Shaw Stewart, P. D., &amp; Moraes, I. (2022). Measuring Protein Aggregation and Stability Using High-Throughput Biophysical Approaches. </w:t>
      </w:r>
      <w:r w:rsidRPr="00794CD9">
        <w:rPr>
          <w:rFonts w:ascii="Arial" w:hAnsi="Arial" w:cs="Arial"/>
          <w:i/>
          <w:iCs/>
          <w:sz w:val="22"/>
        </w:rPr>
        <w:t>Frontiers in Molecular Biosciences</w:t>
      </w:r>
      <w:r w:rsidRPr="00794CD9">
        <w:rPr>
          <w:rFonts w:ascii="Arial" w:hAnsi="Arial" w:cs="Arial"/>
          <w:sz w:val="22"/>
        </w:rPr>
        <w:t xml:space="preserve">, </w:t>
      </w:r>
      <w:r w:rsidRPr="00794CD9">
        <w:rPr>
          <w:rFonts w:ascii="Arial" w:hAnsi="Arial" w:cs="Arial"/>
          <w:i/>
          <w:iCs/>
          <w:sz w:val="22"/>
        </w:rPr>
        <w:t>9</w:t>
      </w:r>
      <w:r w:rsidRPr="00794CD9">
        <w:rPr>
          <w:rFonts w:ascii="Arial" w:hAnsi="Arial" w:cs="Arial"/>
          <w:sz w:val="22"/>
        </w:rPr>
        <w:t>. https://doi.org/10.3389/fmolb.2022.890862</w:t>
      </w:r>
    </w:p>
    <w:p w14:paraId="360594C3"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Letunic, I., Khedkar, S., &amp; Bork, P. (2021). SMART: Recent updates, new developments and status in 2020.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49</w:t>
      </w:r>
      <w:r w:rsidRPr="00794CD9">
        <w:rPr>
          <w:rFonts w:ascii="Arial" w:hAnsi="Arial" w:cs="Arial"/>
          <w:sz w:val="22"/>
        </w:rPr>
        <w:t>(D1), D458–D460. https://doi.org/10.1093/nar/gkaa937</w:t>
      </w:r>
    </w:p>
    <w:p w14:paraId="0F28C6DF"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Magariños, M. P., Carmona, S. J., Crowther, G. J., Ralph, S. A., Roos, D. S., Shanmugam, D., Van Voorhis, W. C., &amp; Agüero, F. (2012). TDR Targets: A chemogenomics resource for neglected diseases.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40</w:t>
      </w:r>
      <w:r w:rsidRPr="00794CD9">
        <w:rPr>
          <w:rFonts w:ascii="Arial" w:hAnsi="Arial" w:cs="Arial"/>
          <w:sz w:val="22"/>
        </w:rPr>
        <w:t>(D1), D1118–D1127. https://doi.org/10.1093/nar/gkr1053</w:t>
      </w:r>
    </w:p>
    <w:p w14:paraId="2A621E2C"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Nadeem, A. Y., Shehzad, A., Islam, S. U., Al-Suhaimi, E. A., &amp; Lee, Y. S. (2022). Mosquirix</w:t>
      </w:r>
      <w:r w:rsidRPr="00794CD9">
        <w:rPr>
          <w:rFonts w:ascii="Arial" w:hAnsi="Arial" w:cs="Arial"/>
          <w:sz w:val="22"/>
          <w:vertAlign w:val="superscript"/>
        </w:rPr>
        <w:t>TM</w:t>
      </w:r>
      <w:r w:rsidRPr="00794CD9">
        <w:rPr>
          <w:rFonts w:ascii="Arial" w:hAnsi="Arial" w:cs="Arial"/>
          <w:sz w:val="22"/>
        </w:rPr>
        <w:t xml:space="preserve"> RTS, S/AS01 Vaccine Development, Immunogenicity, and Efficacy. </w:t>
      </w:r>
      <w:r w:rsidRPr="00794CD9">
        <w:rPr>
          <w:rFonts w:ascii="Arial" w:hAnsi="Arial" w:cs="Arial"/>
          <w:i/>
          <w:iCs/>
          <w:sz w:val="22"/>
        </w:rPr>
        <w:t>Vaccines</w:t>
      </w:r>
      <w:r w:rsidRPr="00794CD9">
        <w:rPr>
          <w:rFonts w:ascii="Arial" w:hAnsi="Arial" w:cs="Arial"/>
          <w:sz w:val="22"/>
        </w:rPr>
        <w:t xml:space="preserve">, </w:t>
      </w:r>
      <w:r w:rsidRPr="00794CD9">
        <w:rPr>
          <w:rFonts w:ascii="Arial" w:hAnsi="Arial" w:cs="Arial"/>
          <w:i/>
          <w:iCs/>
          <w:sz w:val="22"/>
        </w:rPr>
        <w:t>10</w:t>
      </w:r>
      <w:r w:rsidRPr="00794CD9">
        <w:rPr>
          <w:rFonts w:ascii="Arial" w:hAnsi="Arial" w:cs="Arial"/>
          <w:sz w:val="22"/>
        </w:rPr>
        <w:t>(5), Article 5. https://doi.org/10.3390/vaccines10050713</w:t>
      </w:r>
    </w:p>
    <w:p w14:paraId="112C4A90"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Onukwuli, V. O., Ukemenam, W. C., Iloh, K. K., &amp; Tagbo, B. N. (2025). Risk Factors for Severe Malaria and Implementation of the New Malaria Vaccine in Children Under-5 Years: A Narrative Review. </w:t>
      </w:r>
      <w:r w:rsidRPr="00794CD9">
        <w:rPr>
          <w:rFonts w:ascii="Arial" w:hAnsi="Arial" w:cs="Arial"/>
          <w:i/>
          <w:iCs/>
          <w:sz w:val="22"/>
        </w:rPr>
        <w:t>International Journal of Medicine and Health Development</w:t>
      </w:r>
      <w:r w:rsidRPr="00794CD9">
        <w:rPr>
          <w:rFonts w:ascii="Arial" w:hAnsi="Arial" w:cs="Arial"/>
          <w:sz w:val="22"/>
        </w:rPr>
        <w:t xml:space="preserve">, </w:t>
      </w:r>
      <w:r w:rsidRPr="00794CD9">
        <w:rPr>
          <w:rFonts w:ascii="Arial" w:hAnsi="Arial" w:cs="Arial"/>
          <w:i/>
          <w:iCs/>
          <w:sz w:val="22"/>
        </w:rPr>
        <w:t>30</w:t>
      </w:r>
      <w:r w:rsidRPr="00794CD9">
        <w:rPr>
          <w:rFonts w:ascii="Arial" w:hAnsi="Arial" w:cs="Arial"/>
          <w:sz w:val="22"/>
        </w:rPr>
        <w:t>(3), 212–219. https://doi.org/10.4103/ijmh.ijmh_15_25</w:t>
      </w:r>
    </w:p>
    <w:p w14:paraId="6B354236" w14:textId="77777777" w:rsidR="00794CD9" w:rsidRPr="00435077" w:rsidRDefault="00794CD9" w:rsidP="00216808">
      <w:pPr>
        <w:pStyle w:val="Bibliography"/>
        <w:jc w:val="both"/>
        <w:rPr>
          <w:rFonts w:ascii="Arial" w:hAnsi="Arial" w:cs="Arial"/>
          <w:sz w:val="22"/>
          <w:lang w:val="fr-FR"/>
        </w:rPr>
      </w:pPr>
      <w:r w:rsidRPr="00435077">
        <w:rPr>
          <w:rFonts w:ascii="Arial" w:hAnsi="Arial" w:cs="Arial"/>
          <w:sz w:val="22"/>
          <w:lang w:val="fr-FR"/>
        </w:rPr>
        <w:t xml:space="preserve">Ouji, M., Augereau, J.-M., Paloque, L., &amp; Benoit-Vical, F. (2018). </w:t>
      </w:r>
      <w:r w:rsidRPr="00794CD9">
        <w:rPr>
          <w:rFonts w:ascii="Arial" w:hAnsi="Arial" w:cs="Arial"/>
          <w:sz w:val="22"/>
        </w:rPr>
        <w:t xml:space="preserve">Plasmodium falciparum resistance to artemisinin-based combination therapies: A sword of Damocles in the path toward malaria elimination. </w:t>
      </w:r>
      <w:r w:rsidRPr="00435077">
        <w:rPr>
          <w:rFonts w:ascii="Arial" w:hAnsi="Arial" w:cs="Arial"/>
          <w:i/>
          <w:iCs/>
          <w:sz w:val="22"/>
          <w:lang w:val="fr-FR"/>
        </w:rPr>
        <w:t>Parasite</w:t>
      </w:r>
      <w:r w:rsidRPr="00435077">
        <w:rPr>
          <w:rFonts w:ascii="Arial" w:hAnsi="Arial" w:cs="Arial"/>
          <w:sz w:val="22"/>
          <w:lang w:val="fr-FR"/>
        </w:rPr>
        <w:t xml:space="preserve">, </w:t>
      </w:r>
      <w:r w:rsidRPr="00435077">
        <w:rPr>
          <w:rFonts w:ascii="Arial" w:hAnsi="Arial" w:cs="Arial"/>
          <w:i/>
          <w:iCs/>
          <w:sz w:val="22"/>
          <w:lang w:val="fr-FR"/>
        </w:rPr>
        <w:t>25</w:t>
      </w:r>
      <w:r w:rsidRPr="00435077">
        <w:rPr>
          <w:rFonts w:ascii="Arial" w:hAnsi="Arial" w:cs="Arial"/>
          <w:sz w:val="22"/>
          <w:lang w:val="fr-FR"/>
        </w:rPr>
        <w:t>, 24. https://doi.org/10.1051/parasite/2018021</w:t>
      </w:r>
    </w:p>
    <w:p w14:paraId="753A11E4" w14:textId="77777777" w:rsidR="00794CD9" w:rsidRPr="00794CD9" w:rsidRDefault="00794CD9" w:rsidP="00216808">
      <w:pPr>
        <w:pStyle w:val="Bibliography"/>
        <w:jc w:val="both"/>
        <w:rPr>
          <w:rFonts w:ascii="Arial" w:hAnsi="Arial" w:cs="Arial"/>
          <w:sz w:val="22"/>
        </w:rPr>
      </w:pPr>
      <w:r w:rsidRPr="00435077">
        <w:rPr>
          <w:rFonts w:ascii="Arial" w:hAnsi="Arial" w:cs="Arial"/>
          <w:sz w:val="22"/>
          <w:lang w:val="fr-FR"/>
        </w:rPr>
        <w:t xml:space="preserve">Rout, S., Patra, N. P., &amp; Mahapatra, R. K. (2017). </w:t>
      </w:r>
      <w:r w:rsidRPr="00794CD9">
        <w:rPr>
          <w:rFonts w:ascii="Arial" w:hAnsi="Arial" w:cs="Arial"/>
          <w:sz w:val="22"/>
        </w:rPr>
        <w:t xml:space="preserve">An in silico strategy for identification of novel drug targets against Plasmodium falciparum. </w:t>
      </w:r>
      <w:r w:rsidRPr="00794CD9">
        <w:rPr>
          <w:rFonts w:ascii="Arial" w:hAnsi="Arial" w:cs="Arial"/>
          <w:i/>
          <w:iCs/>
          <w:sz w:val="22"/>
        </w:rPr>
        <w:t>Parasitology Research</w:t>
      </w:r>
      <w:r w:rsidRPr="00794CD9">
        <w:rPr>
          <w:rFonts w:ascii="Arial" w:hAnsi="Arial" w:cs="Arial"/>
          <w:sz w:val="22"/>
        </w:rPr>
        <w:t xml:space="preserve">, </w:t>
      </w:r>
      <w:r w:rsidRPr="00794CD9">
        <w:rPr>
          <w:rFonts w:ascii="Arial" w:hAnsi="Arial" w:cs="Arial"/>
          <w:i/>
          <w:iCs/>
          <w:sz w:val="22"/>
        </w:rPr>
        <w:t>116</w:t>
      </w:r>
      <w:r w:rsidRPr="00794CD9">
        <w:rPr>
          <w:rFonts w:ascii="Arial" w:hAnsi="Arial" w:cs="Arial"/>
          <w:sz w:val="22"/>
        </w:rPr>
        <w:t>(9), 2539–2559. https://doi.org/10.1007/s00436-017-5563-2</w:t>
      </w:r>
    </w:p>
    <w:p w14:paraId="4FCD56D5"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Salifu, E. Y., Abugri, J., Rashid, I. A., Osei, F., &amp; Ayariga, J. A. (2023). In silico identification of potential inhibitors of acyl carrier protein reductase and acetyl CoA carboxylase of Plasmodium falciparum in antimalarial therapy. </w:t>
      </w:r>
      <w:r w:rsidRPr="00794CD9">
        <w:rPr>
          <w:rFonts w:ascii="Arial" w:hAnsi="Arial" w:cs="Arial"/>
          <w:i/>
          <w:iCs/>
          <w:sz w:val="22"/>
        </w:rPr>
        <w:t>Frontiers in Drug Discovery</w:t>
      </w:r>
      <w:r w:rsidRPr="00794CD9">
        <w:rPr>
          <w:rFonts w:ascii="Arial" w:hAnsi="Arial" w:cs="Arial"/>
          <w:sz w:val="22"/>
        </w:rPr>
        <w:t xml:space="preserve">, </w:t>
      </w:r>
      <w:r w:rsidRPr="00794CD9">
        <w:rPr>
          <w:rFonts w:ascii="Arial" w:hAnsi="Arial" w:cs="Arial"/>
          <w:i/>
          <w:iCs/>
          <w:sz w:val="22"/>
        </w:rPr>
        <w:t>3</w:t>
      </w:r>
      <w:r w:rsidRPr="00794CD9">
        <w:rPr>
          <w:rFonts w:ascii="Arial" w:hAnsi="Arial" w:cs="Arial"/>
          <w:sz w:val="22"/>
        </w:rPr>
        <w:t>. https://doi.org/10.3389/fddsv.2023.1087008</w:t>
      </w:r>
    </w:p>
    <w:p w14:paraId="1388FEBA"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Schenone, M., Dančík, V., Wagner, B. K., &amp; Clemons, P. A. (2013). Target identification and mechanism of action in chemical biology and drug discovery. </w:t>
      </w:r>
      <w:r w:rsidRPr="00794CD9">
        <w:rPr>
          <w:rFonts w:ascii="Arial" w:hAnsi="Arial" w:cs="Arial"/>
          <w:i/>
          <w:iCs/>
          <w:sz w:val="22"/>
        </w:rPr>
        <w:t>Nature Chemical Biology</w:t>
      </w:r>
      <w:r w:rsidRPr="00794CD9">
        <w:rPr>
          <w:rFonts w:ascii="Arial" w:hAnsi="Arial" w:cs="Arial"/>
          <w:sz w:val="22"/>
        </w:rPr>
        <w:t xml:space="preserve">, </w:t>
      </w:r>
      <w:r w:rsidRPr="00794CD9">
        <w:rPr>
          <w:rFonts w:ascii="Arial" w:hAnsi="Arial" w:cs="Arial"/>
          <w:i/>
          <w:iCs/>
          <w:sz w:val="22"/>
        </w:rPr>
        <w:t>9</w:t>
      </w:r>
      <w:r w:rsidRPr="00794CD9">
        <w:rPr>
          <w:rFonts w:ascii="Arial" w:hAnsi="Arial" w:cs="Arial"/>
          <w:sz w:val="22"/>
        </w:rPr>
        <w:t>(4), 232–240. https://doi.org/10.1038/nchembio.1199</w:t>
      </w:r>
    </w:p>
    <w:p w14:paraId="09A0D4C7"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The UniProt Consortium. (2023). UniProt: The Universal Protein Knowledgebase in 2023.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51</w:t>
      </w:r>
      <w:r w:rsidRPr="00794CD9">
        <w:rPr>
          <w:rFonts w:ascii="Arial" w:hAnsi="Arial" w:cs="Arial"/>
          <w:sz w:val="22"/>
        </w:rPr>
        <w:t>(D1), D523–D531. https://doi.org/10.1093/nar/gkac1052</w:t>
      </w:r>
    </w:p>
    <w:p w14:paraId="7A0F9A66"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Thompson, J. D., Gibson, Toby. J., &amp; Higgins, D. G. (2003). Multiple Sequence Alignment Using ClustalW and ClustalX. </w:t>
      </w:r>
      <w:r w:rsidRPr="00794CD9">
        <w:rPr>
          <w:rFonts w:ascii="Arial" w:hAnsi="Arial" w:cs="Arial"/>
          <w:i/>
          <w:iCs/>
          <w:sz w:val="22"/>
        </w:rPr>
        <w:t>Current Protocols in Bioinformatics</w:t>
      </w:r>
      <w:r w:rsidRPr="00794CD9">
        <w:rPr>
          <w:rFonts w:ascii="Arial" w:hAnsi="Arial" w:cs="Arial"/>
          <w:sz w:val="22"/>
        </w:rPr>
        <w:t xml:space="preserve">, </w:t>
      </w:r>
      <w:r w:rsidRPr="00794CD9">
        <w:rPr>
          <w:rFonts w:ascii="Arial" w:hAnsi="Arial" w:cs="Arial"/>
          <w:i/>
          <w:iCs/>
          <w:sz w:val="22"/>
        </w:rPr>
        <w:t>00</w:t>
      </w:r>
      <w:r w:rsidRPr="00794CD9">
        <w:rPr>
          <w:rFonts w:ascii="Arial" w:hAnsi="Arial" w:cs="Arial"/>
          <w:sz w:val="22"/>
        </w:rPr>
        <w:t>(1). https://doi.org/10.1002/0471250953.bi0203s00</w:t>
      </w:r>
    </w:p>
    <w:p w14:paraId="43A33F87"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Urán Landaburu, L., Berenstein, A. J., Videla, S., Maru, P., Shanmugam, D., Chernomoretz, A., &amp; Agüero, F. (2020). TDR Targets 6: Driving drug discovery for human pathogens through intensive chemogenomic data integration. </w:t>
      </w:r>
      <w:r w:rsidRPr="00794CD9">
        <w:rPr>
          <w:rFonts w:ascii="Arial" w:hAnsi="Arial" w:cs="Arial"/>
          <w:i/>
          <w:iCs/>
          <w:sz w:val="22"/>
        </w:rPr>
        <w:t>Nucleic Acids Research</w:t>
      </w:r>
      <w:r w:rsidRPr="00794CD9">
        <w:rPr>
          <w:rFonts w:ascii="Arial" w:hAnsi="Arial" w:cs="Arial"/>
          <w:sz w:val="22"/>
        </w:rPr>
        <w:t xml:space="preserve">, </w:t>
      </w:r>
      <w:r w:rsidRPr="00794CD9">
        <w:rPr>
          <w:rFonts w:ascii="Arial" w:hAnsi="Arial" w:cs="Arial"/>
          <w:i/>
          <w:iCs/>
          <w:sz w:val="22"/>
        </w:rPr>
        <w:t>48</w:t>
      </w:r>
      <w:r w:rsidRPr="00794CD9">
        <w:rPr>
          <w:rFonts w:ascii="Arial" w:hAnsi="Arial" w:cs="Arial"/>
          <w:sz w:val="22"/>
        </w:rPr>
        <w:t>(D1), D992–D1005. https://doi.org/10.1093/nar/gkz999</w:t>
      </w:r>
    </w:p>
    <w:p w14:paraId="68C8FD46"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Vishwanath, S., de Brevern, A. G., &amp; Srinivasan, N. (2018). Same but not alike: Structure, flexibility and energetics of domains in multi-domain proteins are influenced </w:t>
      </w:r>
      <w:r w:rsidRPr="00794CD9">
        <w:rPr>
          <w:rFonts w:ascii="Arial" w:hAnsi="Arial" w:cs="Arial"/>
          <w:sz w:val="22"/>
        </w:rPr>
        <w:lastRenderedPageBreak/>
        <w:t xml:space="preserve">by the presence of other domains. </w:t>
      </w:r>
      <w:r w:rsidRPr="00794CD9">
        <w:rPr>
          <w:rFonts w:ascii="Arial" w:hAnsi="Arial" w:cs="Arial"/>
          <w:i/>
          <w:iCs/>
          <w:sz w:val="22"/>
        </w:rPr>
        <w:t>PLoS Computational Biology</w:t>
      </w:r>
      <w:r w:rsidRPr="00794CD9">
        <w:rPr>
          <w:rFonts w:ascii="Arial" w:hAnsi="Arial" w:cs="Arial"/>
          <w:sz w:val="22"/>
        </w:rPr>
        <w:t xml:space="preserve">, </w:t>
      </w:r>
      <w:r w:rsidRPr="00794CD9">
        <w:rPr>
          <w:rFonts w:ascii="Arial" w:hAnsi="Arial" w:cs="Arial"/>
          <w:i/>
          <w:iCs/>
          <w:sz w:val="22"/>
        </w:rPr>
        <w:t>14</w:t>
      </w:r>
      <w:r w:rsidRPr="00794CD9">
        <w:rPr>
          <w:rFonts w:ascii="Arial" w:hAnsi="Arial" w:cs="Arial"/>
          <w:sz w:val="22"/>
        </w:rPr>
        <w:t>(2), e1006008. https://doi.org/10.1371/journal.pcbi.1006008</w:t>
      </w:r>
    </w:p>
    <w:p w14:paraId="01A96177"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Wang, X., Wang, R., Zhang, Y., &amp; Zhang, H. (2013). Evolutionary Survey of Druggable Protein Targets with Respect to Their Subcellular Localizations. </w:t>
      </w:r>
      <w:r w:rsidRPr="00794CD9">
        <w:rPr>
          <w:rFonts w:ascii="Arial" w:hAnsi="Arial" w:cs="Arial"/>
          <w:i/>
          <w:iCs/>
          <w:sz w:val="22"/>
        </w:rPr>
        <w:t>Genome Biology and Evolution</w:t>
      </w:r>
      <w:r w:rsidRPr="00794CD9">
        <w:rPr>
          <w:rFonts w:ascii="Arial" w:hAnsi="Arial" w:cs="Arial"/>
          <w:sz w:val="22"/>
        </w:rPr>
        <w:t xml:space="preserve">, </w:t>
      </w:r>
      <w:r w:rsidRPr="00794CD9">
        <w:rPr>
          <w:rFonts w:ascii="Arial" w:hAnsi="Arial" w:cs="Arial"/>
          <w:i/>
          <w:iCs/>
          <w:sz w:val="22"/>
        </w:rPr>
        <w:t>5</w:t>
      </w:r>
      <w:r w:rsidRPr="00794CD9">
        <w:rPr>
          <w:rFonts w:ascii="Arial" w:hAnsi="Arial" w:cs="Arial"/>
          <w:sz w:val="22"/>
        </w:rPr>
        <w:t>(7), 1291–1297. https://doi.org/10.1093/gbe/evt092</w:t>
      </w:r>
    </w:p>
    <w:p w14:paraId="5A0CCF72" w14:textId="77777777" w:rsidR="00794CD9" w:rsidRPr="00794CD9" w:rsidRDefault="00794CD9" w:rsidP="00216808">
      <w:pPr>
        <w:pStyle w:val="Bibliography"/>
        <w:jc w:val="both"/>
        <w:rPr>
          <w:rFonts w:ascii="Arial" w:hAnsi="Arial" w:cs="Arial"/>
          <w:sz w:val="22"/>
        </w:rPr>
      </w:pPr>
      <w:r w:rsidRPr="00794CD9">
        <w:rPr>
          <w:rFonts w:ascii="Arial" w:hAnsi="Arial" w:cs="Arial"/>
          <w:i/>
          <w:iCs/>
          <w:sz w:val="22"/>
        </w:rPr>
        <w:t>World malaria report 2024: Addressing inequity in the global malaria response</w:t>
      </w:r>
      <w:r w:rsidRPr="00794CD9">
        <w:rPr>
          <w:rFonts w:ascii="Arial" w:hAnsi="Arial" w:cs="Arial"/>
          <w:sz w:val="22"/>
        </w:rPr>
        <w:t>. (n.d.).</w:t>
      </w:r>
    </w:p>
    <w:p w14:paraId="387F319E"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Yang, T., Ottilie, S., Istvan, E. S., Godinez-Macias, K. P., Lukens, A. K., Baragaña, B., Campo, B., Walpole, C., Niles, J. C., Chibale, K., Dechering, K. J., Llinás, M., Lee, M. C. S., Kato, N., Wyllie, S., McNamara, C. W., Gamo, F. J., Burrows, J., Fidock, D. A., … Winzeler, E. A. (2021). MalDA, Accelerating Malaria Drug Discovery. </w:t>
      </w:r>
      <w:r w:rsidRPr="00794CD9">
        <w:rPr>
          <w:rFonts w:ascii="Arial" w:hAnsi="Arial" w:cs="Arial"/>
          <w:i/>
          <w:iCs/>
          <w:sz w:val="22"/>
        </w:rPr>
        <w:t>Trends in Parasitology</w:t>
      </w:r>
      <w:r w:rsidRPr="00794CD9">
        <w:rPr>
          <w:rFonts w:ascii="Arial" w:hAnsi="Arial" w:cs="Arial"/>
          <w:sz w:val="22"/>
        </w:rPr>
        <w:t xml:space="preserve">, </w:t>
      </w:r>
      <w:r w:rsidRPr="00794CD9">
        <w:rPr>
          <w:rFonts w:ascii="Arial" w:hAnsi="Arial" w:cs="Arial"/>
          <w:i/>
          <w:iCs/>
          <w:sz w:val="22"/>
        </w:rPr>
        <w:t>37</w:t>
      </w:r>
      <w:r w:rsidRPr="00794CD9">
        <w:rPr>
          <w:rFonts w:ascii="Arial" w:hAnsi="Arial" w:cs="Arial"/>
          <w:sz w:val="22"/>
        </w:rPr>
        <w:t>(6), 493–507. https://doi.org/10.1016/j.pt.2021.01.009</w:t>
      </w:r>
    </w:p>
    <w:p w14:paraId="029F3A3E" w14:textId="77777777" w:rsidR="00794CD9" w:rsidRPr="00794CD9" w:rsidRDefault="00794CD9" w:rsidP="00216808">
      <w:pPr>
        <w:pStyle w:val="Bibliography"/>
        <w:jc w:val="both"/>
        <w:rPr>
          <w:rFonts w:ascii="Arial" w:hAnsi="Arial" w:cs="Arial"/>
          <w:sz w:val="22"/>
        </w:rPr>
      </w:pPr>
      <w:r w:rsidRPr="00794CD9">
        <w:rPr>
          <w:rFonts w:ascii="Arial" w:hAnsi="Arial" w:cs="Arial"/>
          <w:sz w:val="22"/>
        </w:rPr>
        <w:t xml:space="preserve">Yin, H., &amp; Flynn, A. D. (2016). Drugging Membrane Protein Interactions. </w:t>
      </w:r>
      <w:r w:rsidRPr="00794CD9">
        <w:rPr>
          <w:rFonts w:ascii="Arial" w:hAnsi="Arial" w:cs="Arial"/>
          <w:i/>
          <w:iCs/>
          <w:sz w:val="22"/>
        </w:rPr>
        <w:t>Annual Review of Biomedical Engineering</w:t>
      </w:r>
      <w:r w:rsidRPr="00794CD9">
        <w:rPr>
          <w:rFonts w:ascii="Arial" w:hAnsi="Arial" w:cs="Arial"/>
          <w:sz w:val="22"/>
        </w:rPr>
        <w:t xml:space="preserve">, </w:t>
      </w:r>
      <w:r w:rsidRPr="00794CD9">
        <w:rPr>
          <w:rFonts w:ascii="Arial" w:hAnsi="Arial" w:cs="Arial"/>
          <w:i/>
          <w:iCs/>
          <w:sz w:val="22"/>
        </w:rPr>
        <w:t>18</w:t>
      </w:r>
      <w:r w:rsidRPr="00794CD9">
        <w:rPr>
          <w:rFonts w:ascii="Arial" w:hAnsi="Arial" w:cs="Arial"/>
          <w:sz w:val="22"/>
        </w:rPr>
        <w:t>, 51–76. https://doi.org/10.1146/annurev-bioeng-092115-025322</w:t>
      </w:r>
    </w:p>
    <w:p w14:paraId="3E287D3D" w14:textId="40587F00" w:rsidR="00B01FCD" w:rsidRPr="00216808" w:rsidRDefault="00794CD9" w:rsidP="00216808">
      <w:pPr>
        <w:pStyle w:val="ReferHead"/>
        <w:spacing w:after="0"/>
        <w:jc w:val="both"/>
        <w:rPr>
          <w:rFonts w:ascii="Arial" w:hAnsi="Arial" w:cs="Arial"/>
        </w:rPr>
      </w:pPr>
      <w:r>
        <w:rPr>
          <w:rFonts w:ascii="Arial" w:hAnsi="Arial" w:cs="Arial"/>
        </w:rPr>
        <w:fldChar w:fldCharType="end"/>
      </w:r>
    </w:p>
    <w:p w14:paraId="2BA3133C" w14:textId="06C7C5D6" w:rsidR="004D4277" w:rsidRPr="00FB3A86" w:rsidRDefault="004D4277" w:rsidP="00441B6F">
      <w:pPr>
        <w:pStyle w:val="Appendix"/>
        <w:spacing w:after="0"/>
        <w:jc w:val="both"/>
        <w:rPr>
          <w:rFonts w:ascii="Arial" w:hAnsi="Arial" w:cs="Arial"/>
          <w:b w:val="0"/>
        </w:rPr>
        <w:sectPr w:rsidR="004D4277" w:rsidRPr="00FB3A86" w:rsidSect="00D7394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A259DE5" w14:textId="3E317189" w:rsidR="00B01FCD" w:rsidRPr="00FB3A86" w:rsidRDefault="00781047" w:rsidP="00441B6F">
      <w:pPr>
        <w:pStyle w:val="Appendix"/>
        <w:spacing w:after="0"/>
        <w:jc w:val="both"/>
        <w:rPr>
          <w:rFonts w:ascii="Arial" w:hAnsi="Arial" w:cs="Arial"/>
          <w:b w:val="0"/>
        </w:rPr>
      </w:pPr>
      <w:r>
        <w:rPr>
          <w:rFonts w:ascii="Arial" w:hAnsi="Arial" w:cs="Arial"/>
          <w:b w:val="0"/>
        </w:rPr>
        <w:t xml:space="preserve">                                                         </w:t>
      </w:r>
    </w:p>
    <w:sectPr w:rsidR="00B01FCD" w:rsidRPr="00FB3A86" w:rsidSect="00D739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3084B" w14:textId="77777777" w:rsidR="00813757" w:rsidRDefault="00813757" w:rsidP="00C37E61">
      <w:r>
        <w:separator/>
      </w:r>
    </w:p>
  </w:endnote>
  <w:endnote w:type="continuationSeparator" w:id="0">
    <w:p w14:paraId="56DCF79C" w14:textId="77777777" w:rsidR="00813757" w:rsidRDefault="008137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3452" w14:textId="77777777" w:rsidR="00D7394A" w:rsidRDefault="00D73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53AB" w14:textId="77777777" w:rsidR="00D7394A" w:rsidRDefault="00D73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4C85" w14:textId="1189886F" w:rsidR="00754C9A" w:rsidRPr="006B645D" w:rsidRDefault="00754C9A" w:rsidP="006B645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B4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227D" w14:textId="77777777" w:rsidR="00813757" w:rsidRDefault="00813757" w:rsidP="00C37E61">
      <w:r>
        <w:separator/>
      </w:r>
    </w:p>
  </w:footnote>
  <w:footnote w:type="continuationSeparator" w:id="0">
    <w:p w14:paraId="771ED018" w14:textId="77777777" w:rsidR="00813757" w:rsidRDefault="008137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D4AE" w14:textId="6274755C" w:rsidR="00D7394A" w:rsidRDefault="00D7394A">
    <w:pPr>
      <w:pStyle w:val="Header"/>
    </w:pPr>
    <w:r>
      <w:rPr>
        <w:noProof/>
      </w:rPr>
      <w:pict w14:anchorId="188FD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BD1C" w14:textId="6878C11E" w:rsidR="00D7394A" w:rsidRDefault="00D7394A">
    <w:pPr>
      <w:pStyle w:val="Header"/>
    </w:pPr>
    <w:r>
      <w:rPr>
        <w:noProof/>
      </w:rPr>
      <w:pict w14:anchorId="1727A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DE26" w14:textId="2BAEFEA7" w:rsidR="00296529" w:rsidRPr="00296529" w:rsidRDefault="00D7394A" w:rsidP="00296529">
    <w:pPr>
      <w:ind w:left="2160"/>
      <w:jc w:val="center"/>
      <w:rPr>
        <w:rFonts w:ascii="Times New Roman" w:eastAsia="Calibri" w:hAnsi="Times New Roman"/>
        <w:i/>
        <w:sz w:val="18"/>
        <w:szCs w:val="22"/>
      </w:rPr>
    </w:pPr>
    <w:r>
      <w:rPr>
        <w:noProof/>
      </w:rPr>
      <w:pict w14:anchorId="058DC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3D4C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9A2B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6D1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5BCD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7AB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AED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503A" w14:textId="22238E8C" w:rsidR="00D7394A" w:rsidRDefault="00D7394A">
    <w:pPr>
      <w:pStyle w:val="Header"/>
    </w:pPr>
    <w:r>
      <w:rPr>
        <w:noProof/>
      </w:rPr>
      <w:pict w14:anchorId="3219C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6B18" w14:textId="61AF4D02" w:rsidR="00D7394A" w:rsidRDefault="00D7394A">
    <w:pPr>
      <w:pStyle w:val="Header"/>
    </w:pPr>
    <w:r>
      <w:rPr>
        <w:noProof/>
      </w:rPr>
      <w:pict w14:anchorId="0B9E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294C8" w14:textId="39E5A0A9" w:rsidR="00D7394A" w:rsidRDefault="00D7394A">
    <w:pPr>
      <w:pStyle w:val="Header"/>
    </w:pPr>
    <w:r>
      <w:rPr>
        <w:noProof/>
      </w:rPr>
      <w:pict w14:anchorId="38B2A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9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3F5"/>
    <w:rsid w:val="0002247A"/>
    <w:rsid w:val="000228AA"/>
    <w:rsid w:val="00025E7E"/>
    <w:rsid w:val="00030174"/>
    <w:rsid w:val="00030614"/>
    <w:rsid w:val="000409E2"/>
    <w:rsid w:val="0004579C"/>
    <w:rsid w:val="000523A0"/>
    <w:rsid w:val="00061111"/>
    <w:rsid w:val="0007200E"/>
    <w:rsid w:val="00075CF7"/>
    <w:rsid w:val="000808C6"/>
    <w:rsid w:val="000817C7"/>
    <w:rsid w:val="00081D35"/>
    <w:rsid w:val="000829BC"/>
    <w:rsid w:val="0008489D"/>
    <w:rsid w:val="000A3D35"/>
    <w:rsid w:val="000A47FA"/>
    <w:rsid w:val="000A65D3"/>
    <w:rsid w:val="000B1E33"/>
    <w:rsid w:val="000B21DD"/>
    <w:rsid w:val="000B3F3E"/>
    <w:rsid w:val="000B7EC7"/>
    <w:rsid w:val="000C6629"/>
    <w:rsid w:val="000D49EF"/>
    <w:rsid w:val="000D689F"/>
    <w:rsid w:val="000E7B7B"/>
    <w:rsid w:val="000E7D62"/>
    <w:rsid w:val="000F22DB"/>
    <w:rsid w:val="00103357"/>
    <w:rsid w:val="00110F1F"/>
    <w:rsid w:val="001123A0"/>
    <w:rsid w:val="00113206"/>
    <w:rsid w:val="001148EA"/>
    <w:rsid w:val="00117DA3"/>
    <w:rsid w:val="00123C9F"/>
    <w:rsid w:val="00125828"/>
    <w:rsid w:val="00126190"/>
    <w:rsid w:val="00130F17"/>
    <w:rsid w:val="001320BF"/>
    <w:rsid w:val="001432D5"/>
    <w:rsid w:val="001448DE"/>
    <w:rsid w:val="00144BE5"/>
    <w:rsid w:val="00163B3C"/>
    <w:rsid w:val="00163BC4"/>
    <w:rsid w:val="001736E5"/>
    <w:rsid w:val="001743ED"/>
    <w:rsid w:val="00187C73"/>
    <w:rsid w:val="0019031D"/>
    <w:rsid w:val="00191062"/>
    <w:rsid w:val="00192B72"/>
    <w:rsid w:val="00197ADA"/>
    <w:rsid w:val="001A29D8"/>
    <w:rsid w:val="001A3BEB"/>
    <w:rsid w:val="001A5CAA"/>
    <w:rsid w:val="001B0427"/>
    <w:rsid w:val="001B1B68"/>
    <w:rsid w:val="001B269B"/>
    <w:rsid w:val="001B3013"/>
    <w:rsid w:val="001B517F"/>
    <w:rsid w:val="001C00D1"/>
    <w:rsid w:val="001C0A1D"/>
    <w:rsid w:val="001D3A51"/>
    <w:rsid w:val="001D6312"/>
    <w:rsid w:val="001E10D2"/>
    <w:rsid w:val="001E25B4"/>
    <w:rsid w:val="001E44FE"/>
    <w:rsid w:val="001F0BEF"/>
    <w:rsid w:val="001F1F8D"/>
    <w:rsid w:val="001F651D"/>
    <w:rsid w:val="001F687B"/>
    <w:rsid w:val="001F741C"/>
    <w:rsid w:val="00200595"/>
    <w:rsid w:val="00204835"/>
    <w:rsid w:val="002124D3"/>
    <w:rsid w:val="0021469F"/>
    <w:rsid w:val="00216808"/>
    <w:rsid w:val="00226E92"/>
    <w:rsid w:val="002308AB"/>
    <w:rsid w:val="00231920"/>
    <w:rsid w:val="0023195C"/>
    <w:rsid w:val="0023635A"/>
    <w:rsid w:val="0024282C"/>
    <w:rsid w:val="002432D8"/>
    <w:rsid w:val="002460DC"/>
    <w:rsid w:val="00250985"/>
    <w:rsid w:val="002556F6"/>
    <w:rsid w:val="002564C6"/>
    <w:rsid w:val="002642BF"/>
    <w:rsid w:val="00280BB9"/>
    <w:rsid w:val="002821B1"/>
    <w:rsid w:val="002828FB"/>
    <w:rsid w:val="00283105"/>
    <w:rsid w:val="00284C4C"/>
    <w:rsid w:val="00287E68"/>
    <w:rsid w:val="0029502D"/>
    <w:rsid w:val="002953DC"/>
    <w:rsid w:val="00296529"/>
    <w:rsid w:val="002A3118"/>
    <w:rsid w:val="002A6D2E"/>
    <w:rsid w:val="002B0B5C"/>
    <w:rsid w:val="002B27FB"/>
    <w:rsid w:val="002B3C8D"/>
    <w:rsid w:val="002B685A"/>
    <w:rsid w:val="002C46B5"/>
    <w:rsid w:val="002C57D2"/>
    <w:rsid w:val="002C6F4C"/>
    <w:rsid w:val="002D2379"/>
    <w:rsid w:val="002D4842"/>
    <w:rsid w:val="002D5C30"/>
    <w:rsid w:val="002E00D8"/>
    <w:rsid w:val="002E0D56"/>
    <w:rsid w:val="002E18CE"/>
    <w:rsid w:val="002F4EB6"/>
    <w:rsid w:val="00300FAB"/>
    <w:rsid w:val="00303CC2"/>
    <w:rsid w:val="003059E5"/>
    <w:rsid w:val="00310D32"/>
    <w:rsid w:val="00315186"/>
    <w:rsid w:val="00322772"/>
    <w:rsid w:val="003254D8"/>
    <w:rsid w:val="0033343E"/>
    <w:rsid w:val="003337A1"/>
    <w:rsid w:val="00340012"/>
    <w:rsid w:val="003512C2"/>
    <w:rsid w:val="00353344"/>
    <w:rsid w:val="003645A0"/>
    <w:rsid w:val="003653DA"/>
    <w:rsid w:val="0036720A"/>
    <w:rsid w:val="00371FB6"/>
    <w:rsid w:val="00373FB3"/>
    <w:rsid w:val="003763C1"/>
    <w:rsid w:val="00376BBE"/>
    <w:rsid w:val="00381FC2"/>
    <w:rsid w:val="0038787A"/>
    <w:rsid w:val="0039224F"/>
    <w:rsid w:val="003928E4"/>
    <w:rsid w:val="003A2765"/>
    <w:rsid w:val="003A3961"/>
    <w:rsid w:val="003A43A4"/>
    <w:rsid w:val="003A7E18"/>
    <w:rsid w:val="003C4C86"/>
    <w:rsid w:val="003C6258"/>
    <w:rsid w:val="003C73F2"/>
    <w:rsid w:val="003E2904"/>
    <w:rsid w:val="003F230D"/>
    <w:rsid w:val="004018A8"/>
    <w:rsid w:val="00401927"/>
    <w:rsid w:val="004047DF"/>
    <w:rsid w:val="0041027F"/>
    <w:rsid w:val="00412475"/>
    <w:rsid w:val="00423789"/>
    <w:rsid w:val="00435077"/>
    <w:rsid w:val="004375A0"/>
    <w:rsid w:val="00440F43"/>
    <w:rsid w:val="00441B6F"/>
    <w:rsid w:val="00446221"/>
    <w:rsid w:val="00447721"/>
    <w:rsid w:val="00450E62"/>
    <w:rsid w:val="00451F65"/>
    <w:rsid w:val="004539DB"/>
    <w:rsid w:val="00462865"/>
    <w:rsid w:val="004649A9"/>
    <w:rsid w:val="00471A80"/>
    <w:rsid w:val="004907CD"/>
    <w:rsid w:val="00493D50"/>
    <w:rsid w:val="004A33AE"/>
    <w:rsid w:val="004A3793"/>
    <w:rsid w:val="004B0FD2"/>
    <w:rsid w:val="004D305E"/>
    <w:rsid w:val="004D4277"/>
    <w:rsid w:val="004D75F8"/>
    <w:rsid w:val="004E6866"/>
    <w:rsid w:val="004F534F"/>
    <w:rsid w:val="00502472"/>
    <w:rsid w:val="00502516"/>
    <w:rsid w:val="00503627"/>
    <w:rsid w:val="00505F06"/>
    <w:rsid w:val="00506828"/>
    <w:rsid w:val="005106FE"/>
    <w:rsid w:val="00522CAB"/>
    <w:rsid w:val="0053056E"/>
    <w:rsid w:val="00531CA3"/>
    <w:rsid w:val="00534D51"/>
    <w:rsid w:val="00544DCC"/>
    <w:rsid w:val="005477DA"/>
    <w:rsid w:val="00554FDA"/>
    <w:rsid w:val="00570F83"/>
    <w:rsid w:val="005804BE"/>
    <w:rsid w:val="00580B47"/>
    <w:rsid w:val="00580B64"/>
    <w:rsid w:val="005A1232"/>
    <w:rsid w:val="005A2FC4"/>
    <w:rsid w:val="005A37E7"/>
    <w:rsid w:val="005B5B8C"/>
    <w:rsid w:val="005C784C"/>
    <w:rsid w:val="005D17F6"/>
    <w:rsid w:val="005E24BE"/>
    <w:rsid w:val="005E5539"/>
    <w:rsid w:val="005F157A"/>
    <w:rsid w:val="005F1924"/>
    <w:rsid w:val="00602BF5"/>
    <w:rsid w:val="006044BD"/>
    <w:rsid w:val="006168FD"/>
    <w:rsid w:val="00617C19"/>
    <w:rsid w:val="00617FDD"/>
    <w:rsid w:val="0062030A"/>
    <w:rsid w:val="006227C1"/>
    <w:rsid w:val="006230A7"/>
    <w:rsid w:val="00623AEA"/>
    <w:rsid w:val="0062548B"/>
    <w:rsid w:val="00633614"/>
    <w:rsid w:val="00633F68"/>
    <w:rsid w:val="00636EB2"/>
    <w:rsid w:val="006375B8"/>
    <w:rsid w:val="0064742A"/>
    <w:rsid w:val="0065035B"/>
    <w:rsid w:val="00652EA0"/>
    <w:rsid w:val="00664902"/>
    <w:rsid w:val="0066510A"/>
    <w:rsid w:val="00673F9F"/>
    <w:rsid w:val="00680627"/>
    <w:rsid w:val="00686953"/>
    <w:rsid w:val="00687DEA"/>
    <w:rsid w:val="00687E67"/>
    <w:rsid w:val="00692D4C"/>
    <w:rsid w:val="006967F7"/>
    <w:rsid w:val="006A250C"/>
    <w:rsid w:val="006B21D3"/>
    <w:rsid w:val="006B57D0"/>
    <w:rsid w:val="006B645D"/>
    <w:rsid w:val="006B6ED7"/>
    <w:rsid w:val="006B7026"/>
    <w:rsid w:val="006C5D9D"/>
    <w:rsid w:val="006D2103"/>
    <w:rsid w:val="006D3065"/>
    <w:rsid w:val="006D30FF"/>
    <w:rsid w:val="006D6778"/>
    <w:rsid w:val="006D6940"/>
    <w:rsid w:val="006D79C7"/>
    <w:rsid w:val="006E1663"/>
    <w:rsid w:val="006F11EC"/>
    <w:rsid w:val="006F1855"/>
    <w:rsid w:val="006F5E80"/>
    <w:rsid w:val="0070082C"/>
    <w:rsid w:val="00703EF3"/>
    <w:rsid w:val="0071036E"/>
    <w:rsid w:val="00713C9E"/>
    <w:rsid w:val="00715857"/>
    <w:rsid w:val="00722D54"/>
    <w:rsid w:val="00724CFE"/>
    <w:rsid w:val="007256AE"/>
    <w:rsid w:val="007369E6"/>
    <w:rsid w:val="007408DF"/>
    <w:rsid w:val="0074455D"/>
    <w:rsid w:val="00746E59"/>
    <w:rsid w:val="00754C9A"/>
    <w:rsid w:val="0075599A"/>
    <w:rsid w:val="00761D52"/>
    <w:rsid w:val="007637D0"/>
    <w:rsid w:val="00771E10"/>
    <w:rsid w:val="00771E5A"/>
    <w:rsid w:val="00775014"/>
    <w:rsid w:val="0077749E"/>
    <w:rsid w:val="00781047"/>
    <w:rsid w:val="00783671"/>
    <w:rsid w:val="00790ADA"/>
    <w:rsid w:val="00790CC3"/>
    <w:rsid w:val="00794CD9"/>
    <w:rsid w:val="007977A2"/>
    <w:rsid w:val="007A05F6"/>
    <w:rsid w:val="007B14FE"/>
    <w:rsid w:val="007B55FA"/>
    <w:rsid w:val="007B6B9E"/>
    <w:rsid w:val="007C3E01"/>
    <w:rsid w:val="007C78AF"/>
    <w:rsid w:val="007D0239"/>
    <w:rsid w:val="007D2288"/>
    <w:rsid w:val="007D2DB7"/>
    <w:rsid w:val="007E088F"/>
    <w:rsid w:val="007E3FD6"/>
    <w:rsid w:val="007E65BF"/>
    <w:rsid w:val="007E7A64"/>
    <w:rsid w:val="007F1ACF"/>
    <w:rsid w:val="007F7B32"/>
    <w:rsid w:val="00800895"/>
    <w:rsid w:val="00804BC2"/>
    <w:rsid w:val="00807A29"/>
    <w:rsid w:val="00813757"/>
    <w:rsid w:val="0081431A"/>
    <w:rsid w:val="008179EE"/>
    <w:rsid w:val="00822EAB"/>
    <w:rsid w:val="0083216F"/>
    <w:rsid w:val="0083648A"/>
    <w:rsid w:val="0085565B"/>
    <w:rsid w:val="00860000"/>
    <w:rsid w:val="00860F9A"/>
    <w:rsid w:val="00863BD3"/>
    <w:rsid w:val="008641ED"/>
    <w:rsid w:val="00865547"/>
    <w:rsid w:val="00866D66"/>
    <w:rsid w:val="008671C6"/>
    <w:rsid w:val="00874F8B"/>
    <w:rsid w:val="00875803"/>
    <w:rsid w:val="00881780"/>
    <w:rsid w:val="008A0502"/>
    <w:rsid w:val="008B3447"/>
    <w:rsid w:val="008B459E"/>
    <w:rsid w:val="008B4DA7"/>
    <w:rsid w:val="008B6238"/>
    <w:rsid w:val="008D225A"/>
    <w:rsid w:val="008D26C1"/>
    <w:rsid w:val="008E13AE"/>
    <w:rsid w:val="008E1506"/>
    <w:rsid w:val="008E2158"/>
    <w:rsid w:val="008E3A22"/>
    <w:rsid w:val="008E710C"/>
    <w:rsid w:val="008F69D6"/>
    <w:rsid w:val="0090025E"/>
    <w:rsid w:val="00902823"/>
    <w:rsid w:val="009028AF"/>
    <w:rsid w:val="00903C1F"/>
    <w:rsid w:val="00906AB2"/>
    <w:rsid w:val="00911CB9"/>
    <w:rsid w:val="0091355C"/>
    <w:rsid w:val="00915CA6"/>
    <w:rsid w:val="00927834"/>
    <w:rsid w:val="00930772"/>
    <w:rsid w:val="00932E72"/>
    <w:rsid w:val="00933742"/>
    <w:rsid w:val="00933FF3"/>
    <w:rsid w:val="009373F2"/>
    <w:rsid w:val="00942B95"/>
    <w:rsid w:val="009500A6"/>
    <w:rsid w:val="00957C18"/>
    <w:rsid w:val="00957CCA"/>
    <w:rsid w:val="00961709"/>
    <w:rsid w:val="00961ED5"/>
    <w:rsid w:val="0096568D"/>
    <w:rsid w:val="009659BA"/>
    <w:rsid w:val="0096617E"/>
    <w:rsid w:val="00971575"/>
    <w:rsid w:val="00983040"/>
    <w:rsid w:val="009832CC"/>
    <w:rsid w:val="00983D14"/>
    <w:rsid w:val="009867A2"/>
    <w:rsid w:val="00987327"/>
    <w:rsid w:val="00992100"/>
    <w:rsid w:val="00993936"/>
    <w:rsid w:val="009A712B"/>
    <w:rsid w:val="009B3FB9"/>
    <w:rsid w:val="009C2465"/>
    <w:rsid w:val="009C462D"/>
    <w:rsid w:val="009C69F8"/>
    <w:rsid w:val="009D0164"/>
    <w:rsid w:val="009D35A0"/>
    <w:rsid w:val="009D7EB7"/>
    <w:rsid w:val="009E048A"/>
    <w:rsid w:val="009E08E9"/>
    <w:rsid w:val="009E3DB9"/>
    <w:rsid w:val="009E630E"/>
    <w:rsid w:val="009E6736"/>
    <w:rsid w:val="009E6E35"/>
    <w:rsid w:val="009E7C6F"/>
    <w:rsid w:val="009F0EDA"/>
    <w:rsid w:val="00A03B96"/>
    <w:rsid w:val="00A05B19"/>
    <w:rsid w:val="00A1134E"/>
    <w:rsid w:val="00A15B06"/>
    <w:rsid w:val="00A218DD"/>
    <w:rsid w:val="00A23296"/>
    <w:rsid w:val="00A24E7E"/>
    <w:rsid w:val="00A258C3"/>
    <w:rsid w:val="00A26C4E"/>
    <w:rsid w:val="00A31F11"/>
    <w:rsid w:val="00A347C0"/>
    <w:rsid w:val="00A3511D"/>
    <w:rsid w:val="00A40DDD"/>
    <w:rsid w:val="00A4625B"/>
    <w:rsid w:val="00A50653"/>
    <w:rsid w:val="00A50BC7"/>
    <w:rsid w:val="00A51431"/>
    <w:rsid w:val="00A52A58"/>
    <w:rsid w:val="00A536B3"/>
    <w:rsid w:val="00A539AD"/>
    <w:rsid w:val="00A54DB4"/>
    <w:rsid w:val="00A55565"/>
    <w:rsid w:val="00A6630D"/>
    <w:rsid w:val="00A67366"/>
    <w:rsid w:val="00A67A98"/>
    <w:rsid w:val="00A7107D"/>
    <w:rsid w:val="00A726E0"/>
    <w:rsid w:val="00A77719"/>
    <w:rsid w:val="00A77F12"/>
    <w:rsid w:val="00A81E87"/>
    <w:rsid w:val="00A82E79"/>
    <w:rsid w:val="00A83BA8"/>
    <w:rsid w:val="00A92334"/>
    <w:rsid w:val="00A94063"/>
    <w:rsid w:val="00AA0143"/>
    <w:rsid w:val="00AA4E10"/>
    <w:rsid w:val="00AA6219"/>
    <w:rsid w:val="00AA74E0"/>
    <w:rsid w:val="00AB32AC"/>
    <w:rsid w:val="00AB703F"/>
    <w:rsid w:val="00AC6BB8"/>
    <w:rsid w:val="00AD1613"/>
    <w:rsid w:val="00AD2D8A"/>
    <w:rsid w:val="00AE008F"/>
    <w:rsid w:val="00AE21BF"/>
    <w:rsid w:val="00AE5535"/>
    <w:rsid w:val="00AF52A6"/>
    <w:rsid w:val="00B01FCD"/>
    <w:rsid w:val="00B027A8"/>
    <w:rsid w:val="00B05FB9"/>
    <w:rsid w:val="00B14B1F"/>
    <w:rsid w:val="00B1776C"/>
    <w:rsid w:val="00B33931"/>
    <w:rsid w:val="00B40BBD"/>
    <w:rsid w:val="00B446A7"/>
    <w:rsid w:val="00B47510"/>
    <w:rsid w:val="00B50DCA"/>
    <w:rsid w:val="00B52583"/>
    <w:rsid w:val="00B52896"/>
    <w:rsid w:val="00B55FA7"/>
    <w:rsid w:val="00B62CAE"/>
    <w:rsid w:val="00B636C1"/>
    <w:rsid w:val="00B66744"/>
    <w:rsid w:val="00B70D8C"/>
    <w:rsid w:val="00B84285"/>
    <w:rsid w:val="00B85BB8"/>
    <w:rsid w:val="00B91B8B"/>
    <w:rsid w:val="00B921C0"/>
    <w:rsid w:val="00B95236"/>
    <w:rsid w:val="00B96BD9"/>
    <w:rsid w:val="00BA1B01"/>
    <w:rsid w:val="00BA2641"/>
    <w:rsid w:val="00BA4C69"/>
    <w:rsid w:val="00BB2983"/>
    <w:rsid w:val="00BB3167"/>
    <w:rsid w:val="00BB37AA"/>
    <w:rsid w:val="00BC3619"/>
    <w:rsid w:val="00BC53A0"/>
    <w:rsid w:val="00BD4917"/>
    <w:rsid w:val="00BD74E5"/>
    <w:rsid w:val="00BE0AA9"/>
    <w:rsid w:val="00BE0F23"/>
    <w:rsid w:val="00BE5530"/>
    <w:rsid w:val="00BE62AD"/>
    <w:rsid w:val="00BE736F"/>
    <w:rsid w:val="00BF121F"/>
    <w:rsid w:val="00BF1F80"/>
    <w:rsid w:val="00BF3933"/>
    <w:rsid w:val="00C1025A"/>
    <w:rsid w:val="00C14239"/>
    <w:rsid w:val="00C166EF"/>
    <w:rsid w:val="00C17EB0"/>
    <w:rsid w:val="00C24C11"/>
    <w:rsid w:val="00C27F5F"/>
    <w:rsid w:val="00C30A0F"/>
    <w:rsid w:val="00C37E61"/>
    <w:rsid w:val="00C43701"/>
    <w:rsid w:val="00C43E5E"/>
    <w:rsid w:val="00C45C26"/>
    <w:rsid w:val="00C564B3"/>
    <w:rsid w:val="00C6354B"/>
    <w:rsid w:val="00C678EC"/>
    <w:rsid w:val="00C70F1B"/>
    <w:rsid w:val="00C71A47"/>
    <w:rsid w:val="00C727DC"/>
    <w:rsid w:val="00C7464C"/>
    <w:rsid w:val="00C8531D"/>
    <w:rsid w:val="00C85588"/>
    <w:rsid w:val="00C95BBD"/>
    <w:rsid w:val="00CA1217"/>
    <w:rsid w:val="00CA5FE8"/>
    <w:rsid w:val="00CC2458"/>
    <w:rsid w:val="00CC738F"/>
    <w:rsid w:val="00CD5BA1"/>
    <w:rsid w:val="00CD6755"/>
    <w:rsid w:val="00CD6856"/>
    <w:rsid w:val="00CE0089"/>
    <w:rsid w:val="00CE04C3"/>
    <w:rsid w:val="00CE793C"/>
    <w:rsid w:val="00CF08C5"/>
    <w:rsid w:val="00CF193C"/>
    <w:rsid w:val="00D01A6F"/>
    <w:rsid w:val="00D146D2"/>
    <w:rsid w:val="00D173F1"/>
    <w:rsid w:val="00D6555E"/>
    <w:rsid w:val="00D7394A"/>
    <w:rsid w:val="00D74CB0"/>
    <w:rsid w:val="00D75431"/>
    <w:rsid w:val="00D7716B"/>
    <w:rsid w:val="00D8295D"/>
    <w:rsid w:val="00D83CA3"/>
    <w:rsid w:val="00D848C1"/>
    <w:rsid w:val="00D84BFC"/>
    <w:rsid w:val="00D87F1A"/>
    <w:rsid w:val="00DA03B4"/>
    <w:rsid w:val="00DC1BD9"/>
    <w:rsid w:val="00DC1FD2"/>
    <w:rsid w:val="00DC2A65"/>
    <w:rsid w:val="00DD112C"/>
    <w:rsid w:val="00DD1EA1"/>
    <w:rsid w:val="00DD2748"/>
    <w:rsid w:val="00DE149D"/>
    <w:rsid w:val="00DE15F0"/>
    <w:rsid w:val="00DE5663"/>
    <w:rsid w:val="00DE78AA"/>
    <w:rsid w:val="00E053D0"/>
    <w:rsid w:val="00E133CE"/>
    <w:rsid w:val="00E15994"/>
    <w:rsid w:val="00E21CAF"/>
    <w:rsid w:val="00E22269"/>
    <w:rsid w:val="00E22A10"/>
    <w:rsid w:val="00E3114E"/>
    <w:rsid w:val="00E31A70"/>
    <w:rsid w:val="00E35B02"/>
    <w:rsid w:val="00E432DE"/>
    <w:rsid w:val="00E43588"/>
    <w:rsid w:val="00E602AF"/>
    <w:rsid w:val="00E64527"/>
    <w:rsid w:val="00E66496"/>
    <w:rsid w:val="00E66B35"/>
    <w:rsid w:val="00E66E10"/>
    <w:rsid w:val="00E73893"/>
    <w:rsid w:val="00E75BFB"/>
    <w:rsid w:val="00E769F6"/>
    <w:rsid w:val="00E830CC"/>
    <w:rsid w:val="00E8407C"/>
    <w:rsid w:val="00E84F3C"/>
    <w:rsid w:val="00E91250"/>
    <w:rsid w:val="00E97D8B"/>
    <w:rsid w:val="00EA012C"/>
    <w:rsid w:val="00EB5C1B"/>
    <w:rsid w:val="00EC0B72"/>
    <w:rsid w:val="00EC1D2C"/>
    <w:rsid w:val="00EC5776"/>
    <w:rsid w:val="00EC5AA5"/>
    <w:rsid w:val="00EC6A55"/>
    <w:rsid w:val="00ED0288"/>
    <w:rsid w:val="00ED1D3B"/>
    <w:rsid w:val="00ED4571"/>
    <w:rsid w:val="00ED61C2"/>
    <w:rsid w:val="00EE52CB"/>
    <w:rsid w:val="00EE67B8"/>
    <w:rsid w:val="00EF20CF"/>
    <w:rsid w:val="00EF581D"/>
    <w:rsid w:val="00EF5C05"/>
    <w:rsid w:val="00EF5FB9"/>
    <w:rsid w:val="00EF7FD8"/>
    <w:rsid w:val="00F06F59"/>
    <w:rsid w:val="00F13A2E"/>
    <w:rsid w:val="00F17988"/>
    <w:rsid w:val="00F45847"/>
    <w:rsid w:val="00F469F0"/>
    <w:rsid w:val="00F478AC"/>
    <w:rsid w:val="00F53004"/>
    <w:rsid w:val="00F53273"/>
    <w:rsid w:val="00F6401B"/>
    <w:rsid w:val="00F64DF4"/>
    <w:rsid w:val="00F67162"/>
    <w:rsid w:val="00F755E4"/>
    <w:rsid w:val="00F77222"/>
    <w:rsid w:val="00F77D02"/>
    <w:rsid w:val="00F821A4"/>
    <w:rsid w:val="00FA0E27"/>
    <w:rsid w:val="00FA40E3"/>
    <w:rsid w:val="00FB0111"/>
    <w:rsid w:val="00FB3A86"/>
    <w:rsid w:val="00FB6045"/>
    <w:rsid w:val="00FC0CB5"/>
    <w:rsid w:val="00FD1990"/>
    <w:rsid w:val="00FD36C8"/>
    <w:rsid w:val="00FE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14A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F67162"/>
    <w:rPr>
      <w:b/>
      <w:bCs/>
    </w:rPr>
  </w:style>
  <w:style w:type="table" w:customStyle="1" w:styleId="3">
    <w:name w:val="3"/>
    <w:basedOn w:val="TableNormal"/>
    <w:rsid w:val="001B3013"/>
    <w:rPr>
      <w:rFonts w:ascii="Calibri" w:eastAsia="Calibri" w:hAnsi="Calibri" w:cs="Calibri"/>
      <w:sz w:val="22"/>
      <w:szCs w:val="22"/>
      <w:lang w:eastAsia="fr-FR"/>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
    <w:name w:val="1"/>
    <w:basedOn w:val="TableNormal"/>
    <w:rsid w:val="00703EF3"/>
    <w:rPr>
      <w:rFonts w:ascii="Calibri" w:eastAsia="Calibri" w:hAnsi="Calibri" w:cs="Calibri"/>
      <w:sz w:val="22"/>
      <w:szCs w:val="22"/>
      <w:lang w:eastAsia="fr-FR"/>
      <w14:ligatures w14:val="standardContextual"/>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9373F2"/>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623A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33F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1B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A0C1-B540-4C70-B1AB-270D1FFEF77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17488</Words>
  <Characters>99688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116943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2025-08-10T10:40:00Z</dcterms:created>
  <dcterms:modified xsi:type="dcterms:W3CDTF">2025-08-11T07:12:00Z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id="6Wp5WXQd"/&gt;&lt;style id="http://www.zotero.org/styles/apa" locale="en-US" hasBibliography="1" bibliographyStyleHasBeenSet="1"/&gt;&lt;prefs&gt;&lt;pref name="fieldType" value="Field"/&gt;&lt;/prefs&gt;&lt;/data&gt;</vt:lpwstr>
  </property>
</Properties>
</file>