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62366" w14:textId="77777777" w:rsidR="004D7054" w:rsidRPr="004D7054" w:rsidRDefault="004D7054" w:rsidP="004D7054">
      <w:pPr>
        <w:pStyle w:val="Author"/>
        <w:spacing w:line="240" w:lineRule="auto"/>
        <w:ind w:left="142"/>
        <w:rPr>
          <w:rFonts w:ascii="Arial" w:hAnsi="Arial" w:cs="Arial"/>
          <w:bCs/>
          <w:i/>
          <w:iCs/>
          <w:kern w:val="28"/>
          <w:sz w:val="40"/>
          <w:u w:val="single"/>
        </w:rPr>
      </w:pPr>
      <w:r w:rsidRPr="004D7054">
        <w:rPr>
          <w:rFonts w:ascii="Arial" w:hAnsi="Arial" w:cs="Arial"/>
          <w:bCs/>
          <w:i/>
          <w:iCs/>
          <w:kern w:val="28"/>
          <w:sz w:val="40"/>
          <w:u w:val="single"/>
        </w:rPr>
        <w:t>Review Article</w:t>
      </w:r>
    </w:p>
    <w:p w14:paraId="604D471C" w14:textId="5D00FAE6" w:rsidR="00A258C3" w:rsidRDefault="00164C09" w:rsidP="00DF1EE7">
      <w:pPr>
        <w:pStyle w:val="Author"/>
        <w:spacing w:line="240" w:lineRule="auto"/>
        <w:ind w:left="142"/>
        <w:jc w:val="both"/>
        <w:rPr>
          <w:rFonts w:ascii="Arial" w:hAnsi="Arial" w:cs="Arial"/>
          <w:bCs/>
          <w:iCs/>
          <w:kern w:val="28"/>
          <w:sz w:val="36"/>
        </w:rPr>
      </w:pPr>
      <w:r>
        <w:rPr>
          <w:rFonts w:ascii="Arial" w:hAnsi="Arial" w:cs="Arial"/>
          <w:bCs/>
          <w:iCs/>
          <w:kern w:val="28"/>
          <w:sz w:val="36"/>
        </w:rPr>
        <w:t xml:space="preserve">A review on </w:t>
      </w:r>
      <w:r w:rsidRPr="00164C09">
        <w:rPr>
          <w:rFonts w:ascii="Arial" w:hAnsi="Arial" w:cs="Arial"/>
          <w:bCs/>
          <w:iCs/>
          <w:kern w:val="28"/>
          <w:sz w:val="36"/>
        </w:rPr>
        <w:t>HIV</w:t>
      </w:r>
      <w:r w:rsidR="0058558B">
        <w:rPr>
          <w:rFonts w:ascii="Arial" w:hAnsi="Arial" w:cs="Arial"/>
          <w:bCs/>
          <w:iCs/>
          <w:kern w:val="28"/>
          <w:sz w:val="36"/>
        </w:rPr>
        <w:t xml:space="preserve"> transmission</w:t>
      </w:r>
      <w:r>
        <w:rPr>
          <w:rFonts w:ascii="Arial" w:hAnsi="Arial" w:cs="Arial"/>
          <w:bCs/>
          <w:iCs/>
          <w:kern w:val="28"/>
          <w:sz w:val="36"/>
        </w:rPr>
        <w:t xml:space="preserve"> in</w:t>
      </w:r>
      <w:r w:rsidRPr="00164C09">
        <w:rPr>
          <w:rFonts w:ascii="Arial" w:hAnsi="Arial" w:cs="Arial"/>
          <w:bCs/>
          <w:iCs/>
          <w:kern w:val="28"/>
          <w:sz w:val="36"/>
        </w:rPr>
        <w:t xml:space="preserve"> the female reproductive tract</w:t>
      </w:r>
      <w:r>
        <w:rPr>
          <w:rFonts w:ascii="Arial" w:hAnsi="Arial" w:cs="Arial"/>
          <w:bCs/>
          <w:iCs/>
          <w:kern w:val="28"/>
          <w:sz w:val="36"/>
        </w:rPr>
        <w:t xml:space="preserve"> and preformulation considerations</w:t>
      </w:r>
      <w:r w:rsidR="00174320">
        <w:rPr>
          <w:rFonts w:ascii="Arial" w:hAnsi="Arial" w:cs="Arial"/>
          <w:bCs/>
          <w:iCs/>
          <w:kern w:val="28"/>
          <w:sz w:val="36"/>
        </w:rPr>
        <w:t xml:space="preserve"> for </w:t>
      </w:r>
      <w:r w:rsidR="0058558B">
        <w:rPr>
          <w:rFonts w:ascii="Arial" w:hAnsi="Arial" w:cs="Arial"/>
          <w:bCs/>
          <w:iCs/>
          <w:kern w:val="28"/>
          <w:sz w:val="36"/>
        </w:rPr>
        <w:t xml:space="preserve">intravaginal drug delivery </w:t>
      </w:r>
      <w:r w:rsidR="004E3CB2">
        <w:rPr>
          <w:rFonts w:ascii="Arial" w:hAnsi="Arial" w:cs="Arial"/>
          <w:bCs/>
          <w:iCs/>
          <w:kern w:val="28"/>
          <w:sz w:val="36"/>
        </w:rPr>
        <w:t>of</w:t>
      </w:r>
      <w:r w:rsidR="0058558B">
        <w:rPr>
          <w:rFonts w:ascii="Arial" w:hAnsi="Arial" w:cs="Arial"/>
          <w:bCs/>
          <w:iCs/>
          <w:kern w:val="28"/>
          <w:sz w:val="36"/>
        </w:rPr>
        <w:t xml:space="preserve"> </w:t>
      </w:r>
      <w:r w:rsidR="00174320">
        <w:rPr>
          <w:rFonts w:ascii="Arial" w:hAnsi="Arial" w:cs="Arial"/>
          <w:bCs/>
          <w:iCs/>
          <w:kern w:val="28"/>
          <w:sz w:val="36"/>
        </w:rPr>
        <w:t>prevention technologies</w:t>
      </w:r>
    </w:p>
    <w:p w14:paraId="7A4BE3AA" w14:textId="77777777" w:rsidR="00296FAA" w:rsidRDefault="00296FAA" w:rsidP="00441B6F">
      <w:pPr>
        <w:pStyle w:val="Author"/>
        <w:spacing w:line="240" w:lineRule="auto"/>
        <w:jc w:val="both"/>
        <w:rPr>
          <w:rFonts w:ascii="Arial" w:hAnsi="Arial" w:cs="Arial"/>
          <w:bCs/>
          <w:iCs/>
          <w:kern w:val="28"/>
          <w:sz w:val="36"/>
        </w:rPr>
      </w:pPr>
    </w:p>
    <w:p w14:paraId="2930D69E" w14:textId="04E043DB" w:rsidR="004D7054" w:rsidRPr="00424953" w:rsidRDefault="004D7054" w:rsidP="004D7054">
      <w:pPr>
        <w:pStyle w:val="Affiliation"/>
        <w:spacing w:after="0" w:line="240" w:lineRule="auto"/>
        <w:rPr>
          <w:rFonts w:ascii="Arial" w:hAnsi="Arial" w:cs="Arial"/>
          <w:i/>
        </w:rPr>
      </w:pPr>
      <w:r>
        <w:rPr>
          <w:rFonts w:ascii="Arial" w:hAnsi="Arial" w:cs="Arial"/>
          <w:i/>
        </w:rPr>
        <w:t xml:space="preserve"> </w:t>
      </w:r>
    </w:p>
    <w:p w14:paraId="242DA7F6" w14:textId="21E7C21B" w:rsidR="00790ADA" w:rsidRDefault="00790ADA" w:rsidP="00424953">
      <w:pPr>
        <w:pStyle w:val="Affiliation"/>
        <w:spacing w:after="0" w:line="240" w:lineRule="auto"/>
        <w:rPr>
          <w:rFonts w:ascii="Arial" w:hAnsi="Arial" w:cs="Arial"/>
        </w:rPr>
      </w:pPr>
    </w:p>
    <w:p w14:paraId="069147C3" w14:textId="77777777" w:rsidR="002C57D2" w:rsidRPr="00FB3A86" w:rsidRDefault="002C57D2" w:rsidP="00441B6F">
      <w:pPr>
        <w:pStyle w:val="Affiliation"/>
        <w:spacing w:after="0" w:line="240" w:lineRule="auto"/>
        <w:jc w:val="both"/>
        <w:rPr>
          <w:rFonts w:ascii="Arial" w:hAnsi="Arial" w:cs="Arial"/>
        </w:rPr>
      </w:pPr>
    </w:p>
    <w:p w14:paraId="6D31F70E" w14:textId="6CA57FA5" w:rsidR="00790ADA" w:rsidRPr="00FB3A86" w:rsidRDefault="003D7C8F" w:rsidP="000A64DC">
      <w:pPr>
        <w:pStyle w:val="Copyright"/>
        <w:spacing w:after="0" w:line="240" w:lineRule="auto"/>
        <w:jc w:val="both"/>
        <w:rPr>
          <w:rFonts w:ascii="Arial" w:hAnsi="Arial" w:cs="Arial"/>
        </w:rPr>
      </w:pPr>
      <w:r>
        <w:rPr>
          <w:rFonts w:ascii="Arial" w:hAnsi="Arial" w:cs="Arial"/>
          <w:noProof/>
        </w:rPr>
        <mc:AlternateContent>
          <mc:Choice Requires="wps">
            <w:drawing>
              <wp:inline distT="0" distB="0" distL="0" distR="0" wp14:anchorId="51046787" wp14:editId="5747F48F">
                <wp:extent cx="5303520" cy="635"/>
                <wp:effectExtent l="13335" t="17145" r="17145" b="11430"/>
                <wp:docPr id="183764550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9B7784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F46824A" w14:textId="77777777" w:rsidTr="00276A22">
        <w:trPr>
          <w:trHeight w:val="3221"/>
        </w:trPr>
        <w:tc>
          <w:tcPr>
            <w:tcW w:w="9576" w:type="dxa"/>
            <w:shd w:val="clear" w:color="auto" w:fill="F2F2F2"/>
          </w:tcPr>
          <w:p w14:paraId="349AF8AE" w14:textId="6FAC911C" w:rsidR="00E3114E" w:rsidRPr="00296FAA" w:rsidRDefault="00E3114E" w:rsidP="00DF1EE7">
            <w:pPr>
              <w:pStyle w:val="Body"/>
              <w:spacing w:after="0"/>
              <w:contextualSpacing/>
              <w:rPr>
                <w:rFonts w:ascii="Arial" w:hAnsi="Arial" w:cs="Arial"/>
                <w:b/>
                <w:caps/>
                <w:sz w:val="22"/>
              </w:rPr>
            </w:pPr>
            <w:r w:rsidRPr="00296FAA">
              <w:rPr>
                <w:rFonts w:ascii="Arial" w:hAnsi="Arial" w:cs="Arial"/>
                <w:b/>
                <w:caps/>
                <w:sz w:val="22"/>
              </w:rPr>
              <w:t>ABSTRACT:</w:t>
            </w:r>
          </w:p>
          <w:p w14:paraId="27DB3329" w14:textId="7627BC09" w:rsidR="00505F06" w:rsidRPr="00BA1B01" w:rsidRDefault="003E187D" w:rsidP="00DF1EE7">
            <w:pPr>
              <w:contextualSpacing/>
              <w:jc w:val="both"/>
              <w:rPr>
                <w:rFonts w:ascii="Arial" w:eastAsia="Calibri" w:hAnsi="Arial" w:cs="Arial"/>
                <w:szCs w:val="22"/>
              </w:rPr>
            </w:pPr>
            <w:r w:rsidRPr="005C0284">
              <w:rPr>
                <w:rFonts w:ascii="Arial" w:eastAsia="Calibri" w:hAnsi="Arial" w:cs="Arial"/>
                <w:bCs/>
                <w:szCs w:val="22"/>
              </w:rPr>
              <w:t>The female reproductive tract consists of several</w:t>
            </w:r>
            <w:r w:rsidR="005C0284">
              <w:rPr>
                <w:rFonts w:ascii="Arial" w:eastAsia="Calibri" w:hAnsi="Arial" w:cs="Arial"/>
                <w:bCs/>
                <w:szCs w:val="22"/>
              </w:rPr>
              <w:t xml:space="preserve"> anatomical and </w:t>
            </w:r>
            <w:r w:rsidR="005D0279">
              <w:rPr>
                <w:rFonts w:ascii="Arial" w:eastAsia="Calibri" w:hAnsi="Arial" w:cs="Arial"/>
                <w:bCs/>
                <w:szCs w:val="22"/>
              </w:rPr>
              <w:t>physiological</w:t>
            </w:r>
            <w:r w:rsidRPr="005C0284">
              <w:rPr>
                <w:rFonts w:ascii="Arial" w:eastAsia="Calibri" w:hAnsi="Arial" w:cs="Arial"/>
                <w:bCs/>
                <w:szCs w:val="22"/>
              </w:rPr>
              <w:t xml:space="preserve"> features that present high risk for HIV and sexually transmitted infections in women</w:t>
            </w:r>
            <w:r w:rsidR="005C0284" w:rsidRPr="005C0284">
              <w:rPr>
                <w:rFonts w:ascii="Arial" w:eastAsia="Calibri" w:hAnsi="Arial" w:cs="Arial"/>
                <w:bCs/>
                <w:szCs w:val="22"/>
              </w:rPr>
              <w:t>.</w:t>
            </w:r>
            <w:r w:rsidR="005C0284">
              <w:rPr>
                <w:rFonts w:ascii="Arial" w:eastAsia="Calibri" w:hAnsi="Arial" w:cs="Arial"/>
                <w:b/>
                <w:szCs w:val="22"/>
              </w:rPr>
              <w:t xml:space="preserve"> </w:t>
            </w:r>
            <w:r w:rsidR="005C0284" w:rsidRPr="005C0284">
              <w:rPr>
                <w:rFonts w:ascii="Arial" w:eastAsia="Calibri" w:hAnsi="Arial" w:cs="Arial"/>
                <w:bCs/>
                <w:szCs w:val="22"/>
              </w:rPr>
              <w:t>Clinical and epidemiological research has shown</w:t>
            </w:r>
            <w:r w:rsidR="005C0284">
              <w:rPr>
                <w:rFonts w:ascii="Arial" w:eastAsia="Calibri" w:hAnsi="Arial" w:cs="Arial"/>
                <w:bCs/>
                <w:szCs w:val="22"/>
              </w:rPr>
              <w:t xml:space="preserve"> significant</w:t>
            </w:r>
            <w:r w:rsidR="005C0284" w:rsidRPr="005C0284">
              <w:rPr>
                <w:rFonts w:ascii="Arial" w:eastAsia="Calibri" w:hAnsi="Arial" w:cs="Arial"/>
                <w:bCs/>
                <w:szCs w:val="22"/>
              </w:rPr>
              <w:t xml:space="preserve"> </w:t>
            </w:r>
            <w:r w:rsidR="005C0284">
              <w:rPr>
                <w:rFonts w:ascii="Arial" w:eastAsia="Calibri" w:hAnsi="Arial" w:cs="Arial"/>
                <w:bCs/>
                <w:szCs w:val="22"/>
              </w:rPr>
              <w:t>variation</w:t>
            </w:r>
            <w:r w:rsidR="005C0284" w:rsidRPr="005C0284">
              <w:rPr>
                <w:rFonts w:ascii="Arial" w:eastAsia="Calibri" w:hAnsi="Arial" w:cs="Arial"/>
                <w:bCs/>
                <w:szCs w:val="22"/>
              </w:rPr>
              <w:t xml:space="preserve"> in risk of transmission and co-infections for different age groups and pregnancy status.</w:t>
            </w:r>
            <w:r w:rsidR="005C0284">
              <w:rPr>
                <w:rFonts w:ascii="Arial" w:eastAsia="Calibri" w:hAnsi="Arial" w:cs="Arial"/>
                <w:b/>
                <w:szCs w:val="22"/>
              </w:rPr>
              <w:t xml:space="preserve"> </w:t>
            </w:r>
            <w:r w:rsidR="005C0284" w:rsidRPr="005C0284">
              <w:rPr>
                <w:rFonts w:ascii="Arial" w:eastAsia="Calibri" w:hAnsi="Arial" w:cs="Arial"/>
                <w:bCs/>
                <w:szCs w:val="22"/>
              </w:rPr>
              <w:t>Around 63% of all newly acquired HIV infections are in women aged 15-24 years</w:t>
            </w:r>
            <w:r w:rsidR="005C0284">
              <w:rPr>
                <w:rFonts w:ascii="Arial" w:eastAsia="Calibri" w:hAnsi="Arial" w:cs="Arial"/>
                <w:bCs/>
                <w:szCs w:val="22"/>
              </w:rPr>
              <w:t xml:space="preserve"> and </w:t>
            </w:r>
            <w:r w:rsidR="005C0284" w:rsidRPr="005C0284">
              <w:rPr>
                <w:rFonts w:ascii="Arial" w:eastAsia="Calibri" w:hAnsi="Arial" w:cs="Arial"/>
                <w:bCs/>
                <w:szCs w:val="22"/>
              </w:rPr>
              <w:t>access to prevention product options that are safe, user friendly and comfortable</w:t>
            </w:r>
            <w:r w:rsidR="005C0284">
              <w:rPr>
                <w:rFonts w:ascii="Arial" w:eastAsia="Calibri" w:hAnsi="Arial" w:cs="Arial"/>
                <w:bCs/>
                <w:szCs w:val="22"/>
              </w:rPr>
              <w:t xml:space="preserve"> remains low</w:t>
            </w:r>
            <w:r w:rsidR="005C0284" w:rsidRPr="005C0284">
              <w:rPr>
                <w:rFonts w:ascii="Arial" w:eastAsia="Calibri" w:hAnsi="Arial" w:cs="Arial"/>
                <w:bCs/>
                <w:szCs w:val="22"/>
              </w:rPr>
              <w:t>. Design and development of intravaginal drug delivery products provides better option for discreet and user-friendly methods for HIV prevention in women. Products that have good bio adhesive properties, optimal mucosal penetration, controlled release, high efficacy in inflamed vaginal conditions can improve HIV prevention in this target group.</w:t>
            </w:r>
            <w:r w:rsidR="005C0284">
              <w:rPr>
                <w:rFonts w:ascii="Arial" w:eastAsia="Calibri" w:hAnsi="Arial" w:cs="Arial"/>
                <w:bCs/>
                <w:szCs w:val="22"/>
              </w:rPr>
              <w:t xml:space="preserve"> Key preformulation considerations must be taken to achieve optimal delivery of safe microbicides vaginal route and to further development of products in this category.</w:t>
            </w:r>
          </w:p>
        </w:tc>
      </w:tr>
    </w:tbl>
    <w:p w14:paraId="6F0114EA" w14:textId="77777777" w:rsidR="00636EB2" w:rsidRDefault="00636EB2" w:rsidP="00441B6F">
      <w:pPr>
        <w:pStyle w:val="Body"/>
        <w:spacing w:after="0"/>
        <w:rPr>
          <w:rFonts w:ascii="Arial" w:hAnsi="Arial" w:cs="Arial"/>
          <w:i/>
        </w:rPr>
      </w:pPr>
    </w:p>
    <w:p w14:paraId="178C5284" w14:textId="2590E015" w:rsidR="00A24E7E" w:rsidRDefault="00A24E7E" w:rsidP="00441B6F">
      <w:pPr>
        <w:pStyle w:val="Body"/>
        <w:spacing w:after="0"/>
        <w:rPr>
          <w:rFonts w:ascii="Arial" w:hAnsi="Arial" w:cs="Arial"/>
          <w:i/>
        </w:rPr>
      </w:pPr>
      <w:r>
        <w:rPr>
          <w:rFonts w:ascii="Arial" w:hAnsi="Arial" w:cs="Arial"/>
          <w:i/>
        </w:rPr>
        <w:t>Keywords:</w:t>
      </w:r>
      <w:r w:rsidR="00620292">
        <w:rPr>
          <w:rFonts w:ascii="Arial" w:hAnsi="Arial" w:cs="Arial"/>
          <w:i/>
        </w:rPr>
        <w:t xml:space="preserve"> </w:t>
      </w:r>
      <w:r w:rsidR="00CF2777">
        <w:rPr>
          <w:rFonts w:ascii="Arial" w:hAnsi="Arial" w:cs="Arial"/>
          <w:i/>
        </w:rPr>
        <w:t>microbicides, HIV transmission,</w:t>
      </w:r>
      <w:r w:rsidR="00CF2777" w:rsidRPr="00CF2777">
        <w:t xml:space="preserve"> </w:t>
      </w:r>
      <w:r w:rsidR="00CF2777" w:rsidRPr="00CF2777">
        <w:rPr>
          <w:rFonts w:ascii="Arial" w:hAnsi="Arial" w:cs="Arial"/>
          <w:i/>
        </w:rPr>
        <w:t>female reproductive tract</w:t>
      </w:r>
      <w:r w:rsidR="00CF2777">
        <w:rPr>
          <w:rFonts w:ascii="Arial" w:hAnsi="Arial" w:cs="Arial"/>
          <w:i/>
        </w:rPr>
        <w:t xml:space="preserve">, </w:t>
      </w:r>
      <w:r w:rsidR="00CF2777" w:rsidRPr="00CF2777">
        <w:rPr>
          <w:rFonts w:ascii="Arial" w:hAnsi="Arial" w:cs="Arial"/>
          <w:i/>
        </w:rPr>
        <w:t>cervicovaginal mucous</w:t>
      </w:r>
      <w:r w:rsidR="0066510A">
        <w:rPr>
          <w:rFonts w:ascii="Arial" w:hAnsi="Arial" w:cs="Arial"/>
          <w:i/>
        </w:rPr>
        <w:t xml:space="preserve"> </w:t>
      </w:r>
    </w:p>
    <w:p w14:paraId="6F05AAA6" w14:textId="77777777" w:rsidR="00DF1EE7" w:rsidRDefault="00DF1EE7" w:rsidP="00441B6F">
      <w:pPr>
        <w:pStyle w:val="Body"/>
        <w:spacing w:after="0"/>
        <w:rPr>
          <w:rFonts w:ascii="Arial" w:hAnsi="Arial" w:cs="Arial"/>
          <w:i/>
        </w:rPr>
      </w:pPr>
    </w:p>
    <w:p w14:paraId="47BDDF79" w14:textId="77777777" w:rsidR="00DF1EE7" w:rsidRDefault="00DF1EE7" w:rsidP="00441B6F">
      <w:pPr>
        <w:pStyle w:val="Body"/>
        <w:spacing w:after="0"/>
        <w:rPr>
          <w:rFonts w:ascii="Arial" w:hAnsi="Arial" w:cs="Arial"/>
          <w:i/>
        </w:rPr>
      </w:pPr>
    </w:p>
    <w:p w14:paraId="71ED3773" w14:textId="77777777" w:rsidR="00DF1EE7" w:rsidRDefault="00DF1EE7" w:rsidP="00DF1EE7">
      <w:pPr>
        <w:autoSpaceDE w:val="0"/>
        <w:autoSpaceDN w:val="0"/>
        <w:adjustRightInd w:val="0"/>
        <w:jc w:val="both"/>
        <w:rPr>
          <w:rFonts w:ascii="TimesNewRomanPSMT" w:hAnsi="TimesNewRomanPSMT" w:cs="TimesNewRomanPSMT"/>
          <w:sz w:val="19"/>
          <w:szCs w:val="19"/>
        </w:rPr>
      </w:pPr>
    </w:p>
    <w:p w14:paraId="4AE51845" w14:textId="77777777" w:rsidR="00505F06" w:rsidRPr="00A24E7E" w:rsidRDefault="00505F06" w:rsidP="00441B6F">
      <w:pPr>
        <w:pStyle w:val="Body"/>
        <w:spacing w:after="0"/>
        <w:rPr>
          <w:rFonts w:ascii="Arial" w:hAnsi="Arial" w:cs="Arial"/>
          <w:i/>
        </w:rPr>
      </w:pPr>
    </w:p>
    <w:p w14:paraId="51E0F27F" w14:textId="3A4584AD" w:rsidR="007F7B32" w:rsidRDefault="00902823" w:rsidP="000A64DC">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DC3CD66" w14:textId="77777777" w:rsidR="00790ADA" w:rsidRPr="00FB3A86" w:rsidRDefault="00790ADA" w:rsidP="00441B6F">
      <w:pPr>
        <w:pStyle w:val="AbstHead"/>
        <w:spacing w:after="0"/>
        <w:jc w:val="both"/>
        <w:rPr>
          <w:rFonts w:ascii="Arial" w:hAnsi="Arial" w:cs="Arial"/>
        </w:rPr>
      </w:pPr>
    </w:p>
    <w:p w14:paraId="216C5D03" w14:textId="33A4EE64" w:rsidR="00CF2777" w:rsidRPr="00CF2777" w:rsidRDefault="00CF2777" w:rsidP="00424953">
      <w:pPr>
        <w:pStyle w:val="Body"/>
        <w:contextualSpacing/>
        <w:rPr>
          <w:rFonts w:ascii="Arial" w:hAnsi="Arial" w:cs="Arial"/>
        </w:rPr>
      </w:pPr>
      <w:r>
        <w:rPr>
          <w:rFonts w:ascii="Arial" w:hAnsi="Arial" w:cs="Arial"/>
        </w:rPr>
        <w:t>Human immune deficiency virus (</w:t>
      </w:r>
      <w:r w:rsidRPr="00CF2777">
        <w:rPr>
          <w:rFonts w:ascii="Arial" w:hAnsi="Arial" w:cs="Arial"/>
        </w:rPr>
        <w:t>HIV</w:t>
      </w:r>
      <w:r>
        <w:rPr>
          <w:rFonts w:ascii="Arial" w:hAnsi="Arial" w:cs="Arial"/>
        </w:rPr>
        <w:t>)</w:t>
      </w:r>
      <w:r w:rsidRPr="00CF2777">
        <w:rPr>
          <w:rFonts w:ascii="Arial" w:hAnsi="Arial" w:cs="Arial"/>
        </w:rPr>
        <w:t xml:space="preserve"> acquired through heterosexual transmission remains a challenge to female reproductive health for lower middle-income countries remains particularly in the age ranges of 15-24 years</w:t>
      </w:r>
      <w:r w:rsidR="004B7059">
        <w:rPr>
          <w:rFonts w:ascii="Arial" w:hAnsi="Arial" w:cs="Arial"/>
        </w:rPr>
        <w:t xml:space="preserve"> </w:t>
      </w:r>
      <w:r w:rsidR="004B7059">
        <w:rPr>
          <w:rFonts w:ascii="Arial" w:hAnsi="Arial" w:cs="Arial"/>
        </w:rPr>
        <w:fldChar w:fldCharType="begin"/>
      </w:r>
      <w:r w:rsidR="004B7059">
        <w:rPr>
          <w:rFonts w:ascii="Arial" w:hAnsi="Arial" w:cs="Arial"/>
        </w:rPr>
        <w:instrText xml:space="preserve"> ADDIN ZOTERO_ITEM CSL_CITATION {"citationID":"q0Rr7GYn","properties":{"formattedCitation":"(1)","plainCitation":"(1)","noteIndex":0},"citationItems":[{"id":10,"uris":["http://zotero.org/users/local/HVWDw8n9/items/SNW9SFLX"],"itemData":{"id":10,"type":"document","publisher":"UNAIDS","title":"UNAIDS 2023 epidemiological estimates, UNAIDS","URL":"https://thepath.unaids.org/wp-content/themes/unaids2023/assets/files/2023_report.pdf","author":[{"family":"UNAIDS","given":""}],"accessed":{"date-parts":[["2024",4,16]]},"issued":{"date-parts":[["2023",5,11]]}}}],"schema":"https://github.com/citation-style-language/schema/raw/master/csl-citation.json"} </w:instrText>
      </w:r>
      <w:r w:rsidR="004B7059">
        <w:rPr>
          <w:rFonts w:ascii="Arial" w:hAnsi="Arial" w:cs="Arial"/>
        </w:rPr>
        <w:fldChar w:fldCharType="separate"/>
      </w:r>
      <w:r w:rsidR="004B7059" w:rsidRPr="004B7059">
        <w:rPr>
          <w:rFonts w:ascii="Arial" w:hAnsi="Arial" w:cs="Arial"/>
        </w:rPr>
        <w:t>(1)</w:t>
      </w:r>
      <w:r w:rsidR="004B7059">
        <w:rPr>
          <w:rFonts w:ascii="Arial" w:hAnsi="Arial" w:cs="Arial"/>
        </w:rPr>
        <w:fldChar w:fldCharType="end"/>
      </w:r>
      <w:r w:rsidRPr="00CF2777">
        <w:rPr>
          <w:rFonts w:ascii="Arial" w:hAnsi="Arial" w:cs="Arial"/>
        </w:rPr>
        <w:t>. In sub-Saharan Africa, adolescent, and young women have at least three times higher infection rates than the male counterparts. On average, 4,000 adolescent girls and young women acquire HIV every week, only 42% of districts with an inflated HIV incidence in Sub-Saharan Africa are currently covered with dedicated prevention programs for adolescent girls and young women</w:t>
      </w:r>
      <w:r w:rsidR="004B7059">
        <w:rPr>
          <w:rFonts w:ascii="Arial" w:hAnsi="Arial" w:cs="Arial"/>
        </w:rPr>
        <w:t xml:space="preserve"> </w:t>
      </w:r>
      <w:r w:rsidR="004B7059">
        <w:rPr>
          <w:rFonts w:ascii="Arial" w:hAnsi="Arial" w:cs="Arial"/>
        </w:rPr>
        <w:fldChar w:fldCharType="begin"/>
      </w:r>
      <w:r w:rsidR="004B7059">
        <w:rPr>
          <w:rFonts w:ascii="Arial" w:hAnsi="Arial" w:cs="Arial"/>
        </w:rPr>
        <w:instrText xml:space="preserve"> ADDIN ZOTERO_ITEM CSL_CITATION {"citationID":"jbeHl9DQ","properties":{"formattedCitation":"(1,2)","plainCitation":"(1,2)","noteIndex":0},"citationItems":[{"id":10,"uris":["http://zotero.org/users/local/HVWDw8n9/items/SNW9SFLX"],"itemData":{"id":10,"type":"document","publisher":"UNAIDS","title":"UNAIDS 2023 epidemiological estimates, UNAIDS","URL":"https://thepath.unaids.org/wp-content/themes/unaids2023/assets/files/2023_report.pdf","author":[{"family":"UNAIDS","given":""}],"accessed":{"date-parts":[["2024",4,16]]},"issued":{"date-parts":[["2023",5,11]]}}},{"id":9,"uris":["http://zotero.org/users/local/HVWDw8n9/items/CDFHINY5"],"itemData":{"id":9,"type":"article-journal","abstract":"Each year, supported by the Joint United Nations Programme on HIV/AIDS (UNAIDS), country teams across the globe produce estimates that chart the state of their  HIV epidemics. In 2023, HIV estimates were available for 174 countries,  accounting for 99% of the global population, of which teams from 150 countries  actively engaged in this process. The methods used to derive these estimates are  developed under the guidance of the UNAIDS Reference Group on Estimates,  Modeling, and Projections (www.epidem.org). Updates to these methods and  epidemiological analyses that inform parameters and assumptions are documented in  this supplement.","container-title":"Journal of acquired immune deficiency syndromes (1999)","DOI":"10.1097/QAI.0000000000003344","ISSN":"1944-7884 1525-4135","issue":"1S","journalAbbreviation":"J Acquir Immune Defic Syndr","language":"eng","license":"Copyright © 2023 The Author(s). Published by Wolters Kluwer Health, Inc.","note":"publisher-place: United States\nPMID: 38180734 \nPMCID: PMC10769173","page":"e1-e4","title":"Updated Data and Methods for the 2023 UNAIDS HIV Estimates.","volume":"95","author":[{"family":"Schalkwyk","given":"Cari","non-dropping-particle":"van"},{"family":"Mahy","given":"Mary"},{"family":"Johnson","given":"Leigh F."},{"family":"Imai-Eaton","given":"Jeffrey W."}],"issued":{"date-parts":[["2024",1,1]]}}}],"schema":"https://github.com/citation-style-language/schema/raw/master/csl-citation.json"} </w:instrText>
      </w:r>
      <w:r w:rsidR="004B7059">
        <w:rPr>
          <w:rFonts w:ascii="Arial" w:hAnsi="Arial" w:cs="Arial"/>
        </w:rPr>
        <w:fldChar w:fldCharType="separate"/>
      </w:r>
      <w:r w:rsidR="004B7059" w:rsidRPr="004B7059">
        <w:rPr>
          <w:rFonts w:ascii="Arial" w:hAnsi="Arial" w:cs="Arial"/>
        </w:rPr>
        <w:t>(1,2)</w:t>
      </w:r>
      <w:r w:rsidR="004B7059">
        <w:rPr>
          <w:rFonts w:ascii="Arial" w:hAnsi="Arial" w:cs="Arial"/>
        </w:rPr>
        <w:fldChar w:fldCharType="end"/>
      </w:r>
      <w:r w:rsidRPr="00CF2777">
        <w:rPr>
          <w:rFonts w:ascii="Arial" w:hAnsi="Arial" w:cs="Arial"/>
        </w:rPr>
        <w:t>.</w:t>
      </w:r>
    </w:p>
    <w:p w14:paraId="553904D8" w14:textId="5F12F1D3" w:rsidR="00CF2777" w:rsidRDefault="00CF2777" w:rsidP="00424953">
      <w:pPr>
        <w:pStyle w:val="Body"/>
        <w:contextualSpacing/>
        <w:rPr>
          <w:rFonts w:ascii="Arial" w:hAnsi="Arial" w:cs="Arial"/>
        </w:rPr>
      </w:pPr>
      <w:r w:rsidRPr="00CF2777">
        <w:rPr>
          <w:rFonts w:ascii="Arial" w:hAnsi="Arial" w:cs="Arial"/>
        </w:rPr>
        <w:t>Clinical research has proven the correlation between increased risk of co-infection of HIV and STIs, HIV transmission due to vaginal lesions and viral shedding, HIV and cervical cancer, fertility and HIV mother to child transmission during pregnancy</w:t>
      </w:r>
      <w:r w:rsidR="004B7059">
        <w:rPr>
          <w:rFonts w:ascii="Arial" w:hAnsi="Arial" w:cs="Arial"/>
        </w:rPr>
        <w:t xml:space="preserve"> </w:t>
      </w:r>
      <w:r w:rsidR="004B7059">
        <w:rPr>
          <w:rFonts w:ascii="Arial" w:hAnsi="Arial" w:cs="Arial"/>
        </w:rPr>
        <w:fldChar w:fldCharType="begin"/>
      </w:r>
      <w:r w:rsidR="004B7059">
        <w:rPr>
          <w:rFonts w:ascii="Arial" w:hAnsi="Arial" w:cs="Arial"/>
        </w:rPr>
        <w:instrText xml:space="preserve"> ADDIN ZOTERO_ITEM CSL_CITATION {"citationID":"tGAHGbRk","properties":{"formattedCitation":"(3)","plainCitation":"(3)","noteIndex":0},"citationItems":[{"id":94,"uris":["http://zotero.org/users/local/HVWDw8n9/items/GZDSFC9L"],"itemData":{"id":94,"type":"article-journal","abstract":"Citation Kaushic C. HIV-1 infection in the female reproductive tract: role of interactions between HIV-1 and genital epithelial cells. Am J Reprod Immunol 2011; 65: 253?260 Despite recent progress in understanding the mucosal transmission of human immunodeficiency virus (HIV)-1, the immediate events following transmission in the female genital tract are incompletely understood. Recent in vivo studies in primate models indicate that HIV-1 transmission may occur in the upper or lower genital tract and the initial HIV-1 replication occurs primarily in the target T cells and in some subsets of DCs localized in the genital tract. However, the principal mechanism(s) that allow the virus to cross the primary barrier of genital epithelial cells (GECs) are still unclear. A number of pathways have been proposed as possible ways that HIV-1 could use to cross the epithelium. However, little attention has been paid to the response of GECs to HIV-1. We recently demonstrated that exposure to HIV-1 rapidly upregulates a wide array of pro-inflammatory cytokine production by GECs. Among these cytokines, tumour necrosis factor (TNF)-α impaired the tight junction barrier allowing HIV-1 and luminal bacteria to translocate across the epithelium. This study illustrated that GECs are dynamically active cells that mount rapid host responses to HIV-1, independent of viral replication. Cytokine responses of GECs could play a critical role in HIV transmission and replication. Further understanding of GEC responses to HIV-1 and their regulation could be critical to understanding HIV-1 transmission dynamics during heterosexual transmission.","container-title":"American Journal of Reproductive Immunology","DOI":"10.1111/j.1600-0897.2010.00965.x","ISSN":"1046-7408","issue":"3","journalAbbreviation":"American Journal of Reproductive Immunology","note":"publisher: John Wiley &amp; Sons, Ltd","page":"253-260","title":"HIV-1 Infection in the Female Reproductive Tract: Role of Interactions between HIV-1 and Genital Epithelial Cells","volume":"65","author":[{"family":"Kaushic","given":"Charu"}],"issued":{"date-parts":[["2011",3,1]]}}}],"schema":"https://github.com/citation-style-language/schema/raw/master/csl-citation.json"} </w:instrText>
      </w:r>
      <w:r w:rsidR="004B7059">
        <w:rPr>
          <w:rFonts w:ascii="Arial" w:hAnsi="Arial" w:cs="Arial"/>
        </w:rPr>
        <w:fldChar w:fldCharType="separate"/>
      </w:r>
      <w:r w:rsidR="004B7059" w:rsidRPr="004B7059">
        <w:rPr>
          <w:rFonts w:ascii="Arial" w:hAnsi="Arial" w:cs="Arial"/>
        </w:rPr>
        <w:t>(3)</w:t>
      </w:r>
      <w:r w:rsidR="004B7059">
        <w:rPr>
          <w:rFonts w:ascii="Arial" w:hAnsi="Arial" w:cs="Arial"/>
        </w:rPr>
        <w:fldChar w:fldCharType="end"/>
      </w:r>
      <w:r w:rsidRPr="00CF2777">
        <w:rPr>
          <w:rFonts w:ascii="Arial" w:hAnsi="Arial" w:cs="Arial"/>
        </w:rPr>
        <w:t>. The objective to end the pandemic remains clear and with it comes opportunity for innovation and technology, not only in treatment, but in multipurpose prevention platforms that can reduce new HIV infections and address reproductive healthcare needs for women.</w:t>
      </w:r>
    </w:p>
    <w:p w14:paraId="79A1F356" w14:textId="77777777" w:rsidR="00424953" w:rsidRPr="00CF2777" w:rsidRDefault="00424953" w:rsidP="00424953">
      <w:pPr>
        <w:pStyle w:val="Body"/>
        <w:contextualSpacing/>
        <w:rPr>
          <w:rFonts w:ascii="Arial" w:hAnsi="Arial" w:cs="Arial"/>
        </w:rPr>
      </w:pPr>
    </w:p>
    <w:p w14:paraId="76B1E092" w14:textId="77777777" w:rsidR="00424953" w:rsidRDefault="00CF2777" w:rsidP="00424953">
      <w:pPr>
        <w:pStyle w:val="Body"/>
        <w:contextualSpacing/>
        <w:rPr>
          <w:rFonts w:ascii="Arial" w:hAnsi="Arial" w:cs="Arial"/>
        </w:rPr>
      </w:pPr>
      <w:r w:rsidRPr="00CF2777">
        <w:rPr>
          <w:rFonts w:ascii="Arial" w:hAnsi="Arial" w:cs="Arial"/>
        </w:rPr>
        <w:lastRenderedPageBreak/>
        <w:t xml:space="preserve">The introduction of anti-retroviral drugs for prevention and treatment has reduced infection rates and improved survival of HIV/AIDS patients, however drug resistance, low adherence due to adverse effects, poor biopharmaceutical properties of traditional formulations, social and cultural context that women exist in have been a challenge in curtailing the pandemic. Long acting injectables for prevention have been developed with inhibitory high product cost (&gt;$40,000.00 USD/year) requiring donor aid subsidy, systemic side effects and use of an invasive route of administration. HIV vaccines and broad neutralizing antibodies are also in the pipeline.  </w:t>
      </w:r>
    </w:p>
    <w:p w14:paraId="30B32BAC" w14:textId="55A6AFC4" w:rsidR="00CF2777" w:rsidRDefault="00CF2777" w:rsidP="00424953">
      <w:pPr>
        <w:pStyle w:val="Body"/>
        <w:contextualSpacing/>
        <w:rPr>
          <w:rFonts w:ascii="Arial" w:hAnsi="Arial" w:cs="Arial"/>
        </w:rPr>
      </w:pPr>
      <w:r w:rsidRPr="00CF2777">
        <w:rPr>
          <w:rFonts w:ascii="Arial" w:hAnsi="Arial" w:cs="Arial"/>
        </w:rPr>
        <w:t>In this paper we review the</w:t>
      </w:r>
      <w:r w:rsidR="0058558B">
        <w:rPr>
          <w:rFonts w:ascii="Arial" w:hAnsi="Arial" w:cs="Arial"/>
        </w:rPr>
        <w:t xml:space="preserve"> role of the female reproductive tract in risk and protection for HIV infections,</w:t>
      </w:r>
      <w:r w:rsidRPr="00CF2777">
        <w:rPr>
          <w:rFonts w:ascii="Arial" w:hAnsi="Arial" w:cs="Arial"/>
        </w:rPr>
        <w:t xml:space="preserve"> </w:t>
      </w:r>
      <w:r w:rsidR="0058558B">
        <w:rPr>
          <w:rFonts w:ascii="Arial" w:hAnsi="Arial" w:cs="Arial"/>
        </w:rPr>
        <w:t xml:space="preserve">different antiretroviral drug classes and their potential as </w:t>
      </w:r>
      <w:r w:rsidRPr="00CF2777">
        <w:rPr>
          <w:rFonts w:ascii="Arial" w:hAnsi="Arial" w:cs="Arial"/>
        </w:rPr>
        <w:t>novel dosage forms for prevention of HIV heterosexual transmission, co-infections, and the critical considerations in preclinical work required in translating benchtop products to clinical use.</w:t>
      </w:r>
      <w:r w:rsidR="0058558B">
        <w:rPr>
          <w:rFonts w:ascii="Arial" w:hAnsi="Arial" w:cs="Arial"/>
        </w:rPr>
        <w:t xml:space="preserve"> </w:t>
      </w:r>
      <w:r w:rsidRPr="00CF2777">
        <w:rPr>
          <w:rFonts w:ascii="Arial" w:hAnsi="Arial" w:cs="Arial"/>
        </w:rPr>
        <w:t>Numerous studies have shown women to opt for prevention products designed and suited for personal use without consent of a sexual partner</w:t>
      </w:r>
      <w:r w:rsidR="00BD17DF">
        <w:rPr>
          <w:rFonts w:ascii="Arial" w:hAnsi="Arial" w:cs="Arial"/>
        </w:rPr>
        <w:t xml:space="preserve"> </w:t>
      </w:r>
      <w:r w:rsidR="004B7059">
        <w:rPr>
          <w:rFonts w:ascii="Arial" w:hAnsi="Arial" w:cs="Arial"/>
        </w:rPr>
        <w:fldChar w:fldCharType="begin"/>
      </w:r>
      <w:r w:rsidR="00BD17DF">
        <w:rPr>
          <w:rFonts w:ascii="Arial" w:hAnsi="Arial" w:cs="Arial"/>
        </w:rPr>
        <w:instrText xml:space="preserve"> ADDIN ZOTERO_ITEM CSL_CITATION {"citationID":"1fhmDvFP","properties":{"formattedCitation":"(4\\uc0\\u8211{}6)","plainCitation":"(4–6)","noteIndex":0},"citationItems":[{"id":14,"uris":["http://zotero.org/users/local/HVWDw8n9/items/BXB8N2ST"],"itemData":{"id":14,"type":"article-journal","abstract":"Worldwide, nearly half of all individuals living with HIV are now women, who acquire the virus largely by heterosexual exposure. With an HIV vaccine likely to  be years away, topical microbicide formulations applied vaginally or rectally are  being investigated as another strategy for HIV prevention. A review of  preclinical and clinical research on the development of microbicides formulated  to prevent vaginal HIV transmission yielded 118 studies: 73 preclinical and 45  clinical. Preclinical research included in-vitro assays and cervical explant  models, as well as animal models. Clinical research included phase I and II/IIb  safety studies, and phase III efficacy studies. Whereas most phase I and phase II  clinical trials have found microbicide compounds to be safe and well tolerated,  phase III trials completed to date have not demonstrated efficacy in preventing  HIV transmission. Topical microbicides are grouped into five classes of agents,  based on where they disrupt the pathway of sexual transmission of HIV. These  classes include surfactants/membrane disruptors, vaginal milieu protectors, viral  entry inhibitors, reverse transcriptase inhibitors, and a fifth group whose  mechanism is unknown. The trajectory of microbicide development has been toward  agents that block more specific virus-host cell interactions. Microbicide  clinical trials face scientifically and ethically complex issues, such as the  choice of placebo gel, the potential for viral resistance, and the inclusion of  HIV-infected participants. Assessment of combination agents will most likely  advance this field of research.","container-title":"The Lancet. Infectious diseases","DOI":"10.1016/S1473-3099(08)70254-8","ISSN":"1473-3099","issue":"11","journalAbbreviation":"Lancet Infect Dis","language":"eng","note":"publisher-place: United States\nPMID: 18992405 \nPMCID: PMC2627483","page":"685-697","title":"Vaginal microbicides and the prevention of HIV transmission.","volume":"8","author":[{"family":"Cutler","given":"Blayne"},{"family":"Justman","given":"Jessica"}],"issued":{"date-parts":[["2008",11]]}}},{"id":15,"uris":["http://zotero.org/users/local/HVWDw8n9/items/DDU7PKIG"],"itemData":{"id":15,"type":"article-journal","abstract":"HIV topical microbicides are products with anti-HIV activity, generally incorporating a direct-acting antiretroviral agent, that when applied to the  vagina or rectum have the potential to prevent the sexual acquisition of HIV in  women and men. Topical microbicides may meet the prevention needs of individuals  and groups for whom oral daily forms of pre-exposure prophylaxis (PrEP) have not  been acceptable. Microbicides can provide personal control over HIV prevention  and offer the possibility of discreet use, qualities that may be particularly  important for receptive partners in sexual relationships such as women and  transgender women and men, who together account for the clear majority of new HIV  infections worldwide. Although the promise of such a product emerged nearly three  decades ago, proof of concept has been demonstrated only within the last decade.  A robust pipeline of microbicidal gels, films, inserts, and rings has been  evaluated in multiple studies among at-risk women and men, and refinement of  products for ease of use, reversibility, and high safety is the priority for the  field.","container-title":"Annual review of medicine","DOI":"10.1146/annurev-med-090518-093731","ISSN":"1545-326X 0066-4219","journalAbbreviation":"Annu Rev Med","language":"eng","note":"publisher-place: United States\nPMID: 31613684 \nPMCID: PMC8038211","page":"361-377","title":"Topical Microbicides in HIV Prevention: State of the Promise.","volume":"71","author":[{"family":"Baeten","given":"Jared M."},{"family":"Hendrix","given":"Craig W."},{"family":"Hillier","given":"Sharon L."}],"issued":{"date-parts":[["2020",1,27]]}}},{"id":12,"uris":["http://zotero.org/users/local/HVWDw8n9/items/72SBWSUW"],"itemData":{"id":12,"type":"article-journal","abstract":"PURPOSE OF REVIEW: This review summarizes interventions to promote HIV pre-exposure prophylaxis (PrEP) use among adolescent girls and young women (AGYW)  in HIV endemic settings, while also highlighting gaps in our current measures of  PrEP intervention success. RECENT FINDINGS: AGYW report challenges with PrEP use,  although the field is currently grappling with defining metrics of optimal PrEP  use applicable for AGYW with dynamic HIV prevention needs. Ongoing studies are  exploring multilevel interventions to address barriers to PrEP use for AGYW. At  the individual and interpersonal levels, mHealth, drug-level feedback, adherence  counseling, peer groups, and PrEP decision-support interventions are acceptable  and feasible for AGYW although limited effectiveness data are available. At the  health facility and community levels, PrEP demand creation, modified PrEP refill  schedules, and integrated PrEP and reproductive health services are also  promising options to support PrEP use for AGYW. As PrEP delivery continues to  expand, improved metrics of success and evidence on the effectiveness of  multi-level adherence support interventions are needed to maximize the impact of  PrEP for AGYW in HIV endemic settings. We present case studies of these  intervention approaches but limited data are currently available on the  effectiveness of these approaches. We will look toward forthcoming study results  on the impact of PrEP interventions, including mHealth, drug-level feedback and  other enhanced counseling, peer support, decision-support tools, PrEP demand  creation, modified refills, and integrated service delivery, to determine the  ideal package of PrEP support approaches for AGYW.","container-title":"Current HIV/AIDS reports","DOI":"10.1007/s11904-021-00576-9","ISSN":"1548-3576 1548-3568","issue":"6","journalAbbreviation":"Curr HIV/AIDS Rep","language":"eng","license":"© 2021. The Author(s), under exclusive licence to Springer Science+Business Media, LLC, part of Springer Nature.","note":"publisher-place: United States\nPMID: 34719745 \nPMCID: PMC8557703","page":"490-499","title":"Multi-level Interventions to Promote Oral Pre-exposure Prophylaxis Use Among Adolescent Girls and Young Women: a Review of Recent Research.","volume":"18","author":[{"family":"Irungu","given":"Elizabeth"},{"family":"Khoza","given":"Nomhle"},{"family":"Velloza","given":"Jennifer"}],"issued":{"date-parts":[["2021",12]]}}}],"schema":"https://github.com/citation-style-language/schema/raw/master/csl-citation.json"} </w:instrText>
      </w:r>
      <w:r w:rsidR="004B7059">
        <w:rPr>
          <w:rFonts w:ascii="Arial" w:hAnsi="Arial" w:cs="Arial"/>
        </w:rPr>
        <w:fldChar w:fldCharType="separate"/>
      </w:r>
      <w:r w:rsidR="00BD17DF" w:rsidRPr="00BD17DF">
        <w:rPr>
          <w:rFonts w:ascii="Arial" w:hAnsi="Arial" w:cs="Arial"/>
        </w:rPr>
        <w:t>(4–6)</w:t>
      </w:r>
      <w:r w:rsidR="004B7059">
        <w:rPr>
          <w:rFonts w:ascii="Arial" w:hAnsi="Arial" w:cs="Arial"/>
        </w:rPr>
        <w:fldChar w:fldCharType="end"/>
      </w:r>
      <w:r w:rsidRPr="00CF2777">
        <w:rPr>
          <w:rFonts w:ascii="Arial" w:hAnsi="Arial" w:cs="Arial"/>
        </w:rPr>
        <w:t xml:space="preserve">. This has led to much interest in the development of microbicides for vaginal delivery. </w:t>
      </w:r>
    </w:p>
    <w:p w14:paraId="279B369D" w14:textId="77777777" w:rsidR="00424953" w:rsidRPr="00CF2777" w:rsidRDefault="00424953" w:rsidP="00424953">
      <w:pPr>
        <w:pStyle w:val="Body"/>
        <w:contextualSpacing/>
        <w:rPr>
          <w:rFonts w:ascii="Arial" w:hAnsi="Arial" w:cs="Arial"/>
        </w:rPr>
      </w:pPr>
    </w:p>
    <w:p w14:paraId="649F2B04" w14:textId="7A310571" w:rsidR="00CF2777" w:rsidRPr="00CF2777" w:rsidRDefault="00CF2777" w:rsidP="00424953">
      <w:pPr>
        <w:pStyle w:val="Body"/>
        <w:contextualSpacing/>
        <w:rPr>
          <w:rFonts w:ascii="Arial" w:hAnsi="Arial" w:cs="Arial"/>
        </w:rPr>
      </w:pPr>
      <w:r w:rsidRPr="00CF2777">
        <w:rPr>
          <w:rFonts w:ascii="Arial" w:hAnsi="Arial" w:cs="Arial"/>
        </w:rPr>
        <w:t xml:space="preserve">The vaginal route has several distinct advantages for </w:t>
      </w:r>
      <w:proofErr w:type="spellStart"/>
      <w:r w:rsidRPr="00CF2777">
        <w:rPr>
          <w:rFonts w:ascii="Arial" w:hAnsi="Arial" w:cs="Arial"/>
        </w:rPr>
        <w:t>localised</w:t>
      </w:r>
      <w:proofErr w:type="spellEnd"/>
      <w:r w:rsidRPr="00CF2777">
        <w:rPr>
          <w:rFonts w:ascii="Arial" w:hAnsi="Arial" w:cs="Arial"/>
        </w:rPr>
        <w:t xml:space="preserve"> or systemic drug delivery. With a large surface area, vasculature, a lymphatic drainage system and the ability to bypass the first pass effect makes it a valuable route for drug delivery</w:t>
      </w:r>
      <w:r w:rsidR="00BD17DF">
        <w:rPr>
          <w:rFonts w:ascii="Arial" w:hAnsi="Arial" w:cs="Arial"/>
        </w:rPr>
        <w:t xml:space="preserve"> </w:t>
      </w:r>
      <w:r w:rsidR="00BD17DF">
        <w:rPr>
          <w:rFonts w:ascii="Arial" w:hAnsi="Arial" w:cs="Arial"/>
        </w:rPr>
        <w:fldChar w:fldCharType="begin"/>
      </w:r>
      <w:r w:rsidR="00BD17DF">
        <w:rPr>
          <w:rFonts w:ascii="Arial" w:hAnsi="Arial" w:cs="Arial"/>
        </w:rPr>
        <w:instrText xml:space="preserve"> ADDIN ZOTERO_ITEM CSL_CITATION {"citationID":"EJHKyprG","properties":{"formattedCitation":"(5,7,8)","plainCitation":"(5,7,8)","noteIndex":0},"citationItems":[{"id":15,"uris":["http://zotero.org/users/local/HVWDw8n9/items/DDU7PKIG"],"itemData":{"id":15,"type":"article-journal","abstract":"HIV topical microbicides are products with anti-HIV activity, generally incorporating a direct-acting antiretroviral agent, that when applied to the  vagina or rectum have the potential to prevent the sexual acquisition of HIV in  women and men. Topical microbicides may meet the prevention needs of individuals  and groups for whom oral daily forms of pre-exposure prophylaxis (PrEP) have not  been acceptable. Microbicides can provide personal control over HIV prevention  and offer the possibility of discreet use, qualities that may be particularly  important for receptive partners in sexual relationships such as women and  transgender women and men, who together account for the clear majority of new HIV  infections worldwide. Although the promise of such a product emerged nearly three  decades ago, proof of concept has been demonstrated only within the last decade.  A robust pipeline of microbicidal gels, films, inserts, and rings has been  evaluated in multiple studies among at-risk women and men, and refinement of  products for ease of use, reversibility, and high safety is the priority for the  field.","container-title":"Annual review of medicine","DOI":"10.1146/annurev-med-090518-093731","ISSN":"1545-326X 0066-4219","journalAbbreviation":"Annu Rev Med","language":"eng","note":"publisher-place: United States\nPMID: 31613684 \nPMCID: PMC8038211","page":"361-377","title":"Topical Microbicides in HIV Prevention: State of the Promise.","volume":"71","author":[{"family":"Baeten","given":"Jared M."},{"family":"Hendrix","given":"Craig W."},{"family":"Hillier","given":"Sharon L."}],"issued":{"date-parts":[["2020",1,27]]}}},{"id":16,"uris":["http://zotero.org/users/local/HVWDw8n9/items/V9HAWPUY"],"itemData":{"id":16,"type":"article-journal","abstract":"The review is focused on the hydrogel systems dedicated to the intravaginal delivery of antibacterial, antifungal and anti-Trichomonas vaginalis activity  drugs for the treatment of gynaecological infections. The strategies for the  enhancement of the hydrophobic drug solubility in the hydrogel matrix based on  the formation of bigel systems and the introduction of nano- and microparticles  as a drug reservoir are presented. Hydrogel carriers of natural and synthetic  pharmacological substances, drug-free systems displaying antimicrobial activity  thanks to the hydrogel building elements and systems combining the antimicrobial  activity of both drug and polymer building components are distinguished. The  design of hydrogels facilitating their administration and proper distribution in  the vaginal mucosa and the vagina based on thermoresponsive systems capable of  gelling at vaginal conditions and already-cross-linked injectable systems after  reaching the yield stress are discussed. In addition, the mechanisms of hydrogel  bioadhesion that regulate the retention time in the vagina are indicated.  Finally, the prospects for the further development of hydrogel-based drug  carriers in gynaecological therapies are highlighted.","container-title":"Pharmaceutics","DOI":"10.3390/pharmaceutics13091393","ISSN":"1999-4923","issue":"9","journalAbbreviation":"Pharmaceutics","language":"eng","note":"publisher-place: Switzerland\nPMID: 34575468 \nPMCID: PMC8469626","title":"Antimicrobial Polymer-Based Hydrogels for the Intravaginal Therapies-Engineering Considerations.","volume":"13","author":[{"family":"Gosecka","given":"Monika"},{"family":"Gosecki","given":"Mateusz"}],"issued":{"date-parts":[["2021",9,2]]}}},{"id":17,"uris":["http://zotero.org/users/local/HVWDw8n9/items/NC49PC9Y"],"itemData":{"id":17,"type":"article-journal","abstract":"Griffithsin (GRFT) has shown potent anti-HIV activity, and it is being developed as a drug candidate for HIV prevention. Successful implementation requires  thorough understanding of its preformulation characterization. In this work,  preformulation assessments were conducted to characterize GRFT and identify its  degradation pathways under selected conditions of temperature, light, pH, shear,  ionic strength, and oxidation. Compatibility with vaginal fluid simulant, vaginal  enzymes, Lactobacillus spp., and human cervicovaginal secretions was assessed.  The purity, melting temperature, and HIV gp120-binding affinity of GRFT stored at  4°C and 25°C in phosphate-buffered saline (PBS) were assessed for 2 years.  Chemical modifications were evaluated by intact mass analysis and peptide  sequencing. Excised human ectocervical tissue permeability and localization of  GRFT were evaluated. Our results demonstrated GRFT to be safe and stable under  all the preformulation assessment conditions studied except oxidative stress.  When GRFT was exposed to hydrogen peroxide or human cervicovaginal secretion,  methionine 78 in the protein sequence underwent oxidation. GRFT did not permeate  through human cervical tissue but adhered to the superficial epithelial tissue.  The 2-year stability study revealed no significant change in GRFT's aggregation,  degradation, melting temperature, or gp120-binding affinity despite a slow  increase in oxidation over time. These studies elucidated desirable safety and  bioactivity profile for GRFT, showing promise as a potential drug candidate for  HIV prevention. However, susceptibility to oxidative degradation was identified.  Effective protection of GRFT from oxidation is required for further development.","container-title":"AAPS PharmSciTech","DOI":"10.1208/s12249-021-01931-0","ISSN":"1530-9932","issue":"3","journalAbbreviation":"AAPS PharmSciTech","language":"eng","note":"publisher-place: United States\nPMID: 33625602 \nPMCID: PMC7903873","page":"83","title":"Preformulation Characterization of Griffithsin, a Biopharmaceutical Candidate for HIV Prevention.","volume":"22","author":[{"family":"Kramzer","given":"Lindsay F."},{"family":"Hamorsky","given":"Krystal T."},{"family":"Graebing","given":"Phillip W."},{"family":"Wang","given":"Lin"},{"family":"Fuqua","given":"Joshua L."},{"family":"Matoba","given":"Nobuyuki"},{"family":"Lasnik","given":"Amanda B."},{"family":"Moncla","given":"Bernard J."},{"family":"Zhang","given":"Junmei"},{"family":"Palmer","given":"Kenneth E."},{"family":"Rohan","given":"Lisa C."}],"issued":{"date-parts":[["2021",2,24]]}}}],"schema":"https://github.com/citation-style-language/schema/raw/master/csl-citation.json"} </w:instrText>
      </w:r>
      <w:r w:rsidR="00BD17DF">
        <w:rPr>
          <w:rFonts w:ascii="Arial" w:hAnsi="Arial" w:cs="Arial"/>
        </w:rPr>
        <w:fldChar w:fldCharType="separate"/>
      </w:r>
      <w:r w:rsidR="00BD17DF" w:rsidRPr="00BD17DF">
        <w:rPr>
          <w:rFonts w:ascii="Arial" w:hAnsi="Arial" w:cs="Arial"/>
        </w:rPr>
        <w:t>(5,7,8)</w:t>
      </w:r>
      <w:r w:rsidR="00BD17DF">
        <w:rPr>
          <w:rFonts w:ascii="Arial" w:hAnsi="Arial" w:cs="Arial"/>
        </w:rPr>
        <w:fldChar w:fldCharType="end"/>
      </w:r>
      <w:r w:rsidR="00BD17DF">
        <w:rPr>
          <w:rFonts w:ascii="Arial" w:hAnsi="Arial" w:cs="Arial"/>
        </w:rPr>
        <w:t>.</w:t>
      </w:r>
      <w:r w:rsidRPr="00CF2777">
        <w:rPr>
          <w:rFonts w:ascii="Arial" w:hAnsi="Arial" w:cs="Arial"/>
        </w:rPr>
        <w:t xml:space="preserve"> When products are formulated for this route, design considerations have to be made, these include the drug release profile (immediate/controlled), compatibility with vaginal microbiota, environment pH, small volume, anatomical space, safety and tolerability of drug formulation as well as excipients of choice used in product formulation</w:t>
      </w:r>
      <w:r w:rsidR="00BD17DF">
        <w:rPr>
          <w:rFonts w:ascii="Arial" w:hAnsi="Arial" w:cs="Arial"/>
        </w:rPr>
        <w:t xml:space="preserve"> </w:t>
      </w:r>
      <w:r w:rsidR="00BD17DF">
        <w:rPr>
          <w:rFonts w:ascii="Arial" w:hAnsi="Arial" w:cs="Arial"/>
        </w:rPr>
        <w:fldChar w:fldCharType="begin"/>
      </w:r>
      <w:r w:rsidR="00BD17DF">
        <w:rPr>
          <w:rFonts w:ascii="Arial" w:hAnsi="Arial" w:cs="Arial"/>
        </w:rPr>
        <w:instrText xml:space="preserve"> ADDIN ZOTERO_ITEM CSL_CITATION {"citationID":"5Q3wZ4Yt","properties":{"formattedCitation":"(8,9)","plainCitation":"(8,9)","noteIndex":0},"citationItems":[{"id":17,"uris":["http://zotero.org/users/local/HVWDw8n9/items/NC49PC9Y"],"itemData":{"id":17,"type":"article-journal","abstract":"Griffithsin (GRFT) has shown potent anti-HIV activity, and it is being developed as a drug candidate for HIV prevention. Successful implementation requires  thorough understanding of its preformulation characterization. In this work,  preformulation assessments were conducted to characterize GRFT and identify its  degradation pathways under selected conditions of temperature, light, pH, shear,  ionic strength, and oxidation. Compatibility with vaginal fluid simulant, vaginal  enzymes, Lactobacillus spp., and human cervicovaginal secretions was assessed.  The purity, melting temperature, and HIV gp120-binding affinity of GRFT stored at  4°C and 25°C in phosphate-buffered saline (PBS) were assessed for 2 years.  Chemical modifications were evaluated by intact mass analysis and peptide  sequencing. Excised human ectocervical tissue permeability and localization of  GRFT were evaluated. Our results demonstrated GRFT to be safe and stable under  all the preformulation assessment conditions studied except oxidative stress.  When GRFT was exposed to hydrogen peroxide or human cervicovaginal secretion,  methionine 78 in the protein sequence underwent oxidation. GRFT did not permeate  through human cervical tissue but adhered to the superficial epithelial tissue.  The 2-year stability study revealed no significant change in GRFT's aggregation,  degradation, melting temperature, or gp120-binding affinity despite a slow  increase in oxidation over time. These studies elucidated desirable safety and  bioactivity profile for GRFT, showing promise as a potential drug candidate for  HIV prevention. However, susceptibility to oxidative degradation was identified.  Effective protection of GRFT from oxidation is required for further development.","container-title":"AAPS PharmSciTech","DOI":"10.1208/s12249-021-01931-0","ISSN":"1530-9932","issue":"3","journalAbbreviation":"AAPS PharmSciTech","language":"eng","note":"publisher-place: United States\nPMID: 33625602 \nPMCID: PMC7903873","page":"83","title":"Preformulation Characterization of Griffithsin, a Biopharmaceutical Candidate for HIV Prevention.","volume":"22","author":[{"family":"Kramzer","given":"Lindsay F."},{"family":"Hamorsky","given":"Krystal T."},{"family":"Graebing","given":"Phillip W."},{"family":"Wang","given":"Lin"},{"family":"Fuqua","given":"Joshua L."},{"family":"Matoba","given":"Nobuyuki"},{"family":"Lasnik","given":"Amanda B."},{"family":"Moncla","given":"Bernard J."},{"family":"Zhang","given":"Junmei"},{"family":"Palmer","given":"Kenneth E."},{"family":"Rohan","given":"Lisa C."}],"issued":{"date-parts":[["2021",2,24]]}}},{"id":18,"uris":["http://zotero.org/users/local/HVWDw8n9/items/8BSII2W9"],"itemData":{"id":18,"type":"article-journal","abstract":"The vagina is a region of administration with a high contact surface to obtain local or systemic effects. This anatomical area represents special interest for  government health systems for different sexually transmitted infections. However,  the chemical changes of the vagina, as well as its abundant mucus in continuous  exchange, act as a barrier and a challenge for the development of new drugs. For  these purposes, the development of new pharmaceutical forms based on  nanoparticles has been shown to offer various advantages, such as bioadhesion,  easy penetration of the mucosa, and controlled release, in addition to decreasing  the adverse effects of conventional pharmaceutical forms. In order to obtain  nanoparticles for vaginal administration, the use of polymers of natural and  synthetic origin including biodegradable and non-biodegradable systems have  gained great interest both in nanospheres and in nanocapsules. The main aim of  this review is to provide an overview of the development of nanotechnology for  vaginal drug release, analyzing the different compositions of polymeric  nanoparticles, and emphasizing new trends in each of the sections presented. At  the end of this review, a section analyzes the properties of the vehicles  employed for the administration of nanoparticles and discusses how to take  advantage of the properties that they offer. This review aims to be a reference  guide for new formulators interested in the vaginal route.","container-title":"International journal of molecular sciences","DOI":"10.3390/ijms19061549","ISSN":"1422-0067","issue":"6","journalAbbreviation":"Int J Mol Sci","language":"eng","note":"publisher-place: Switzerland\nPMID: 29882846 \nPMCID: PMC6032388","title":"Approaches in Polymeric Nanoparticles for Vaginal Drug Delivery: A Review of the State of the Art.","volume":"19","author":[{"family":"Leyva-Gómez","given":"Gerardo"},{"family":"Piñón-Segundo","given":"Elizabeth"},{"family":"Mendoza-Muñoz","given":"Néstor"},{"family":"Zambrano-Zaragoza","given":"María L."},{"family":"Mendoza-Elvira","given":"Susana"},{"family":"Quintanar-Guerrero","given":"David"}],"issued":{"date-parts":[["2018",5,23]]}}}],"schema":"https://github.com/citation-style-language/schema/raw/master/csl-citation.json"} </w:instrText>
      </w:r>
      <w:r w:rsidR="00BD17DF">
        <w:rPr>
          <w:rFonts w:ascii="Arial" w:hAnsi="Arial" w:cs="Arial"/>
        </w:rPr>
        <w:fldChar w:fldCharType="separate"/>
      </w:r>
      <w:r w:rsidR="00BD17DF" w:rsidRPr="00BD17DF">
        <w:rPr>
          <w:rFonts w:ascii="Arial" w:hAnsi="Arial" w:cs="Arial"/>
        </w:rPr>
        <w:t>(8,9)</w:t>
      </w:r>
      <w:r w:rsidR="00BD17DF">
        <w:rPr>
          <w:rFonts w:ascii="Arial" w:hAnsi="Arial" w:cs="Arial"/>
        </w:rPr>
        <w:fldChar w:fldCharType="end"/>
      </w:r>
      <w:r w:rsidRPr="00CF2777">
        <w:rPr>
          <w:rFonts w:ascii="Arial" w:hAnsi="Arial" w:cs="Arial"/>
        </w:rPr>
        <w:t>.</w:t>
      </w:r>
    </w:p>
    <w:p w14:paraId="3E6F67D0" w14:textId="6DCC45CA" w:rsidR="00790ADA" w:rsidRDefault="00CF2777" w:rsidP="00424953">
      <w:pPr>
        <w:pStyle w:val="Body"/>
        <w:spacing w:after="0"/>
        <w:contextualSpacing/>
        <w:rPr>
          <w:rFonts w:ascii="Arial" w:hAnsi="Arial" w:cs="Arial"/>
        </w:rPr>
      </w:pPr>
      <w:r w:rsidRPr="00CF2777">
        <w:rPr>
          <w:rFonts w:ascii="Arial" w:hAnsi="Arial" w:cs="Arial"/>
        </w:rPr>
        <w:t>The pattern from successful programs that reduced infection rates caused by sexual transmission are proof that targeted interventions drive the incidence rates down</w:t>
      </w:r>
      <w:r w:rsidR="00BD17DF">
        <w:rPr>
          <w:rFonts w:ascii="Arial" w:hAnsi="Arial" w:cs="Arial"/>
        </w:rPr>
        <w:t xml:space="preserve"> </w:t>
      </w:r>
      <w:r w:rsidR="00BD17DF">
        <w:rPr>
          <w:rFonts w:ascii="Arial" w:hAnsi="Arial" w:cs="Arial"/>
        </w:rPr>
        <w:fldChar w:fldCharType="begin"/>
      </w:r>
      <w:r w:rsidR="00BD17DF">
        <w:rPr>
          <w:rFonts w:ascii="Arial" w:hAnsi="Arial" w:cs="Arial"/>
        </w:rPr>
        <w:instrText xml:space="preserve"> ADDIN ZOTERO_ITEM CSL_CITATION {"citationID":"a88LpzDL","properties":{"formattedCitation":"(6)","plainCitation":"(6)","noteIndex":0},"citationItems":[{"id":12,"uris":["http://zotero.org/users/local/HVWDw8n9/items/72SBWSUW"],"itemData":{"id":12,"type":"article-journal","abstract":"PURPOSE OF REVIEW: This review summarizes interventions to promote HIV pre-exposure prophylaxis (PrEP) use among adolescent girls and young women (AGYW)  in HIV endemic settings, while also highlighting gaps in our current measures of  PrEP intervention success. RECENT FINDINGS: AGYW report challenges with PrEP use,  although the field is currently grappling with defining metrics of optimal PrEP  use applicable for AGYW with dynamic HIV prevention needs. Ongoing studies are  exploring multilevel interventions to address barriers to PrEP use for AGYW. At  the individual and interpersonal levels, mHealth, drug-level feedback, adherence  counseling, peer groups, and PrEP decision-support interventions are acceptable  and feasible for AGYW although limited effectiveness data are available. At the  health facility and community levels, PrEP demand creation, modified PrEP refill  schedules, and integrated PrEP and reproductive health services are also  promising options to support PrEP use for AGYW. As PrEP delivery continues to  expand, improved metrics of success and evidence on the effectiveness of  multi-level adherence support interventions are needed to maximize the impact of  PrEP for AGYW in HIV endemic settings. We present case studies of these  intervention approaches but limited data are currently available on the  effectiveness of these approaches. We will look toward forthcoming study results  on the impact of PrEP interventions, including mHealth, drug-level feedback and  other enhanced counseling, peer support, decision-support tools, PrEP demand  creation, modified refills, and integrated service delivery, to determine the  ideal package of PrEP support approaches for AGYW.","container-title":"Current HIV/AIDS reports","DOI":"10.1007/s11904-021-00576-9","ISSN":"1548-3576 1548-3568","issue":"6","journalAbbreviation":"Curr HIV/AIDS Rep","language":"eng","license":"© 2021. The Author(s), under exclusive licence to Springer Science+Business Media, LLC, part of Springer Nature.","note":"publisher-place: United States\nPMID: 34719745 \nPMCID: PMC8557703","page":"490-499","title":"Multi-level Interventions to Promote Oral Pre-exposure Prophylaxis Use Among Adolescent Girls and Young Women: a Review of Recent Research.","volume":"18","author":[{"family":"Irungu","given":"Elizabeth"},{"family":"Khoza","given":"Nomhle"},{"family":"Velloza","given":"Jennifer"}],"issued":{"date-parts":[["2021",12]]}}}],"schema":"https://github.com/citation-style-language/schema/raw/master/csl-citation.json"} </w:instrText>
      </w:r>
      <w:r w:rsidR="00BD17DF">
        <w:rPr>
          <w:rFonts w:ascii="Arial" w:hAnsi="Arial" w:cs="Arial"/>
        </w:rPr>
        <w:fldChar w:fldCharType="separate"/>
      </w:r>
      <w:r w:rsidR="00BD17DF" w:rsidRPr="00BD17DF">
        <w:rPr>
          <w:rFonts w:ascii="Arial" w:hAnsi="Arial" w:cs="Arial"/>
        </w:rPr>
        <w:t>(6)</w:t>
      </w:r>
      <w:r w:rsidR="00BD17DF">
        <w:rPr>
          <w:rFonts w:ascii="Arial" w:hAnsi="Arial" w:cs="Arial"/>
        </w:rPr>
        <w:fldChar w:fldCharType="end"/>
      </w:r>
      <w:r w:rsidRPr="00CF2777">
        <w:rPr>
          <w:rFonts w:ascii="Arial" w:hAnsi="Arial" w:cs="Arial"/>
        </w:rPr>
        <w:t>. Reduction in discrepancy of newly acquired infections between genders of the 15 - 24-year-old age group, is possible by developing appropriate products</w:t>
      </w:r>
      <w:r w:rsidR="00BD17DF">
        <w:rPr>
          <w:rFonts w:ascii="Arial" w:hAnsi="Arial" w:cs="Arial"/>
        </w:rPr>
        <w:t xml:space="preserve"> </w:t>
      </w:r>
      <w:r w:rsidR="00BD17DF">
        <w:rPr>
          <w:rFonts w:ascii="Arial" w:hAnsi="Arial" w:cs="Arial"/>
        </w:rPr>
        <w:fldChar w:fldCharType="begin"/>
      </w:r>
      <w:r w:rsidR="00BD17DF">
        <w:rPr>
          <w:rFonts w:ascii="Arial" w:hAnsi="Arial" w:cs="Arial"/>
        </w:rPr>
        <w:instrText xml:space="preserve"> ADDIN ZOTERO_ITEM CSL_CITATION {"citationID":"8DQb9Sc1","properties":{"formattedCitation":"(6)","plainCitation":"(6)","noteIndex":0},"citationItems":[{"id":12,"uris":["http://zotero.org/users/local/HVWDw8n9/items/72SBWSUW"],"itemData":{"id":12,"type":"article-journal","abstract":"PURPOSE OF REVIEW: This review summarizes interventions to promote HIV pre-exposure prophylaxis (PrEP) use among adolescent girls and young women (AGYW)  in HIV endemic settings, while also highlighting gaps in our current measures of  PrEP intervention success. RECENT FINDINGS: AGYW report challenges with PrEP use,  although the field is currently grappling with defining metrics of optimal PrEP  use applicable for AGYW with dynamic HIV prevention needs. Ongoing studies are  exploring multilevel interventions to address barriers to PrEP use for AGYW. At  the individual and interpersonal levels, mHealth, drug-level feedback, adherence  counseling, peer groups, and PrEP decision-support interventions are acceptable  and feasible for AGYW although limited effectiveness data are available. At the  health facility and community levels, PrEP demand creation, modified PrEP refill  schedules, and integrated PrEP and reproductive health services are also  promising options to support PrEP use for AGYW. As PrEP delivery continues to  expand, improved metrics of success and evidence on the effectiveness of  multi-level adherence support interventions are needed to maximize the impact of  PrEP for AGYW in HIV endemic settings. We present case studies of these  intervention approaches but limited data are currently available on the  effectiveness of these approaches. We will look toward forthcoming study results  on the impact of PrEP interventions, including mHealth, drug-level feedback and  other enhanced counseling, peer support, decision-support tools, PrEP demand  creation, modified refills, and integrated service delivery, to determine the  ideal package of PrEP support approaches for AGYW.","container-title":"Current HIV/AIDS reports","DOI":"10.1007/s11904-021-00576-9","ISSN":"1548-3576 1548-3568","issue":"6","journalAbbreviation":"Curr HIV/AIDS Rep","language":"eng","license":"© 2021. The Author(s), under exclusive licence to Springer Science+Business Media, LLC, part of Springer Nature.","note":"publisher-place: United States\nPMID: 34719745 \nPMCID: PMC8557703","page":"490-499","title":"Multi-level Interventions to Promote Oral Pre-exposure Prophylaxis Use Among Adolescent Girls and Young Women: a Review of Recent Research.","volume":"18","author":[{"family":"Irungu","given":"Elizabeth"},{"family":"Khoza","given":"Nomhle"},{"family":"Velloza","given":"Jennifer"}],"issued":{"date-parts":[["2021",12]]}}}],"schema":"https://github.com/citation-style-language/schema/raw/master/csl-citation.json"} </w:instrText>
      </w:r>
      <w:r w:rsidR="00BD17DF">
        <w:rPr>
          <w:rFonts w:ascii="Arial" w:hAnsi="Arial" w:cs="Arial"/>
        </w:rPr>
        <w:fldChar w:fldCharType="separate"/>
      </w:r>
      <w:r w:rsidR="00BD17DF" w:rsidRPr="00BD17DF">
        <w:rPr>
          <w:rFonts w:ascii="Arial" w:hAnsi="Arial" w:cs="Arial"/>
        </w:rPr>
        <w:t>(6)</w:t>
      </w:r>
      <w:r w:rsidR="00BD17DF">
        <w:rPr>
          <w:rFonts w:ascii="Arial" w:hAnsi="Arial" w:cs="Arial"/>
        </w:rPr>
        <w:fldChar w:fldCharType="end"/>
      </w:r>
      <w:r w:rsidRPr="00CF2777">
        <w:rPr>
          <w:rFonts w:ascii="Arial" w:hAnsi="Arial" w:cs="Arial"/>
        </w:rPr>
        <w:t>. For women in Sub-Saharan Africa, what remains of great importance in pre- and post-exposure prophylaxis is the opportunity to reduce the rate of newly acquired HIV infection and the availability to select a product of their choice.</w:t>
      </w:r>
    </w:p>
    <w:p w14:paraId="5D7F5337" w14:textId="77777777" w:rsidR="000A64DC" w:rsidRDefault="000A64DC" w:rsidP="00424953">
      <w:pPr>
        <w:pStyle w:val="AbstHead"/>
        <w:spacing w:after="0"/>
        <w:contextualSpacing/>
        <w:jc w:val="both"/>
        <w:rPr>
          <w:rFonts w:ascii="Arial" w:hAnsi="Arial" w:cs="Arial"/>
        </w:rPr>
      </w:pPr>
    </w:p>
    <w:p w14:paraId="77620D56" w14:textId="77777777" w:rsidR="000A64DC" w:rsidRDefault="000A64DC" w:rsidP="00424953">
      <w:pPr>
        <w:pStyle w:val="Body"/>
        <w:contextualSpacing/>
        <w:rPr>
          <w:rFonts w:ascii="Arial" w:hAnsi="Arial" w:cs="Arial"/>
          <w:b/>
          <w:caps/>
          <w:sz w:val="22"/>
        </w:rPr>
      </w:pPr>
    </w:p>
    <w:p w14:paraId="0D05566D" w14:textId="762EAAF9" w:rsidR="00CF2777" w:rsidRPr="00CF2777" w:rsidRDefault="00CF2777" w:rsidP="00424953">
      <w:pPr>
        <w:pStyle w:val="Body"/>
        <w:contextualSpacing/>
        <w:rPr>
          <w:rFonts w:ascii="Arial" w:hAnsi="Arial" w:cs="Arial"/>
          <w:b/>
          <w:caps/>
          <w:sz w:val="22"/>
        </w:rPr>
      </w:pPr>
      <w:r w:rsidRPr="00CF2777">
        <w:rPr>
          <w:rFonts w:ascii="Arial" w:hAnsi="Arial" w:cs="Arial"/>
          <w:b/>
          <w:caps/>
          <w:sz w:val="22"/>
        </w:rPr>
        <w:t>2. HIV infections and the female reproductive tract</w:t>
      </w:r>
    </w:p>
    <w:p w14:paraId="19A5DE4C" w14:textId="71FC718E" w:rsidR="00CF2777" w:rsidRPr="00CF2777" w:rsidRDefault="00CF2777" w:rsidP="00424953">
      <w:pPr>
        <w:pStyle w:val="Body"/>
        <w:contextualSpacing/>
        <w:rPr>
          <w:rFonts w:ascii="Arial" w:hAnsi="Arial" w:cs="Arial"/>
        </w:rPr>
      </w:pPr>
      <w:r w:rsidRPr="00CF2777">
        <w:rPr>
          <w:rFonts w:ascii="Arial" w:hAnsi="Arial" w:cs="Arial"/>
        </w:rPr>
        <w:t>This section will review the different factors that increase the risk of transmission of HIV and co-infections in the female reproductive tract and implications to topical microbicide product design. The main driver for HIV transmission is mucosal exposure which accounts for over 80% of all infections with 40% of the infections occurring in the female reproductive system</w:t>
      </w:r>
      <w:r w:rsidR="004C0C20">
        <w:rPr>
          <w:rFonts w:ascii="Arial" w:hAnsi="Arial" w:cs="Arial"/>
        </w:rPr>
        <w:t xml:space="preserve"> </w:t>
      </w:r>
      <w:r w:rsidR="004C0C20">
        <w:rPr>
          <w:rFonts w:ascii="Arial" w:hAnsi="Arial" w:cs="Arial"/>
        </w:rPr>
        <w:fldChar w:fldCharType="begin"/>
      </w:r>
      <w:r w:rsidR="004C0C20">
        <w:rPr>
          <w:rFonts w:ascii="Arial" w:hAnsi="Arial" w:cs="Arial"/>
        </w:rPr>
        <w:instrText xml:space="preserve"> ADDIN ZOTERO_ITEM CSL_CITATION {"citationID":"llWKAhhB","properties":{"formattedCitation":"(3,10,11)","plainCitation":"(3,10,11)","noteIndex":0},"citationItems":[{"id":94,"uris":["http://zotero.org/users/local/HVWDw8n9/items/GZDSFC9L"],"itemData":{"id":94,"type":"article-journal","abstract":"Citation Kaushic C. HIV-1 infection in the female reproductive tract: role of interactions between HIV-1 and genital epithelial cells. Am J Reprod Immunol 2011; 65: 253?260 Despite recent progress in understanding the mucosal transmission of human immunodeficiency virus (HIV)-1, the immediate events following transmission in the female genital tract are incompletely understood. Recent in vivo studies in primate models indicate that HIV-1 transmission may occur in the upper or lower genital tract and the initial HIV-1 replication occurs primarily in the target T cells and in some subsets of DCs localized in the genital tract. However, the principal mechanism(s) that allow the virus to cross the primary barrier of genital epithelial cells (GECs) are still unclear. A number of pathways have been proposed as possible ways that HIV-1 could use to cross the epithelium. However, little attention has been paid to the response of GECs to HIV-1. We recently demonstrated that exposure to HIV-1 rapidly upregulates a wide array of pro-inflammatory cytokine production by GECs. Among these cytokines, tumour necrosis factor (TNF)-α impaired the tight junction barrier allowing HIV-1 and luminal bacteria to translocate across the epithelium. This study illustrated that GECs are dynamically active cells that mount rapid host responses to HIV-1, independent of viral replication. Cytokine responses of GECs could play a critical role in HIV transmission and replication. Further understanding of GEC responses to HIV-1 and their regulation could be critical to understanding HIV-1 transmission dynamics during heterosexual transmission.","container-title":"American Journal of Reproductive Immunology","DOI":"10.1111/j.1600-0897.2010.00965.x","ISSN":"1046-7408","issue":"3","journalAbbreviation":"American Journal of Reproductive Immunology","note":"publisher: John Wiley &amp; Sons, Ltd","page":"253-260","title":"HIV-1 Infection in the Female Reproductive Tract: Role of Interactions between HIV-1 and Genital Epithelial Cells","volume":"65","author":[{"family":"Kaushic","given":"Charu"}],"issued":{"date-parts":[["2011",3,1]]}}},{"id":98,"uris":["http://zotero.org/users/local/HVWDw8n9/items/KDSF4LTG"],"itemData":{"id":98,"type":"article-journal","abstract":"Women remain disproportionately affected by the HIV/AIDS pandemic. The primary mechanism for HIV acquisition in women is sexual transmission, yet the immunobiological factors that contribute to HIV susceptibility remain poorly characterized. Here, we review current knowledge on HIV pathogenesis in women, focusing on infection and immune responses in the female reproductive tract (FRT).","container-title":"Current HIV/AIDS Reports","DOI":"10.1007/s11904-021-00546-1","ISSN":"1548-3576","issue":"2","journalAbbreviation":"Current HIV/AIDS Reports","page":"139-156","title":"HIV Pathogenesis in the Human Female Reproductive Tract","volume":"18","author":[{"family":"Rodriguez-Garcia","given":"Marta"},{"family":"Connors","given":"Kaleigh"},{"family":"Ghosh","given":"Mimi"}],"issued":{"date-parts":[["2021",4,1]]}}},{"id":103,"uris":["http://zotero.org/users/local/HVWDw8n9/items/HQRSYB2S"],"itemData":{"id":103,"type":"article-journal","abstract":"Summary Mucosal surfaces are key interfaces between the host and its environment, but also constitute ports of entry for numerous pathogens. The gut and lung mucosae act as points of nutrient and gas exchange, respectively, but the physiological purpose of the female reproductive tract (FRT) is to allow implantation and development of the fetus. Our understanding of immune responses in the FRT has traditionally lagged behind our grasp of the situation at other mucosal sites, but recently reproductive immunologists have begun to make rapid progress in this challenging area. Here, we review current knowledge of immune responses in the human FRT and their heterogeneity within and between compartments. In the commensal-rich vagina, the immune system must allow the growth of beneficial microbes, whereas the key challenge in the uterus is allowing the growth of the semi-allogeneic fetus. In both compartments, these objectives must be balanced with the need to eliminate pathogens. Our developing understanding of immune responses in the FRT will help us develop interventions to prevent the spread of sexually transmitted diseases and to improve outcomes of pregnancy for mothers and babies.","container-title":"Immunology","DOI":"10.1111/imm.13136","ISSN":"0019-2805","issue":"2","journalAbbreviation":"Immunology","note":"publisher: John Wiley &amp; Sons, Ltd","page":"106-115","title":"Immune responses in the human female reproductive tract","volume":"160","author":[{"family":"Monin","given":"Leticia"},{"family":"Whettlock","given":"Emily M."},{"family":"Male","given":"Victoria"}],"issued":{"date-parts":[["2020",6,1]]}}}],"schema":"https://github.com/citation-style-language/schema/raw/master/csl-citation.json"} </w:instrText>
      </w:r>
      <w:r w:rsidR="004C0C20">
        <w:rPr>
          <w:rFonts w:ascii="Arial" w:hAnsi="Arial" w:cs="Arial"/>
        </w:rPr>
        <w:fldChar w:fldCharType="separate"/>
      </w:r>
      <w:r w:rsidR="004C0C20" w:rsidRPr="004C0C20">
        <w:rPr>
          <w:rFonts w:ascii="Arial" w:hAnsi="Arial" w:cs="Arial"/>
        </w:rPr>
        <w:t>(3,10,11)</w:t>
      </w:r>
      <w:r w:rsidR="004C0C20">
        <w:rPr>
          <w:rFonts w:ascii="Arial" w:hAnsi="Arial" w:cs="Arial"/>
        </w:rPr>
        <w:fldChar w:fldCharType="end"/>
      </w:r>
      <w:r w:rsidRPr="00CF2777">
        <w:rPr>
          <w:rFonts w:ascii="Arial" w:hAnsi="Arial" w:cs="Arial"/>
        </w:rPr>
        <w:t>. Women are still a high-risk group for new HIV infections in rates higher than male counterparts and this presents an opportunity for the development of tailor-made prevention products. The specific steps and mechanisms that result in successful HIV infection following exposure in the female genital tract are still a grey area requiring research. Several models have been used to further understand HIV route of transmission and studies in non-human primates have proved that infection can occur in the upper or lower female genital tract</w:t>
      </w:r>
      <w:r w:rsidR="004C0C20">
        <w:rPr>
          <w:rFonts w:ascii="Arial" w:hAnsi="Arial" w:cs="Arial"/>
        </w:rPr>
        <w:t xml:space="preserve"> </w:t>
      </w:r>
      <w:r w:rsidR="004C0C20">
        <w:rPr>
          <w:rFonts w:ascii="Arial" w:hAnsi="Arial" w:cs="Arial"/>
        </w:rPr>
        <w:fldChar w:fldCharType="begin"/>
      </w:r>
      <w:r w:rsidR="004C0C20">
        <w:rPr>
          <w:rFonts w:ascii="Arial" w:hAnsi="Arial" w:cs="Arial"/>
        </w:rPr>
        <w:instrText xml:space="preserve"> ADDIN ZOTERO_ITEM CSL_CITATION {"citationID":"YF2dMLMj","properties":{"formattedCitation":"(3,12)","plainCitation":"(3,12)","noteIndex":0},"citationItems":[{"id":94,"uris":["http://zotero.org/users/local/HVWDw8n9/items/GZDSFC9L"],"itemData":{"id":94,"type":"article-journal","abstract":"Citation Kaushic C. HIV-1 infection in the female reproductive tract: role of interactions between HIV-1 and genital epithelial cells. Am J Reprod Immunol 2011; 65: 253?260 Despite recent progress in understanding the mucosal transmission of human immunodeficiency virus (HIV)-1, the immediate events following transmission in the female genital tract are incompletely understood. Recent in vivo studies in primate models indicate that HIV-1 transmission may occur in the upper or lower genital tract and the initial HIV-1 replication occurs primarily in the target T cells and in some subsets of DCs localized in the genital tract. However, the principal mechanism(s) that allow the virus to cross the primary barrier of genital epithelial cells (GECs) are still unclear. A number of pathways have been proposed as possible ways that HIV-1 could use to cross the epithelium. However, little attention has been paid to the response of GECs to HIV-1. We recently demonstrated that exposure to HIV-1 rapidly upregulates a wide array of pro-inflammatory cytokine production by GECs. Among these cytokines, tumour necrosis factor (TNF)-α impaired the tight junction barrier allowing HIV-1 and luminal bacteria to translocate across the epithelium. This study illustrated that GECs are dynamically active cells that mount rapid host responses to HIV-1, independent of viral replication. Cytokine responses of GECs could play a critical role in HIV transmission and replication. Further understanding of GEC responses to HIV-1 and their regulation could be critical to understanding HIV-1 transmission dynamics during heterosexual transmission.","container-title":"American Journal of Reproductive Immunology","DOI":"10.1111/j.1600-0897.2010.00965.x","ISSN":"1046-7408","issue":"3","journalAbbreviation":"American Journal of Reproductive Immunology","note":"publisher: John Wiley &amp; Sons, Ltd","page":"253-260","title":"HIV-1 Infection in the Female Reproductive Tract: Role of Interactions between HIV-1 and Genital Epithelial Cells","volume":"65","author":[{"family":"Kaushic","given":"Charu"}],"issued":{"date-parts":[["2011",3,1]]}}},{"id":101,"uris":["http://zotero.org/users/local/HVWDw8n9/items/9Y92347Q"],"itemData":{"id":101,"type":"article-journal","container-title":"eBioMedicine","DOI":"10.1016/j.ebiom.2021.103497","ISSN":"2352-3964","note":"publisher: Elsevier","title":"Immune landscape of female reproductive tract and HIV susceptibility","URL":"https://doi.org/10.1016/j.ebiom.2021.103497","volume":"70","author":[{"family":"Byrareddy","given":"Siddappa N."}],"accessed":{"date-parts":[["2025",7,17]]},"issued":{"date-parts":[["2021",8,1]]}}}],"schema":"https://github.com/citation-style-language/schema/raw/master/csl-citation.json"} </w:instrText>
      </w:r>
      <w:r w:rsidR="004C0C20">
        <w:rPr>
          <w:rFonts w:ascii="Arial" w:hAnsi="Arial" w:cs="Arial"/>
        </w:rPr>
        <w:fldChar w:fldCharType="separate"/>
      </w:r>
      <w:r w:rsidR="004C0C20" w:rsidRPr="004C0C20">
        <w:rPr>
          <w:rFonts w:ascii="Arial" w:hAnsi="Arial" w:cs="Arial"/>
        </w:rPr>
        <w:t>(3,12)</w:t>
      </w:r>
      <w:r w:rsidR="004C0C20">
        <w:rPr>
          <w:rFonts w:ascii="Arial" w:hAnsi="Arial" w:cs="Arial"/>
        </w:rPr>
        <w:fldChar w:fldCharType="end"/>
      </w:r>
      <w:r w:rsidRPr="00CF2777">
        <w:rPr>
          <w:rFonts w:ascii="Arial" w:hAnsi="Arial" w:cs="Arial"/>
        </w:rPr>
        <w:t>.</w:t>
      </w:r>
    </w:p>
    <w:p w14:paraId="441BDB78" w14:textId="63983344" w:rsidR="00CF2777" w:rsidRPr="00CF2777" w:rsidRDefault="0095725A" w:rsidP="00424953">
      <w:pPr>
        <w:pStyle w:val="Body"/>
        <w:contextualSpacing/>
        <w:rPr>
          <w:rFonts w:ascii="Arial" w:hAnsi="Arial" w:cs="Arial"/>
        </w:rPr>
      </w:pPr>
      <w:r>
        <w:rPr>
          <w:noProof/>
        </w:rPr>
        <mc:AlternateContent>
          <mc:Choice Requires="wps">
            <w:drawing>
              <wp:anchor distT="0" distB="0" distL="114300" distR="114300" simplePos="0" relativeHeight="251657216" behindDoc="0" locked="0" layoutInCell="1" allowOverlap="1" wp14:anchorId="3EFEDB57" wp14:editId="6AD83C15">
                <wp:simplePos x="0" y="0"/>
                <wp:positionH relativeFrom="column">
                  <wp:posOffset>4168458</wp:posOffset>
                </wp:positionH>
                <wp:positionV relativeFrom="paragraph">
                  <wp:posOffset>710247</wp:posOffset>
                </wp:positionV>
                <wp:extent cx="359410" cy="817245"/>
                <wp:effectExtent l="228600" t="0" r="231140" b="0"/>
                <wp:wrapNone/>
                <wp:docPr id="1297553529" name="Lef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59410" cy="81724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BE5BC2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5" o:spid="_x0000_s1026" type="#_x0000_t87" style="position:absolute;margin-left:328.25pt;margin-top:55.9pt;width:28.3pt;height:64.3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" adj="792" strokecolor="windowText" strokeweight=".5pt">
                <v:stroke joinstyle="miter"/>
              </v:shape>
            </w:pict>
          </mc:Fallback>
        </mc:AlternateContent>
      </w:r>
      <w:r>
        <w:rPr>
          <w:noProof/>
        </w:rPr>
        <mc:AlternateContent>
          <mc:Choice Requires="wps">
            <w:drawing>
              <wp:anchor distT="0" distB="0" distL="114300" distR="114300" simplePos="0" relativeHeight="251658240" behindDoc="0" locked="0" layoutInCell="1" allowOverlap="1" wp14:anchorId="0A6B7E83" wp14:editId="03007CD3">
                <wp:simplePos x="0" y="0"/>
                <wp:positionH relativeFrom="column">
                  <wp:posOffset>5358448</wp:posOffset>
                </wp:positionH>
                <wp:positionV relativeFrom="paragraph">
                  <wp:posOffset>729298</wp:posOffset>
                </wp:positionV>
                <wp:extent cx="359410" cy="775335"/>
                <wp:effectExtent l="209550" t="0" r="212090" b="0"/>
                <wp:wrapNone/>
                <wp:docPr id="442827222" name="Left Brac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59410" cy="77533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8B477D8" id="Left Brace 7" o:spid="_x0000_s1026" type="#_x0000_t87" style="position:absolute;margin-left:421.95pt;margin-top:57.45pt;width:28.3pt;height:61.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" adj="834" strokecolor="windowText" strokeweight=".5pt">
                <v:stroke joinstyle="miter"/>
              </v:shape>
            </w:pict>
          </mc:Fallback>
        </mc:AlternateContent>
      </w:r>
      <w:r w:rsidR="00CF2777" w:rsidRPr="00CF2777">
        <w:rPr>
          <w:rFonts w:ascii="Arial" w:hAnsi="Arial" w:cs="Arial"/>
        </w:rPr>
        <w:t>Several physiological and anatomical features exist that regulate reproductive life cycle, immunobiology and hormonal regulation, growth and maturity of the cervix and epithelial cells at different ages all put women at high risk for HIV transmission and will be briefly discussed in this section.</w:t>
      </w:r>
    </w:p>
    <w:p w14:paraId="4818D983" w14:textId="76BF41A1" w:rsidR="003D7C8F" w:rsidRPr="003D7C8F" w:rsidRDefault="0051068A" w:rsidP="00424953">
      <w:pPr>
        <w:contextualSpacing/>
        <w:jc w:val="both"/>
        <w:rPr>
          <w:rFonts w:ascii="Arial" w:eastAsia="Calibri" w:hAnsi="Arial" w:cs="Arial"/>
          <w:kern w:val="2"/>
          <w:sz w:val="22"/>
          <w:szCs w:val="22"/>
          <w:lang w:val="en-ZW"/>
        </w:rPr>
      </w:pPr>
      <w:r>
        <w:rPr>
          <w:noProof/>
        </w:rPr>
        <w:lastRenderedPageBreak/>
        <mc:AlternateContent>
          <mc:Choice Requires="wps">
            <w:drawing>
              <wp:anchor distT="45720" distB="45720" distL="114300" distR="114300" simplePos="0" relativeHeight="251659264" behindDoc="0" locked="0" layoutInCell="1" allowOverlap="1" wp14:anchorId="026F9FDD" wp14:editId="08897A0B">
                <wp:simplePos x="0" y="0"/>
                <wp:positionH relativeFrom="column">
                  <wp:posOffset>3810000</wp:posOffset>
                </wp:positionH>
                <wp:positionV relativeFrom="paragraph">
                  <wp:posOffset>12065</wp:posOffset>
                </wp:positionV>
                <wp:extent cx="2377440" cy="243840"/>
                <wp:effectExtent l="0" t="0" r="3810" b="3810"/>
                <wp:wrapSquare wrapText="bothSides"/>
                <wp:docPr id="212258677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43840"/>
                        </a:xfrm>
                        <a:prstGeom prst="rect">
                          <a:avLst/>
                        </a:prstGeom>
                        <a:solidFill>
                          <a:srgbClr val="FFFFFF"/>
                        </a:solidFill>
                        <a:ln w="9525">
                          <a:noFill/>
                          <a:miter lim="800000"/>
                          <a:headEnd/>
                          <a:tailEnd/>
                        </a:ln>
                      </wps:spPr>
                      <wps:txbx>
                        <w:txbxContent>
                          <w:p w14:paraId="2A6D1340" w14:textId="5B56FBD2" w:rsidR="003D7C8F" w:rsidRPr="00A207D0" w:rsidRDefault="003D7C8F" w:rsidP="003D7C8F">
                            <w:pPr>
                              <w:rPr>
                                <w:b/>
                                <w:bCs/>
                                <w:sz w:val="14"/>
                                <w:szCs w:val="14"/>
                              </w:rPr>
                            </w:pPr>
                            <w:r w:rsidRPr="00A207D0">
                              <w:rPr>
                                <w:b/>
                                <w:bCs/>
                                <w:sz w:val="14"/>
                                <w:szCs w:val="14"/>
                              </w:rPr>
                              <w:t xml:space="preserve">Squamous epithelium  </w:t>
                            </w:r>
                            <w:r>
                              <w:rPr>
                                <w:b/>
                                <w:bCs/>
                                <w:sz w:val="14"/>
                                <w:szCs w:val="14"/>
                              </w:rPr>
                              <w:t xml:space="preserve">        </w:t>
                            </w:r>
                            <w:r w:rsidRPr="00A207D0">
                              <w:rPr>
                                <w:b/>
                                <w:bCs/>
                                <w:sz w:val="14"/>
                                <w:szCs w:val="14"/>
                              </w:rPr>
                              <w:t>Columnar epithelium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F9FDD" id="_x0000_t202" coordsize="21600,21600" o:spt="202" path="m,l,21600r21600,l21600,xe">
                <v:stroke joinstyle="miter"/>
                <v:path gradientshapeok="t" o:connecttype="rect"/>
              </v:shapetype>
              <v:shape id="Text Box 9" o:spid="_x0000_s1026" type="#_x0000_t202" style="position:absolute;left:0;text-align:left;margin-left:300pt;margin-top:.95pt;width:187.2pt;height:19.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" stroked="f">
                <v:textbox>
                  <w:txbxContent>
                    <w:p w14:paraId="2A6D1340" w14:textId="5B56FBD2" w:rsidR="003D7C8F" w:rsidRPr="00A207D0" w:rsidRDefault="003D7C8F" w:rsidP="003D7C8F">
                      <w:pPr>
                        <w:rPr>
                          <w:b/>
                          <w:bCs/>
                          <w:sz w:val="14"/>
                          <w:szCs w:val="14"/>
                        </w:rPr>
                      </w:pPr>
                      <w:r w:rsidRPr="00A207D0">
                        <w:rPr>
                          <w:b/>
                          <w:bCs/>
                          <w:sz w:val="14"/>
                          <w:szCs w:val="14"/>
                        </w:rPr>
                        <w:t xml:space="preserve">Squamous epithelium  </w:t>
                      </w:r>
                      <w:r>
                        <w:rPr>
                          <w:b/>
                          <w:bCs/>
                          <w:sz w:val="14"/>
                          <w:szCs w:val="14"/>
                        </w:rPr>
                        <w:t xml:space="preserve">        </w:t>
                      </w:r>
                      <w:r w:rsidRPr="00A207D0">
                        <w:rPr>
                          <w:b/>
                          <w:bCs/>
                          <w:sz w:val="14"/>
                          <w:szCs w:val="14"/>
                        </w:rPr>
                        <w:t>Columnar epithelium</w:t>
                      </w:r>
                    </w:p>
                  </w:txbxContent>
                </v:textbox>
                <w10:wrap type="square"/>
              </v:shape>
            </w:pict>
          </mc:Fallback>
        </mc:AlternateContent>
      </w:r>
      <w:r>
        <w:rPr>
          <w:noProof/>
        </w:rPr>
        <mc:AlternateContent>
          <mc:Choice Requires="wps">
            <w:drawing>
              <wp:anchor distT="0" distB="0" distL="114300" distR="114300" simplePos="0" relativeHeight="251656192" behindDoc="0" locked="0" layoutInCell="1" allowOverlap="1" wp14:anchorId="75B11D56" wp14:editId="647B5ECD">
                <wp:simplePos x="0" y="0"/>
                <wp:positionH relativeFrom="column">
                  <wp:posOffset>2884170</wp:posOffset>
                </wp:positionH>
                <wp:positionV relativeFrom="paragraph">
                  <wp:posOffset>1753870</wp:posOffset>
                </wp:positionV>
                <wp:extent cx="941070" cy="38100"/>
                <wp:effectExtent l="19050" t="95250" r="106680" b="57150"/>
                <wp:wrapNone/>
                <wp:docPr id="156822577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41070" cy="38100"/>
                        </a:xfrm>
                        <a:prstGeom prst="line">
                          <a:avLst/>
                        </a:prstGeom>
                        <a:noFill/>
                        <a:ln w="6350" cap="flat" cmpd="sng" algn="ctr">
                          <a:solidFill>
                            <a:srgbClr val="4472C4">
                              <a:lumMod val="20000"/>
                              <a:lumOff val="80000"/>
                            </a:srgbClr>
                          </a:solidFill>
                          <a:prstDash val="solid"/>
                          <a:miter lim="800000"/>
                        </a:ln>
                        <a:effectLst>
                          <a:outerShdw blurRad="50800" dist="38100" dir="18900000" algn="bl"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685994D" id="Straight Connector 1"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1pt,138.1pt" to="301.2pt,1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" strokecolor="#dae3f3" strokeweight=".5pt">
                <v:stroke joinstyle="miter"/>
                <v:shadow on="t" color="black" opacity="26214f" origin="-.5,.5" offset=".74836mm,-.74836mm"/>
                <o:lock v:ext="edit" shapetype="f"/>
              </v:line>
            </w:pict>
          </mc:Fallback>
        </mc:AlternateContent>
      </w:r>
      <w:r>
        <w:rPr>
          <w:noProof/>
        </w:rPr>
        <mc:AlternateContent>
          <mc:Choice Requires="wps">
            <w:drawing>
              <wp:anchor distT="0" distB="0" distL="114300" distR="114300" simplePos="0" relativeHeight="251654144" behindDoc="0" locked="0" layoutInCell="1" allowOverlap="1" wp14:anchorId="3D26C629" wp14:editId="567779BC">
                <wp:simplePos x="0" y="0"/>
                <wp:positionH relativeFrom="column">
                  <wp:posOffset>2907030</wp:posOffset>
                </wp:positionH>
                <wp:positionV relativeFrom="paragraph">
                  <wp:posOffset>511810</wp:posOffset>
                </wp:positionV>
                <wp:extent cx="929640" cy="1196340"/>
                <wp:effectExtent l="57150" t="38100" r="99060" b="118110"/>
                <wp:wrapNone/>
                <wp:docPr id="197725930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29640" cy="1196340"/>
                        </a:xfrm>
                        <a:prstGeom prst="line">
                          <a:avLst/>
                        </a:prstGeom>
                        <a:noFill/>
                        <a:ln w="6350" cap="flat" cmpd="sng" algn="ctr">
                          <a:solidFill>
                            <a:srgbClr val="44546A">
                              <a:lumMod val="20000"/>
                              <a:lumOff val="80000"/>
                            </a:srgbClr>
                          </a:solidFill>
                          <a:prstDash val="solid"/>
                          <a:miter lim="800000"/>
                        </a:ln>
                        <a:effectLst>
                          <a:outerShdw blurRad="76200" dist="38100" dir="2700000" sx="99000" sy="99000" algn="tl"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4360869" id="Straight Connector 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9pt,40.3pt" to="302.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" strokecolor="#d6dce5" strokeweight=".5pt">
                <v:stroke joinstyle="miter"/>
                <v:shadow on="t" type="perspective" color="black" opacity="26214f" origin="-.5,-.5" offset=".74836mm,.74836mm" matrix="64881f,,,64881f"/>
                <o:lock v:ext="edit" shapetype="f"/>
              </v:line>
            </w:pict>
          </mc:Fallback>
        </mc:AlternateContent>
      </w:r>
      <w:r>
        <w:rPr>
          <w:noProof/>
        </w:rPr>
        <mc:AlternateContent>
          <mc:Choice Requires="wps">
            <w:drawing>
              <wp:anchor distT="45720" distB="45720" distL="114300" distR="114300" simplePos="0" relativeHeight="251660288" behindDoc="0" locked="0" layoutInCell="1" allowOverlap="1" wp14:anchorId="4263B761" wp14:editId="301DC336">
                <wp:simplePos x="0" y="0"/>
                <wp:positionH relativeFrom="column">
                  <wp:posOffset>4678045</wp:posOffset>
                </wp:positionH>
                <wp:positionV relativeFrom="paragraph">
                  <wp:posOffset>2181860</wp:posOffset>
                </wp:positionV>
                <wp:extent cx="1326515" cy="209550"/>
                <wp:effectExtent l="0" t="0" r="6985" b="0"/>
                <wp:wrapSquare wrapText="bothSides"/>
                <wp:docPr id="15271344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209550"/>
                        </a:xfrm>
                        <a:prstGeom prst="rect">
                          <a:avLst/>
                        </a:prstGeom>
                        <a:solidFill>
                          <a:srgbClr val="FFFFFF"/>
                        </a:solidFill>
                        <a:ln w="9525">
                          <a:noFill/>
                          <a:miter lim="800000"/>
                          <a:headEnd/>
                          <a:tailEnd/>
                        </a:ln>
                      </wps:spPr>
                      <wps:txbx>
                        <w:txbxContent>
                          <w:p w14:paraId="406BACCB" w14:textId="40972B37" w:rsidR="003D7C8F" w:rsidRPr="00A207D0" w:rsidRDefault="003D7C8F" w:rsidP="003D7C8F">
                            <w:pPr>
                              <w:rPr>
                                <w:b/>
                                <w:bCs/>
                                <w:sz w:val="14"/>
                                <w:szCs w:val="14"/>
                              </w:rPr>
                            </w:pPr>
                            <w:r w:rsidRPr="00A207D0">
                              <w:rPr>
                                <w:b/>
                                <w:bCs/>
                                <w:sz w:val="14"/>
                                <w:szCs w:val="14"/>
                              </w:rPr>
                              <w:t>Squamocolumnar junction</w:t>
                            </w:r>
                          </w:p>
                          <w:p w14:paraId="5C8A9E0E" w14:textId="1C9FFC1A" w:rsidR="003D7C8F" w:rsidRDefault="003D7C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63B761" id="Text Box 2" o:spid="_x0000_s1027" type="#_x0000_t202" style="position:absolute;left:0;text-align:left;margin-left:368.35pt;margin-top:171.8pt;width:104.45pt;height:1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" stroked="f">
                <v:textbox>
                  <w:txbxContent>
                    <w:p w14:paraId="406BACCB" w14:textId="40972B37" w:rsidR="003D7C8F" w:rsidRPr="00A207D0" w:rsidRDefault="003D7C8F" w:rsidP="003D7C8F">
                      <w:pPr>
                        <w:rPr>
                          <w:b/>
                          <w:bCs/>
                          <w:sz w:val="14"/>
                          <w:szCs w:val="14"/>
                        </w:rPr>
                      </w:pPr>
                      <w:r w:rsidRPr="00A207D0">
                        <w:rPr>
                          <w:b/>
                          <w:bCs/>
                          <w:sz w:val="14"/>
                          <w:szCs w:val="14"/>
                        </w:rPr>
                        <w:t>Squamocolumnar junction</w:t>
                      </w:r>
                    </w:p>
                    <w:p w14:paraId="5C8A9E0E" w14:textId="1C9FFC1A" w:rsidR="003D7C8F" w:rsidRDefault="003D7C8F"/>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7EC1D1C8" wp14:editId="6EBD2BFA">
                <wp:simplePos x="0" y="0"/>
                <wp:positionH relativeFrom="column">
                  <wp:posOffset>5265420</wp:posOffset>
                </wp:positionH>
                <wp:positionV relativeFrom="paragraph">
                  <wp:posOffset>1726565</wp:posOffset>
                </wp:positionV>
                <wp:extent cx="106680" cy="426720"/>
                <wp:effectExtent l="76200" t="38100" r="45720" b="87630"/>
                <wp:wrapNone/>
                <wp:docPr id="93695601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6680" cy="426720"/>
                        </a:xfrm>
                        <a:prstGeom prst="straightConnector1">
                          <a:avLst/>
                        </a:prstGeom>
                        <a:ln>
                          <a:headEnd type="none" w="med" len="med"/>
                          <a:tailEnd type="triangle" w="med" len="med"/>
                        </a:ln>
                      </wps:spPr>
                      <wps:style>
                        <a:lnRef idx="2">
                          <a:schemeClr val="accent5"/>
                        </a:lnRef>
                        <a:fillRef idx="0">
                          <a:schemeClr val="accent5"/>
                        </a:fillRef>
                        <a:effectRef idx="1">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3FFAB46" id="_x0000_t32" coordsize="21600,21600" o:spt="32" o:oned="t" path="m,l21600,21600e" filled="f">
                <v:path arrowok="t" fillok="f" o:connecttype="none"/>
                <o:lock v:ext="edit" shapetype="t"/>
              </v:shapetype>
              <v:shape id="AutoShape 11" o:spid="_x0000_s1026" type="#_x0000_t32" style="position:absolute;margin-left:414.6pt;margin-top:135.95pt;width:8.4pt;height:33.6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" strokecolor="#4bacc6 [3208]" strokeweight="2pt">
                <v:stroke endarrow="block"/>
                <v:shadow on="t" color="black" opacity="24903f" origin=",.5" offset="0,.55556mm"/>
              </v:shape>
            </w:pict>
          </mc:Fallback>
        </mc:AlternateContent>
      </w:r>
      <w:r w:rsidRPr="003D7C8F">
        <w:rPr>
          <w:rFonts w:ascii="Arial" w:eastAsia="Calibri" w:hAnsi="Arial" w:cs="Arial"/>
          <w:noProof/>
          <w:kern w:val="2"/>
          <w:sz w:val="22"/>
          <w:szCs w:val="22"/>
          <w:lang w:val="en-ZW"/>
        </w:rPr>
        <w:drawing>
          <wp:anchor distT="0" distB="0" distL="114300" distR="114300" simplePos="0" relativeHeight="251655168" behindDoc="0" locked="0" layoutInCell="1" allowOverlap="1" wp14:anchorId="58534160" wp14:editId="667FD895">
            <wp:simplePos x="0" y="0"/>
            <wp:positionH relativeFrom="column">
              <wp:posOffset>3893185</wp:posOffset>
            </wp:positionH>
            <wp:positionV relativeFrom="paragraph">
              <wp:posOffset>443230</wp:posOffset>
            </wp:positionV>
            <wp:extent cx="2471147" cy="1341120"/>
            <wp:effectExtent l="38100" t="38100" r="100965" b="87630"/>
            <wp:wrapNone/>
            <wp:docPr id="3450817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2188" t="14201" r="2514" b="6529"/>
                    <a:stretch>
                      <a:fillRect/>
                    </a:stretch>
                  </pic:blipFill>
                  <pic:spPr bwMode="auto">
                    <a:xfrm>
                      <a:off x="0" y="0"/>
                      <a:ext cx="2471147" cy="1341120"/>
                    </a:xfrm>
                    <a:prstGeom prst="rect">
                      <a:avLst/>
                    </a:prstGeom>
                    <a:ln w="3175" cap="sq">
                      <a:solidFill>
                        <a:schemeClr val="tx2">
                          <a:lumMod val="20000"/>
                          <a:lumOff val="80000"/>
                        </a:schemeClr>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EE7">
        <w:rPr>
          <w:rFonts w:ascii="Arial" w:hAnsi="Arial" w:cs="Arial"/>
        </w:rPr>
        <w:t xml:space="preserve">               </w:t>
      </w:r>
      <w:r w:rsidR="00CF2777" w:rsidRPr="00CF2777">
        <w:rPr>
          <w:rFonts w:ascii="Arial" w:hAnsi="Arial" w:cs="Arial"/>
        </w:rPr>
        <w:t xml:space="preserve"> </w:t>
      </w:r>
      <w:r w:rsidR="003D7C8F" w:rsidRPr="003D7C8F">
        <w:rPr>
          <w:rFonts w:ascii="Arial" w:eastAsia="Calibri" w:hAnsi="Arial" w:cs="Arial"/>
          <w:noProof/>
          <w:kern w:val="2"/>
          <w:sz w:val="22"/>
          <w:szCs w:val="22"/>
          <w:lang w:val="en-ZW"/>
        </w:rPr>
        <w:drawing>
          <wp:inline distT="0" distB="0" distL="0" distR="0" wp14:anchorId="25A67DD2" wp14:editId="4682818B">
            <wp:extent cx="3028315" cy="2253066"/>
            <wp:effectExtent l="38100" t="38100" r="95885" b="90170"/>
            <wp:docPr id="1941569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9485" cy="2268817"/>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BBF68A0" w14:textId="29436EF9" w:rsidR="00CF2777" w:rsidRPr="00CF2777" w:rsidRDefault="00CF2777" w:rsidP="00424953">
      <w:pPr>
        <w:pStyle w:val="Body"/>
        <w:contextualSpacing/>
        <w:rPr>
          <w:rFonts w:ascii="Arial" w:hAnsi="Arial" w:cs="Arial"/>
        </w:rPr>
      </w:pPr>
    </w:p>
    <w:p w14:paraId="5FB6D237" w14:textId="77777777" w:rsidR="0051068A" w:rsidRDefault="0051068A" w:rsidP="00424953">
      <w:pPr>
        <w:pStyle w:val="Body"/>
        <w:contextualSpacing/>
        <w:rPr>
          <w:rFonts w:ascii="Arial" w:hAnsi="Arial" w:cs="Arial"/>
          <w:b/>
          <w:bCs/>
        </w:rPr>
      </w:pPr>
    </w:p>
    <w:p w14:paraId="0578850F" w14:textId="2FB4C632" w:rsidR="00CF2777" w:rsidRDefault="00CF2777" w:rsidP="00424953">
      <w:pPr>
        <w:pStyle w:val="Body"/>
        <w:contextualSpacing/>
        <w:rPr>
          <w:rFonts w:ascii="Arial" w:hAnsi="Arial" w:cs="Arial"/>
          <w:b/>
          <w:bCs/>
        </w:rPr>
      </w:pPr>
      <w:r w:rsidRPr="003D7C8F">
        <w:rPr>
          <w:rFonts w:ascii="Arial" w:hAnsi="Arial" w:cs="Arial"/>
          <w:b/>
          <w:bCs/>
        </w:rPr>
        <w:t xml:space="preserve">Fig </w:t>
      </w:r>
      <w:r w:rsidR="003D7C8F" w:rsidRPr="003D7C8F">
        <w:rPr>
          <w:rFonts w:ascii="Arial" w:hAnsi="Arial" w:cs="Arial"/>
          <w:b/>
          <w:bCs/>
        </w:rPr>
        <w:t>1</w:t>
      </w:r>
      <w:r w:rsidRPr="003D7C8F">
        <w:rPr>
          <w:rFonts w:ascii="Arial" w:hAnsi="Arial" w:cs="Arial"/>
          <w:b/>
          <w:bCs/>
        </w:rPr>
        <w:t>:  The female reproductive tract</w:t>
      </w:r>
      <w:r w:rsidR="004C0C20">
        <w:rPr>
          <w:rFonts w:ascii="Arial" w:hAnsi="Arial" w:cs="Arial"/>
          <w:b/>
          <w:bCs/>
        </w:rPr>
        <w:t xml:space="preserve"> </w:t>
      </w:r>
      <w:r w:rsidR="0051068A" w:rsidRPr="0051068A">
        <w:rPr>
          <w:rFonts w:ascii="Arial" w:hAnsi="Arial" w:cs="Arial"/>
        </w:rPr>
        <w:t>(Atlas of visual inspection of the cervix with acetic acid for screening, triage, and assessment for treatment, June 2025</w:t>
      </w:r>
      <w:r w:rsidR="004C0C20">
        <w:rPr>
          <w:rFonts w:ascii="Arial" w:hAnsi="Arial" w:cs="Arial"/>
          <w:b/>
          <w:bCs/>
        </w:rPr>
        <w:fldChar w:fldCharType="begin"/>
      </w:r>
      <w:r w:rsidR="004C0C20">
        <w:rPr>
          <w:rFonts w:ascii="Arial" w:hAnsi="Arial" w:cs="Arial"/>
          <w:b/>
          <w:bCs/>
        </w:rPr>
        <w:instrText xml:space="preserve"> ADDIN ZOTERO_ITEM CSL_CITATION {"citationID":"N5J3gIjG","properties":{"formattedCitation":"(13)","plainCitation":"(13)","noteIndex":0},"citationItems":[{"id":113,"uris":["http://zotero.org/users/local/HVWDw8n9/items/SKTS8IVS"],"itemData":{"id":113,"type":"webpage","title":"Atlas of visual inspection of the cervix with acetic acid for screening, triage, and assessment for treatment","URL":"https://screening.iarc.fr/atlasviadetail.php?Index=14&amp;e=","accessed":{"date-parts":[["2025",7,24]]}}}],"schema":"https://github.com/citation-style-language/schema/raw/master/csl-citation.json"} </w:instrText>
      </w:r>
      <w:r w:rsidR="004C0C20">
        <w:rPr>
          <w:rFonts w:ascii="Arial" w:hAnsi="Arial" w:cs="Arial"/>
          <w:b/>
          <w:bCs/>
        </w:rPr>
        <w:fldChar w:fldCharType="separate"/>
      </w:r>
      <w:r w:rsidR="004C0C20" w:rsidRPr="004C0C20">
        <w:rPr>
          <w:rFonts w:ascii="Arial" w:hAnsi="Arial" w:cs="Arial"/>
        </w:rPr>
        <w:t>(13)</w:t>
      </w:r>
      <w:r w:rsidR="004C0C20">
        <w:rPr>
          <w:rFonts w:ascii="Arial" w:hAnsi="Arial" w:cs="Arial"/>
          <w:b/>
          <w:bCs/>
        </w:rPr>
        <w:fldChar w:fldCharType="end"/>
      </w:r>
      <w:r w:rsidRPr="003D7C8F">
        <w:rPr>
          <w:rFonts w:ascii="Arial" w:hAnsi="Arial" w:cs="Arial"/>
          <w:b/>
          <w:bCs/>
        </w:rPr>
        <w:t xml:space="preserve"> </w:t>
      </w:r>
    </w:p>
    <w:p w14:paraId="532DA1A4" w14:textId="77777777" w:rsidR="00424953" w:rsidRPr="003D7C8F" w:rsidRDefault="00424953" w:rsidP="00424953">
      <w:pPr>
        <w:pStyle w:val="Body"/>
        <w:contextualSpacing/>
        <w:rPr>
          <w:rFonts w:ascii="Arial" w:hAnsi="Arial" w:cs="Arial"/>
          <w:b/>
          <w:bCs/>
        </w:rPr>
      </w:pPr>
    </w:p>
    <w:p w14:paraId="00FAD699" w14:textId="77777777" w:rsidR="0051068A" w:rsidRDefault="0051068A" w:rsidP="00424953">
      <w:pPr>
        <w:pStyle w:val="Body"/>
        <w:contextualSpacing/>
        <w:rPr>
          <w:rFonts w:ascii="Arial" w:hAnsi="Arial" w:cs="Arial"/>
        </w:rPr>
      </w:pPr>
    </w:p>
    <w:p w14:paraId="7B9534F0" w14:textId="576962A9" w:rsidR="00CF2777" w:rsidRDefault="00CF2777" w:rsidP="00424953">
      <w:pPr>
        <w:pStyle w:val="Body"/>
        <w:contextualSpacing/>
        <w:rPr>
          <w:rFonts w:ascii="Arial" w:hAnsi="Arial" w:cs="Arial"/>
        </w:rPr>
      </w:pPr>
      <w:r w:rsidRPr="00CF2777">
        <w:rPr>
          <w:rFonts w:ascii="Arial" w:hAnsi="Arial" w:cs="Arial"/>
        </w:rPr>
        <w:t>Epithelial cells in the reproductive tract are the primary route for HIV and other infections with differences in structures of the tissue at different parts of the reproductive tract</w:t>
      </w:r>
      <w:r w:rsidR="004C0C20">
        <w:rPr>
          <w:rFonts w:ascii="Arial" w:hAnsi="Arial" w:cs="Arial"/>
        </w:rPr>
        <w:t xml:space="preserve"> </w:t>
      </w:r>
      <w:r w:rsidR="004C0C20">
        <w:rPr>
          <w:rFonts w:ascii="Arial" w:hAnsi="Arial" w:cs="Arial"/>
        </w:rPr>
        <w:fldChar w:fldCharType="begin"/>
      </w:r>
      <w:r w:rsidR="004C0C20">
        <w:rPr>
          <w:rFonts w:ascii="Arial" w:hAnsi="Arial" w:cs="Arial"/>
        </w:rPr>
        <w:instrText xml:space="preserve"> ADDIN ZOTERO_ITEM CSL_CITATION {"citationID":"SFBSD51b","properties":{"formattedCitation":"(3,14)","plainCitation":"(3,14)","noteIndex":0},"citationItems":[{"id":94,"uris":["http://zotero.org/users/local/HVWDw8n9/items/GZDSFC9L"],"itemData":{"id":94,"type":"article-journal","abstract":"Citation Kaushic C. HIV-1 infection in the female reproductive tract: role of interactions between HIV-1 and genital epithelial cells. Am J Reprod Immunol 2011; 65: 253?260 Despite recent progress in understanding the mucosal transmission of human immunodeficiency virus (HIV)-1, the immediate events following transmission in the female genital tract are incompletely understood. Recent in vivo studies in primate models indicate that HIV-1 transmission may occur in the upper or lower genital tract and the initial HIV-1 replication occurs primarily in the target T cells and in some subsets of DCs localized in the genital tract. However, the principal mechanism(s) that allow the virus to cross the primary barrier of genital epithelial cells (GECs) are still unclear. A number of pathways have been proposed as possible ways that HIV-1 could use to cross the epithelium. However, little attention has been paid to the response of GECs to HIV-1. We recently demonstrated that exposure to HIV-1 rapidly upregulates a wide array of pro-inflammatory cytokine production by GECs. Among these cytokines, tumour necrosis factor (TNF)-α impaired the tight junction barrier allowing HIV-1 and luminal bacteria to translocate across the epithelium. This study illustrated that GECs are dynamically active cells that mount rapid host responses to HIV-1, independent of viral replication. Cytokine responses of GECs could play a critical role in HIV transmission and replication. Further understanding of GEC responses to HIV-1 and their regulation could be critical to understanding HIV-1 transmission dynamics during heterosexual transmission.","container-title":"American Journal of Reproductive Immunology","DOI":"10.1111/j.1600-0897.2010.00965.x","ISSN":"1046-7408","issue":"3","journalAbbreviation":"American Journal of Reproductive Immunology","note":"publisher: John Wiley &amp; Sons, Ltd","page":"253-260","title":"HIV-1 Infection in the Female Reproductive Tract: Role of Interactions between HIV-1 and Genital Epithelial Cells","volume":"65","author":[{"family":"Kaushic","given":"Charu"}],"issued":{"date-parts":[["2011",3,1]]}}},{"id":95,"uris":["http://zotero.org/users/local/HVWDw8n9/items/RJQYYRIZ"],"itemData":{"id":95,"type":"article-journal","abstract":"Worldwide, the heterosexual route is the prevalent mode of HIV-1 transmission, and the female reproductive tract accounts for approximately 40% of all HIV-1 transmissions. HIV-1 infection in the female reproductive tract involves three major events: entry through the mucosal epithelium, productive infection in subepithelial mononuclear cells, and delivery to lymph nodes to initiate systemic infection. Here, we provide a focused review of the interaction between HIV-1 and mucosal epithelial cells, lymphocytes, macrophages, and dendritic cells in female genital mucosa. Increased understanding of these interactions could illuminate new approaches for interdicting HIV-1 heterosexual transmission.","container-title":"American Journal of Reproductive Immunology","DOI":"10.1111/aji.12244","ISSN":"1046-7408","issue":"6","journalAbbreviation":"American Journal of Reproductive Immunology","note":"publisher: John Wiley &amp; Sons, Ltd","page":"608-617","title":"Interactions between HIV-1 and Mucosal Cells in the Female Reproductive Tract","volume":"71","author":[{"family":"Shen","given":"Ruizhong"},{"family":"Richter","given":"Holly E."},{"family":"Smith","given":"Phillip D."}],"issued":{"date-parts":[["2014",6,1]]}}}],"schema":"https://github.com/citation-style-language/schema/raw/master/csl-citation.json"} </w:instrText>
      </w:r>
      <w:r w:rsidR="004C0C20">
        <w:rPr>
          <w:rFonts w:ascii="Arial" w:hAnsi="Arial" w:cs="Arial"/>
        </w:rPr>
        <w:fldChar w:fldCharType="separate"/>
      </w:r>
      <w:r w:rsidR="004C0C20" w:rsidRPr="004C0C20">
        <w:rPr>
          <w:rFonts w:ascii="Arial" w:hAnsi="Arial" w:cs="Arial"/>
        </w:rPr>
        <w:t>(3,14)</w:t>
      </w:r>
      <w:r w:rsidR="004C0C20">
        <w:rPr>
          <w:rFonts w:ascii="Arial" w:hAnsi="Arial" w:cs="Arial"/>
        </w:rPr>
        <w:fldChar w:fldCharType="end"/>
      </w:r>
      <w:r w:rsidRPr="00CF2777">
        <w:rPr>
          <w:rFonts w:ascii="Arial" w:hAnsi="Arial" w:cs="Arial"/>
        </w:rPr>
        <w:t xml:space="preserve">. The lower tract consists of stratified squamous cervical and vaginal epithelium 25-cell layers or thicker. The epithelia for the upper reproductive tract are made up of endocervix, uterus, fallopian tubes and endometrium is columnar, consisting of a single layer of cells that secrete mucous and are a natural </w:t>
      </w:r>
      <w:proofErr w:type="spellStart"/>
      <w:r w:rsidRPr="00CF2777">
        <w:rPr>
          <w:rFonts w:ascii="Arial" w:hAnsi="Arial" w:cs="Arial"/>
        </w:rPr>
        <w:t>defence</w:t>
      </w:r>
      <w:proofErr w:type="spellEnd"/>
      <w:r w:rsidRPr="00CF2777">
        <w:rPr>
          <w:rFonts w:ascii="Arial" w:hAnsi="Arial" w:cs="Arial"/>
        </w:rPr>
        <w:t xml:space="preserve"> against pathogens and potential infections</w:t>
      </w:r>
      <w:r w:rsidR="004C0C20">
        <w:rPr>
          <w:rFonts w:ascii="Arial" w:hAnsi="Arial" w:cs="Arial"/>
        </w:rPr>
        <w:t xml:space="preserve"> </w:t>
      </w:r>
      <w:r w:rsidR="004C0C20">
        <w:rPr>
          <w:rFonts w:ascii="Arial" w:hAnsi="Arial" w:cs="Arial"/>
        </w:rPr>
        <w:fldChar w:fldCharType="begin"/>
      </w:r>
      <w:r w:rsidR="004C0C20">
        <w:rPr>
          <w:rFonts w:ascii="Arial" w:hAnsi="Arial" w:cs="Arial"/>
        </w:rPr>
        <w:instrText xml:space="preserve"> ADDIN ZOTERO_ITEM CSL_CITATION {"citationID":"JrOPldTX","properties":{"formattedCitation":"(3)","plainCitation":"(3)","noteIndex":0},"citationItems":[{"id":94,"uris":["http://zotero.org/users/local/HVWDw8n9/items/GZDSFC9L"],"itemData":{"id":94,"type":"article-journal","abstract":"Citation Kaushic C. HIV-1 infection in the female reproductive tract: role of interactions between HIV-1 and genital epithelial cells. Am J Reprod Immunol 2011; 65: 253?260 Despite recent progress in understanding the mucosal transmission of human immunodeficiency virus (HIV)-1, the immediate events following transmission in the female genital tract are incompletely understood. Recent in vivo studies in primate models indicate that HIV-1 transmission may occur in the upper or lower genital tract and the initial HIV-1 replication occurs primarily in the target T cells and in some subsets of DCs localized in the genital tract. However, the principal mechanism(s) that allow the virus to cross the primary barrier of genital epithelial cells (GECs) are still unclear. A number of pathways have been proposed as possible ways that HIV-1 could use to cross the epithelium. However, little attention has been paid to the response of GECs to HIV-1. We recently demonstrated that exposure to HIV-1 rapidly upregulates a wide array of pro-inflammatory cytokine production by GECs. Among these cytokines, tumour necrosis factor (TNF)-α impaired the tight junction barrier allowing HIV-1 and luminal bacteria to translocate across the epithelium. This study illustrated that GECs are dynamically active cells that mount rapid host responses to HIV-1, independent of viral replication. Cytokine responses of GECs could play a critical role in HIV transmission and replication. Further understanding of GEC responses to HIV-1 and their regulation could be critical to understanding HIV-1 transmission dynamics during heterosexual transmission.","container-title":"American Journal of Reproductive Immunology","DOI":"10.1111/j.1600-0897.2010.00965.x","ISSN":"1046-7408","issue":"3","journalAbbreviation":"American Journal of Reproductive Immunology","note":"publisher: John Wiley &amp; Sons, Ltd","page":"253-260","title":"HIV-1 Infection in the Female Reproductive Tract: Role of Interactions between HIV-1 and Genital Epithelial Cells","volume":"65","author":[{"family":"Kaushic","given":"Charu"}],"issued":{"date-parts":[["2011",3,1]]}}}],"schema":"https://github.com/citation-style-language/schema/raw/master/csl-citation.json"} </w:instrText>
      </w:r>
      <w:r w:rsidR="004C0C20">
        <w:rPr>
          <w:rFonts w:ascii="Arial" w:hAnsi="Arial" w:cs="Arial"/>
        </w:rPr>
        <w:fldChar w:fldCharType="separate"/>
      </w:r>
      <w:r w:rsidR="004C0C20" w:rsidRPr="004C0C20">
        <w:rPr>
          <w:rFonts w:ascii="Arial" w:hAnsi="Arial" w:cs="Arial"/>
        </w:rPr>
        <w:t>(3)</w:t>
      </w:r>
      <w:r w:rsidR="004C0C20">
        <w:rPr>
          <w:rFonts w:ascii="Arial" w:hAnsi="Arial" w:cs="Arial"/>
        </w:rPr>
        <w:fldChar w:fldCharType="end"/>
      </w:r>
      <w:r w:rsidRPr="00CF2777">
        <w:rPr>
          <w:rFonts w:ascii="Arial" w:hAnsi="Arial" w:cs="Arial"/>
        </w:rPr>
        <w:t>. The columnar epithelium tissue is characterized by tight junctions between cells that makes it impermeable to entry of any large molecules and particulate matter, including pathogens</w:t>
      </w:r>
      <w:r w:rsidR="004C0C20">
        <w:rPr>
          <w:rFonts w:ascii="Arial" w:hAnsi="Arial" w:cs="Arial"/>
        </w:rPr>
        <w:t xml:space="preserve"> </w:t>
      </w:r>
      <w:r w:rsidR="004C0C20">
        <w:rPr>
          <w:rFonts w:ascii="Arial" w:hAnsi="Arial" w:cs="Arial"/>
        </w:rPr>
        <w:fldChar w:fldCharType="begin"/>
      </w:r>
      <w:r w:rsidR="004C0C20">
        <w:rPr>
          <w:rFonts w:ascii="Arial" w:hAnsi="Arial" w:cs="Arial"/>
        </w:rPr>
        <w:instrText xml:space="preserve"> ADDIN ZOTERO_ITEM CSL_CITATION {"citationID":"b7Rptj7P","properties":{"formattedCitation":"(3,14,15)","plainCitation":"(3,14,15)","noteIndex":0},"citationItems":[{"id":94,"uris":["http://zotero.org/users/local/HVWDw8n9/items/GZDSFC9L"],"itemData":{"id":94,"type":"article-journal","abstract":"Citation Kaushic C. HIV-1 infection in the female reproductive tract: role of interactions between HIV-1 and genital epithelial cells. Am J Reprod Immunol 2011; 65: 253?260 Despite recent progress in understanding the mucosal transmission of human immunodeficiency virus (HIV)-1, the immediate events following transmission in the female genital tract are incompletely understood. Recent in vivo studies in primate models indicate that HIV-1 transmission may occur in the upper or lower genital tract and the initial HIV-1 replication occurs primarily in the target T cells and in some subsets of DCs localized in the genital tract. However, the principal mechanism(s) that allow the virus to cross the primary barrier of genital epithelial cells (GECs) are still unclear. A number of pathways have been proposed as possible ways that HIV-1 could use to cross the epithelium. However, little attention has been paid to the response of GECs to HIV-1. We recently demonstrated that exposure to HIV-1 rapidly upregulates a wide array of pro-inflammatory cytokine production by GECs. Among these cytokines, tumour necrosis factor (TNF)-α impaired the tight junction barrier allowing HIV-1 and luminal bacteria to translocate across the epithelium. This study illustrated that GECs are dynamically active cells that mount rapid host responses to HIV-1, independent of viral replication. Cytokine responses of GECs could play a critical role in HIV transmission and replication. Further understanding of GEC responses to HIV-1 and their regulation could be critical to understanding HIV-1 transmission dynamics during heterosexual transmission.","container-title":"American Journal of Reproductive Immunology","DOI":"10.1111/j.1600-0897.2010.00965.x","ISSN":"1046-7408","issue":"3","journalAbbreviation":"American Journal of Reproductive Immunology","note":"publisher: John Wiley &amp; Sons, Ltd","page":"253-260","title":"HIV-1 Infection in the Female Reproductive Tract: Role of Interactions between HIV-1 and Genital Epithelial Cells","volume":"65","author":[{"family":"Kaushic","given":"Charu"}],"issued":{"date-parts":[["2011",3,1]]}}},{"id":95,"uris":["http://zotero.org/users/local/HVWDw8n9/items/RJQYYRIZ"],"itemData":{"id":95,"type":"article-journal","abstract":"Worldwide, the heterosexual route is the prevalent mode of HIV-1 transmission, and the female reproductive tract accounts for approximately 40% of all HIV-1 transmissions. HIV-1 infection in the female reproductive tract involves three major events: entry through the mucosal epithelium, productive infection in subepithelial mononuclear cells, and delivery to lymph nodes to initiate systemic infection. Here, we provide a focused review of the interaction between HIV-1 and mucosal epithelial cells, lymphocytes, macrophages, and dendritic cells in female genital mucosa. Increased understanding of these interactions could illuminate new approaches for interdicting HIV-1 heterosexual transmission.","container-title":"American Journal of Reproductive Immunology","DOI":"10.1111/aji.12244","ISSN":"1046-7408","issue":"6","journalAbbreviation":"American Journal of Reproductive Immunology","note":"publisher: John Wiley &amp; Sons, Ltd","page":"608-617","title":"Interactions between HIV-1 and Mucosal Cells in the Female Reproductive Tract","volume":"71","author":[{"family":"Shen","given":"Ruizhong"},{"family":"Richter","given":"Holly E."},{"family":"Smith","given":"Phillip D."}],"issued":{"date-parts":[["2014",6,1]]}}},{"id":96,"uris":["http://zotero.org/users/local/HVWDw8n9/items/6AE32FRC"],"itemData":{"id":96,"type":"article-journal","abstract":"At the interface of the external environment and the mucosal surface of the female reproductive tract (FRT) lies a first-line defense against pathogen invasion that includes antimicrobial peptides (AMP). Comprised of a unique class of multifunctional, amphipathic molecules, AMP employ a wide range of functions to limit microbial invasion and replication within host cells as well as independently modulate the immune system, dampen inflammation and maintain tissue homeostasis. The role of AMP in barrier defense at the level of the skin and gut has received much attention as of late. Given the far reaching implications for women's health, maternal and fetal morbidity and mortality, and sexually transmissible and polymicrobial diseases, we herein review the distribution and function of key AMP throughout the female reproductive mucosa and assess their role as an essential immunological barrier to microbial invasion throughout the reproductive cycle of a woman's lifetime.A comprehensive search in PubMed/Medline was conducted related to AMP general structure, function, signaling, expression, distribution and barrier function of AMP in the FRT, hormone regulation of AMP, the microbiome of the FRT, and AMP in relation to implantation, pregnancy, fertility, pelvic inflammatory disease, complications of pregnancy and assisted reproductive technology.AMP are amphipathic peptides that target microbes for destruction and have been conserved throughout all living organisms. In the FRT, several major classes of AMP are expressed constitutively and others are inducible at the mucosal epithelium and by immune cells. AMP expression is also under the influence of sex hormones, varying throughout the menstrual cycle, and dependent on the vaginal microbiome. AMP can prevent infection with sexually transmissible and opportunistic pathogens of the female reproductive tissues, although emerging understanding of vaginal dysbiosis suggests induction of a unique AMP profile with increased susceptibility to these pathogens. During pregnancy, AMP are key immune effectors of the fetal membranes and placenta and are dysregulated in states of intrauterine infection and other complications of pregnancy.At the level of the FRT, AMP serve to inhibit infection by sexually and vertically transmissible as well as by opportunistic bacteria, fungi, viruses, and protozoa and must do so throughout the hormone flux of menses and pregnancy. Guarding the exclusive site of reproduction, AMP modulate the vaginal microbiome of the lower FRT to aid in preventing ascending microbes into the upper FRT. Evolving in parallel with, and in response to, pathogenic insults, AMP are relatively immune to the resistance mechanisms employed by rapidly evolving pathogens and play a key role in barrier function and host defense throughout the FRT.","container-title":"Human Reproduction Update","DOI":"10.1093/humupd/dmu065","ISSN":"1355-4786","issue":"3","journalAbbreviation":"Human Reproduction Update","page":"353-377","title":"Antimicrobial peptides in the female reproductive tract: a critical component of the mucosal immune barrier with physiological and clinical implications","volume":"21","author":[{"family":"Yarbrough","given":"Victoria L."},{"family":"Winkle","given":"Sean"},{"family":"Herbst-Kralovetz","given":"Melissa M."}],"issued":{"date-parts":[["2015",5,1]]}}}],"schema":"https://github.com/citation-style-language/schema/raw/master/csl-citation.json"} </w:instrText>
      </w:r>
      <w:r w:rsidR="004C0C20">
        <w:rPr>
          <w:rFonts w:ascii="Arial" w:hAnsi="Arial" w:cs="Arial"/>
        </w:rPr>
        <w:fldChar w:fldCharType="separate"/>
      </w:r>
      <w:r w:rsidR="004C0C20" w:rsidRPr="004C0C20">
        <w:rPr>
          <w:rFonts w:ascii="Arial" w:hAnsi="Arial" w:cs="Arial"/>
        </w:rPr>
        <w:t>(3,14,15)</w:t>
      </w:r>
      <w:r w:rsidR="004C0C20">
        <w:rPr>
          <w:rFonts w:ascii="Arial" w:hAnsi="Arial" w:cs="Arial"/>
        </w:rPr>
        <w:fldChar w:fldCharType="end"/>
      </w:r>
      <w:r w:rsidRPr="00CF2777">
        <w:rPr>
          <w:rFonts w:ascii="Arial" w:hAnsi="Arial" w:cs="Arial"/>
        </w:rPr>
        <w:t>. The thick stratified epithelium of the lower reproductive tract, although not impermeable, is robust and provides a substantive physical barrier compared to the delicate single layer of columnar epithelium of the upper reproductive tract</w:t>
      </w:r>
      <w:r w:rsidR="004C0C20">
        <w:rPr>
          <w:rFonts w:ascii="Arial" w:hAnsi="Arial" w:cs="Arial"/>
        </w:rPr>
        <w:t xml:space="preserve"> </w:t>
      </w:r>
      <w:r w:rsidR="004C0C20">
        <w:rPr>
          <w:rFonts w:ascii="Arial" w:hAnsi="Arial" w:cs="Arial"/>
        </w:rPr>
        <w:fldChar w:fldCharType="begin"/>
      </w:r>
      <w:r w:rsidR="004C0C20">
        <w:rPr>
          <w:rFonts w:ascii="Arial" w:hAnsi="Arial" w:cs="Arial"/>
        </w:rPr>
        <w:instrText xml:space="preserve"> ADDIN ZOTERO_ITEM CSL_CITATION {"citationID":"8InR5PAq","properties":{"formattedCitation":"(3,16)","plainCitation":"(3,16)","noteIndex":0},"citationItems":[{"id":94,"uris":["http://zotero.org/users/local/HVWDw8n9/items/GZDSFC9L"],"itemData":{"id":94,"type":"article-journal","abstract":"Citation Kaushic C. HIV-1 infection in the female reproductive tract: role of interactions between HIV-1 and genital epithelial cells. Am J Reprod Immunol 2011; 65: 253?260 Despite recent progress in understanding the mucosal transmission of human immunodeficiency virus (HIV)-1, the immediate events following transmission in the female genital tract are incompletely understood. Recent in vivo studies in primate models indicate that HIV-1 transmission may occur in the upper or lower genital tract and the initial HIV-1 replication occurs primarily in the target T cells and in some subsets of DCs localized in the genital tract. However, the principal mechanism(s) that allow the virus to cross the primary barrier of genital epithelial cells (GECs) are still unclear. A number of pathways have been proposed as possible ways that HIV-1 could use to cross the epithelium. However, little attention has been paid to the response of GECs to HIV-1. We recently demonstrated that exposure to HIV-1 rapidly upregulates a wide array of pro-inflammatory cytokine production by GECs. Among these cytokines, tumour necrosis factor (TNF)-α impaired the tight junction barrier allowing HIV-1 and luminal bacteria to translocate across the epithelium. This study illustrated that GECs are dynamically active cells that mount rapid host responses to HIV-1, independent of viral replication. Cytokine responses of GECs could play a critical role in HIV transmission and replication. Further understanding of GEC responses to HIV-1 and their regulation could be critical to understanding HIV-1 transmission dynamics during heterosexual transmission.","container-title":"American Journal of Reproductive Immunology","DOI":"10.1111/j.1600-0897.2010.00965.x","ISSN":"1046-7408","issue":"3","journalAbbreviation":"American Journal of Reproductive Immunology","note":"publisher: John Wiley &amp; Sons, Ltd","page":"253-260","title":"HIV-1 Infection in the Female Reproductive Tract: Role of Interactions between HIV-1 and Genital Epithelial Cells","volume":"65","author":[{"family":"Kaushic","given":"Charu"}],"issued":{"date-parts":[["2011",3,1]]}}},{"id":90,"uris":["http://zotero.org/users/local/HVWDw8n9/items/RY44Y8XW"],"itemData":{"id":90,"type":"article-journal","abstract":"Abstract Factors underlying HIV acquisition in women remain incompletely understood. This study evaluated ex vivo mucosal HIV-1BaL infection (ectocervix, endocervix), T cell frequencies and phenotype (ectocervix, endocervix, peripheral blood), and HIV-1BaL-induced tissue immune responses (ectocervix) in the proliferative and secretory phases of the menstrual cycle using samples obtained from women undergoing hysterectomies. Tissue infectivity (number of productively infected explants) and infection level following 500 and/or fifty 50% tissue culture infectious dose (TCID50) HIV-1BaL challenge were similar in the proliferative and secretory phases. Although not associated with infection outcomes, higher frequencies of HIV target CD4+α4?7+ T cells, and stronger HIV-1BaL-induced proinflammatory responses were detected in ectocervix in the secretory versus proliferative phase. Independently of the cycle phase, serum E2 concentrations were inversely associated with ectocervical and endocervical tissue infection levels following high-dose 500 TCID50 HIV-1BaL challenge, with frequencies of CD4+α4?7+ T cells in endocervix, and with HIV-induced interleukin (IL)2R and IL4 in ectocervix. Although serum P4 concentrations and P4/E2 ratios were neither associated with tissue infection level nor infectivity, high P4 concentrations and/or P4/E2 ratios correlated with high frequencies of CD4+α4?7+ T cells in ectocervix, low frequencies of CD4+CD103+ blood T cells, low CD4+LFA-1+ T cells in endocervix, and high proinflammatory (IL1?, IL17, tumor necrosis factor α) ectocervical tissue responses to HIV-1BaL. The data suggest an inhibitory effect of E2 on mucosal HIV infection, provide insights into potential mechanisms of E2-mediated anti-HIV activity, and highlight P4-associated immune changes in the mucosa.","container-title":"AIDS Research and Human Retroviruses","DOI":"10.1089/aid.2018.0154","ISSN":"0889-2229","issue":"3","note":"publisher: Mary Ann Liebert, Inc., publishers","page":"335-347","title":"Mucosal Susceptibility to Human Immunodeficiency Virus Infection in the Proliferative and Secretory Phases of the Menstrual Cycle","volume":"35","author":[{"family":"Calenda","given":"Giulia"},{"family":"Villegas","given":"Guillermo"},{"family":"Reis","given":"Alexandra"},{"family":"Millen","given":"Lily"},{"family":"Barnable","given":"Patrick"},{"family":"Mamkina","given":"Lisa"},{"family":"Kumar","given":"Narender"},{"family":"Roberts","given":"Kevin"},{"family":"Kalir","given":"Tamara"},{"family":"Martinelli","given":"Elena"},{"family":"Sperling","given":"Rhoda"},{"family":"Teleshova","given":"Natalia"}],"issued":{"date-parts":[["2019",3,1]]}}}],"schema":"https://github.com/citation-style-language/schema/raw/master/csl-citation.json"} </w:instrText>
      </w:r>
      <w:r w:rsidR="004C0C20">
        <w:rPr>
          <w:rFonts w:ascii="Arial" w:hAnsi="Arial" w:cs="Arial"/>
        </w:rPr>
        <w:fldChar w:fldCharType="separate"/>
      </w:r>
      <w:r w:rsidR="004C0C20" w:rsidRPr="004C0C20">
        <w:rPr>
          <w:rFonts w:ascii="Arial" w:hAnsi="Arial" w:cs="Arial"/>
        </w:rPr>
        <w:t>(3,16)</w:t>
      </w:r>
      <w:r w:rsidR="004C0C20">
        <w:rPr>
          <w:rFonts w:ascii="Arial" w:hAnsi="Arial" w:cs="Arial"/>
        </w:rPr>
        <w:fldChar w:fldCharType="end"/>
      </w:r>
      <w:r w:rsidRPr="00CF2777">
        <w:rPr>
          <w:rFonts w:ascii="Arial" w:hAnsi="Arial" w:cs="Arial"/>
        </w:rPr>
        <w:t xml:space="preserve">. </w:t>
      </w:r>
    </w:p>
    <w:p w14:paraId="00F4845E" w14:textId="77777777" w:rsidR="0051068A" w:rsidRPr="00CF2777" w:rsidRDefault="0051068A" w:rsidP="00424953">
      <w:pPr>
        <w:pStyle w:val="Body"/>
        <w:contextualSpacing/>
        <w:rPr>
          <w:rFonts w:ascii="Arial" w:hAnsi="Arial" w:cs="Arial"/>
        </w:rPr>
      </w:pPr>
    </w:p>
    <w:p w14:paraId="38FD20F9" w14:textId="1FA0A4B2" w:rsidR="00CF2777" w:rsidRPr="00CF2777" w:rsidRDefault="00CF2777" w:rsidP="00424953">
      <w:pPr>
        <w:pStyle w:val="Body"/>
        <w:contextualSpacing/>
        <w:rPr>
          <w:rFonts w:ascii="Arial" w:hAnsi="Arial" w:cs="Arial"/>
        </w:rPr>
      </w:pPr>
      <w:r w:rsidRPr="00CF2777">
        <w:rPr>
          <w:rFonts w:ascii="Arial" w:hAnsi="Arial" w:cs="Arial"/>
        </w:rPr>
        <w:t>The section where the squamous and columnar epithelium meet is described as the transformational zone. In addition to the physical barrier innate immune response to infections apart will also include mucus and antimicrobial peptides that are a form a chemical and biological barrier, and the Lactobacillus-rich vaginal milieu creates a biological barrier</w:t>
      </w:r>
      <w:r w:rsidR="00647F1C">
        <w:rPr>
          <w:rFonts w:ascii="Arial" w:hAnsi="Arial" w:cs="Arial"/>
        </w:rPr>
        <w:t xml:space="preserve"> </w:t>
      </w:r>
      <w:r w:rsidR="00647F1C">
        <w:rPr>
          <w:rFonts w:ascii="Arial" w:hAnsi="Arial" w:cs="Arial"/>
        </w:rPr>
        <w:fldChar w:fldCharType="begin"/>
      </w:r>
      <w:r w:rsidR="00647F1C">
        <w:rPr>
          <w:rFonts w:ascii="Arial" w:hAnsi="Arial" w:cs="Arial"/>
        </w:rPr>
        <w:instrText xml:space="preserve"> ADDIN ZOTERO_ITEM CSL_CITATION {"citationID":"1eiX5Zif","properties":{"formattedCitation":"(3,14)","plainCitation":"(3,14)","noteIndex":0},"citationItems":[{"id":94,"uris":["http://zotero.org/users/local/HVWDw8n9/items/GZDSFC9L"],"itemData":{"id":94,"type":"article-journal","abstract":"Citation Kaushic C. HIV-1 infection in the female reproductive tract: role of interactions between HIV-1 and genital epithelial cells. Am J Reprod Immunol 2011; 65: 253?260 Despite recent progress in understanding the mucosal transmission of human immunodeficiency virus (HIV)-1, the immediate events following transmission in the female genital tract are incompletely understood. Recent in vivo studies in primate models indicate that HIV-1 transmission may occur in the upper or lower genital tract and the initial HIV-1 replication occurs primarily in the target T cells and in some subsets of DCs localized in the genital tract. However, the principal mechanism(s) that allow the virus to cross the primary barrier of genital epithelial cells (GECs) are still unclear. A number of pathways have been proposed as possible ways that HIV-1 could use to cross the epithelium. However, little attention has been paid to the response of GECs to HIV-1. We recently demonstrated that exposure to HIV-1 rapidly upregulates a wide array of pro-inflammatory cytokine production by GECs. Among these cytokines, tumour necrosis factor (TNF)-α impaired the tight junction barrier allowing HIV-1 and luminal bacteria to translocate across the epithelium. This study illustrated that GECs are dynamically active cells that mount rapid host responses to HIV-1, independent of viral replication. Cytokine responses of GECs could play a critical role in HIV transmission and replication. Further understanding of GEC responses to HIV-1 and their regulation could be critical to understanding HIV-1 transmission dynamics during heterosexual transmission.","container-title":"American Journal of Reproductive Immunology","DOI":"10.1111/j.1600-0897.2010.00965.x","ISSN":"1046-7408","issue":"3","journalAbbreviation":"American Journal of Reproductive Immunology","note":"publisher: John Wiley &amp; Sons, Ltd","page":"253-260","title":"HIV-1 Infection in the Female Reproductive Tract: Role of Interactions between HIV-1 and Genital Epithelial Cells","volume":"65","author":[{"family":"Kaushic","given":"Charu"}],"issued":{"date-parts":[["2011",3,1]]}}},{"id":95,"uris":["http://zotero.org/users/local/HVWDw8n9/items/RJQYYRIZ"],"itemData":{"id":95,"type":"article-journal","abstract":"Worldwide, the heterosexual route is the prevalent mode of HIV-1 transmission, and the female reproductive tract accounts for approximately 40% of all HIV-1 transmissions. HIV-1 infection in the female reproductive tract involves three major events: entry through the mucosal epithelium, productive infection in subepithelial mononuclear cells, and delivery to lymph nodes to initiate systemic infection. Here, we provide a focused review of the interaction between HIV-1 and mucosal epithelial cells, lymphocytes, macrophages, and dendritic cells in female genital mucosa. Increased understanding of these interactions could illuminate new approaches for interdicting HIV-1 heterosexual transmission.","container-title":"American Journal of Reproductive Immunology","DOI":"10.1111/aji.12244","ISSN":"1046-7408","issue":"6","journalAbbreviation":"American Journal of Reproductive Immunology","note":"publisher: John Wiley &amp; Sons, Ltd","page":"608-617","title":"Interactions between HIV-1 and Mucosal Cells in the Female Reproductive Tract","volume":"71","author":[{"family":"Shen","given":"Ruizhong"},{"family":"Richter","given":"Holly E."},{"family":"Smith","given":"Phillip D."}],"issued":{"date-parts":[["2014",6,1]]}}}],"schema":"https://github.com/citation-style-language/schema/raw/master/csl-citation.json"} </w:instrText>
      </w:r>
      <w:r w:rsidR="00647F1C">
        <w:rPr>
          <w:rFonts w:ascii="Arial" w:hAnsi="Arial" w:cs="Arial"/>
        </w:rPr>
        <w:fldChar w:fldCharType="separate"/>
      </w:r>
      <w:r w:rsidR="00647F1C" w:rsidRPr="00647F1C">
        <w:rPr>
          <w:rFonts w:ascii="Arial" w:hAnsi="Arial" w:cs="Arial"/>
        </w:rPr>
        <w:t>(3,14)</w:t>
      </w:r>
      <w:r w:rsidR="00647F1C">
        <w:rPr>
          <w:rFonts w:ascii="Arial" w:hAnsi="Arial" w:cs="Arial"/>
        </w:rPr>
        <w:fldChar w:fldCharType="end"/>
      </w:r>
      <w:r w:rsidRPr="00CF2777">
        <w:rPr>
          <w:rFonts w:ascii="Arial" w:hAnsi="Arial" w:cs="Arial"/>
        </w:rPr>
        <w:t>. The mucus which is mainly secreted from the endocervical epithelium has thick gel like consistency and contains electrolytes, mucin associated fatty acids and cellular debris from dead cells or material cleared by the neutrophils</w:t>
      </w:r>
      <w:r w:rsidR="00647F1C">
        <w:rPr>
          <w:rFonts w:ascii="Arial" w:hAnsi="Arial" w:cs="Arial"/>
        </w:rPr>
        <w:t xml:space="preserve"> </w:t>
      </w:r>
      <w:r w:rsidR="00647F1C">
        <w:rPr>
          <w:rFonts w:ascii="Arial" w:hAnsi="Arial" w:cs="Arial"/>
        </w:rPr>
        <w:fldChar w:fldCharType="begin"/>
      </w:r>
      <w:r w:rsidR="00647F1C">
        <w:rPr>
          <w:rFonts w:ascii="Arial" w:hAnsi="Arial" w:cs="Arial"/>
        </w:rPr>
        <w:instrText xml:space="preserve"> ADDIN ZOTERO_ITEM CSL_CITATION {"citationID":"LS8QnGfj","properties":{"formattedCitation":"(14,15)","plainCitation":"(14,15)","noteIndex":0},"citationItems":[{"id":95,"uris":["http://zotero.org/users/local/HVWDw8n9/items/RJQYYRIZ"],"itemData":{"id":95,"type":"article-journal","abstract":"Worldwide, the heterosexual route is the prevalent mode of HIV-1 transmission, and the female reproductive tract accounts for approximately 40% of all HIV-1 transmissions. HIV-1 infection in the female reproductive tract involves three major events: entry through the mucosal epithelium, productive infection in subepithelial mononuclear cells, and delivery to lymph nodes to initiate systemic infection. Here, we provide a focused review of the interaction between HIV-1 and mucosal epithelial cells, lymphocytes, macrophages, and dendritic cells in female genital mucosa. Increased understanding of these interactions could illuminate new approaches for interdicting HIV-1 heterosexual transmission.","container-title":"American Journal of Reproductive Immunology","DOI":"10.1111/aji.12244","ISSN":"1046-7408","issue":"6","journalAbbreviation":"American Journal of Reproductive Immunology","note":"publisher: John Wiley &amp; Sons, Ltd","page":"608-617","title":"Interactions between HIV-1 and Mucosal Cells in the Female Reproductive Tract","volume":"71","author":[{"family":"Shen","given":"Ruizhong"},{"family":"Richter","given":"Holly E."},{"family":"Smith","given":"Phillip D."}],"issued":{"date-parts":[["2014",6,1]]}}},{"id":96,"uris":["http://zotero.org/users/local/HVWDw8n9/items/6AE32FRC"],"itemData":{"id":96,"type":"article-journal","abstract":"At the interface of the external environment and the mucosal surface of the female reproductive tract (FRT) lies a first-line defense against pathogen invasion that includes antimicrobial peptides (AMP). Comprised of a unique class of multifunctional, amphipathic molecules, AMP employ a wide range of functions to limit microbial invasion and replication within host cells as well as independently modulate the immune system, dampen inflammation and maintain tissue homeostasis. The role of AMP in barrier defense at the level of the skin and gut has received much attention as of late. Given the far reaching implications for women's health, maternal and fetal morbidity and mortality, and sexually transmissible and polymicrobial diseases, we herein review the distribution and function of key AMP throughout the female reproductive mucosa and assess their role as an essential immunological barrier to microbial invasion throughout the reproductive cycle of a woman's lifetime.A comprehensive search in PubMed/Medline was conducted related to AMP general structure, function, signaling, expression, distribution and barrier function of AMP in the FRT, hormone regulation of AMP, the microbiome of the FRT, and AMP in relation to implantation, pregnancy, fertility, pelvic inflammatory disease, complications of pregnancy and assisted reproductive technology.AMP are amphipathic peptides that target microbes for destruction and have been conserved throughout all living organisms. In the FRT, several major classes of AMP are expressed constitutively and others are inducible at the mucosal epithelium and by immune cells. AMP expression is also under the influence of sex hormones, varying throughout the menstrual cycle, and dependent on the vaginal microbiome. AMP can prevent infection with sexually transmissible and opportunistic pathogens of the female reproductive tissues, although emerging understanding of vaginal dysbiosis suggests induction of a unique AMP profile with increased susceptibility to these pathogens. During pregnancy, AMP are key immune effectors of the fetal membranes and placenta and are dysregulated in states of intrauterine infection and other complications of pregnancy.At the level of the FRT, AMP serve to inhibit infection by sexually and vertically transmissible as well as by opportunistic bacteria, fungi, viruses, and protozoa and must do so throughout the hormone flux of menses and pregnancy. Guarding the exclusive site of reproduction, AMP modulate the vaginal microbiome of the lower FRT to aid in preventing ascending microbes into the upper FRT. Evolving in parallel with, and in response to, pathogenic insults, AMP are relatively immune to the resistance mechanisms employed by rapidly evolving pathogens and play a key role in barrier function and host defense throughout the FRT.","container-title":"Human Reproduction Update","DOI":"10.1093/humupd/dmu065","ISSN":"1355-4786","issue":"3","journalAbbreviation":"Human Reproduction Update","page":"353-377","title":"Antimicrobial peptides in the female reproductive tract: a critical component of the mucosal immune barrier with physiological and clinical implications","volume":"21","author":[{"family":"Yarbrough","given":"Victoria L."},{"family":"Winkle","given":"Sean"},{"family":"Herbst-Kralovetz","given":"Melissa M."}],"issued":{"date-parts":[["2015",5,1]]}}}],"schema":"https://github.com/citation-style-language/schema/raw/master/csl-citation.json"} </w:instrText>
      </w:r>
      <w:r w:rsidR="00647F1C">
        <w:rPr>
          <w:rFonts w:ascii="Arial" w:hAnsi="Arial" w:cs="Arial"/>
        </w:rPr>
        <w:fldChar w:fldCharType="separate"/>
      </w:r>
      <w:r w:rsidR="00647F1C" w:rsidRPr="00647F1C">
        <w:rPr>
          <w:rFonts w:ascii="Arial" w:hAnsi="Arial" w:cs="Arial"/>
        </w:rPr>
        <w:t>(14,15)</w:t>
      </w:r>
      <w:r w:rsidR="00647F1C">
        <w:rPr>
          <w:rFonts w:ascii="Arial" w:hAnsi="Arial" w:cs="Arial"/>
        </w:rPr>
        <w:fldChar w:fldCharType="end"/>
      </w:r>
      <w:r w:rsidRPr="00CF2777">
        <w:rPr>
          <w:rFonts w:ascii="Arial" w:hAnsi="Arial" w:cs="Arial"/>
        </w:rPr>
        <w:t>.</w:t>
      </w:r>
    </w:p>
    <w:p w14:paraId="61E6CE6A" w14:textId="2548FEC2" w:rsidR="00CF2777" w:rsidRPr="00CF2777" w:rsidRDefault="00CF2777" w:rsidP="00424953">
      <w:pPr>
        <w:pStyle w:val="Body"/>
        <w:contextualSpacing/>
        <w:rPr>
          <w:rFonts w:ascii="Arial" w:hAnsi="Arial" w:cs="Arial"/>
        </w:rPr>
      </w:pPr>
      <w:r w:rsidRPr="00CF2777">
        <w:rPr>
          <w:rFonts w:ascii="Arial" w:hAnsi="Arial" w:cs="Arial"/>
        </w:rPr>
        <w:t xml:space="preserve">The lower female reproductive tract has a permeable thick stratified epithelium which forms a substantive physical barrier compared to the delicate single layer of columnar epithelium of the upper reproductive tract </w:t>
      </w:r>
      <w:r w:rsidR="00647F1C">
        <w:rPr>
          <w:rFonts w:ascii="Arial" w:hAnsi="Arial" w:cs="Arial"/>
        </w:rPr>
        <w:fldChar w:fldCharType="begin"/>
      </w:r>
      <w:r w:rsidR="00647F1C">
        <w:rPr>
          <w:rFonts w:ascii="Arial" w:hAnsi="Arial" w:cs="Arial"/>
        </w:rPr>
        <w:instrText xml:space="preserve"> ADDIN ZOTERO_ITEM CSL_CITATION {"citationID":"OlV042eH","properties":{"formattedCitation":"(3)","plainCitation":"(3)","noteIndex":0},"citationItems":[{"id":94,"uris":["http://zotero.org/users/local/HVWDw8n9/items/GZDSFC9L"],"itemData":{"id":94,"type":"article-journal","abstract":"Citation Kaushic C. HIV-1 infection in the female reproductive tract: role of interactions between HIV-1 and genital epithelial cells. Am J Reprod Immunol 2011; 65: 253?260 Despite recent progress in understanding the mucosal transmission of human immunodeficiency virus (HIV)-1, the immediate events following transmission in the female genital tract are incompletely understood. Recent in vivo studies in primate models indicate that HIV-1 transmission may occur in the upper or lower genital tract and the initial HIV-1 replication occurs primarily in the target T cells and in some subsets of DCs localized in the genital tract. However, the principal mechanism(s) that allow the virus to cross the primary barrier of genital epithelial cells (GECs) are still unclear. A number of pathways have been proposed as possible ways that HIV-1 could use to cross the epithelium. However, little attention has been paid to the response of GECs to HIV-1. We recently demonstrated that exposure to HIV-1 rapidly upregulates a wide array of pro-inflammatory cytokine production by GECs. Among these cytokines, tumour necrosis factor (TNF)-α impaired the tight junction barrier allowing HIV-1 and luminal bacteria to translocate across the epithelium. This study illustrated that GECs are dynamically active cells that mount rapid host responses to HIV-1, independent of viral replication. Cytokine responses of GECs could play a critical role in HIV transmission and replication. Further understanding of GEC responses to HIV-1 and their regulation could be critical to understanding HIV-1 transmission dynamics during heterosexual transmission.","container-title":"American Journal of Reproductive Immunology","DOI":"10.1111/j.1600-0897.2010.00965.x","ISSN":"1046-7408","issue":"3","journalAbbreviation":"American Journal of Reproductive Immunology","note":"publisher: John Wiley &amp; Sons, Ltd","page":"253-260","title":"HIV-1 Infection in the Female Reproductive Tract: Role of Interactions between HIV-1 and Genital Epithelial Cells","volume":"65","author":[{"family":"Kaushic","given":"Charu"}],"issued":{"date-parts":[["2011",3,1]]}}}],"schema":"https://github.com/citation-style-language/schema/raw/master/csl-citation.json"} </w:instrText>
      </w:r>
      <w:r w:rsidR="00647F1C">
        <w:rPr>
          <w:rFonts w:ascii="Arial" w:hAnsi="Arial" w:cs="Arial"/>
        </w:rPr>
        <w:fldChar w:fldCharType="separate"/>
      </w:r>
      <w:r w:rsidR="00647F1C" w:rsidRPr="00647F1C">
        <w:rPr>
          <w:rFonts w:ascii="Arial" w:hAnsi="Arial" w:cs="Arial"/>
        </w:rPr>
        <w:t>(3)</w:t>
      </w:r>
      <w:r w:rsidR="00647F1C">
        <w:rPr>
          <w:rFonts w:ascii="Arial" w:hAnsi="Arial" w:cs="Arial"/>
        </w:rPr>
        <w:fldChar w:fldCharType="end"/>
      </w:r>
      <w:r w:rsidR="00647F1C">
        <w:rPr>
          <w:rFonts w:ascii="Arial" w:hAnsi="Arial" w:cs="Arial"/>
        </w:rPr>
        <w:t>.</w:t>
      </w:r>
      <w:r w:rsidRPr="00CF2777">
        <w:rPr>
          <w:rFonts w:ascii="Arial" w:hAnsi="Arial" w:cs="Arial"/>
        </w:rPr>
        <w:t xml:space="preserve"> Through the continuous sloughing of the superficial layers of the stratified epithelium of the vagina and ectocervix this process prevents many pathogens from colonizing and establishing infections, thus providing a better mechanical protection against HIV invasion than the single layer columnar epithelium that lines the upper reproductive tract</w:t>
      </w:r>
      <w:r w:rsidR="009750DB">
        <w:rPr>
          <w:rFonts w:ascii="Arial" w:hAnsi="Arial" w:cs="Arial"/>
        </w:rPr>
        <w:t xml:space="preserve"> </w:t>
      </w:r>
      <w:r w:rsidR="009750DB">
        <w:rPr>
          <w:rFonts w:ascii="Arial" w:hAnsi="Arial" w:cs="Arial"/>
        </w:rPr>
        <w:fldChar w:fldCharType="begin"/>
      </w:r>
      <w:r w:rsidR="009750DB">
        <w:rPr>
          <w:rFonts w:ascii="Arial" w:hAnsi="Arial" w:cs="Arial"/>
        </w:rPr>
        <w:instrText xml:space="preserve"> ADDIN ZOTERO_ITEM CSL_CITATION {"citationID":"IM3I9PPE","properties":{"formattedCitation":"(11,12,14)","plainCitation":"(11,12,14)","noteIndex":0},"citationItems":[{"id":103,"uris":["http://zotero.org/users/local/HVWDw8n9/items/HQRSYB2S"],"itemData":{"id":103,"type":"article-journal","abstract":"Summary Mucosal surfaces are key interfaces between the host and its environment, but also constitute ports of entry for numerous pathogens. The gut and lung mucosae act as points of nutrient and gas exchange, respectively, but the physiological purpose of the female reproductive tract (FRT) is to allow implantation and development of the fetus. Our understanding of immune responses in the FRT has traditionally lagged behind our grasp of the situation at other mucosal sites, but recently reproductive immunologists have begun to make rapid progress in this challenging area. Here, we review current knowledge of immune responses in the human FRT and their heterogeneity within and between compartments. In the commensal-rich vagina, the immune system must allow the growth of beneficial microbes, whereas the key challenge in the uterus is allowing the growth of the semi-allogeneic fetus. In both compartments, these objectives must be balanced with the need to eliminate pathogens. Our developing understanding of immune responses in the FRT will help us develop interventions to prevent the spread of sexually transmitted diseases and to improve outcomes of pregnancy for mothers and babies.","container-title":"Immunology","DOI":"10.1111/imm.13136","ISSN":"0019-2805","issue":"2","journalAbbreviation":"Immunology","note":"publisher: John Wiley &amp; Sons, Ltd","page":"106-115","title":"Immune responses in the human female reproductive tract","volume":"160","author":[{"family":"Monin","given":"Leticia"},{"family":"Whettlock","given":"Emily M."},{"family":"Male","given":"Victoria"}],"issued":{"date-parts":[["2020",6,1]]}}},{"id":101,"uris":["http://zotero.org/users/local/HVWDw8n9/items/9Y92347Q"],"itemData":{"id":101,"type":"article-journal","container-title":"eBioMedicine","DOI":"10.1016/j.ebiom.2021.103497","ISSN":"2352-3964","note":"publisher: Elsevier","title":"Immune landscape of female reproductive tract and HIV susceptibility","URL":"https://doi.org/10.1016/j.ebiom.2021.103497","volume":"70","author":[{"family":"Byrareddy","given":"Siddappa N."}],"accessed":{"date-parts":[["2025",7,17]]},"issued":{"date-parts":[["2021",8,1]]}}},{"id":95,"uris":["http://zotero.org/users/local/HVWDw8n9/items/RJQYYRIZ"],"itemData":{"id":95,"type":"article-journal","abstract":"Worldwide, the heterosexual route is the prevalent mode of HIV-1 transmission, and the female reproductive tract accounts for approximately 40% of all HIV-1 transmissions. HIV-1 infection in the female reproductive tract involves three major events: entry through the mucosal epithelium, productive infection in subepithelial mononuclear cells, and delivery to lymph nodes to initiate systemic infection. Here, we provide a focused review of the interaction between HIV-1 and mucosal epithelial cells, lymphocytes, macrophages, and dendritic cells in female genital mucosa. Increased understanding of these interactions could illuminate new approaches for interdicting HIV-1 heterosexual transmission.","container-title":"American Journal of Reproductive Immunology","DOI":"10.1111/aji.12244","ISSN":"1046-7408","issue":"6","journalAbbreviation":"American Journal of Reproductive Immunology","note":"publisher: John Wiley &amp; Sons, Ltd","page":"608-617","title":"Interactions between HIV-1 and Mucosal Cells in the Female Reproductive Tract","volume":"71","author":[{"family":"Shen","given":"Ruizhong"},{"family":"Richter","given":"Holly E."},{"family":"Smith","given":"Phillip D."}],"issued":{"date-parts":[["2014",6,1]]}}}],"schema":"https://github.com/citation-style-language/schema/raw/master/csl-citation.json"} </w:instrText>
      </w:r>
      <w:r w:rsidR="009750DB">
        <w:rPr>
          <w:rFonts w:ascii="Arial" w:hAnsi="Arial" w:cs="Arial"/>
        </w:rPr>
        <w:fldChar w:fldCharType="separate"/>
      </w:r>
      <w:r w:rsidR="009750DB" w:rsidRPr="009750DB">
        <w:rPr>
          <w:rFonts w:ascii="Arial" w:hAnsi="Arial" w:cs="Arial"/>
        </w:rPr>
        <w:t>(11,12,14)</w:t>
      </w:r>
      <w:r w:rsidR="009750DB">
        <w:rPr>
          <w:rFonts w:ascii="Arial" w:hAnsi="Arial" w:cs="Arial"/>
        </w:rPr>
        <w:fldChar w:fldCharType="end"/>
      </w:r>
      <w:r w:rsidRPr="00CF2777">
        <w:rPr>
          <w:rFonts w:ascii="Arial" w:hAnsi="Arial" w:cs="Arial"/>
        </w:rPr>
        <w:t>. However, the greater surface area of the vaginal wall and ectocervix arguably allows greater access for HIV entry, particularly when breaches occur in the epithelium, such as during sexual intercourse.</w:t>
      </w:r>
    </w:p>
    <w:p w14:paraId="33383E89" w14:textId="77777777" w:rsidR="00CF2777" w:rsidRPr="00CF2777" w:rsidRDefault="00CF2777" w:rsidP="00424953">
      <w:pPr>
        <w:pStyle w:val="Body"/>
        <w:contextualSpacing/>
        <w:rPr>
          <w:rFonts w:ascii="Arial" w:hAnsi="Arial" w:cs="Arial"/>
        </w:rPr>
      </w:pPr>
      <w:r w:rsidRPr="00CF2777">
        <w:rPr>
          <w:rFonts w:ascii="Arial" w:hAnsi="Arial" w:cs="Arial"/>
        </w:rPr>
        <w:t xml:space="preserve">The changes in morphology, physiological function and immunological responses in the female reproductive tract in adolescent (10-19 years), reproductive (15-49 years) and </w:t>
      </w:r>
      <w:r w:rsidRPr="00CF2777">
        <w:rPr>
          <w:rFonts w:ascii="Arial" w:hAnsi="Arial" w:cs="Arial"/>
        </w:rPr>
        <w:lastRenderedPageBreak/>
        <w:t>menopause ages (45-55 years) affect the risk of HIV acquisition and have an implication on product design.</w:t>
      </w:r>
    </w:p>
    <w:p w14:paraId="6532500A" w14:textId="1FF8AE86" w:rsidR="00CF2777" w:rsidRPr="00AC7E6C" w:rsidRDefault="00CF2777" w:rsidP="00424953">
      <w:pPr>
        <w:pStyle w:val="Body"/>
        <w:contextualSpacing/>
        <w:rPr>
          <w:rFonts w:ascii="Arial" w:hAnsi="Arial" w:cs="Arial"/>
          <w:b/>
          <w:bCs/>
          <w:sz w:val="22"/>
          <w:szCs w:val="22"/>
        </w:rPr>
      </w:pPr>
      <w:r w:rsidRPr="00AC7E6C">
        <w:rPr>
          <w:rFonts w:ascii="Arial" w:hAnsi="Arial" w:cs="Arial"/>
          <w:b/>
          <w:bCs/>
          <w:sz w:val="22"/>
          <w:szCs w:val="22"/>
        </w:rPr>
        <w:t>2.1 Adolescent age group:</w:t>
      </w:r>
    </w:p>
    <w:p w14:paraId="5AABD229" w14:textId="22D4857A" w:rsidR="00CF2777" w:rsidRPr="00CF2777" w:rsidRDefault="00CF2777" w:rsidP="00424953">
      <w:pPr>
        <w:pStyle w:val="Body"/>
        <w:contextualSpacing/>
        <w:rPr>
          <w:rFonts w:ascii="Arial" w:hAnsi="Arial" w:cs="Arial"/>
        </w:rPr>
      </w:pPr>
      <w:r w:rsidRPr="00CF2777">
        <w:rPr>
          <w:rFonts w:ascii="Arial" w:hAnsi="Arial" w:cs="Arial"/>
        </w:rPr>
        <w:t>The risk of HIV transmission for women in this age group is 4-7 times higher for Sub-Saharan Africa compared to male counterparts. Cervical ectropion known as ectopy or eversion commonly occurs in adolescents were erythrocytes in the endocervix appear on the outer surface of the ectocervix</w:t>
      </w:r>
      <w:r w:rsidR="009750DB">
        <w:rPr>
          <w:rFonts w:ascii="Arial" w:hAnsi="Arial" w:cs="Arial"/>
        </w:rPr>
        <w:t xml:space="preserve"> </w:t>
      </w:r>
      <w:r w:rsidR="009750DB">
        <w:rPr>
          <w:rFonts w:ascii="Arial" w:hAnsi="Arial" w:cs="Arial"/>
        </w:rPr>
        <w:fldChar w:fldCharType="begin"/>
      </w:r>
      <w:r w:rsidR="009750DB">
        <w:rPr>
          <w:rFonts w:ascii="Arial" w:hAnsi="Arial" w:cs="Arial"/>
        </w:rPr>
        <w:instrText xml:space="preserve"> ADDIN ZOTERO_ITEM CSL_CITATION {"citationID":"yBJOudiC","properties":{"formattedCitation":"(10)","plainCitation":"(10)","noteIndex":0},"citationItems":[{"id":98,"uris":["http://zotero.org/users/local/HVWDw8n9/items/KDSF4LTG"],"itemData":{"id":98,"type":"article-journal","abstract":"Women remain disproportionately affected by the HIV/AIDS pandemic. The primary mechanism for HIV acquisition in women is sexual transmission, yet the immunobiological factors that contribute to HIV susceptibility remain poorly characterized. Here, we review current knowledge on HIV pathogenesis in women, focusing on infection and immune responses in the female reproductive tract (FRT).","container-title":"Current HIV/AIDS Reports","DOI":"10.1007/s11904-021-00546-1","ISSN":"1548-3576","issue":"2","journalAbbreviation":"Current HIV/AIDS Reports","page":"139-156","title":"HIV Pathogenesis in the Human Female Reproductive Tract","volume":"18","author":[{"family":"Rodriguez-Garcia","given":"Marta"},{"family":"Connors","given":"Kaleigh"},{"family":"Ghosh","given":"Mimi"}],"issued":{"date-parts":[["2021",4,1]]}}}],"schema":"https://github.com/citation-style-language/schema/raw/master/csl-citation.json"} </w:instrText>
      </w:r>
      <w:r w:rsidR="009750DB">
        <w:rPr>
          <w:rFonts w:ascii="Arial" w:hAnsi="Arial" w:cs="Arial"/>
        </w:rPr>
        <w:fldChar w:fldCharType="separate"/>
      </w:r>
      <w:r w:rsidR="009750DB" w:rsidRPr="009750DB">
        <w:rPr>
          <w:rFonts w:ascii="Arial" w:hAnsi="Arial" w:cs="Arial"/>
        </w:rPr>
        <w:t>(10)</w:t>
      </w:r>
      <w:r w:rsidR="009750DB">
        <w:rPr>
          <w:rFonts w:ascii="Arial" w:hAnsi="Arial" w:cs="Arial"/>
        </w:rPr>
        <w:fldChar w:fldCharType="end"/>
      </w:r>
      <w:r w:rsidRPr="00CF2777">
        <w:rPr>
          <w:rFonts w:ascii="Arial" w:hAnsi="Arial" w:cs="Arial"/>
        </w:rPr>
        <w:t>. Several studies have shown that it is not independently associated with the acquisition of HIV infections, though prevalence of HIV is higher in adolescent girls with cervical ectopy</w:t>
      </w:r>
      <w:r w:rsidR="00C70EA9">
        <w:rPr>
          <w:rFonts w:ascii="Arial" w:hAnsi="Arial" w:cs="Arial"/>
        </w:rPr>
        <w:t xml:space="preserve"> </w:t>
      </w:r>
      <w:r w:rsidR="00C70EA9">
        <w:rPr>
          <w:rFonts w:ascii="Arial" w:hAnsi="Arial" w:cs="Arial"/>
        </w:rPr>
        <w:fldChar w:fldCharType="begin"/>
      </w:r>
      <w:r w:rsidR="00C70EA9">
        <w:rPr>
          <w:rFonts w:ascii="Arial" w:hAnsi="Arial" w:cs="Arial"/>
        </w:rPr>
        <w:instrText xml:space="preserve"> ADDIN ZOTERO_ITEM CSL_CITATION {"citationID":"k8CDUq6H","properties":{"formattedCitation":"(10,14)","plainCitation":"(10,14)","noteIndex":0},"citationItems":[{"id":98,"uris":["http://zotero.org/users/local/HVWDw8n9/items/KDSF4LTG"],"itemData":{"id":98,"type":"article-journal","abstract":"Women remain disproportionately affected by the HIV/AIDS pandemic. The primary mechanism for HIV acquisition in women is sexual transmission, yet the immunobiological factors that contribute to HIV susceptibility remain poorly characterized. Here, we review current knowledge on HIV pathogenesis in women, focusing on infection and immune responses in the female reproductive tract (FRT).","container-title":"Current HIV/AIDS Reports","DOI":"10.1007/s11904-021-00546-1","ISSN":"1548-3576","issue":"2","journalAbbreviation":"Current HIV/AIDS Reports","page":"139-156","title":"HIV Pathogenesis in the Human Female Reproductive Tract","volume":"18","author":[{"family":"Rodriguez-Garcia","given":"Marta"},{"family":"Connors","given":"Kaleigh"},{"family":"Ghosh","given":"Mimi"}],"issued":{"date-parts":[["2021",4,1]]}}},{"id":95,"uris":["http://zotero.org/users/local/HVWDw8n9/items/RJQYYRIZ"],"itemData":{"id":95,"type":"article-journal","abstract":"Worldwide, the heterosexual route is the prevalent mode of HIV-1 transmission, and the female reproductive tract accounts for approximately 40% of all HIV-1 transmissions. HIV-1 infection in the female reproductive tract involves three major events: entry through the mucosal epithelium, productive infection in subepithelial mononuclear cells, and delivery to lymph nodes to initiate systemic infection. Here, we provide a focused review of the interaction between HIV-1 and mucosal epithelial cells, lymphocytes, macrophages, and dendritic cells in female genital mucosa. Increased understanding of these interactions could illuminate new approaches for interdicting HIV-1 heterosexual transmission.","container-title":"American Journal of Reproductive Immunology","DOI":"10.1111/aji.12244","ISSN":"1046-7408","issue":"6","journalAbbreviation":"American Journal of Reproductive Immunology","note":"publisher: John Wiley &amp; Sons, Ltd","page":"608-617","title":"Interactions between HIV-1 and Mucosal Cells in the Female Reproductive Tract","volume":"71","author":[{"family":"Shen","given":"Ruizhong"},{"family":"Richter","given":"Holly E."},{"family":"Smith","given":"Phillip D."}],"issued":{"date-parts":[["2014",6,1]]}}}],"schema":"https://github.com/citation-style-language/schema/raw/master/csl-citation.json"} </w:instrText>
      </w:r>
      <w:r w:rsidR="00C70EA9">
        <w:rPr>
          <w:rFonts w:ascii="Arial" w:hAnsi="Arial" w:cs="Arial"/>
        </w:rPr>
        <w:fldChar w:fldCharType="separate"/>
      </w:r>
      <w:r w:rsidR="00C70EA9" w:rsidRPr="00C70EA9">
        <w:rPr>
          <w:rFonts w:ascii="Arial" w:hAnsi="Arial" w:cs="Arial"/>
        </w:rPr>
        <w:t>(10,14)</w:t>
      </w:r>
      <w:r w:rsidR="00C70EA9">
        <w:rPr>
          <w:rFonts w:ascii="Arial" w:hAnsi="Arial" w:cs="Arial"/>
        </w:rPr>
        <w:fldChar w:fldCharType="end"/>
      </w:r>
      <w:r w:rsidRPr="00CF2777">
        <w:rPr>
          <w:rFonts w:ascii="Arial" w:hAnsi="Arial" w:cs="Arial"/>
        </w:rPr>
        <w:t xml:space="preserve">. The condition is associated with different sexually transmitted infections including human papilloma virus and </w:t>
      </w:r>
      <w:proofErr w:type="spellStart"/>
      <w:r w:rsidRPr="00CF2777">
        <w:rPr>
          <w:rFonts w:ascii="Arial" w:hAnsi="Arial" w:cs="Arial"/>
        </w:rPr>
        <w:t>gonorrhoea</w:t>
      </w:r>
      <w:proofErr w:type="spellEnd"/>
      <w:r w:rsidRPr="00CF2777">
        <w:rPr>
          <w:rFonts w:ascii="Arial" w:hAnsi="Arial" w:cs="Arial"/>
        </w:rPr>
        <w:t xml:space="preserve">. The STIs can possibly alter cervical tissue function. The prevalence of ectopy is higher in female adolescent populations that haven’t engaged in sexual intercourse and places them at a greater risk of infection from HIV and STIs </w:t>
      </w:r>
      <w:r w:rsidR="00740D14">
        <w:rPr>
          <w:rFonts w:ascii="Arial" w:hAnsi="Arial" w:cs="Arial"/>
        </w:rPr>
        <w:fldChar w:fldCharType="begin"/>
      </w:r>
      <w:r w:rsidR="00740D14">
        <w:rPr>
          <w:rFonts w:ascii="Arial" w:hAnsi="Arial" w:cs="Arial"/>
        </w:rPr>
        <w:instrText xml:space="preserve"> ADDIN ZOTERO_ITEM CSL_CITATION {"citationID":"L9b8aRIa","properties":{"formattedCitation":"(10,17)","plainCitation":"(10,17)","noteIndex":0},"citationItems":[{"id":98,"uris":["http://zotero.org/users/local/HVWDw8n9/items/KDSF4LTG"],"itemData":{"id":98,"type":"article-journal","abstract":"Women remain disproportionately affected by the HIV/AIDS pandemic. The primary mechanism for HIV acquisition in women is sexual transmission, yet the immunobiological factors that contribute to HIV susceptibility remain poorly characterized. Here, we review current knowledge on HIV pathogenesis in women, focusing on infection and immune responses in the female reproductive tract (FRT).","container-title":"Current HIV/AIDS Reports","DOI":"10.1007/s11904-021-00546-1","ISSN":"1548-3576","issue":"2","journalAbbreviation":"Current HIV/AIDS Reports","page":"139-156","title":"HIV Pathogenesis in the Human Female Reproductive Tract","volume":"18","author":[{"family":"Rodriguez-Garcia","given":"Marta"},{"family":"Connors","given":"Kaleigh"},{"family":"Ghosh","given":"Mimi"}],"issued":{"date-parts":[["2021",4,1]]}}},{"id":105,"uris":["http://zotero.org/users/local/HVWDw8n9/items/MNNZWJTC"],"itemData":{"id":105,"type":"article-journal","container-title":"American Journal of Obstetrics &amp; Gynecology","DOI":"10.1016/j.ajog.2016.06.057","ISSN":"0002-9378","issue":"6","note":"publisher: Elsevier","page":"748.e1-748.e12","title":"The impact of pregnancy on anti-HIV activity of cervicovaginal secretions","volume":"215","author":[{"family":"Hughes","given":"Brenna L."},{"family":"Dutt","given":"Riana"},{"family":"Raker","given":"Christina"},{"family":"Barthelemy","given":"Melody"},{"family":"Rossoll","given":"Richard M."},{"family":"Ramratnam","given":"Bharat"},{"family":"Wira","given":"Charles R."},{"family":"Cu-Uvin","given":"Susan"}],"issued":{"date-parts":[["2016",12,1]]}}}],"schema":"https://github.com/citation-style-language/schema/raw/master/csl-citation.json"} </w:instrText>
      </w:r>
      <w:r w:rsidR="00740D14">
        <w:rPr>
          <w:rFonts w:ascii="Arial" w:hAnsi="Arial" w:cs="Arial"/>
        </w:rPr>
        <w:fldChar w:fldCharType="separate"/>
      </w:r>
      <w:r w:rsidR="00740D14" w:rsidRPr="00740D14">
        <w:rPr>
          <w:rFonts w:ascii="Arial" w:hAnsi="Arial" w:cs="Arial"/>
        </w:rPr>
        <w:t>(10,17)</w:t>
      </w:r>
      <w:r w:rsidR="00740D14">
        <w:rPr>
          <w:rFonts w:ascii="Arial" w:hAnsi="Arial" w:cs="Arial"/>
        </w:rPr>
        <w:fldChar w:fldCharType="end"/>
      </w:r>
      <w:r w:rsidR="00740D14">
        <w:rPr>
          <w:rFonts w:ascii="Arial" w:hAnsi="Arial" w:cs="Arial"/>
        </w:rPr>
        <w:t>.</w:t>
      </w:r>
    </w:p>
    <w:p w14:paraId="7F417D19" w14:textId="77777777" w:rsidR="00CF2777" w:rsidRPr="00CF2777" w:rsidRDefault="00CF2777" w:rsidP="00424953">
      <w:pPr>
        <w:pStyle w:val="Body"/>
        <w:contextualSpacing/>
        <w:rPr>
          <w:rFonts w:ascii="Arial" w:hAnsi="Arial" w:cs="Arial"/>
        </w:rPr>
      </w:pPr>
      <w:r w:rsidRPr="00CF2777">
        <w:rPr>
          <w:rFonts w:ascii="Arial" w:hAnsi="Arial" w:cs="Arial"/>
        </w:rPr>
        <w:t>The mature cervix for women consists of stratified squamous multiple cell layers that provide a physical barrier for protection against pathogens. The single-layer of columnar epithelium in adolescents is easier to breach during sexual intercourse, which can allow the entry pathogens.</w:t>
      </w:r>
    </w:p>
    <w:p w14:paraId="737A876B" w14:textId="607E9448" w:rsidR="00CF2777" w:rsidRPr="005563CB" w:rsidRDefault="00CF2777" w:rsidP="00424953">
      <w:pPr>
        <w:pStyle w:val="Body"/>
        <w:contextualSpacing/>
        <w:rPr>
          <w:rFonts w:ascii="Arial" w:hAnsi="Arial" w:cs="Arial"/>
          <w:color w:val="EE0000"/>
        </w:rPr>
      </w:pPr>
      <w:r w:rsidRPr="00CF2777">
        <w:rPr>
          <w:rFonts w:ascii="Arial" w:hAnsi="Arial" w:cs="Arial"/>
        </w:rPr>
        <w:t xml:space="preserve">The presence of elevated levels of inflammatory cytokines in adolescent girls compared to adult females is also linked to a higher risk of HIV transmission. The chemokines IL-6 and TNF-α contribute to genital inflammation creating conditions </w:t>
      </w:r>
      <w:proofErr w:type="spellStart"/>
      <w:r w:rsidRPr="00CF2777">
        <w:rPr>
          <w:rFonts w:ascii="Arial" w:hAnsi="Arial" w:cs="Arial"/>
        </w:rPr>
        <w:t>favourable</w:t>
      </w:r>
      <w:proofErr w:type="spellEnd"/>
      <w:r w:rsidRPr="00CF2777">
        <w:rPr>
          <w:rFonts w:ascii="Arial" w:hAnsi="Arial" w:cs="Arial"/>
        </w:rPr>
        <w:t xml:space="preserve"> for HIV acquisition and replication. MIP-1α and MIP-1β promote recruitment of CCR5 expressing cells to the genital tract including T-cells and macrophages which are targets for HIV virus</w:t>
      </w:r>
      <w:r w:rsidR="00740D14">
        <w:rPr>
          <w:rFonts w:ascii="Arial" w:hAnsi="Arial" w:cs="Arial"/>
        </w:rPr>
        <w:t xml:space="preserve"> </w:t>
      </w:r>
      <w:r w:rsidR="00740D14">
        <w:rPr>
          <w:rFonts w:ascii="Arial" w:hAnsi="Arial" w:cs="Arial"/>
        </w:rPr>
        <w:fldChar w:fldCharType="begin"/>
      </w:r>
      <w:r w:rsidR="00740D14">
        <w:rPr>
          <w:rFonts w:ascii="Arial" w:hAnsi="Arial" w:cs="Arial"/>
        </w:rPr>
        <w:instrText xml:space="preserve"> ADDIN ZOTERO_ITEM CSL_CITATION {"citationID":"R9QhMbm6","properties":{"formattedCitation":"(10,15)","plainCitation":"(10,15)","noteIndex":0},"citationItems":[{"id":98,"uris":["http://zotero.org/users/local/HVWDw8n9/items/KDSF4LTG"],"itemData":{"id":98,"type":"article-journal","abstract":"Women remain disproportionately affected by the HIV/AIDS pandemic. The primary mechanism for HIV acquisition in women is sexual transmission, yet the immunobiological factors that contribute to HIV susceptibility remain poorly characterized. Here, we review current knowledge on HIV pathogenesis in women, focusing on infection and immune responses in the female reproductive tract (FRT).","container-title":"Current HIV/AIDS Reports","DOI":"10.1007/s11904-021-00546-1","ISSN":"1548-3576","issue":"2","journalAbbreviation":"Current HIV/AIDS Reports","page":"139-156","title":"HIV Pathogenesis in the Human Female Reproductive Tract","volume":"18","author":[{"family":"Rodriguez-Garcia","given":"Marta"},{"family":"Connors","given":"Kaleigh"},{"family":"Ghosh","given":"Mimi"}],"issued":{"date-parts":[["2021",4,1]]}}},{"id":96,"uris":["http://zotero.org/users/local/HVWDw8n9/items/6AE32FRC"],"itemData":{"id":96,"type":"article-journal","abstract":"At the interface of the external environment and the mucosal surface of the female reproductive tract (FRT) lies a first-line defense against pathogen invasion that includes antimicrobial peptides (AMP). Comprised of a unique class of multifunctional, amphipathic molecules, AMP employ a wide range of functions to limit microbial invasion and replication within host cells as well as independently modulate the immune system, dampen inflammation and maintain tissue homeostasis. The role of AMP in barrier defense at the level of the skin and gut has received much attention as of late. Given the far reaching implications for women's health, maternal and fetal morbidity and mortality, and sexually transmissible and polymicrobial diseases, we herein review the distribution and function of key AMP throughout the female reproductive mucosa and assess their role as an essential immunological barrier to microbial invasion throughout the reproductive cycle of a woman's lifetime.A comprehensive search in PubMed/Medline was conducted related to AMP general structure, function, signaling, expression, distribution and barrier function of AMP in the FRT, hormone regulation of AMP, the microbiome of the FRT, and AMP in relation to implantation, pregnancy, fertility, pelvic inflammatory disease, complications of pregnancy and assisted reproductive technology.AMP are amphipathic peptides that target microbes for destruction and have been conserved throughout all living organisms. In the FRT, several major classes of AMP are expressed constitutively and others are inducible at the mucosal epithelium and by immune cells. AMP expression is also under the influence of sex hormones, varying throughout the menstrual cycle, and dependent on the vaginal microbiome. AMP can prevent infection with sexually transmissible and opportunistic pathogens of the female reproductive tissues, although emerging understanding of vaginal dysbiosis suggests induction of a unique AMP profile with increased susceptibility to these pathogens. During pregnancy, AMP are key immune effectors of the fetal membranes and placenta and are dysregulated in states of intrauterine infection and other complications of pregnancy.At the level of the FRT, AMP serve to inhibit infection by sexually and vertically transmissible as well as by opportunistic bacteria, fungi, viruses, and protozoa and must do so throughout the hormone flux of menses and pregnancy. Guarding the exclusive site of reproduction, AMP modulate the vaginal microbiome of the lower FRT to aid in preventing ascending microbes into the upper FRT. Evolving in parallel with, and in response to, pathogenic insults, AMP are relatively immune to the resistance mechanisms employed by rapidly evolving pathogens and play a key role in barrier function and host defense throughout the FRT.","container-title":"Human Reproduction Update","DOI":"10.1093/humupd/dmu065","ISSN":"1355-4786","issue":"3","journalAbbreviation":"Human Reproduction Update","page":"353-377","title":"Antimicrobial peptides in the female reproductive tract: a critical component of the mucosal immune barrier with physiological and clinical implications","volume":"21","author":[{"family":"Yarbrough","given":"Victoria L."},{"family":"Winkle","given":"Sean"},{"family":"Herbst-Kralovetz","given":"Melissa M."}],"issued":{"date-parts":[["2015",5,1]]}}}],"schema":"https://github.com/citation-style-language/schema/raw/master/csl-citation.json"} </w:instrText>
      </w:r>
      <w:r w:rsidR="00740D14">
        <w:rPr>
          <w:rFonts w:ascii="Arial" w:hAnsi="Arial" w:cs="Arial"/>
        </w:rPr>
        <w:fldChar w:fldCharType="separate"/>
      </w:r>
      <w:r w:rsidR="00740D14" w:rsidRPr="00740D14">
        <w:rPr>
          <w:rFonts w:ascii="Arial" w:hAnsi="Arial" w:cs="Arial"/>
        </w:rPr>
        <w:t>(10,15)</w:t>
      </w:r>
      <w:r w:rsidR="00740D14">
        <w:rPr>
          <w:rFonts w:ascii="Arial" w:hAnsi="Arial" w:cs="Arial"/>
        </w:rPr>
        <w:fldChar w:fldCharType="end"/>
      </w:r>
      <w:r w:rsidRPr="00CF2777">
        <w:rPr>
          <w:rFonts w:ascii="Arial" w:hAnsi="Arial" w:cs="Arial"/>
        </w:rPr>
        <w:t xml:space="preserve">. </w:t>
      </w:r>
      <w:r w:rsidR="00740D14" w:rsidRPr="001102C0">
        <w:rPr>
          <w:rFonts w:ascii="Arial" w:hAnsi="Arial" w:cs="Arial"/>
        </w:rPr>
        <w:t xml:space="preserve">Previous studies have shown </w:t>
      </w:r>
      <w:r w:rsidRPr="001102C0">
        <w:rPr>
          <w:rFonts w:ascii="Arial" w:hAnsi="Arial" w:cs="Arial"/>
        </w:rPr>
        <w:t>that higher pro-inflammatory biomarker TNF-α, as well as a distinct inflammation-associated immune clustering in sexually inactive adolescent girls, can potentially increase risk for infections including HIV upon sexual debut</w:t>
      </w:r>
      <w:r w:rsidR="001102C0" w:rsidRPr="001102C0">
        <w:rPr>
          <w:rFonts w:ascii="Arial" w:hAnsi="Arial" w:cs="Arial"/>
        </w:rPr>
        <w:t xml:space="preserve"> </w:t>
      </w:r>
      <w:r w:rsidR="001102C0">
        <w:rPr>
          <w:rFonts w:ascii="Arial" w:hAnsi="Arial" w:cs="Arial"/>
          <w:color w:val="EE0000"/>
        </w:rPr>
        <w:fldChar w:fldCharType="begin"/>
      </w:r>
      <w:r w:rsidR="001102C0">
        <w:rPr>
          <w:rFonts w:ascii="Arial" w:hAnsi="Arial" w:cs="Arial"/>
          <w:color w:val="EE0000"/>
        </w:rPr>
        <w:instrText xml:space="preserve"> ADDIN ZOTERO_ITEM CSL_CITATION {"citationID":"WOoBBy6V","properties":{"formattedCitation":"(10\\uc0\\u8211{}12)","plainCitation":"(10–12)","noteIndex":0},"citationItems":[{"id":98,"uris":["http://zotero.org/users/local/HVWDw8n9/items/KDSF4LTG"],"itemData":{"id":98,"type":"article-journal","abstract":"Women remain disproportionately affected by the HIV/AIDS pandemic. The primary mechanism for HIV acquisition in women is sexual transmission, yet the immunobiological factors that contribute to HIV susceptibility remain poorly characterized. Here, we review current knowledge on HIV pathogenesis in women, focusing on infection and immune responses in the female reproductive tract (FRT).","container-title":"Current HIV/AIDS Reports","DOI":"10.1007/s11904-021-00546-1","ISSN":"1548-3576","issue":"2","journalAbbreviation":"Current HIV/AIDS Reports","page":"139-156","title":"HIV Pathogenesis in the Human Female Reproductive Tract","volume":"18","author":[{"family":"Rodriguez-Garcia","given":"Marta"},{"family":"Connors","given":"Kaleigh"},{"family":"Ghosh","given":"Mimi"}],"issued":{"date-parts":[["2021",4,1]]}}},{"id":101,"uris":["http://zotero.org/users/local/HVWDw8n9/items/9Y92347Q"],"itemData":{"id":101,"type":"article-journal","container-title":"eBioMedicine","DOI":"10.1016/j.ebiom.2021.103497","ISSN":"2352-3964","note":"publisher: Elsevier","title":"Immune landscape of female reproductive tract and HIV susceptibility","URL":"https://doi.org/10.1016/j.ebiom.2021.103497","volume":"70","author":[{"family":"Byrareddy","given":"Siddappa N."}],"accessed":{"date-parts":[["2025",7,17]]},"issued":{"date-parts":[["2021",8,1]]}}},{"id":103,"uris":["http://zotero.org/users/local/HVWDw8n9/items/HQRSYB2S"],"itemData":{"id":103,"type":"article-journal","abstract":"Summary Mucosal surfaces are key interfaces between the host and its environment, but also constitute ports of entry for numerous pathogens. The gut and lung mucosae act as points of nutrient and gas exchange, respectively, but the physiological purpose of the female reproductive tract (FRT) is to allow implantation and development of the fetus. Our understanding of immune responses in the FRT has traditionally lagged behind our grasp of the situation at other mucosal sites, but recently reproductive immunologists have begun to make rapid progress in this challenging area. Here, we review current knowledge of immune responses in the human FRT and their heterogeneity within and between compartments. In the commensal-rich vagina, the immune system must allow the growth of beneficial microbes, whereas the key challenge in the uterus is allowing the growth of the semi-allogeneic fetus. In both compartments, these objectives must be balanced with the need to eliminate pathogens. Our developing understanding of immune responses in the FRT will help us develop interventions to prevent the spread of sexually transmitted diseases and to improve outcomes of pregnancy for mothers and babies.","container-title":"Immunology","DOI":"10.1111/imm.13136","ISSN":"0019-2805","issue":"2","journalAbbreviation":"Immunology","note":"publisher: John Wiley &amp; Sons, Ltd","page":"106-115","title":"Immune responses in the human female reproductive tract","volume":"160","author":[{"family":"Monin","given":"Leticia"},{"family":"Whettlock","given":"Emily M."},{"family":"Male","given":"Victoria"}],"issued":{"date-parts":[["2020",6,1]]}}}],"schema":"https://github.com/citation-style-language/schema/raw/master/csl-citation.json"} </w:instrText>
      </w:r>
      <w:r w:rsidR="001102C0">
        <w:rPr>
          <w:rFonts w:ascii="Arial" w:hAnsi="Arial" w:cs="Arial"/>
          <w:color w:val="EE0000"/>
        </w:rPr>
        <w:fldChar w:fldCharType="separate"/>
      </w:r>
      <w:r w:rsidR="001102C0" w:rsidRPr="001102C0">
        <w:rPr>
          <w:rFonts w:ascii="Arial" w:hAnsi="Arial" w:cs="Arial"/>
        </w:rPr>
        <w:t>(10–12)</w:t>
      </w:r>
      <w:r w:rsidR="001102C0">
        <w:rPr>
          <w:rFonts w:ascii="Arial" w:hAnsi="Arial" w:cs="Arial"/>
          <w:color w:val="EE0000"/>
        </w:rPr>
        <w:fldChar w:fldCharType="end"/>
      </w:r>
      <w:r w:rsidRPr="005563CB">
        <w:rPr>
          <w:rFonts w:ascii="Arial" w:hAnsi="Arial" w:cs="Arial"/>
          <w:color w:val="EE0000"/>
        </w:rPr>
        <w:t>.</w:t>
      </w:r>
    </w:p>
    <w:p w14:paraId="1CB45B61" w14:textId="3628DFD4" w:rsidR="00CF2777" w:rsidRDefault="00CF2777" w:rsidP="00424953">
      <w:pPr>
        <w:pStyle w:val="Body"/>
        <w:contextualSpacing/>
        <w:rPr>
          <w:rFonts w:ascii="Arial" w:hAnsi="Arial" w:cs="Arial"/>
        </w:rPr>
      </w:pPr>
      <w:r w:rsidRPr="00CF2777">
        <w:rPr>
          <w:rFonts w:ascii="Arial" w:hAnsi="Arial" w:cs="Arial"/>
        </w:rPr>
        <w:t xml:space="preserve">Literature on the level of antimicrobial peptides in this age group is </w:t>
      </w:r>
      <w:r w:rsidR="001102C0">
        <w:rPr>
          <w:rFonts w:ascii="Arial" w:hAnsi="Arial" w:cs="Arial"/>
        </w:rPr>
        <w:t>limited</w:t>
      </w:r>
      <w:r w:rsidRPr="00CF2777">
        <w:rPr>
          <w:rFonts w:ascii="Arial" w:hAnsi="Arial" w:cs="Arial"/>
        </w:rPr>
        <w:t>, though they are important for immunomodulation, maintenance of tissue homeostasis, protection against pathogens among other roles they play in protecting the female reproductive tract</w:t>
      </w:r>
      <w:r w:rsidR="001102C0">
        <w:rPr>
          <w:rFonts w:ascii="Arial" w:hAnsi="Arial" w:cs="Arial"/>
        </w:rPr>
        <w:t xml:space="preserve"> </w:t>
      </w:r>
      <w:r w:rsidR="001102C0">
        <w:rPr>
          <w:rFonts w:ascii="Arial" w:hAnsi="Arial" w:cs="Arial"/>
        </w:rPr>
        <w:fldChar w:fldCharType="begin"/>
      </w:r>
      <w:r w:rsidR="001102C0">
        <w:rPr>
          <w:rFonts w:ascii="Arial" w:hAnsi="Arial" w:cs="Arial"/>
        </w:rPr>
        <w:instrText xml:space="preserve"> ADDIN ZOTERO_ITEM CSL_CITATION {"citationID":"zzAXYRFH","properties":{"formattedCitation":"(15)","plainCitation":"(15)","noteIndex":0},"citationItems":[{"id":96,"uris":["http://zotero.org/users/local/HVWDw8n9/items/6AE32FRC"],"itemData":{"id":96,"type":"article-journal","abstract":"At the interface of the external environment and the mucosal surface of the female reproductive tract (FRT) lies a first-line defense against pathogen invasion that includes antimicrobial peptides (AMP). Comprised of a unique class of multifunctional, amphipathic molecules, AMP employ a wide range of functions to limit microbial invasion and replication within host cells as well as independently modulate the immune system, dampen inflammation and maintain tissue homeostasis. The role of AMP in barrier defense at the level of the skin and gut has received much attention as of late. Given the far reaching implications for women's health, maternal and fetal morbidity and mortality, and sexually transmissible and polymicrobial diseases, we herein review the distribution and function of key AMP throughout the female reproductive mucosa and assess their role as an essential immunological barrier to microbial invasion throughout the reproductive cycle of a woman's lifetime.A comprehensive search in PubMed/Medline was conducted related to AMP general structure, function, signaling, expression, distribution and barrier function of AMP in the FRT, hormone regulation of AMP, the microbiome of the FRT, and AMP in relation to implantation, pregnancy, fertility, pelvic inflammatory disease, complications of pregnancy and assisted reproductive technology.AMP are amphipathic peptides that target microbes for destruction and have been conserved throughout all living organisms. In the FRT, several major classes of AMP are expressed constitutively and others are inducible at the mucosal epithelium and by immune cells. AMP expression is also under the influence of sex hormones, varying throughout the menstrual cycle, and dependent on the vaginal microbiome. AMP can prevent infection with sexually transmissible and opportunistic pathogens of the female reproductive tissues, although emerging understanding of vaginal dysbiosis suggests induction of a unique AMP profile with increased susceptibility to these pathogens. During pregnancy, AMP are key immune effectors of the fetal membranes and placenta and are dysregulated in states of intrauterine infection and other complications of pregnancy.At the level of the FRT, AMP serve to inhibit infection by sexually and vertically transmissible as well as by opportunistic bacteria, fungi, viruses, and protozoa and must do so throughout the hormone flux of menses and pregnancy. Guarding the exclusive site of reproduction, AMP modulate the vaginal microbiome of the lower FRT to aid in preventing ascending microbes into the upper FRT. Evolving in parallel with, and in response to, pathogenic insults, AMP are relatively immune to the resistance mechanisms employed by rapidly evolving pathogens and play a key role in barrier function and host defense throughout the FRT.","container-title":"Human Reproduction Update","DOI":"10.1093/humupd/dmu065","ISSN":"1355-4786","issue":"3","journalAbbreviation":"Human Reproduction Update","page":"353-377","title":"Antimicrobial peptides in the female reproductive tract: a critical component of the mucosal immune barrier with physiological and clinical implications","volume":"21","author":[{"family":"Yarbrough","given":"Victoria L."},{"family":"Winkle","given":"Sean"},{"family":"Herbst-Kralovetz","given":"Melissa M."}],"issued":{"date-parts":[["2015",5,1]]}}}],"schema":"https://github.com/citation-style-language/schema/raw/master/csl-citation.json"} </w:instrText>
      </w:r>
      <w:r w:rsidR="001102C0">
        <w:rPr>
          <w:rFonts w:ascii="Arial" w:hAnsi="Arial" w:cs="Arial"/>
        </w:rPr>
        <w:fldChar w:fldCharType="separate"/>
      </w:r>
      <w:r w:rsidR="001102C0" w:rsidRPr="001102C0">
        <w:rPr>
          <w:rFonts w:ascii="Arial" w:hAnsi="Arial" w:cs="Arial"/>
        </w:rPr>
        <w:t>(15)</w:t>
      </w:r>
      <w:r w:rsidR="001102C0">
        <w:rPr>
          <w:rFonts w:ascii="Arial" w:hAnsi="Arial" w:cs="Arial"/>
        </w:rPr>
        <w:fldChar w:fldCharType="end"/>
      </w:r>
      <w:r w:rsidRPr="00CF2777">
        <w:rPr>
          <w:rFonts w:ascii="Arial" w:hAnsi="Arial" w:cs="Arial"/>
        </w:rPr>
        <w:t>. What is clear is that vaginal secretions vary with age increasing during reproductive age and lower before puberty and post menopause due to hormonal (estrogen) changes, pregnancy and local pathological states that may affect the level of antimicrobial peptides</w:t>
      </w:r>
      <w:r w:rsidR="001102C0">
        <w:rPr>
          <w:rFonts w:ascii="Arial" w:hAnsi="Arial" w:cs="Arial"/>
        </w:rPr>
        <w:fldChar w:fldCharType="begin"/>
      </w:r>
      <w:r w:rsidR="001102C0">
        <w:rPr>
          <w:rFonts w:ascii="Arial" w:hAnsi="Arial" w:cs="Arial"/>
        </w:rPr>
        <w:instrText xml:space="preserve"> ADDIN ZOTERO_ITEM CSL_CITATION {"citationID":"ACFUp7nv","properties":{"formattedCitation":"(15,17)","plainCitation":"(15,17)","noteIndex":0},"citationItems":[{"id":96,"uris":["http://zotero.org/users/local/HVWDw8n9/items/6AE32FRC"],"itemData":{"id":96,"type":"article-journal","abstract":"At the interface of the external environment and the mucosal surface of the female reproductive tract (FRT) lies a first-line defense against pathogen invasion that includes antimicrobial peptides (AMP). Comprised of a unique class of multifunctional, amphipathic molecules, AMP employ a wide range of functions to limit microbial invasion and replication within host cells as well as independently modulate the immune system, dampen inflammation and maintain tissue homeostasis. The role of AMP in barrier defense at the level of the skin and gut has received much attention as of late. Given the far reaching implications for women's health, maternal and fetal morbidity and mortality, and sexually transmissible and polymicrobial diseases, we herein review the distribution and function of key AMP throughout the female reproductive mucosa and assess their role as an essential immunological barrier to microbial invasion throughout the reproductive cycle of a woman's lifetime.A comprehensive search in PubMed/Medline was conducted related to AMP general structure, function, signaling, expression, distribution and barrier function of AMP in the FRT, hormone regulation of AMP, the microbiome of the FRT, and AMP in relation to implantation, pregnancy, fertility, pelvic inflammatory disease, complications of pregnancy and assisted reproductive technology.AMP are amphipathic peptides that target microbes for destruction and have been conserved throughout all living organisms. In the FRT, several major classes of AMP are expressed constitutively and others are inducible at the mucosal epithelium and by immune cells. AMP expression is also under the influence of sex hormones, varying throughout the menstrual cycle, and dependent on the vaginal microbiome. AMP can prevent infection with sexually transmissible and opportunistic pathogens of the female reproductive tissues, although emerging understanding of vaginal dysbiosis suggests induction of a unique AMP profile with increased susceptibility to these pathogens. During pregnancy, AMP are key immune effectors of the fetal membranes and placenta and are dysregulated in states of intrauterine infection and other complications of pregnancy.At the level of the FRT, AMP serve to inhibit infection by sexually and vertically transmissible as well as by opportunistic bacteria, fungi, viruses, and protozoa and must do so throughout the hormone flux of menses and pregnancy. Guarding the exclusive site of reproduction, AMP modulate the vaginal microbiome of the lower FRT to aid in preventing ascending microbes into the upper FRT. Evolving in parallel with, and in response to, pathogenic insults, AMP are relatively immune to the resistance mechanisms employed by rapidly evolving pathogens and play a key role in barrier function and host defense throughout the FRT.","container-title":"Human Reproduction Update","DOI":"10.1093/humupd/dmu065","ISSN":"1355-4786","issue":"3","journalAbbreviation":"Human Reproduction Update","page":"353-377","title":"Antimicrobial peptides in the female reproductive tract: a critical component of the mucosal immune barrier with physiological and clinical implications","volume":"21","author":[{"family":"Yarbrough","given":"Victoria L."},{"family":"Winkle","given":"Sean"},{"family":"Herbst-Kralovetz","given":"Melissa M."}],"issued":{"date-parts":[["2015",5,1]]}}},{"id":105,"uris":["http://zotero.org/users/local/HVWDw8n9/items/MNNZWJTC"],"itemData":{"id":105,"type":"article-journal","container-title":"American Journal of Obstetrics &amp; Gynecology","DOI":"10.1016/j.ajog.2016.06.057","ISSN":"0002-9378","issue":"6","note":"publisher: Elsevier","page":"748.e1-748.e12","title":"The impact of pregnancy on anti-HIV activity of cervicovaginal secretions","volume":"215","author":[{"family":"Hughes","given":"Brenna L."},{"family":"Dutt","given":"Riana"},{"family":"Raker","given":"Christina"},{"family":"Barthelemy","given":"Melody"},{"family":"Rossoll","given":"Richard M."},{"family":"Ramratnam","given":"Bharat"},{"family":"Wira","given":"Charles R."},{"family":"Cu-Uvin","given":"Susan"}],"issued":{"date-parts":[["2016",12,1]]}}}],"schema":"https://github.com/citation-style-language/schema/raw/master/csl-citation.json"} </w:instrText>
      </w:r>
      <w:r w:rsidR="001102C0">
        <w:rPr>
          <w:rFonts w:ascii="Arial" w:hAnsi="Arial" w:cs="Arial"/>
        </w:rPr>
        <w:fldChar w:fldCharType="separate"/>
      </w:r>
      <w:r w:rsidR="001102C0" w:rsidRPr="001102C0">
        <w:rPr>
          <w:rFonts w:ascii="Arial" w:hAnsi="Arial" w:cs="Arial"/>
        </w:rPr>
        <w:t>(15,17)</w:t>
      </w:r>
      <w:r w:rsidR="001102C0">
        <w:rPr>
          <w:rFonts w:ascii="Arial" w:hAnsi="Arial" w:cs="Arial"/>
        </w:rPr>
        <w:fldChar w:fldCharType="end"/>
      </w:r>
      <w:r w:rsidRPr="00CF2777">
        <w:rPr>
          <w:rFonts w:ascii="Arial" w:hAnsi="Arial" w:cs="Arial"/>
        </w:rPr>
        <w:t xml:space="preserve">. </w:t>
      </w:r>
    </w:p>
    <w:p w14:paraId="55E0D36B" w14:textId="77777777" w:rsidR="005563CB" w:rsidRDefault="005563CB" w:rsidP="00424953">
      <w:pPr>
        <w:pStyle w:val="Body"/>
        <w:contextualSpacing/>
        <w:rPr>
          <w:rFonts w:ascii="Arial" w:hAnsi="Arial" w:cs="Arial"/>
        </w:rPr>
      </w:pPr>
    </w:p>
    <w:p w14:paraId="7F56D407" w14:textId="77777777" w:rsidR="001102C0" w:rsidRPr="00CF2777" w:rsidRDefault="001102C0" w:rsidP="00424953">
      <w:pPr>
        <w:pStyle w:val="Body"/>
        <w:contextualSpacing/>
        <w:rPr>
          <w:rFonts w:ascii="Arial" w:hAnsi="Arial" w:cs="Arial"/>
        </w:rPr>
      </w:pPr>
    </w:p>
    <w:p w14:paraId="185473E6" w14:textId="316B72D0" w:rsidR="00CF2777" w:rsidRPr="00AC7E6C" w:rsidRDefault="00CF2777" w:rsidP="00424953">
      <w:pPr>
        <w:pStyle w:val="Body"/>
        <w:contextualSpacing/>
        <w:rPr>
          <w:rFonts w:ascii="Arial" w:hAnsi="Arial" w:cs="Arial"/>
          <w:b/>
          <w:bCs/>
          <w:sz w:val="22"/>
          <w:szCs w:val="22"/>
        </w:rPr>
      </w:pPr>
      <w:r w:rsidRPr="00AC7E6C">
        <w:rPr>
          <w:rFonts w:ascii="Arial" w:hAnsi="Arial" w:cs="Arial"/>
          <w:b/>
          <w:bCs/>
          <w:sz w:val="22"/>
          <w:szCs w:val="22"/>
        </w:rPr>
        <w:t>2.2 Reproductive age and the menstrual cycle</w:t>
      </w:r>
    </w:p>
    <w:p w14:paraId="3FEC9EDB" w14:textId="2B7A01F7" w:rsidR="00CF2777" w:rsidRPr="00CF2777" w:rsidRDefault="00CF2777" w:rsidP="00424953">
      <w:pPr>
        <w:pStyle w:val="Body"/>
        <w:contextualSpacing/>
        <w:rPr>
          <w:rFonts w:ascii="Arial" w:hAnsi="Arial" w:cs="Arial"/>
        </w:rPr>
      </w:pPr>
      <w:r w:rsidRPr="00CF2777">
        <w:rPr>
          <w:rFonts w:ascii="Arial" w:hAnsi="Arial" w:cs="Arial"/>
        </w:rPr>
        <w:t>The changes in estradiol and progesterone hormonal levels during menstrual cycles affect immune function and regulation in the female reproductive tract. Several studies suggest highest risk of HIV transmission in the luteal phase of the cycle especially after ovulation while some research has also shown high transmission risk in the first half of the cycle due to accumulation of immune cells susceptible to HIV</w:t>
      </w:r>
      <w:r w:rsidR="005157D8">
        <w:rPr>
          <w:rFonts w:ascii="Arial" w:hAnsi="Arial" w:cs="Arial"/>
        </w:rPr>
        <w:t xml:space="preserve"> </w:t>
      </w:r>
      <w:r w:rsidR="005157D8">
        <w:rPr>
          <w:rFonts w:ascii="Arial" w:hAnsi="Arial" w:cs="Arial"/>
        </w:rPr>
        <w:fldChar w:fldCharType="begin"/>
      </w:r>
      <w:r w:rsidR="005157D8">
        <w:rPr>
          <w:rFonts w:ascii="Arial" w:hAnsi="Arial" w:cs="Arial"/>
        </w:rPr>
        <w:instrText xml:space="preserve"> ADDIN ZOTERO_ITEM CSL_CITATION {"citationID":"lEJieYf7","properties":{"formattedCitation":"(10,17,18)","plainCitation":"(10,17,18)","noteIndex":0},"citationItems":[{"id":98,"uris":["http://zotero.org/users/local/HVWDw8n9/items/KDSF4LTG"],"itemData":{"id":98,"type":"article-journal","abstract":"Women remain disproportionately affected by the HIV/AIDS pandemic. The primary mechanism for HIV acquisition in women is sexual transmission, yet the immunobiological factors that contribute to HIV susceptibility remain poorly characterized. Here, we review current knowledge on HIV pathogenesis in women, focusing on infection and immune responses in the female reproductive tract (FRT).","container-title":"Current HIV/AIDS Reports","DOI":"10.1007/s11904-021-00546-1","ISSN":"1548-3576","issue":"2","journalAbbreviation":"Current HIV/AIDS Reports","page":"139-156","title":"HIV Pathogenesis in the Human Female Reproductive Tract","volume":"18","author":[{"family":"Rodriguez-Garcia","given":"Marta"},{"family":"Connors","given":"Kaleigh"},{"family":"Ghosh","given":"Mimi"}],"issued":{"date-parts":[["2021",4,1]]}}},{"id":105,"uris":["http://zotero.org/users/local/HVWDw8n9/items/MNNZWJTC"],"itemData":{"id":105,"type":"article-journal","container-title":"American Journal of Obstetrics &amp; Gynecology","DOI":"10.1016/j.ajog.2016.06.057","ISSN":"0002-9378","issue":"6","note":"publisher: Elsevier","page":"748.e1-748.e12","title":"The impact of pregnancy on anti-HIV activity of cervicovaginal secretions","volume":"215","author":[{"family":"Hughes","given":"Brenna L."},{"family":"Dutt","given":"Riana"},{"family":"Raker","given":"Christina"},{"family":"Barthelemy","given":"Melody"},{"family":"Rossoll","given":"Richard M."},{"family":"Ramratnam","given":"Bharat"},{"family":"Wira","given":"Charles R."},{"family":"Cu-Uvin","given":"Susan"}],"issued":{"date-parts":[["2016",12,1]]}}},{"id":104,"uris":["http://zotero.org/users/local/HVWDw8n9/items/HJ4UDYPI"],"itemData":{"id":104,"type":"article-journal","abstract":"The immune system in the female reproductive tract (FRT) does not mount an attack against human immunodeficiency virus (HIV) or other sexually transmitted infections (STI) with a single endogenously produced microbicide or with a single arm of the immune system. Instead, the body deploys dozens of innate antimicrobials to the secretions of the FRT. Working together, these antimicrobials along with mucosal antibodies attack viral, bacterial, and fungal targets. Within the FRT, the unique challenges of protection against sexually transmitted pathogens coupled with the need to sustain the development of an allogeneic fetus, has evolved in such a way that sex hormones precisely regulate immune function to accomplish both tasks. The studies presented in this review demonstrate that estradiol (E2) and progesterone secreted during the menstrual cycle act both directly and indirectly on epithelial cells, fibroblasts and immune cells in the reproductive tract to modify immune function in a way that is unique to specific sites throughout the FRT. As presented in this review, studies from our laboratory and others demonstrate that the innate and adaptive immune systems are under hormonal control, that protection varies with the stage of the menstrual cycle and as such, is dampened during the secretory stage of the cycle to optimize conditions for fertilization and pregnancy. In doing so, a window of STI vulnerability is created during which potential pathogens including HIV enter the reproductive tract to infect host targets.","container-title":"American Journal of Reproductive Immunology","DOI":"10.1111/aji.12252","ISSN":"1046-7408","issue":"2","journalAbbreviation":"American Journal of Reproductive Immunology","note":"publisher: John Wiley &amp; Sons, Ltd","page":"236-258","title":"Regulation of Mucosal Immunity in the Female Reproductive Tract: The Role of Sex Hormones in Immune Protection Against Sexually Transmitted Pathogens","volume":"72","author":[{"family":"Wira","given":"Charles R."},{"family":"Fahey","given":"John V."},{"family":"Rodriguez-Garcia","given":"Marta"},{"family":"Shen","given":"Zheng"},{"family":"Patel","given":"Mickey V."}],"issued":{"date-parts":[["2014",8,1]]}}}],"schema":"https://github.com/citation-style-language/schema/raw/master/csl-citation.json"} </w:instrText>
      </w:r>
      <w:r w:rsidR="005157D8">
        <w:rPr>
          <w:rFonts w:ascii="Arial" w:hAnsi="Arial" w:cs="Arial"/>
        </w:rPr>
        <w:fldChar w:fldCharType="separate"/>
      </w:r>
      <w:r w:rsidR="005157D8" w:rsidRPr="005157D8">
        <w:rPr>
          <w:rFonts w:ascii="Arial" w:hAnsi="Arial" w:cs="Arial"/>
        </w:rPr>
        <w:t>(10,17,18)</w:t>
      </w:r>
      <w:r w:rsidR="005157D8">
        <w:rPr>
          <w:rFonts w:ascii="Arial" w:hAnsi="Arial" w:cs="Arial"/>
        </w:rPr>
        <w:fldChar w:fldCharType="end"/>
      </w:r>
      <w:r w:rsidRPr="00CF2777">
        <w:rPr>
          <w:rFonts w:ascii="Arial" w:hAnsi="Arial" w:cs="Arial"/>
        </w:rPr>
        <w:t>. Sex hormones play a role in increasing migration and response of immune cells and the expression of adhesion molecules and chemotactic factors. Epithelial cells, in addition to providing barrier protection, transport immunoglobulins (IgA and IgG) into FRT secretions, and produce antimicrobials that are both bactericidal and viricidal</w:t>
      </w:r>
      <w:r w:rsidR="005157D8">
        <w:rPr>
          <w:rFonts w:ascii="Arial" w:hAnsi="Arial" w:cs="Arial"/>
        </w:rPr>
        <w:t xml:space="preserve"> </w:t>
      </w:r>
      <w:r w:rsidR="005157D8">
        <w:rPr>
          <w:rFonts w:ascii="Arial" w:hAnsi="Arial" w:cs="Arial"/>
        </w:rPr>
        <w:fldChar w:fldCharType="begin"/>
      </w:r>
      <w:r w:rsidR="005157D8">
        <w:rPr>
          <w:rFonts w:ascii="Arial" w:hAnsi="Arial" w:cs="Arial"/>
        </w:rPr>
        <w:instrText xml:space="preserve"> ADDIN ZOTERO_ITEM CSL_CITATION {"citationID":"Y4M5XMU7","properties":{"formattedCitation":"(12,18)","plainCitation":"(12,18)","noteIndex":0},"citationItems":[{"id":101,"uris":["http://zotero.org/users/local/HVWDw8n9/items/9Y92347Q"],"itemData":{"id":101,"type":"article-journal","container-title":"eBioMedicine","DOI":"10.1016/j.ebiom.2021.103497","ISSN":"2352-3964","note":"publisher: Elsevier","title":"Immune landscape of female reproductive tract and HIV susceptibility","URL":"https://doi.org/10.1016/j.ebiom.2021.103497","volume":"70","author":[{"family":"Byrareddy","given":"Siddappa N."}],"accessed":{"date-parts":[["2025",7,17]]},"issued":{"date-parts":[["2021",8,1]]}}},{"id":104,"uris":["http://zotero.org/users/local/HVWDw8n9/items/HJ4UDYPI"],"itemData":{"id":104,"type":"article-journal","abstract":"The immune system in the female reproductive tract (FRT) does not mount an attack against human immunodeficiency virus (HIV) or other sexually transmitted infections (STI) with a single endogenously produced microbicide or with a single arm of the immune system. Instead, the body deploys dozens of innate antimicrobials to the secretions of the FRT. Working together, these antimicrobials along with mucosal antibodies attack viral, bacterial, and fungal targets. Within the FRT, the unique challenges of protection against sexually transmitted pathogens coupled with the need to sustain the development of an allogeneic fetus, has evolved in such a way that sex hormones precisely regulate immune function to accomplish both tasks. The studies presented in this review demonstrate that estradiol (E2) and progesterone secreted during the menstrual cycle act both directly and indirectly on epithelial cells, fibroblasts and immune cells in the reproductive tract to modify immune function in a way that is unique to specific sites throughout the FRT. As presented in this review, studies from our laboratory and others demonstrate that the innate and adaptive immune systems are under hormonal control, that protection varies with the stage of the menstrual cycle and as such, is dampened during the secretory stage of the cycle to optimize conditions for fertilization and pregnancy. In doing so, a window of STI vulnerability is created during which potential pathogens including HIV enter the reproductive tract to infect host targets.","container-title":"American Journal of Reproductive Immunology","DOI":"10.1111/aji.12252","ISSN":"1046-7408","issue":"2","journalAbbreviation":"American Journal of Reproductive Immunology","note":"publisher: John Wiley &amp; Sons, Ltd","page":"236-258","title":"Regulation of Mucosal Immunity in the Female Reproductive Tract: The Role of Sex Hormones in Immune Protection Against Sexually Transmitted Pathogens","volume":"72","author":[{"family":"Wira","given":"Charles R."},{"family":"Fahey","given":"John V."},{"family":"Rodriguez-Garcia","given":"Marta"},{"family":"Shen","given":"Zheng"},{"family":"Patel","given":"Mickey V."}],"issued":{"date-parts":[["2014",8,1]]}}}],"schema":"https://github.com/citation-style-language/schema/raw/master/csl-citation.json"} </w:instrText>
      </w:r>
      <w:r w:rsidR="005157D8">
        <w:rPr>
          <w:rFonts w:ascii="Arial" w:hAnsi="Arial" w:cs="Arial"/>
        </w:rPr>
        <w:fldChar w:fldCharType="separate"/>
      </w:r>
      <w:r w:rsidR="005157D8" w:rsidRPr="005157D8">
        <w:rPr>
          <w:rFonts w:ascii="Arial" w:hAnsi="Arial" w:cs="Arial"/>
        </w:rPr>
        <w:t>(12,18)</w:t>
      </w:r>
      <w:r w:rsidR="005157D8">
        <w:rPr>
          <w:rFonts w:ascii="Arial" w:hAnsi="Arial" w:cs="Arial"/>
        </w:rPr>
        <w:fldChar w:fldCharType="end"/>
      </w:r>
      <w:r w:rsidRPr="00CF2777">
        <w:rPr>
          <w:rFonts w:ascii="Arial" w:hAnsi="Arial" w:cs="Arial"/>
        </w:rPr>
        <w:t>.</w:t>
      </w:r>
    </w:p>
    <w:p w14:paraId="0788B074" w14:textId="64091C27" w:rsidR="00CF2777" w:rsidRPr="00CF2777" w:rsidRDefault="00CF2777" w:rsidP="00424953">
      <w:pPr>
        <w:pStyle w:val="Body"/>
        <w:contextualSpacing/>
        <w:rPr>
          <w:rFonts w:ascii="Arial" w:hAnsi="Arial" w:cs="Arial"/>
        </w:rPr>
      </w:pPr>
      <w:r w:rsidRPr="00CF2777">
        <w:rPr>
          <w:rFonts w:ascii="Arial" w:hAnsi="Arial" w:cs="Arial"/>
        </w:rPr>
        <w:t xml:space="preserve">Research done in this age group has proven the role of several AMPs, Macrophage Inflammatory Protein including (MIP)-3α, RANTES (regulated upon activation, normally T-cell expressed and secreted), human beta defensin (HBD)-2, </w:t>
      </w:r>
      <w:proofErr w:type="spellStart"/>
      <w:r w:rsidRPr="00CF2777">
        <w:rPr>
          <w:rFonts w:ascii="Arial" w:hAnsi="Arial" w:cs="Arial"/>
        </w:rPr>
        <w:t>elafin</w:t>
      </w:r>
      <w:proofErr w:type="spellEnd"/>
      <w:r w:rsidRPr="00CF2777">
        <w:rPr>
          <w:rFonts w:ascii="Arial" w:hAnsi="Arial" w:cs="Arial"/>
        </w:rPr>
        <w:t>, and several other immune mediators to be protective against HIV infections</w:t>
      </w:r>
      <w:r w:rsidR="005157D8">
        <w:rPr>
          <w:rFonts w:ascii="Arial" w:hAnsi="Arial" w:cs="Arial"/>
        </w:rPr>
        <w:t xml:space="preserve"> </w:t>
      </w:r>
      <w:r w:rsidR="005157D8">
        <w:rPr>
          <w:rFonts w:ascii="Arial" w:hAnsi="Arial" w:cs="Arial"/>
        </w:rPr>
        <w:fldChar w:fldCharType="begin"/>
      </w:r>
      <w:r w:rsidR="005157D8">
        <w:rPr>
          <w:rFonts w:ascii="Arial" w:hAnsi="Arial" w:cs="Arial"/>
        </w:rPr>
        <w:instrText xml:space="preserve"> ADDIN ZOTERO_ITEM CSL_CITATION {"citationID":"fow2caf1","properties":{"formattedCitation":"(17)","plainCitation":"(17)","noteIndex":0},"citationItems":[{"id":105,"uris":["http://zotero.org/users/local/HVWDw8n9/items/MNNZWJTC"],"itemData":{"id":105,"type":"article-journal","container-title":"American Journal of Obstetrics &amp; Gynecology","DOI":"10.1016/j.ajog.2016.06.057","ISSN":"0002-9378","issue":"6","note":"publisher: Elsevier","page":"748.e1-748.e12","title":"The impact of pregnancy on anti-HIV activity of cervicovaginal secretions","volume":"215","author":[{"family":"Hughes","given":"Brenna L."},{"family":"Dutt","given":"Riana"},{"family":"Raker","given":"Christina"},{"family":"Barthelemy","given":"Melody"},{"family":"Rossoll","given":"Richard M."},{"family":"Ramratnam","given":"Bharat"},{"family":"Wira","given":"Charles R."},{"family":"Cu-Uvin","given":"Susan"}],"issued":{"date-parts":[["2016",12,1]]}}}],"schema":"https://github.com/citation-style-language/schema/raw/master/csl-citation.json"} </w:instrText>
      </w:r>
      <w:r w:rsidR="005157D8">
        <w:rPr>
          <w:rFonts w:ascii="Arial" w:hAnsi="Arial" w:cs="Arial"/>
        </w:rPr>
        <w:fldChar w:fldCharType="separate"/>
      </w:r>
      <w:r w:rsidR="005157D8" w:rsidRPr="005157D8">
        <w:rPr>
          <w:rFonts w:ascii="Arial" w:hAnsi="Arial" w:cs="Arial"/>
        </w:rPr>
        <w:t>(17)</w:t>
      </w:r>
      <w:r w:rsidR="005157D8">
        <w:rPr>
          <w:rFonts w:ascii="Arial" w:hAnsi="Arial" w:cs="Arial"/>
        </w:rPr>
        <w:fldChar w:fldCharType="end"/>
      </w:r>
      <w:r w:rsidRPr="00CF2777">
        <w:rPr>
          <w:rFonts w:ascii="Arial" w:hAnsi="Arial" w:cs="Arial"/>
        </w:rPr>
        <w:t>.</w:t>
      </w:r>
    </w:p>
    <w:p w14:paraId="0E7866D6" w14:textId="667204C8" w:rsidR="00CF2777" w:rsidRPr="00AC7E6C" w:rsidRDefault="00CF2777" w:rsidP="00424953">
      <w:pPr>
        <w:pStyle w:val="Body"/>
        <w:contextualSpacing/>
        <w:rPr>
          <w:rFonts w:ascii="Arial" w:hAnsi="Arial" w:cs="Arial"/>
          <w:b/>
          <w:bCs/>
          <w:sz w:val="22"/>
          <w:szCs w:val="22"/>
        </w:rPr>
      </w:pPr>
      <w:r w:rsidRPr="00AC7E6C">
        <w:rPr>
          <w:rFonts w:ascii="Arial" w:hAnsi="Arial" w:cs="Arial"/>
          <w:b/>
          <w:bCs/>
          <w:sz w:val="22"/>
          <w:szCs w:val="22"/>
        </w:rPr>
        <w:t>2.3 Pregnancy</w:t>
      </w:r>
    </w:p>
    <w:p w14:paraId="78D1A3FF" w14:textId="468F5353" w:rsidR="00CF2777" w:rsidRPr="00CF2777" w:rsidRDefault="00CF2777" w:rsidP="00424953">
      <w:pPr>
        <w:pStyle w:val="Body"/>
        <w:contextualSpacing/>
        <w:rPr>
          <w:rFonts w:ascii="Arial" w:hAnsi="Arial" w:cs="Arial"/>
        </w:rPr>
      </w:pPr>
      <w:r w:rsidRPr="00CF2777">
        <w:rPr>
          <w:rFonts w:ascii="Arial" w:hAnsi="Arial" w:cs="Arial"/>
        </w:rPr>
        <w:t>The research done on large populations on pregnant and non-pregnant women and risk for HIV acquisition showed no substantial variations</w:t>
      </w:r>
      <w:r w:rsidR="00A42761">
        <w:rPr>
          <w:rFonts w:ascii="Arial" w:hAnsi="Arial" w:cs="Arial"/>
        </w:rPr>
        <w:t xml:space="preserve"> </w:t>
      </w:r>
      <w:r w:rsidR="00A42761">
        <w:rPr>
          <w:rFonts w:ascii="Arial" w:hAnsi="Arial" w:cs="Arial"/>
        </w:rPr>
        <w:fldChar w:fldCharType="begin"/>
      </w:r>
      <w:r w:rsidR="00A42761">
        <w:rPr>
          <w:rFonts w:ascii="Arial" w:hAnsi="Arial" w:cs="Arial"/>
        </w:rPr>
        <w:instrText xml:space="preserve"> ADDIN ZOTERO_ITEM CSL_CITATION {"citationID":"HEuJr3dE","properties":{"formattedCitation":"(17)","plainCitation":"(17)","noteIndex":0},"citationItems":[{"id":105,"uris":["http://zotero.org/users/local/HVWDw8n9/items/MNNZWJTC"],"itemData":{"id":105,"type":"article-journal","container-title":"American Journal of Obstetrics &amp; Gynecology","DOI":"10.1016/j.ajog.2016.06.057","ISSN":"0002-9378","issue":"6","note":"publisher: Elsevier","page":"748.e1-748.e12","title":"The impact of pregnancy on anti-HIV activity of cervicovaginal secretions","volume":"215","author":[{"family":"Hughes","given":"Brenna L."},{"family":"Dutt","given":"Riana"},{"family":"Raker","given":"Christina"},{"family":"Barthelemy","given":"Melody"},{"family":"Rossoll","given":"Richard M."},{"family":"Ramratnam","given":"Bharat"},{"family":"Wira","given":"Charles R."},{"family":"Cu-Uvin","given":"Susan"}],"issued":{"date-parts":[["2016",12,1]]}}}],"schema":"https://github.com/citation-style-language/schema/raw/master/csl-citation.json"} </w:instrText>
      </w:r>
      <w:r w:rsidR="00A42761">
        <w:rPr>
          <w:rFonts w:ascii="Arial" w:hAnsi="Arial" w:cs="Arial"/>
        </w:rPr>
        <w:fldChar w:fldCharType="separate"/>
      </w:r>
      <w:r w:rsidR="00A42761" w:rsidRPr="00A42761">
        <w:rPr>
          <w:rFonts w:ascii="Arial" w:hAnsi="Arial" w:cs="Arial"/>
        </w:rPr>
        <w:t>(17)</w:t>
      </w:r>
      <w:r w:rsidR="00A42761">
        <w:rPr>
          <w:rFonts w:ascii="Arial" w:hAnsi="Arial" w:cs="Arial"/>
        </w:rPr>
        <w:fldChar w:fldCharType="end"/>
      </w:r>
      <w:r w:rsidRPr="00CF2777">
        <w:rPr>
          <w:rFonts w:ascii="Arial" w:hAnsi="Arial" w:cs="Arial"/>
        </w:rPr>
        <w:t xml:space="preserve">.  Physiological changes occur during pregnancy to the physical, chemical and biological barriers in the FRT that are potential risk factors. AMPs play an important role in implantation, preventing pathogen infections and inflammation during pregnancy. The cervical epithelial cells play an important role in ensuring </w:t>
      </w:r>
      <w:r w:rsidRPr="00CF2777">
        <w:rPr>
          <w:rFonts w:ascii="Arial" w:hAnsi="Arial" w:cs="Arial"/>
        </w:rPr>
        <w:lastRenderedPageBreak/>
        <w:t>a physical and immunological barrier to infection is provided for the upper reproductive tract</w:t>
      </w:r>
      <w:r w:rsidR="00A42761">
        <w:rPr>
          <w:rFonts w:ascii="Arial" w:hAnsi="Arial" w:cs="Arial"/>
        </w:rPr>
        <w:fldChar w:fldCharType="begin"/>
      </w:r>
      <w:r w:rsidR="00A42761">
        <w:rPr>
          <w:rFonts w:ascii="Arial" w:hAnsi="Arial" w:cs="Arial"/>
        </w:rPr>
        <w:instrText xml:space="preserve"> ADDIN ZOTERO_ITEM CSL_CITATION {"citationID":"LgyrUpYH","properties":{"formattedCitation":"(10,17)","plainCitation":"(10,17)","noteIndex":0},"citationItems":[{"id":98,"uris":["http://zotero.org/users/local/HVWDw8n9/items/KDSF4LTG"],"itemData":{"id":98,"type":"article-journal","abstract":"Women remain disproportionately affected by the HIV/AIDS pandemic. The primary mechanism for HIV acquisition in women is sexual transmission, yet the immunobiological factors that contribute to HIV susceptibility remain poorly characterized. Here, we review current knowledge on HIV pathogenesis in women, focusing on infection and immune responses in the female reproductive tract (FRT).","container-title":"Current HIV/AIDS Reports","DOI":"10.1007/s11904-021-00546-1","ISSN":"1548-3576","issue":"2","journalAbbreviation":"Current HIV/AIDS Reports","page":"139-156","title":"HIV Pathogenesis in the Human Female Reproductive Tract","volume":"18","author":[{"family":"Rodriguez-Garcia","given":"Marta"},{"family":"Connors","given":"Kaleigh"},{"family":"Ghosh","given":"Mimi"}],"issued":{"date-parts":[["2021",4,1]]}}},{"id":105,"uris":["http://zotero.org/users/local/HVWDw8n9/items/MNNZWJTC"],"itemData":{"id":105,"type":"article-journal","container-title":"American Journal of Obstetrics &amp; Gynecology","DOI":"10.1016/j.ajog.2016.06.057","ISSN":"0002-9378","issue":"6","note":"publisher: Elsevier","page":"748.e1-748.e12","title":"The impact of pregnancy on anti-HIV activity of cervicovaginal secretions","volume":"215","author":[{"family":"Hughes","given":"Brenna L."},{"family":"Dutt","given":"Riana"},{"family":"Raker","given":"Christina"},{"family":"Barthelemy","given":"Melody"},{"family":"Rossoll","given":"Richard M."},{"family":"Ramratnam","given":"Bharat"},{"family":"Wira","given":"Charles R."},{"family":"Cu-Uvin","given":"Susan"}],"issued":{"date-parts":[["2016",12,1]]}}}],"schema":"https://github.com/citation-style-language/schema/raw/master/csl-citation.json"} </w:instrText>
      </w:r>
      <w:r w:rsidR="00A42761">
        <w:rPr>
          <w:rFonts w:ascii="Arial" w:hAnsi="Arial" w:cs="Arial"/>
        </w:rPr>
        <w:fldChar w:fldCharType="separate"/>
      </w:r>
      <w:r w:rsidR="00A42761" w:rsidRPr="00A42761">
        <w:rPr>
          <w:rFonts w:ascii="Arial" w:hAnsi="Arial" w:cs="Arial"/>
        </w:rPr>
        <w:t>(10,17)</w:t>
      </w:r>
      <w:r w:rsidR="00A42761">
        <w:rPr>
          <w:rFonts w:ascii="Arial" w:hAnsi="Arial" w:cs="Arial"/>
        </w:rPr>
        <w:fldChar w:fldCharType="end"/>
      </w:r>
      <w:r w:rsidRPr="00CF2777">
        <w:rPr>
          <w:rFonts w:ascii="Arial" w:hAnsi="Arial" w:cs="Arial"/>
        </w:rPr>
        <w:t xml:space="preserve"> </w:t>
      </w:r>
      <w:r w:rsidR="00A42761">
        <w:rPr>
          <w:rFonts w:ascii="Arial" w:hAnsi="Arial" w:cs="Arial"/>
        </w:rPr>
        <w:t>.</w:t>
      </w:r>
      <w:r w:rsidRPr="00CF2777">
        <w:rPr>
          <w:rFonts w:ascii="Arial" w:hAnsi="Arial" w:cs="Arial"/>
        </w:rPr>
        <w:t xml:space="preserve"> The cells will constantly undergo changes during each trimester of pregnancy.</w:t>
      </w:r>
    </w:p>
    <w:p w14:paraId="548530D2" w14:textId="53EB7AAD" w:rsidR="00CF2777" w:rsidRPr="00CF2777" w:rsidRDefault="00CF2777" w:rsidP="00424953">
      <w:pPr>
        <w:pStyle w:val="Body"/>
        <w:contextualSpacing/>
        <w:rPr>
          <w:rFonts w:ascii="Arial" w:hAnsi="Arial" w:cs="Arial"/>
        </w:rPr>
      </w:pPr>
      <w:r w:rsidRPr="00CF2777">
        <w:rPr>
          <w:rFonts w:ascii="Arial" w:hAnsi="Arial" w:cs="Arial"/>
        </w:rPr>
        <w:t>Cooley, Anne et al. 2023 studied a series of images over a period of time to track changes in the structure of the cervical epithelia during pregnancy. From estrus cycle to 19 days in the first trimester significant changes in the stratified epithelium occur in the proliferation, differentiation, and apoptosis biological processes and an increase in the secretory epithelia</w:t>
      </w:r>
      <w:r w:rsidR="00A42761">
        <w:rPr>
          <w:rFonts w:ascii="Arial" w:hAnsi="Arial" w:cs="Arial"/>
        </w:rPr>
        <w:t xml:space="preserve"> </w:t>
      </w:r>
      <w:r w:rsidR="00A42761">
        <w:rPr>
          <w:rFonts w:ascii="Arial" w:hAnsi="Arial" w:cs="Arial"/>
        </w:rPr>
        <w:fldChar w:fldCharType="begin"/>
      </w:r>
      <w:r w:rsidR="00A42761">
        <w:rPr>
          <w:rFonts w:ascii="Arial" w:hAnsi="Arial" w:cs="Arial"/>
        </w:rPr>
        <w:instrText xml:space="preserve"> ADDIN ZOTERO_ITEM CSL_CITATION {"citationID":"sOvoDUqn","properties":{"formattedCitation":"(19)","plainCitation":"(19)","noteIndex":0},"citationItems":[{"id":97,"uris":["http://zotero.org/users/local/HVWDw8n9/items/DLZ3MC8T"],"itemData":{"id":97,"type":"article-journal","abstract":"The cervical epithelium undergoes continuous changes in proliferation, differentiation, and function that are critical before pregnancy to ensure fertility and during pregnancy to provide a physical and immunoprotective barrier for pregnancy maintenance. Barrier disruption can lead to the ascension of pathogens that elicit inflammatory responses and preterm birth. Here, we identify cervical epithelial subtypes in nonpregnant, pregnant, and in-labor mice using single-cell transcriptome and spatial analysis. We identify heterogeneous subpopulations of epithelia displaying spatial and temporal specificity. Notably, two goblet cell subtypes with distinct transcriptional programs and mucosal networks were dominant in pregnancy. Untimely basal cell proliferation and goblet cells with diminished mucosal integrity characterize barrier dysfunction in mice lacking hyaluronan. These data demonstrate how the cervical epithelium undergoes continuous remodeling to maintain dynamic states of homeostasis in pregnancy and labor, and provide a framework to understand perturbations in epithelial health and host-microbe interactions that increase the risk of premature birth.Competing Interest StatementThe authors have declared no competing interest.","container-title":"bioRxiv","DOI":"10.1101/2022.07.26.501609","page":"2022.07.26.501609","title":"Dynamic states of cervical epithelia during pregnancy and epithelial barrier disruption","author":[{"family":"Cooley","given":"Anne"},{"family":"Madhukaran","given":"ShanmugaPriyaa"},{"family":"Stroebele","given":"Elizabeth"},{"family":"Caraballo","given":"Mariano Colon"},{"family":"Wang","given":"Lei"},{"family":"Hon","given":"Gary C."},{"family":"Mahendroo","given":"Mala"}],"issued":{"date-parts":[["2022",1,1]]}}}],"schema":"https://github.com/citation-style-language/schema/raw/master/csl-citation.json"} </w:instrText>
      </w:r>
      <w:r w:rsidR="00A42761">
        <w:rPr>
          <w:rFonts w:ascii="Arial" w:hAnsi="Arial" w:cs="Arial"/>
        </w:rPr>
        <w:fldChar w:fldCharType="separate"/>
      </w:r>
      <w:r w:rsidR="00A42761" w:rsidRPr="00A42761">
        <w:rPr>
          <w:rFonts w:ascii="Arial" w:hAnsi="Arial" w:cs="Arial"/>
        </w:rPr>
        <w:t>(19)</w:t>
      </w:r>
      <w:r w:rsidR="00A42761">
        <w:rPr>
          <w:rFonts w:ascii="Arial" w:hAnsi="Arial" w:cs="Arial"/>
        </w:rPr>
        <w:fldChar w:fldCharType="end"/>
      </w:r>
      <w:r w:rsidRPr="00CF2777">
        <w:rPr>
          <w:rFonts w:ascii="Arial" w:hAnsi="Arial" w:cs="Arial"/>
        </w:rPr>
        <w:t>. During pregnancy, cell morphology and proliferation are similar between endo and ectocervix while cell death occurs primarily in the endocervix. If the physical barrier of the epithelial layer is damaged during pregnancy or vaginal mucous permeability increases risk for infection increases</w:t>
      </w:r>
      <w:r w:rsidR="00A42761">
        <w:rPr>
          <w:rFonts w:ascii="Arial" w:hAnsi="Arial" w:cs="Arial"/>
        </w:rPr>
        <w:t xml:space="preserve"> </w:t>
      </w:r>
      <w:r w:rsidR="00A42761">
        <w:rPr>
          <w:rFonts w:ascii="Arial" w:hAnsi="Arial" w:cs="Arial"/>
        </w:rPr>
        <w:fldChar w:fldCharType="begin"/>
      </w:r>
      <w:r w:rsidR="00A42761">
        <w:rPr>
          <w:rFonts w:ascii="Arial" w:hAnsi="Arial" w:cs="Arial"/>
        </w:rPr>
        <w:instrText xml:space="preserve"> ADDIN ZOTERO_ITEM CSL_CITATION {"citationID":"webSCTM5","properties":{"formattedCitation":"(10,19)","plainCitation":"(10,19)","noteIndex":0},"citationItems":[{"id":98,"uris":["http://zotero.org/users/local/HVWDw8n9/items/KDSF4LTG"],"itemData":{"id":98,"type":"article-journal","abstract":"Women remain disproportionately affected by the HIV/AIDS pandemic. The primary mechanism for HIV acquisition in women is sexual transmission, yet the immunobiological factors that contribute to HIV susceptibility remain poorly characterized. Here, we review current knowledge on HIV pathogenesis in women, focusing on infection and immune responses in the female reproductive tract (FRT).","container-title":"Current HIV/AIDS Reports","DOI":"10.1007/s11904-021-00546-1","ISSN":"1548-3576","issue":"2","journalAbbreviation":"Current HIV/AIDS Reports","page":"139-156","title":"HIV Pathogenesis in the Human Female Reproductive Tract","volume":"18","author":[{"family":"Rodriguez-Garcia","given":"Marta"},{"family":"Connors","given":"Kaleigh"},{"family":"Ghosh","given":"Mimi"}],"issued":{"date-parts":[["2021",4,1]]}}},{"id":97,"uris":["http://zotero.org/users/local/HVWDw8n9/items/DLZ3MC8T"],"itemData":{"id":97,"type":"article-journal","abstract":"The cervical epithelium undergoes continuous changes in proliferation, differentiation, and function that are critical before pregnancy to ensure fertility and during pregnancy to provide a physical and immunoprotective barrier for pregnancy maintenance. Barrier disruption can lead to the ascension of pathogens that elicit inflammatory responses and preterm birth. Here, we identify cervical epithelial subtypes in nonpregnant, pregnant, and in-labor mice using single-cell transcriptome and spatial analysis. We identify heterogeneous subpopulations of epithelia displaying spatial and temporal specificity. Notably, two goblet cell subtypes with distinct transcriptional programs and mucosal networks were dominant in pregnancy. Untimely basal cell proliferation and goblet cells with diminished mucosal integrity characterize barrier dysfunction in mice lacking hyaluronan. These data demonstrate how the cervical epithelium undergoes continuous remodeling to maintain dynamic states of homeostasis in pregnancy and labor, and provide a framework to understand perturbations in epithelial health and host-microbe interactions that increase the risk of premature birth.Competing Interest StatementThe authors have declared no competing interest.","container-title":"bioRxiv","DOI":"10.1101/2022.07.26.501609","page":"2022.07.26.501609","title":"Dynamic states of cervical epithelia during pregnancy and epithelial barrier disruption","author":[{"family":"Cooley","given":"Anne"},{"family":"Madhukaran","given":"ShanmugaPriyaa"},{"family":"Stroebele","given":"Elizabeth"},{"family":"Caraballo","given":"Mariano Colon"},{"family":"Wang","given":"Lei"},{"family":"Hon","given":"Gary C."},{"family":"Mahendroo","given":"Mala"}],"issued":{"date-parts":[["2022",1,1]]}}}],"schema":"https://github.com/citation-style-language/schema/raw/master/csl-citation.json"} </w:instrText>
      </w:r>
      <w:r w:rsidR="00A42761">
        <w:rPr>
          <w:rFonts w:ascii="Arial" w:hAnsi="Arial" w:cs="Arial"/>
        </w:rPr>
        <w:fldChar w:fldCharType="separate"/>
      </w:r>
      <w:r w:rsidR="00A42761" w:rsidRPr="00A42761">
        <w:rPr>
          <w:rFonts w:ascii="Arial" w:hAnsi="Arial" w:cs="Arial"/>
        </w:rPr>
        <w:t>(10,19)</w:t>
      </w:r>
      <w:r w:rsidR="00A42761">
        <w:rPr>
          <w:rFonts w:ascii="Arial" w:hAnsi="Arial" w:cs="Arial"/>
        </w:rPr>
        <w:fldChar w:fldCharType="end"/>
      </w:r>
      <w:r w:rsidRPr="00CF2777">
        <w:rPr>
          <w:rFonts w:ascii="Arial" w:hAnsi="Arial" w:cs="Arial"/>
        </w:rPr>
        <w:t>.</w:t>
      </w:r>
    </w:p>
    <w:p w14:paraId="0E09ECCB" w14:textId="7460F22F" w:rsidR="00CF2777" w:rsidRPr="00CF2777" w:rsidRDefault="00CF2777" w:rsidP="00424953">
      <w:pPr>
        <w:pStyle w:val="Body"/>
        <w:contextualSpacing/>
        <w:rPr>
          <w:rFonts w:ascii="Arial" w:hAnsi="Arial" w:cs="Arial"/>
        </w:rPr>
      </w:pPr>
      <w:r w:rsidRPr="00CF2777">
        <w:rPr>
          <w:rFonts w:ascii="Arial" w:hAnsi="Arial" w:cs="Arial"/>
        </w:rPr>
        <w:t>In vitro studies using TZM-bl assays have shown HIV inhibitory effect of cervicovaginal mucous secretions for pregnant and non-pregnant females, and anti-HIV activity did change between trimesters in pregnant women with the same assay</w:t>
      </w:r>
      <w:r w:rsidR="00A42761">
        <w:rPr>
          <w:rFonts w:ascii="Arial" w:hAnsi="Arial" w:cs="Arial"/>
        </w:rPr>
        <w:t xml:space="preserve"> </w:t>
      </w:r>
      <w:r w:rsidR="00A42761">
        <w:rPr>
          <w:rFonts w:ascii="Arial" w:hAnsi="Arial" w:cs="Arial"/>
        </w:rPr>
        <w:fldChar w:fldCharType="begin"/>
      </w:r>
      <w:r w:rsidR="00A42761">
        <w:rPr>
          <w:rFonts w:ascii="Arial" w:hAnsi="Arial" w:cs="Arial"/>
        </w:rPr>
        <w:instrText xml:space="preserve"> ADDIN ZOTERO_ITEM CSL_CITATION {"citationID":"RUCoyWv9","properties":{"formattedCitation":"(20)","plainCitation":"(20)","noteIndex":0},"citationItems":[{"id":114,"uris":["http://zotero.org/users/local/HVWDw8n9/items/BJ6PFCFT"],"itemData":{"id":114,"type":"article-journal","abstract":"OBJECTIVE: To evaluate whether cervicovaginal secretions inhibit HIV-1 infectivity in an in vitro model, and estimate concentration of immune mediators.  STUDY DESIGN: We enrolled midtrimester pregnant and regularly menstruating  (nonpregnant) women. Cervicovaginal lavage was collected at 2 visits and  incubated with HIV-1 and TZM-bl cells. Infectivity was compared with positive  controls. Concentrations of immune mediators were compared between groups.  RESULTS: At enrollment, cervicovaginal lavage inhibited IIIB virus 88.2% and  82.4%, and BaL virus 72.8% and 77.9%, among pregnant (n = 13) and nonpregnant  women (n = 9), respectively. At second visit, cervicovaginal lavage inhibited  IIIB 89.7% and 82.5%, and BaL 77.4% and 69.9% among pregnant (n = 15) and  nonpregnant women (n = 8), respectively (all P ≤ .04). Adjusting for body mass  index, race, and protein content of cervicovaginal lavage, antimicrobials were  suppressed but cytokines and chemokines were not markedly different in pregnancy.  CONCLUSION: Cervicovaginal secretions significantly suppress HIV-1 infectivity in  this model. Concentrations of certain immune mediators are altered in pregnancy.","container-title":"American journal of obstetrics and gynecology","DOI":"10.1016/j.ajog.2012.04.029","ISSN":"1097-6868 0002-9378","issue":"1","journalAbbreviation":"Am J Obstet Gynecol","language":"eng","license":"Copyright © 2012 Mosby, Inc. All rights reserved.","note":"publisher-place: United States\nPMID: 22727351 \nPMCID: PMC3383647","page":"65.e1-10","title":"In vitro anti-HIV-1 activity in cervicovaginal secretions from pregnant and nonpregnant women.","volume":"207","author":[{"family":"Anderson","given":"Brenna L."},{"family":"Ghosh","given":"Mimi"},{"family":"Raker","given":"Christina"},{"family":"Fahey","given":"John"},{"family":"Song","given":"Yan"},{"family":"Rouse","given":"Dwight J."},{"family":"Wira","given":"Charles R."},{"family":"Cu-Uvin","given":"Susan"}],"issued":{"date-parts":[["2012",7]]}}}],"schema":"https://github.com/citation-style-language/schema/raw/master/csl-citation.json"} </w:instrText>
      </w:r>
      <w:r w:rsidR="00A42761">
        <w:rPr>
          <w:rFonts w:ascii="Arial" w:hAnsi="Arial" w:cs="Arial"/>
        </w:rPr>
        <w:fldChar w:fldCharType="separate"/>
      </w:r>
      <w:r w:rsidR="00A42761" w:rsidRPr="00A42761">
        <w:rPr>
          <w:rFonts w:ascii="Arial" w:hAnsi="Arial" w:cs="Arial"/>
        </w:rPr>
        <w:t>(20)</w:t>
      </w:r>
      <w:r w:rsidR="00A42761">
        <w:rPr>
          <w:rFonts w:ascii="Arial" w:hAnsi="Arial" w:cs="Arial"/>
        </w:rPr>
        <w:fldChar w:fldCharType="end"/>
      </w:r>
      <w:r w:rsidRPr="00CF2777">
        <w:rPr>
          <w:rFonts w:ascii="Arial" w:hAnsi="Arial" w:cs="Arial"/>
        </w:rPr>
        <w:t xml:space="preserve">. </w:t>
      </w:r>
    </w:p>
    <w:p w14:paraId="50932685" w14:textId="3C286AF5" w:rsidR="00CF2777" w:rsidRPr="00AC7E6C" w:rsidRDefault="00CF2777" w:rsidP="00424953">
      <w:pPr>
        <w:pStyle w:val="Body"/>
        <w:contextualSpacing/>
        <w:rPr>
          <w:rFonts w:ascii="Arial" w:hAnsi="Arial" w:cs="Arial"/>
          <w:b/>
          <w:bCs/>
          <w:sz w:val="22"/>
          <w:szCs w:val="22"/>
        </w:rPr>
      </w:pPr>
      <w:r w:rsidRPr="00AC7E6C">
        <w:rPr>
          <w:rFonts w:ascii="Arial" w:hAnsi="Arial" w:cs="Arial"/>
          <w:b/>
          <w:bCs/>
          <w:sz w:val="22"/>
          <w:szCs w:val="22"/>
        </w:rPr>
        <w:t>2.</w:t>
      </w:r>
      <w:r w:rsidR="00174320" w:rsidRPr="00AC7E6C">
        <w:rPr>
          <w:rFonts w:ascii="Arial" w:hAnsi="Arial" w:cs="Arial"/>
          <w:b/>
          <w:bCs/>
          <w:sz w:val="22"/>
          <w:szCs w:val="22"/>
        </w:rPr>
        <w:t>4</w:t>
      </w:r>
      <w:r w:rsidRPr="00AC7E6C">
        <w:rPr>
          <w:rFonts w:ascii="Arial" w:hAnsi="Arial" w:cs="Arial"/>
          <w:b/>
          <w:bCs/>
          <w:sz w:val="22"/>
          <w:szCs w:val="22"/>
        </w:rPr>
        <w:t xml:space="preserve"> Physiological role of lactobacilli in the vaginal microenvironment</w:t>
      </w:r>
    </w:p>
    <w:p w14:paraId="16675581" w14:textId="655C4A8E" w:rsidR="00CF2777" w:rsidRPr="00CF2777" w:rsidRDefault="00CF2777" w:rsidP="00424953">
      <w:pPr>
        <w:pStyle w:val="Body"/>
        <w:contextualSpacing/>
        <w:rPr>
          <w:rFonts w:ascii="Arial" w:hAnsi="Arial" w:cs="Arial"/>
        </w:rPr>
      </w:pPr>
      <w:r w:rsidRPr="00CF2777">
        <w:rPr>
          <w:rFonts w:ascii="Arial" w:hAnsi="Arial" w:cs="Arial"/>
        </w:rPr>
        <w:t xml:space="preserve">Lactobacilli </w:t>
      </w:r>
      <w:r w:rsidR="00AC7E6C" w:rsidRPr="00CF2777">
        <w:rPr>
          <w:rFonts w:ascii="Arial" w:hAnsi="Arial" w:cs="Arial"/>
        </w:rPr>
        <w:t>have</w:t>
      </w:r>
      <w:r w:rsidRPr="00CF2777">
        <w:rPr>
          <w:rFonts w:ascii="Arial" w:hAnsi="Arial" w:cs="Arial"/>
        </w:rPr>
        <w:t xml:space="preserve"> different function it plays as microbiota in the vaginal microenvironment from prevention of local infections to reproductive roles in conception and pregnancy</w:t>
      </w:r>
      <w:r w:rsidR="00FE7232">
        <w:rPr>
          <w:rFonts w:ascii="Arial" w:hAnsi="Arial" w:cs="Arial"/>
        </w:rPr>
        <w:t xml:space="preserve"> </w:t>
      </w:r>
      <w:r w:rsidR="00FE7232">
        <w:rPr>
          <w:rFonts w:ascii="Arial" w:hAnsi="Arial" w:cs="Arial"/>
        </w:rPr>
        <w:fldChar w:fldCharType="begin"/>
      </w:r>
      <w:r w:rsidR="00FE7232">
        <w:rPr>
          <w:rFonts w:ascii="Arial" w:hAnsi="Arial" w:cs="Arial"/>
        </w:rPr>
        <w:instrText xml:space="preserve"> ADDIN ZOTERO_ITEM CSL_CITATION {"citationID":"6WMYcRGr","properties":{"formattedCitation":"(21)","plainCitation":"(21)","noteIndex":0},"citationItems":[{"id":115,"uris":["http://zotero.org/users/local/HVWDw8n9/items/FECCLWZK"],"itemData":{"id":115,"type":"article-journal","abstract":"In addition to being a passage for sperm, menstruum, and the baby, the human vagina and its microbiota can influence conception, pregnancy, the mode and timing of delivery, and the risk of acquiring sexually transmitted infections. The physiological status of the vaginal milieu is important for the wellbeing of the host as well as for successful reproduction. High oestrogen states, as seen during puberty and pregnancy, promote the preservation of a homeostatic (eubiotic) vaginal microenvironment by stimulating the maturation and proliferation of vaginal epithelial cells and the accumulation of glycogen. A glycogen-rich vaginal milieu is a haven for the proliferation of Lactobacilli facilitated by the production of lactic acid and decreased pH. Lactobacilli and their antimicrobial and anti-inflammatory products along with components of the epithelial mucosal barrier provide an effective first line defense against invading pathogens including bacterial vaginosis, aerobic vaginitis-associated bacteria, viruses, fungi and protozoa.  An optimal host-microbial interaction is required for the maintenance of eubiosis and vaginal health. This review explores the composition, function and adaptive mechanisms of the vaginal microbiome in health and those disease states in which there is a breach in the host-microbial relationship. The potential impact of vaginal dysbiosis on reproduction is also outlined.","container-title":"Frontiers in Medicine","ISSN":"2296-858X","journalAbbreviation":"Frontiers in Medicine","title":"The Vaginal Microenvironment: The Physiologic Role of Lactobacilli","URL":"https://www.frontiersin.org/journals/medicine/articles/10.3389/fmed.2018.00181","volume":"Volume 5 - 2018","author":[{"family":"Amabebe","given":"Emmanuel"},{"family":"Anumba","given":"Dilly O. C."}],"issued":{"date-parts":[["2018"]]}}}],"schema":"https://github.com/citation-style-language/schema/raw/master/csl-citation.json"} </w:instrText>
      </w:r>
      <w:r w:rsidR="00FE7232">
        <w:rPr>
          <w:rFonts w:ascii="Arial" w:hAnsi="Arial" w:cs="Arial"/>
        </w:rPr>
        <w:fldChar w:fldCharType="separate"/>
      </w:r>
      <w:r w:rsidR="00FE7232" w:rsidRPr="00FE7232">
        <w:rPr>
          <w:rFonts w:ascii="Arial" w:hAnsi="Arial" w:cs="Arial"/>
        </w:rPr>
        <w:t>(21)</w:t>
      </w:r>
      <w:r w:rsidR="00FE7232">
        <w:rPr>
          <w:rFonts w:ascii="Arial" w:hAnsi="Arial" w:cs="Arial"/>
        </w:rPr>
        <w:fldChar w:fldCharType="end"/>
      </w:r>
      <w:r w:rsidR="00FE7232">
        <w:rPr>
          <w:rFonts w:ascii="Arial" w:hAnsi="Arial" w:cs="Arial"/>
        </w:rPr>
        <w:t>.</w:t>
      </w:r>
    </w:p>
    <w:p w14:paraId="0584411D" w14:textId="161024A5" w:rsidR="00CF2777" w:rsidRPr="00CF2777" w:rsidRDefault="00CF2777" w:rsidP="00424953">
      <w:pPr>
        <w:pStyle w:val="Body"/>
        <w:contextualSpacing/>
        <w:rPr>
          <w:rFonts w:ascii="Arial" w:hAnsi="Arial" w:cs="Arial"/>
        </w:rPr>
      </w:pPr>
      <w:r w:rsidRPr="00CF2777">
        <w:rPr>
          <w:rFonts w:ascii="Arial" w:hAnsi="Arial" w:cs="Arial"/>
        </w:rPr>
        <w:t xml:space="preserve">The microbiota is commonly dominated by Lactobacilli species at low pH (&lt;4.5) which exhibit probiotic effect and are part of the natural </w:t>
      </w:r>
      <w:proofErr w:type="spellStart"/>
      <w:r w:rsidRPr="00CF2777">
        <w:rPr>
          <w:rFonts w:ascii="Arial" w:hAnsi="Arial" w:cs="Arial"/>
        </w:rPr>
        <w:t>defence</w:t>
      </w:r>
      <w:proofErr w:type="spellEnd"/>
      <w:r w:rsidRPr="00CF2777">
        <w:rPr>
          <w:rFonts w:ascii="Arial" w:hAnsi="Arial" w:cs="Arial"/>
        </w:rPr>
        <w:t xml:space="preserve"> against reproductive pathogens like Chlamydia trachomatis, herpes simplex virus (HSV-2) and HIV-1</w:t>
      </w:r>
      <w:r w:rsidR="00FE7232">
        <w:rPr>
          <w:rFonts w:ascii="Arial" w:hAnsi="Arial" w:cs="Arial"/>
        </w:rPr>
        <w:t xml:space="preserve"> </w:t>
      </w:r>
      <w:r w:rsidR="00FE7232">
        <w:rPr>
          <w:rFonts w:ascii="Arial" w:hAnsi="Arial" w:cs="Arial"/>
        </w:rPr>
        <w:fldChar w:fldCharType="begin"/>
      </w:r>
      <w:r w:rsidR="00FE7232">
        <w:rPr>
          <w:rFonts w:ascii="Arial" w:hAnsi="Arial" w:cs="Arial"/>
        </w:rPr>
        <w:instrText xml:space="preserve"> ADDIN ZOTERO_ITEM CSL_CITATION {"citationID":"CwVY6C2n","properties":{"formattedCitation":"(21,22)","plainCitation":"(21,22)","noteIndex":0},"citationItems":[{"id":115,"uris":["http://zotero.org/users/local/HVWDw8n9/items/FECCLWZK"],"itemData":{"id":115,"type":"article-journal","abstract":"In addition to being a passage for sperm, menstruum, and the baby, the human vagina and its microbiota can influence conception, pregnancy, the mode and timing of delivery, and the risk of acquiring sexually transmitted infections. The physiological status of the vaginal milieu is important for the wellbeing of the host as well as for successful reproduction. High oestrogen states, as seen during puberty and pregnancy, promote the preservation of a homeostatic (eubiotic) vaginal microenvironment by stimulating the maturation and proliferation of vaginal epithelial cells and the accumulation of glycogen. A glycogen-rich vaginal milieu is a haven for the proliferation of Lactobacilli facilitated by the production of lactic acid and decreased pH. Lactobacilli and their antimicrobial and anti-inflammatory products along with components of the epithelial mucosal barrier provide an effective first line defense against invading pathogens including bacterial vaginosis, aerobic vaginitis-associated bacteria, viruses, fungi and protozoa.  An optimal host-microbial interaction is required for the maintenance of eubiosis and vaginal health. This review explores the composition, function and adaptive mechanisms of the vaginal microbiome in health and those disease states in which there is a breach in the host-microbial relationship. The potential impact of vaginal dysbiosis on reproduction is also outlined.","container-title":"Frontiers in Medicine","ISSN":"2296-858X","journalAbbreviation":"Frontiers in Medicine","title":"The Vaginal Microenvironment: The Physiologic Role of Lactobacilli","URL":"https://www.frontiersin.org/journals/medicine/articles/10.3389/fmed.2018.00181","volume":"Volume 5 - 2018","author":[{"family":"Amabebe","given":"Emmanuel"},{"family":"Anumba","given":"Dilly O. C."}],"issued":{"date-parts":[["2018"]]}}},{"id":116,"uris":["http://zotero.org/users/local/HVWDw8n9/items/AF26HE8J"],"itemData":{"id":116,"type":"article-journal","abstract":"In the present narrative review, the probiotic effects of vaginal Lactobacillus spp. are described in detail, covering the importance of the differential production of lactic acid, the lactic acid D/L isoforms, the questionable in vivo effect of hydrogen peroxide, as well as bacteriocins and other core proteins produced by vaginal Lactobacillus spp. Moreover, the microbe–host interaction is explained with emphasis on the vaginal mucosa. To understand the crucial role of Lactobacillus spp. dominance in the vaginal microbiota, different dysbiotic states of the vagina are explained including bacterial vaginosis and aerobic vaginitis. Finally, this review takes on the therapeutic aspect of live lactobacilli in the context of bacterial vaginosis. Until recently, there was very low-quality evidence to suggest that any probiotic might aid in reducing vaginal infections or dysbiosis. Therefore, clinical usage or over the counter usage of probiotics was not recommended. However, recent progress has been made, moving from probiotics that are typically regulated as food supplements to so-called live biotherapeutic products that are regulated as medical drugs. Thus, recently, a phase 2b trial using a Lactobacillus crispatus strain as a therapeutic add-on to standard metronidazole showed significant reduction in the recurrence of bacterial vaginosis by 12 weeks compared to placebo. This may constitute evidence for a brighter future where the therapeutic use of lactobacilli can be harnessed to improve women’s health.","container-title":"Microorganisms","DOI":"10.3390/microorganisms11030636","ISSN":"2076-2607","issue":"3","title":"Lactobacilli and Their Probiotic Effects in the Vagina of Reproductive Age Women","volume":"11","author":[{"family":"Pendharkar","given":"Sonal"},{"family":"Skafte-Holm","given":"Axel"},{"family":"Simsek","given":"Gizem"},{"family":"Haahr","given":"Thor"}],"issued":{"date-parts":[["2023"]]}}}],"schema":"https://github.com/citation-style-language/schema/raw/master/csl-citation.json"} </w:instrText>
      </w:r>
      <w:r w:rsidR="00FE7232">
        <w:rPr>
          <w:rFonts w:ascii="Arial" w:hAnsi="Arial" w:cs="Arial"/>
        </w:rPr>
        <w:fldChar w:fldCharType="separate"/>
      </w:r>
      <w:r w:rsidR="00FE7232" w:rsidRPr="00FE7232">
        <w:rPr>
          <w:rFonts w:ascii="Arial" w:hAnsi="Arial" w:cs="Arial"/>
        </w:rPr>
        <w:t>(21,22)</w:t>
      </w:r>
      <w:r w:rsidR="00FE7232">
        <w:rPr>
          <w:rFonts w:ascii="Arial" w:hAnsi="Arial" w:cs="Arial"/>
        </w:rPr>
        <w:fldChar w:fldCharType="end"/>
      </w:r>
      <w:r w:rsidRPr="00CF2777">
        <w:rPr>
          <w:rFonts w:ascii="Arial" w:hAnsi="Arial" w:cs="Arial"/>
        </w:rPr>
        <w:t>. Variable amounts of lactic acid, biosurfactants, bacteriocin-like chemicals, and hydrogen peroxide are produced by various strains of the lactobacilli species that help prevent proliferation of pathogens and maintain an acidic vaginal microenvironment for a normal microbiota</w:t>
      </w:r>
      <w:r w:rsidR="00FE7232">
        <w:rPr>
          <w:rFonts w:ascii="Arial" w:hAnsi="Arial" w:cs="Arial"/>
        </w:rPr>
        <w:t xml:space="preserve"> </w:t>
      </w:r>
      <w:r w:rsidR="00FE7232">
        <w:rPr>
          <w:rFonts w:ascii="Arial" w:hAnsi="Arial" w:cs="Arial"/>
        </w:rPr>
        <w:fldChar w:fldCharType="begin"/>
      </w:r>
      <w:r w:rsidR="00FE7232">
        <w:rPr>
          <w:rFonts w:ascii="Arial" w:hAnsi="Arial" w:cs="Arial"/>
        </w:rPr>
        <w:instrText xml:space="preserve"> ADDIN ZOTERO_ITEM CSL_CITATION {"citationID":"t631w3xJ","properties":{"formattedCitation":"(22)","plainCitation":"(22)","noteIndex":0},"citationItems":[{"id":116,"uris":["http://zotero.org/users/local/HVWDw8n9/items/AF26HE8J"],"itemData":{"id":116,"type":"article-journal","abstract":"In the present narrative review, the probiotic effects of vaginal Lactobacillus spp. are described in detail, covering the importance of the differential production of lactic acid, the lactic acid D/L isoforms, the questionable in vivo effect of hydrogen peroxide, as well as bacteriocins and other core proteins produced by vaginal Lactobacillus spp. Moreover, the microbe–host interaction is explained with emphasis on the vaginal mucosa. To understand the crucial role of Lactobacillus spp. dominance in the vaginal microbiota, different dysbiotic states of the vagina are explained including bacterial vaginosis and aerobic vaginitis. Finally, this review takes on the therapeutic aspect of live lactobacilli in the context of bacterial vaginosis. Until recently, there was very low-quality evidence to suggest that any probiotic might aid in reducing vaginal infections or dysbiosis. Therefore, clinical usage or over the counter usage of probiotics was not recommended. However, recent progress has been made, moving from probiotics that are typically regulated as food supplements to so-called live biotherapeutic products that are regulated as medical drugs. Thus, recently, a phase 2b trial using a Lactobacillus crispatus strain as a therapeutic add-on to standard metronidazole showed significant reduction in the recurrence of bacterial vaginosis by 12 weeks compared to placebo. This may constitute evidence for a brighter future where the therapeutic use of lactobacilli can be harnessed to improve women’s health.","container-title":"Microorganisms","DOI":"10.3390/microorganisms11030636","ISSN":"2076-2607","issue":"3","title":"Lactobacilli and Their Probiotic Effects in the Vagina of Reproductive Age Women","volume":"11","author":[{"family":"Pendharkar","given":"Sonal"},{"family":"Skafte-Holm","given":"Axel"},{"family":"Simsek","given":"Gizem"},{"family":"Haahr","given":"Thor"}],"issued":{"date-parts":[["2023"]]}}}],"schema":"https://github.com/citation-style-language/schema/raw/master/csl-citation.json"} </w:instrText>
      </w:r>
      <w:r w:rsidR="00FE7232">
        <w:rPr>
          <w:rFonts w:ascii="Arial" w:hAnsi="Arial" w:cs="Arial"/>
        </w:rPr>
        <w:fldChar w:fldCharType="separate"/>
      </w:r>
      <w:r w:rsidR="00FE7232" w:rsidRPr="00FE7232">
        <w:rPr>
          <w:rFonts w:ascii="Arial" w:hAnsi="Arial" w:cs="Arial"/>
        </w:rPr>
        <w:t>(22)</w:t>
      </w:r>
      <w:r w:rsidR="00FE7232">
        <w:rPr>
          <w:rFonts w:ascii="Arial" w:hAnsi="Arial" w:cs="Arial"/>
        </w:rPr>
        <w:fldChar w:fldCharType="end"/>
      </w:r>
      <w:r w:rsidRPr="00CF2777">
        <w:rPr>
          <w:rFonts w:ascii="Arial" w:hAnsi="Arial" w:cs="Arial"/>
        </w:rPr>
        <w:t>.</w:t>
      </w:r>
    </w:p>
    <w:p w14:paraId="706D432A" w14:textId="316750ED" w:rsidR="00CF2777" w:rsidRPr="00CF2777" w:rsidRDefault="00CF2777" w:rsidP="00424953">
      <w:pPr>
        <w:pStyle w:val="Body"/>
        <w:contextualSpacing/>
        <w:rPr>
          <w:rFonts w:ascii="Arial" w:hAnsi="Arial" w:cs="Arial"/>
        </w:rPr>
      </w:pPr>
      <w:r w:rsidRPr="00CF2777">
        <w:rPr>
          <w:rFonts w:ascii="Arial" w:hAnsi="Arial" w:cs="Arial"/>
        </w:rPr>
        <w:t xml:space="preserve">The balance of vaginal flora can be affected by multiple factors including age, hormonal changes, smoking, use of </w:t>
      </w:r>
      <w:proofErr w:type="spellStart"/>
      <w:r w:rsidRPr="00CF2777">
        <w:rPr>
          <w:rFonts w:ascii="Arial" w:hAnsi="Arial" w:cs="Arial"/>
        </w:rPr>
        <w:t>oestrogen</w:t>
      </w:r>
      <w:proofErr w:type="spellEnd"/>
      <w:r w:rsidRPr="00CF2777">
        <w:rPr>
          <w:rFonts w:ascii="Arial" w:hAnsi="Arial" w:cs="Arial"/>
        </w:rPr>
        <w:t>-based contraceptives, diabetic conditions and menstrual flow in women. The most commonly occurring vaginal infection due to change in vaginal flora composition in women of reproductive age is Bacterial vaginosis (BV) with an incidence rate of 15% to 50%</w:t>
      </w:r>
      <w:r w:rsidR="00FE7232">
        <w:rPr>
          <w:rFonts w:ascii="Arial" w:hAnsi="Arial" w:cs="Arial"/>
        </w:rPr>
        <w:t xml:space="preserve"> </w:t>
      </w:r>
      <w:r w:rsidR="00FE7232">
        <w:rPr>
          <w:rFonts w:ascii="Arial" w:hAnsi="Arial" w:cs="Arial"/>
        </w:rPr>
        <w:fldChar w:fldCharType="begin"/>
      </w:r>
      <w:r w:rsidR="00FE7232">
        <w:rPr>
          <w:rFonts w:ascii="Arial" w:hAnsi="Arial" w:cs="Arial"/>
        </w:rPr>
        <w:instrText xml:space="preserve"> ADDIN ZOTERO_ITEM CSL_CITATION {"citationID":"d4lm4VK4","properties":{"formattedCitation":"(21,22)","plainCitation":"(21,22)","noteIndex":0},"citationItems":[{"id":115,"uris":["http://zotero.org/users/local/HVWDw8n9/items/FECCLWZK"],"itemData":{"id":115,"type":"article-journal","abstract":"In addition to being a passage for sperm, menstruum, and the baby, the human vagina and its microbiota can influence conception, pregnancy, the mode and timing of delivery, and the risk of acquiring sexually transmitted infections. The physiological status of the vaginal milieu is important for the wellbeing of the host as well as for successful reproduction. High oestrogen states, as seen during puberty and pregnancy, promote the preservation of a homeostatic (eubiotic) vaginal microenvironment by stimulating the maturation and proliferation of vaginal epithelial cells and the accumulation of glycogen. A glycogen-rich vaginal milieu is a haven for the proliferation of Lactobacilli facilitated by the production of lactic acid and decreased pH. Lactobacilli and their antimicrobial and anti-inflammatory products along with components of the epithelial mucosal barrier provide an effective first line defense against invading pathogens including bacterial vaginosis, aerobic vaginitis-associated bacteria, viruses, fungi and protozoa.  An optimal host-microbial interaction is required for the maintenance of eubiosis and vaginal health. This review explores the composition, function and adaptive mechanisms of the vaginal microbiome in health and those disease states in which there is a breach in the host-microbial relationship. The potential impact of vaginal dysbiosis on reproduction is also outlined.","container-title":"Frontiers in Medicine","ISSN":"2296-858X","journalAbbreviation":"Frontiers in Medicine","title":"The Vaginal Microenvironment: The Physiologic Role of Lactobacilli","URL":"https://www.frontiersin.org/journals/medicine/articles/10.3389/fmed.2018.00181","volume":"Volume 5 - 2018","author":[{"family":"Amabebe","given":"Emmanuel"},{"family":"Anumba","given":"Dilly O. C."}],"issued":{"date-parts":[["2018"]]}}},{"id":116,"uris":["http://zotero.org/users/local/HVWDw8n9/items/AF26HE8J"],"itemData":{"id":116,"type":"article-journal","abstract":"In the present narrative review, the probiotic effects of vaginal Lactobacillus spp. are described in detail, covering the importance of the differential production of lactic acid, the lactic acid D/L isoforms, the questionable in vivo effect of hydrogen peroxide, as well as bacteriocins and other core proteins produced by vaginal Lactobacillus spp. Moreover, the microbe–host interaction is explained with emphasis on the vaginal mucosa. To understand the crucial role of Lactobacillus spp. dominance in the vaginal microbiota, different dysbiotic states of the vagina are explained including bacterial vaginosis and aerobic vaginitis. Finally, this review takes on the therapeutic aspect of live lactobacilli in the context of bacterial vaginosis. Until recently, there was very low-quality evidence to suggest that any probiotic might aid in reducing vaginal infections or dysbiosis. Therefore, clinical usage or over the counter usage of probiotics was not recommended. However, recent progress has been made, moving from probiotics that are typically regulated as food supplements to so-called live biotherapeutic products that are regulated as medical drugs. Thus, recently, a phase 2b trial using a Lactobacillus crispatus strain as a therapeutic add-on to standard metronidazole showed significant reduction in the recurrence of bacterial vaginosis by 12 weeks compared to placebo. This may constitute evidence for a brighter future where the therapeutic use of lactobacilli can be harnessed to improve women’s health.","container-title":"Microorganisms","DOI":"10.3390/microorganisms11030636","ISSN":"2076-2607","issue":"3","title":"Lactobacilli and Their Probiotic Effects in the Vagina of Reproductive Age Women","volume":"11","author":[{"family":"Pendharkar","given":"Sonal"},{"family":"Skafte-Holm","given":"Axel"},{"family":"Simsek","given":"Gizem"},{"family":"Haahr","given":"Thor"}],"issued":{"date-parts":[["2023"]]}}}],"schema":"https://github.com/citation-style-language/schema/raw/master/csl-citation.json"} </w:instrText>
      </w:r>
      <w:r w:rsidR="00FE7232">
        <w:rPr>
          <w:rFonts w:ascii="Arial" w:hAnsi="Arial" w:cs="Arial"/>
        </w:rPr>
        <w:fldChar w:fldCharType="separate"/>
      </w:r>
      <w:r w:rsidR="00FE7232" w:rsidRPr="00FE7232">
        <w:rPr>
          <w:rFonts w:ascii="Arial" w:hAnsi="Arial" w:cs="Arial"/>
        </w:rPr>
        <w:t>(21,22)</w:t>
      </w:r>
      <w:r w:rsidR="00FE7232">
        <w:rPr>
          <w:rFonts w:ascii="Arial" w:hAnsi="Arial" w:cs="Arial"/>
        </w:rPr>
        <w:fldChar w:fldCharType="end"/>
      </w:r>
      <w:r w:rsidRPr="00CF2777">
        <w:rPr>
          <w:rFonts w:ascii="Arial" w:hAnsi="Arial" w:cs="Arial"/>
        </w:rPr>
        <w:t>.  Half of BV patients show no symptom; clinical symptoms of BV include a burning feeling during urination, itching around the outside of the vagina, and an increased vaginal pH (&gt;4.5), abnormal color of vaginal discharge, and an unpleasant fishy odor</w:t>
      </w:r>
      <w:r w:rsidR="00FE7232">
        <w:rPr>
          <w:rFonts w:ascii="Arial" w:hAnsi="Arial" w:cs="Arial"/>
        </w:rPr>
        <w:t xml:space="preserve"> </w:t>
      </w:r>
      <w:r w:rsidR="00FE7232">
        <w:rPr>
          <w:rFonts w:ascii="Arial" w:hAnsi="Arial" w:cs="Arial"/>
        </w:rPr>
        <w:fldChar w:fldCharType="begin"/>
      </w:r>
      <w:r w:rsidR="00FE7232">
        <w:rPr>
          <w:rFonts w:ascii="Arial" w:hAnsi="Arial" w:cs="Arial"/>
        </w:rPr>
        <w:instrText xml:space="preserve"> ADDIN ZOTERO_ITEM CSL_CITATION {"citationID":"PQphNROB","properties":{"formattedCitation":"(21)","plainCitation":"(21)","noteIndex":0},"citationItems":[{"id":115,"uris":["http://zotero.org/users/local/HVWDw8n9/items/FECCLWZK"],"itemData":{"id":115,"type":"article-journal","abstract":"In addition to being a passage for sperm, menstruum, and the baby, the human vagina and its microbiota can influence conception, pregnancy, the mode and timing of delivery, and the risk of acquiring sexually transmitted infections. The physiological status of the vaginal milieu is important for the wellbeing of the host as well as for successful reproduction. High oestrogen states, as seen during puberty and pregnancy, promote the preservation of a homeostatic (eubiotic) vaginal microenvironment by stimulating the maturation and proliferation of vaginal epithelial cells and the accumulation of glycogen. A glycogen-rich vaginal milieu is a haven for the proliferation of Lactobacilli facilitated by the production of lactic acid and decreased pH. Lactobacilli and their antimicrobial and anti-inflammatory products along with components of the epithelial mucosal barrier provide an effective first line defense against invading pathogens including bacterial vaginosis, aerobic vaginitis-associated bacteria, viruses, fungi and protozoa.  An optimal host-microbial interaction is required for the maintenance of eubiosis and vaginal health. This review explores the composition, function and adaptive mechanisms of the vaginal microbiome in health and those disease states in which there is a breach in the host-microbial relationship. The potential impact of vaginal dysbiosis on reproduction is also outlined.","container-title":"Frontiers in Medicine","ISSN":"2296-858X","journalAbbreviation":"Frontiers in Medicine","title":"The Vaginal Microenvironment: The Physiologic Role of Lactobacilli","URL":"https://www.frontiersin.org/journals/medicine/articles/10.3389/fmed.2018.00181","volume":"Volume 5 - 2018","author":[{"family":"Amabebe","given":"Emmanuel"},{"family":"Anumba","given":"Dilly O. C."}],"issued":{"date-parts":[["2018"]]}}}],"schema":"https://github.com/citation-style-language/schema/raw/master/csl-citation.json"} </w:instrText>
      </w:r>
      <w:r w:rsidR="00FE7232">
        <w:rPr>
          <w:rFonts w:ascii="Arial" w:hAnsi="Arial" w:cs="Arial"/>
        </w:rPr>
        <w:fldChar w:fldCharType="separate"/>
      </w:r>
      <w:r w:rsidR="00FE7232" w:rsidRPr="00FE7232">
        <w:rPr>
          <w:rFonts w:ascii="Arial" w:hAnsi="Arial" w:cs="Arial"/>
        </w:rPr>
        <w:t>(21)</w:t>
      </w:r>
      <w:r w:rsidR="00FE7232">
        <w:rPr>
          <w:rFonts w:ascii="Arial" w:hAnsi="Arial" w:cs="Arial"/>
        </w:rPr>
        <w:fldChar w:fldCharType="end"/>
      </w:r>
      <w:r w:rsidRPr="00CF2777">
        <w:rPr>
          <w:rFonts w:ascii="Arial" w:hAnsi="Arial" w:cs="Arial"/>
        </w:rPr>
        <w:t>. The infection reduces the effectiveness of the physical barrier and innate immunity leading to an increased risk of acquisition of HIV and other STIs through sexual intercourse.</w:t>
      </w:r>
    </w:p>
    <w:p w14:paraId="2AB68FA8" w14:textId="77777777" w:rsidR="00CF2777" w:rsidRPr="00174320" w:rsidRDefault="00CF2777" w:rsidP="00424953">
      <w:pPr>
        <w:pStyle w:val="Body"/>
        <w:contextualSpacing/>
        <w:rPr>
          <w:rFonts w:ascii="Arial" w:hAnsi="Arial" w:cs="Arial"/>
          <w:b/>
          <w:caps/>
          <w:sz w:val="22"/>
        </w:rPr>
      </w:pPr>
    </w:p>
    <w:p w14:paraId="38B1DB00" w14:textId="4C305B4D" w:rsidR="00CF2777" w:rsidRPr="00174320" w:rsidRDefault="00174320" w:rsidP="00424953">
      <w:pPr>
        <w:pStyle w:val="Body"/>
        <w:contextualSpacing/>
        <w:rPr>
          <w:rFonts w:ascii="Arial" w:hAnsi="Arial" w:cs="Arial"/>
          <w:b/>
          <w:caps/>
          <w:sz w:val="22"/>
        </w:rPr>
      </w:pPr>
      <w:r w:rsidRPr="00174320">
        <w:rPr>
          <w:rFonts w:ascii="Arial" w:hAnsi="Arial" w:cs="Arial"/>
          <w:b/>
          <w:caps/>
          <w:sz w:val="22"/>
        </w:rPr>
        <w:t>3.</w:t>
      </w:r>
      <w:r w:rsidR="00CF2777" w:rsidRPr="00174320">
        <w:rPr>
          <w:rFonts w:ascii="Arial" w:hAnsi="Arial" w:cs="Arial"/>
          <w:b/>
          <w:caps/>
          <w:sz w:val="22"/>
        </w:rPr>
        <w:t xml:space="preserve"> Intravaginal drug delivery for HIV Prevention</w:t>
      </w:r>
    </w:p>
    <w:p w14:paraId="0E19F504" w14:textId="5CD23C4D" w:rsidR="00CF2777" w:rsidRPr="00CF2777" w:rsidRDefault="00CF2777" w:rsidP="00424953">
      <w:pPr>
        <w:pStyle w:val="Body"/>
        <w:contextualSpacing/>
        <w:rPr>
          <w:rFonts w:ascii="Arial" w:hAnsi="Arial" w:cs="Arial"/>
        </w:rPr>
      </w:pPr>
      <w:proofErr w:type="spellStart"/>
      <w:r w:rsidRPr="00CF2777">
        <w:rPr>
          <w:rFonts w:ascii="Arial" w:hAnsi="Arial" w:cs="Arial"/>
        </w:rPr>
        <w:t>Localised</w:t>
      </w:r>
      <w:proofErr w:type="spellEnd"/>
      <w:r w:rsidRPr="00CF2777">
        <w:rPr>
          <w:rFonts w:ascii="Arial" w:hAnsi="Arial" w:cs="Arial"/>
        </w:rPr>
        <w:t xml:space="preserve"> vaginal delivery of topical microbicides with </w:t>
      </w:r>
      <w:proofErr w:type="spellStart"/>
      <w:r w:rsidRPr="00CF2777">
        <w:rPr>
          <w:rFonts w:ascii="Arial" w:hAnsi="Arial" w:cs="Arial"/>
        </w:rPr>
        <w:t>PrEP</w:t>
      </w:r>
      <w:proofErr w:type="spellEnd"/>
      <w:r w:rsidRPr="00CF2777">
        <w:rPr>
          <w:rFonts w:ascii="Arial" w:hAnsi="Arial" w:cs="Arial"/>
        </w:rPr>
        <w:t xml:space="preserve"> agents offers a great opportunity for non-systemic products that can be absorbed and distributed into vaginal epithelium. Though physical, biological and chemical barrier of the female reproductive tract are important for protection from pathogens, they pose a significant challenge to intravaginal delivery and efficacy of anti-HIV molecules and other modalities used on multipurpose platforms to prevent pregnancy, STIs and other infections </w:t>
      </w:r>
      <w:r w:rsidR="001F24B1">
        <w:rPr>
          <w:rFonts w:ascii="Arial" w:hAnsi="Arial" w:cs="Arial"/>
        </w:rPr>
        <w:fldChar w:fldCharType="begin"/>
      </w:r>
      <w:r w:rsidR="001F24B1">
        <w:rPr>
          <w:rFonts w:ascii="Arial" w:hAnsi="Arial" w:cs="Arial"/>
        </w:rPr>
        <w:instrText xml:space="preserve"> ADDIN ZOTERO_ITEM CSL_CITATION {"citationID":"9L7c6nuy","properties":{"formattedCitation":"(23,24)","plainCitation":"(23,24)","noteIndex":0},"citationItems":[{"id":118,"uris":["http://zotero.org/users/local/HVWDw8n9/items/QLJQZFGR"],"itemData":{"id":118,"type":"article-journal","abstract":"Intra-vaginal route of administration is a route of administration where the dosage form is applied vaginally for the convenient release of the dosage form and for better therapeutic action of the medicament, it is usually used in HIV patients. Vaginal route is been used as a traditional delivery system used for the conventional delivery of several locally acting drugs like antimicrobial agents. The various types of formulations as well as the dosage forms are available for intra-vaginal drug delivery system such as tablets gels vaginal rings etc. the disease’s such as HIV or other diseases caused into the vaginal area due to causative agents like bacteria fungi etc.  For efficient vaginal delivery of drugs, the delivery system should reside at the site of infection for a prolonged period of time.","container-title":"Journal of Drug Delivery and Therapeutics","DOI":"10.22270/jddt.v9i5.3560","issue":"5","journalAbbreviation":"J. Drug Delivery Ther.","note":"section: Review","page":"171-174","title":"Intravaginal Drug Delivery System: Compherensive Approach to Vaginal Formulations.","volume":"9","author":[{"family":"Patil","given":"Prashant"},{"family":"Bhopale","given":"Pragati"},{"family":"Saudagar","given":"Ravindranath B"}],"issued":{"date-parts":[["2019",9,15]]}}},{"id":110,"uris":["http://zotero.org/users/local/HVWDw8n9/items/T5SGICDX"],"itemData":{"id":110,"type":"article-journal","abstract":"Intravaginal rings (IVRs) are minimally invasive polymeric devices specifically designed to be used for the sustained and prolonged release of various type of  drugs such as hormones. One of the benefits of using topical drug delivery  systems (e.g., IVRs) is the fact that systemic drug delivery may cause drug  resistance due to elevated drug levels. Topical drug delivery also provides  higher concentrations of the drug to the target site and has fewer side effects.  In addition, when a drug is administered vaginally, the hepatic first-pass effect  is avoided, resulting in higher absorption. Contraception and treatments for  specific diseases such as endometriosis and hormone deficiencies can be improved  by the administration of hormones via an IVR. This article aims to classify and  compare various designs of commercially available and non-commercial hormonal  IVRs and to analyze their performance. Current challenges affecting the  development of IVRs are investigated, and proposed solutions are discussed. A  comprehensive search of publications in MEDLINE/PubMed and of commercial product  data of IVRs was performed, and the materials, designs, performance, and  applications (e.g., contraception, endometriosis, estrogen deficiency and  urogenital atrophy) of hormonal IVRs were thoroughly evaluated. Most hormonal  IVRs administer female sex hormones, i.e., estrogen and progestogens. In terms of  material, IVRs are divided into 3 main groups: silicone, polyurethane, and  polyethylene-co-vinyl acetate IVRs. As regards their design, there are 4 major  designs for IVRs which strongly affect their performance and the timing and rate  of hormone release. Important challenges include reducing the burst release and  maintaining the bioavailability of hormones at their site of action over a  prolonged period of administration as well as lowering production costs. Hormonal  IVRs are a promising method which could be used to facilitate combination  therapies by administering multiple drugs in a single IVR while eliminating the  side effects of conventional drug administration methods. IVRs could considerably  improve women's quality of life all over the world within a short period of time.","container-title":"Geburtshilfe und Frauenheilkunde","DOI":"10.1055/a-1369-9395","ISSN":"0016-5751 1438-8804","issue":"7","journalAbbreviation":"Geburtshilfe Frauenheilkd","language":"eng","license":"The Author(s). This is an open access article published by Thieme under the terms of the Creative Commons Attribution-NonDerivative-NonCommercial License,  permitting copying and reproduction so long as the original work is given  appropriate credit. Contents may not be used for commecial purposes, or adapted,  remixed, transformed or built upon. (  https://creativecommons.org/licenses/by-nc-nd/4.0/ ).","note":"publisher-place: Germany\nPMID: 34276064 \nPMCID: PMC8277443","page":"789-806","title":"Development of Hormonal Intravaginal Rings: Technology and Challenges.","volume":"81","author":[{"family":"Rafiei","given":"Fojan"},{"family":"Tabesh","given":"Hadi"},{"family":"Farzad","given":"Shayan"},{"family":"Farzaneh","given":"Farah"},{"family":"Rezaei","given":"Maryam"},{"family":"Hosseinzade","given":"Fateme"},{"family":"Mottaghy","given":"Khosrow"}],"issued":{"date-parts":[["2021",7]]}}}],"schema":"https://github.com/citation-style-language/schema/raw/master/csl-citation.json"} </w:instrText>
      </w:r>
      <w:r w:rsidR="001F24B1">
        <w:rPr>
          <w:rFonts w:ascii="Arial" w:hAnsi="Arial" w:cs="Arial"/>
        </w:rPr>
        <w:fldChar w:fldCharType="separate"/>
      </w:r>
      <w:r w:rsidR="001F24B1" w:rsidRPr="001F24B1">
        <w:rPr>
          <w:rFonts w:ascii="Arial" w:hAnsi="Arial" w:cs="Arial"/>
        </w:rPr>
        <w:t>(23,24)</w:t>
      </w:r>
      <w:r w:rsidR="001F24B1">
        <w:rPr>
          <w:rFonts w:ascii="Arial" w:hAnsi="Arial" w:cs="Arial"/>
        </w:rPr>
        <w:fldChar w:fldCharType="end"/>
      </w:r>
      <w:r w:rsidRPr="00CF2777">
        <w:rPr>
          <w:rFonts w:ascii="Arial" w:hAnsi="Arial" w:cs="Arial"/>
        </w:rPr>
        <w:t>. Furthermore, for antiretroviral drugs the window phase is highly depended on the class of molecules, and physicochemical properties of the drug affect penetration of the cervicovaginal mucous, and drug delivery at site of interest as this affects efficacy and HIV acquisition</w:t>
      </w:r>
      <w:r w:rsidR="001F24B1">
        <w:rPr>
          <w:rFonts w:ascii="Arial" w:hAnsi="Arial" w:cs="Arial"/>
        </w:rPr>
        <w:t xml:space="preserve"> </w:t>
      </w:r>
      <w:r w:rsidR="001F24B1">
        <w:rPr>
          <w:rFonts w:ascii="Arial" w:hAnsi="Arial" w:cs="Arial"/>
        </w:rPr>
        <w:fldChar w:fldCharType="begin"/>
      </w:r>
      <w:r w:rsidR="001F24B1">
        <w:rPr>
          <w:rFonts w:ascii="Arial" w:hAnsi="Arial" w:cs="Arial"/>
        </w:rPr>
        <w:instrText xml:space="preserve"> ADDIN ZOTERO_ITEM CSL_CITATION {"citationID":"MHPpU9Lk","properties":{"formattedCitation":"(25)","plainCitation":"(25)","noteIndex":0},"citationItems":[{"id":6,"uris":["http://zotero.org/users/local/HVWDw8n9/items/35S5HXEF"],"itemData":{"id":6,"type":"article-journal","abstract":"Understanding the mechanisms of HIV transmission to women will be crucial to the development of effective strategies to curb this epidemic. Current data suggest  that HIV has at least two routes to penetrate the vaginal epithelium and reach  lymphoid tissues, trans-epithelial migration of infected Langerhans cells or  virus penetration into the lamina propria through loss of epithelial integrity  resulting in direct infection of lymphocytes, dendritic cells and macrophages.","container-title":"Microbes and infection","DOI":"10.1016/s1286-4579(02)00056-4","ISSN":"1286-4579","issue":"1","journalAbbreviation":"Microbes Infect","language":"eng","note":"publisher-place: France\nPMID: 12593974","page":"59-67","title":"Target cells in vaginal HIV transmission.","volume":"5","author":[{"family":"Miller","given":"Christopher J."},{"family":"Shattock","given":"Robin J."}],"issued":{"date-parts":[["2003",1]]}}}],"schema":"https://github.com/citation-style-language/schema/raw/master/csl-citation.json"} </w:instrText>
      </w:r>
      <w:r w:rsidR="001F24B1">
        <w:rPr>
          <w:rFonts w:ascii="Arial" w:hAnsi="Arial" w:cs="Arial"/>
        </w:rPr>
        <w:fldChar w:fldCharType="separate"/>
      </w:r>
      <w:r w:rsidR="001F24B1" w:rsidRPr="001F24B1">
        <w:rPr>
          <w:rFonts w:ascii="Arial" w:hAnsi="Arial" w:cs="Arial"/>
        </w:rPr>
        <w:t>(25)</w:t>
      </w:r>
      <w:r w:rsidR="001F24B1">
        <w:rPr>
          <w:rFonts w:ascii="Arial" w:hAnsi="Arial" w:cs="Arial"/>
        </w:rPr>
        <w:fldChar w:fldCharType="end"/>
      </w:r>
      <w:r w:rsidRPr="00CF2777">
        <w:rPr>
          <w:rFonts w:ascii="Arial" w:hAnsi="Arial" w:cs="Arial"/>
        </w:rPr>
        <w:t xml:space="preserve">. </w:t>
      </w:r>
    </w:p>
    <w:p w14:paraId="14D9416B" w14:textId="39DD801E" w:rsidR="00CF2777" w:rsidRDefault="00174320" w:rsidP="00424953">
      <w:pPr>
        <w:pStyle w:val="Body"/>
        <w:contextualSpacing/>
        <w:rPr>
          <w:rFonts w:ascii="Arial" w:hAnsi="Arial" w:cs="Arial"/>
        </w:rPr>
      </w:pPr>
      <w:r>
        <w:rPr>
          <w:rFonts w:ascii="Arial" w:hAnsi="Arial" w:cs="Arial"/>
          <w:noProof/>
        </w:rPr>
        <w:lastRenderedPageBreak/>
        <w:drawing>
          <wp:inline distT="0" distB="0" distL="0" distR="0" wp14:anchorId="0188DD89" wp14:editId="5E02A3FD">
            <wp:extent cx="4587240" cy="3792220"/>
            <wp:effectExtent l="19050" t="19050" r="22860" b="17780"/>
            <wp:docPr id="180002719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7240" cy="3792220"/>
                    </a:xfrm>
                    <a:prstGeom prst="rect">
                      <a:avLst/>
                    </a:prstGeom>
                    <a:noFill/>
                    <a:ln>
                      <a:solidFill>
                        <a:schemeClr val="accent1"/>
                      </a:solidFill>
                    </a:ln>
                  </pic:spPr>
                </pic:pic>
              </a:graphicData>
            </a:graphic>
          </wp:inline>
        </w:drawing>
      </w:r>
    </w:p>
    <w:p w14:paraId="045C1C84" w14:textId="77777777" w:rsidR="00424953" w:rsidRPr="00CF2777" w:rsidRDefault="00424953" w:rsidP="00424953">
      <w:pPr>
        <w:pStyle w:val="Body"/>
        <w:contextualSpacing/>
        <w:rPr>
          <w:rFonts w:ascii="Arial" w:hAnsi="Arial" w:cs="Arial"/>
        </w:rPr>
      </w:pPr>
    </w:p>
    <w:p w14:paraId="08AB9F9F" w14:textId="0999B59C" w:rsidR="00424953" w:rsidRDefault="00CF2777" w:rsidP="00424953">
      <w:pPr>
        <w:pStyle w:val="Body"/>
        <w:contextualSpacing/>
        <w:rPr>
          <w:rFonts w:ascii="Arial" w:hAnsi="Arial" w:cs="Arial"/>
          <w:b/>
          <w:bCs/>
        </w:rPr>
      </w:pPr>
      <w:r w:rsidRPr="00174320">
        <w:rPr>
          <w:rFonts w:ascii="Arial" w:hAnsi="Arial" w:cs="Arial"/>
          <w:b/>
          <w:bCs/>
        </w:rPr>
        <w:t>Fig</w:t>
      </w:r>
      <w:r w:rsidR="00174320" w:rsidRPr="00174320">
        <w:rPr>
          <w:rFonts w:ascii="Arial" w:hAnsi="Arial" w:cs="Arial"/>
          <w:b/>
          <w:bCs/>
        </w:rPr>
        <w:t>.</w:t>
      </w:r>
      <w:r w:rsidRPr="00174320">
        <w:rPr>
          <w:rFonts w:ascii="Arial" w:hAnsi="Arial" w:cs="Arial"/>
          <w:b/>
          <w:bCs/>
        </w:rPr>
        <w:t xml:space="preserve"> </w:t>
      </w:r>
      <w:r w:rsidR="00276A22">
        <w:rPr>
          <w:rFonts w:ascii="Arial" w:hAnsi="Arial" w:cs="Arial"/>
          <w:b/>
          <w:bCs/>
        </w:rPr>
        <w:t>2</w:t>
      </w:r>
      <w:r w:rsidRPr="00174320">
        <w:rPr>
          <w:rFonts w:ascii="Arial" w:hAnsi="Arial" w:cs="Arial"/>
          <w:b/>
          <w:bCs/>
        </w:rPr>
        <w:t xml:space="preserve">: </w:t>
      </w:r>
      <w:r w:rsidR="00174320" w:rsidRPr="00174320">
        <w:rPr>
          <w:rFonts w:ascii="Arial" w:hAnsi="Arial" w:cs="Arial"/>
          <w:b/>
          <w:bCs/>
        </w:rPr>
        <w:t>HIV infection timeline and protection of different ARV drug classes</w:t>
      </w:r>
      <w:r w:rsidR="0051068A">
        <w:rPr>
          <w:rFonts w:ascii="Arial" w:hAnsi="Arial" w:cs="Arial"/>
          <w:b/>
          <w:bCs/>
        </w:rPr>
        <w:t xml:space="preserve"> </w:t>
      </w:r>
      <w:r w:rsidR="0051068A">
        <w:rPr>
          <w:rFonts w:ascii="Arial" w:hAnsi="Arial" w:cs="Arial"/>
        </w:rPr>
        <w:t xml:space="preserve">adapted from </w:t>
      </w:r>
      <w:r w:rsidR="0051068A" w:rsidRPr="0051068A">
        <w:rPr>
          <w:rFonts w:ascii="Arial" w:hAnsi="Arial" w:cs="Arial"/>
        </w:rPr>
        <w:t xml:space="preserve">Miller and Shattock, </w:t>
      </w:r>
      <w:r w:rsidR="0051068A">
        <w:rPr>
          <w:rFonts w:ascii="Arial" w:hAnsi="Arial" w:cs="Arial"/>
        </w:rPr>
        <w:t>(</w:t>
      </w:r>
      <w:r w:rsidR="0051068A" w:rsidRPr="0051068A">
        <w:rPr>
          <w:rFonts w:ascii="Arial" w:hAnsi="Arial" w:cs="Arial"/>
        </w:rPr>
        <w:t>2003)</w:t>
      </w:r>
      <w:r w:rsidR="001F24B1">
        <w:rPr>
          <w:rFonts w:ascii="Arial" w:hAnsi="Arial" w:cs="Arial"/>
          <w:b/>
          <w:bCs/>
        </w:rPr>
        <w:t xml:space="preserve"> </w:t>
      </w:r>
      <w:r w:rsidR="001F24B1">
        <w:rPr>
          <w:rFonts w:ascii="Arial" w:hAnsi="Arial" w:cs="Arial"/>
          <w:b/>
          <w:bCs/>
        </w:rPr>
        <w:fldChar w:fldCharType="begin"/>
      </w:r>
      <w:r w:rsidR="001F24B1">
        <w:rPr>
          <w:rFonts w:ascii="Arial" w:hAnsi="Arial" w:cs="Arial"/>
          <w:b/>
          <w:bCs/>
        </w:rPr>
        <w:instrText xml:space="preserve"> ADDIN ZOTERO_ITEM CSL_CITATION {"citationID":"qDrQcPbH","properties":{"formattedCitation":"(25)","plainCitation":"(25)","noteIndex":0},"citationItems":[{"id":6,"uris":["http://zotero.org/users/local/HVWDw8n9/items/35S5HXEF"],"itemData":{"id":6,"type":"article-journal","abstract":"Understanding the mechanisms of HIV transmission to women will be crucial to the development of effective strategies to curb this epidemic. Current data suggest  that HIV has at least two routes to penetrate the vaginal epithelium and reach  lymphoid tissues, trans-epithelial migration of infected Langerhans cells or  virus penetration into the lamina propria through loss of epithelial integrity  resulting in direct infection of lymphocytes, dendritic cells and macrophages.","container-title":"Microbes and infection","DOI":"10.1016/s1286-4579(02)00056-4","ISSN":"1286-4579","issue":"1","journalAbbreviation":"Microbes Infect","language":"eng","note":"publisher-place: France\nPMID: 12593974","page":"59-67","title":"Target cells in vaginal HIV transmission.","volume":"5","author":[{"family":"Miller","given":"Christopher J."},{"family":"Shattock","given":"Robin J."}],"issued":{"date-parts":[["2003",1]]}}}],"schema":"https://github.com/citation-style-language/schema/raw/master/csl-citation.json"} </w:instrText>
      </w:r>
      <w:r w:rsidR="001F24B1">
        <w:rPr>
          <w:rFonts w:ascii="Arial" w:hAnsi="Arial" w:cs="Arial"/>
          <w:b/>
          <w:bCs/>
        </w:rPr>
        <w:fldChar w:fldCharType="separate"/>
      </w:r>
      <w:r w:rsidR="001F24B1" w:rsidRPr="001F24B1">
        <w:rPr>
          <w:rFonts w:ascii="Arial" w:hAnsi="Arial" w:cs="Arial"/>
        </w:rPr>
        <w:t>(25)</w:t>
      </w:r>
      <w:r w:rsidR="001F24B1">
        <w:rPr>
          <w:rFonts w:ascii="Arial" w:hAnsi="Arial" w:cs="Arial"/>
          <w:b/>
          <w:bCs/>
        </w:rPr>
        <w:fldChar w:fldCharType="end"/>
      </w:r>
    </w:p>
    <w:p w14:paraId="3730D2A4" w14:textId="1E283CA7" w:rsidR="00CF2777" w:rsidRPr="00174320" w:rsidRDefault="00174320" w:rsidP="00424953">
      <w:pPr>
        <w:pStyle w:val="Body"/>
        <w:contextualSpacing/>
        <w:rPr>
          <w:rFonts w:ascii="Arial" w:hAnsi="Arial" w:cs="Arial"/>
          <w:b/>
          <w:bCs/>
        </w:rPr>
      </w:pPr>
      <w:r w:rsidRPr="00174320">
        <w:rPr>
          <w:rFonts w:ascii="Arial" w:hAnsi="Arial" w:cs="Arial"/>
          <w:b/>
          <w:bCs/>
        </w:rPr>
        <w:t xml:space="preserve"> </w:t>
      </w:r>
    </w:p>
    <w:p w14:paraId="6F209BA7" w14:textId="3C2CE18E" w:rsidR="00CF2777" w:rsidRPr="00CF2777" w:rsidRDefault="00CF2777" w:rsidP="00424953">
      <w:pPr>
        <w:pStyle w:val="Body"/>
        <w:contextualSpacing/>
        <w:rPr>
          <w:rFonts w:ascii="Arial" w:hAnsi="Arial" w:cs="Arial"/>
        </w:rPr>
      </w:pPr>
      <w:r w:rsidRPr="00CF2777">
        <w:rPr>
          <w:rFonts w:ascii="Arial" w:hAnsi="Arial" w:cs="Arial"/>
        </w:rPr>
        <w:t>The vaginal wall transudate, vulva secretions, exfoliated epithelial cells, and secretions</w:t>
      </w:r>
      <w:r w:rsidR="00174320">
        <w:rPr>
          <w:rFonts w:ascii="Arial" w:hAnsi="Arial" w:cs="Arial"/>
        </w:rPr>
        <w:t xml:space="preserve"> </w:t>
      </w:r>
      <w:r w:rsidRPr="00CF2777">
        <w:rPr>
          <w:rFonts w:ascii="Arial" w:hAnsi="Arial" w:cs="Arial"/>
        </w:rPr>
        <w:t>from bacterial flora collectively form cervicovaginal fluid together with cervical mucus form the cervicovaginal mucous (CVM)</w:t>
      </w:r>
      <w:r w:rsidR="001F24B1">
        <w:rPr>
          <w:rFonts w:ascii="Arial" w:hAnsi="Arial" w:cs="Arial"/>
        </w:rPr>
        <w:t xml:space="preserve"> </w:t>
      </w:r>
      <w:r w:rsidR="001F24B1">
        <w:rPr>
          <w:rFonts w:ascii="Arial" w:hAnsi="Arial" w:cs="Arial"/>
        </w:rPr>
        <w:fldChar w:fldCharType="begin"/>
      </w:r>
      <w:r w:rsidR="001F24B1">
        <w:rPr>
          <w:rFonts w:ascii="Arial" w:hAnsi="Arial" w:cs="Arial"/>
        </w:rPr>
        <w:instrText xml:space="preserve"> ADDIN ZOTERO_ITEM CSL_CITATION {"citationID":"0cKDF8Bf","properties":{"formattedCitation":"(26)","plainCitation":"(26)","noteIndex":0},"citationItems":[{"id":119,"uris":["http://zotero.org/users/local/HVWDw8n9/items/UUGN7QM8"],"itemData":{"id":119,"type":"article-journal","abstract":"Vaginal drug delivery has gained significant interest due to its numerous advantages, such as good blood flow, bypassing the first-pass effect, low systemic side effects, and potential for sustained release of pharmaceuticals. Initially targeting contraception and local effects from antibacterial, antifungal, and antiviral agents, recent advancements have broadened its scope. Notably, microbicide formulations showed promise against sexually transmitted diseases, offering superior protection and effective hormone therapies due to the vagina’s large surface area and high permeability. The main agents used in vaginal delivery include contraceptives, prostaglandins, steroids, and antimicrobial substances, administered through tablets, suppositories, ointments, gels, creams, and vaginal rings. However, challenges such as slow dissolution and short residence time necessitate novel delivery systems. Mucoadhesive polymers are particularly valuable for enhancing drug absorption and extending treatment options. Comparative studies indicate that vaginal absorption of drugs like human growth hormone and insulin surpasses other parenteral routes. The development of standardized in vitro and in vivo testing methods remains crucial due to the diverse drug systems. While vaginal drug delivery offers benefits, such as high vascularization, low enzymatic activity, and increased bioavailability, it also faces drawbacks, including limited drug compatibility, sensitivity to vaginal pH, patient compliance issues, and potential local irritation. This review aims to elucidate the pathway, propose standardized methods for specific therapeutic areas, and highlight novel formulations like hydrogels and lipid nanoparticles for treating various diseases.","container-title":"Journal of Pharmacy and Pharmacology","DOI":"10.1093/jpp/rgaf045","ISSN":"0022-3573","journalAbbreviation":"Journal of Pharmacy and Pharmacology","page":"rgaf045","title":"Exploring the potential of vaginal drug delivery: innovations, efficacy, and therapeutic prospects","author":[{"family":"Sanchez Armengol","given":"Eva"},{"family":"Veider","given":"Florina"},{"family":"Millotti","given":"Gioconda"},{"family":"Kali","given":"Gergely"},{"family":"Bernkop-Schnürch","given":"Andreas"},{"family":"Laffleur","given":"Flavia"}],"issued":{"date-parts":[["2025",6,26]]}}}],"schema":"https://github.com/citation-style-language/schema/raw/master/csl-citation.json"} </w:instrText>
      </w:r>
      <w:r w:rsidR="001F24B1">
        <w:rPr>
          <w:rFonts w:ascii="Arial" w:hAnsi="Arial" w:cs="Arial"/>
        </w:rPr>
        <w:fldChar w:fldCharType="separate"/>
      </w:r>
      <w:r w:rsidR="001F24B1" w:rsidRPr="001F24B1">
        <w:rPr>
          <w:rFonts w:ascii="Arial" w:hAnsi="Arial" w:cs="Arial"/>
        </w:rPr>
        <w:t>(26)</w:t>
      </w:r>
      <w:r w:rsidR="001F24B1">
        <w:rPr>
          <w:rFonts w:ascii="Arial" w:hAnsi="Arial" w:cs="Arial"/>
        </w:rPr>
        <w:fldChar w:fldCharType="end"/>
      </w:r>
      <w:r w:rsidRPr="00CF2777">
        <w:rPr>
          <w:rFonts w:ascii="Arial" w:hAnsi="Arial" w:cs="Arial"/>
        </w:rPr>
        <w:t xml:space="preserve">. The composition and physical of the CVM affect drug penetration, permeability, distribution and retention within the vaginal epithelium which also serves as physical barrier with innate immunity mechanism </w:t>
      </w:r>
      <w:r w:rsidR="001F24B1">
        <w:rPr>
          <w:rFonts w:ascii="Arial" w:hAnsi="Arial" w:cs="Arial"/>
        </w:rPr>
        <w:fldChar w:fldCharType="begin"/>
      </w:r>
      <w:r w:rsidR="001F24B1">
        <w:rPr>
          <w:rFonts w:ascii="Arial" w:hAnsi="Arial" w:cs="Arial"/>
        </w:rPr>
        <w:instrText xml:space="preserve"> ADDIN ZOTERO_ITEM CSL_CITATION {"citationID":"vy4SOeSZ","properties":{"formattedCitation":"(23,26)","plainCitation":"(23,26)","noteIndex":0},"citationItems":[{"id":118,"uris":["http://zotero.org/users/local/HVWDw8n9/items/QLJQZFGR"],"itemData":{"id":118,"type":"article-journal","abstract":"Intra-vaginal route of administration is a route of administration where the dosage form is applied vaginally for the convenient release of the dosage form and for better therapeutic action of the medicament, it is usually used in HIV patients. Vaginal route is been used as a traditional delivery system used for the conventional delivery of several locally acting drugs like antimicrobial agents. The various types of formulations as well as the dosage forms are available for intra-vaginal drug delivery system such as tablets gels vaginal rings etc. the disease’s such as HIV or other diseases caused into the vaginal area due to causative agents like bacteria fungi etc.  For efficient vaginal delivery of drugs, the delivery system should reside at the site of infection for a prolonged period of time.","container-title":"Journal of Drug Delivery and Therapeutics","DOI":"10.22270/jddt.v9i5.3560","issue":"5","journalAbbreviation":"J. Drug Delivery Ther.","note":"section: Review","page":"171-174","title":"Intravaginal Drug Delivery System: Compherensive Approach to Vaginal Formulations.","volume":"9","author":[{"family":"Patil","given":"Prashant"},{"family":"Bhopale","given":"Pragati"},{"family":"Saudagar","given":"Ravindranath B"}],"issued":{"date-parts":[["2019",9,15]]}}},{"id":119,"uris":["http://zotero.org/users/local/HVWDw8n9/items/UUGN7QM8"],"itemData":{"id":119,"type":"article-journal","abstract":"Vaginal drug delivery has gained significant interest due to its numerous advantages, such as good blood flow, bypassing the first-pass effect, low systemic side effects, and potential for sustained release of pharmaceuticals. Initially targeting contraception and local effects from antibacterial, antifungal, and antiviral agents, recent advancements have broadened its scope. Notably, microbicide formulations showed promise against sexually transmitted diseases, offering superior protection and effective hormone therapies due to the vagina’s large surface area and high permeability. The main agents used in vaginal delivery include contraceptives, prostaglandins, steroids, and antimicrobial substances, administered through tablets, suppositories, ointments, gels, creams, and vaginal rings. However, challenges such as slow dissolution and short residence time necessitate novel delivery systems. Mucoadhesive polymers are particularly valuable for enhancing drug absorption and extending treatment options. Comparative studies indicate that vaginal absorption of drugs like human growth hormone and insulin surpasses other parenteral routes. The development of standardized in vitro and in vivo testing methods remains crucial due to the diverse drug systems. While vaginal drug delivery offers benefits, such as high vascularization, low enzymatic activity, and increased bioavailability, it also faces drawbacks, including limited drug compatibility, sensitivity to vaginal pH, patient compliance issues, and potential local irritation. This review aims to elucidate the pathway, propose standardized methods for specific therapeutic areas, and highlight novel formulations like hydrogels and lipid nanoparticles for treating various diseases.","container-title":"Journal of Pharmacy and Pharmacology","DOI":"10.1093/jpp/rgaf045","ISSN":"0022-3573","journalAbbreviation":"Journal of Pharmacy and Pharmacology","page":"rgaf045","title":"Exploring the potential of vaginal drug delivery: innovations, efficacy, and therapeutic prospects","author":[{"family":"Sanchez Armengol","given":"Eva"},{"family":"Veider","given":"Florina"},{"family":"Millotti","given":"Gioconda"},{"family":"Kali","given":"Gergely"},{"family":"Bernkop-Schnürch","given":"Andreas"},{"family":"Laffleur","given":"Flavia"}],"issued":{"date-parts":[["2025",6,26]]}}}],"schema":"https://github.com/citation-style-language/schema/raw/master/csl-citation.json"} </w:instrText>
      </w:r>
      <w:r w:rsidR="001F24B1">
        <w:rPr>
          <w:rFonts w:ascii="Arial" w:hAnsi="Arial" w:cs="Arial"/>
        </w:rPr>
        <w:fldChar w:fldCharType="separate"/>
      </w:r>
      <w:r w:rsidR="001F24B1" w:rsidRPr="001F24B1">
        <w:rPr>
          <w:rFonts w:ascii="Arial" w:hAnsi="Arial" w:cs="Arial"/>
        </w:rPr>
        <w:t>(23,26)</w:t>
      </w:r>
      <w:r w:rsidR="001F24B1">
        <w:rPr>
          <w:rFonts w:ascii="Arial" w:hAnsi="Arial" w:cs="Arial"/>
        </w:rPr>
        <w:fldChar w:fldCharType="end"/>
      </w:r>
      <w:r w:rsidRPr="00CF2777">
        <w:rPr>
          <w:rFonts w:ascii="Arial" w:hAnsi="Arial" w:cs="Arial"/>
        </w:rPr>
        <w:t xml:space="preserve">. </w:t>
      </w:r>
    </w:p>
    <w:p w14:paraId="1438E5C8" w14:textId="4F3C401E" w:rsidR="00CF2777" w:rsidRPr="00CF2777" w:rsidRDefault="00CF2777" w:rsidP="00424953">
      <w:pPr>
        <w:pStyle w:val="Body"/>
        <w:contextualSpacing/>
        <w:rPr>
          <w:rFonts w:ascii="Arial" w:hAnsi="Arial" w:cs="Arial"/>
        </w:rPr>
      </w:pPr>
      <w:r w:rsidRPr="00CF2777">
        <w:rPr>
          <w:rFonts w:ascii="Arial" w:hAnsi="Arial" w:cs="Arial"/>
        </w:rPr>
        <w:t>Data from preclinical and clinical work done in developing anti-HIV drug agents has shown several potential sites that can be targeted by small or large molecules in the inhibition of the retrovirus replication</w:t>
      </w:r>
      <w:r w:rsidR="001F24B1">
        <w:rPr>
          <w:rFonts w:ascii="Arial" w:hAnsi="Arial" w:cs="Arial"/>
        </w:rPr>
        <w:t xml:space="preserve"> </w:t>
      </w:r>
      <w:r w:rsidR="001F24B1">
        <w:rPr>
          <w:rFonts w:ascii="Arial" w:hAnsi="Arial" w:cs="Arial"/>
        </w:rPr>
        <w:fldChar w:fldCharType="begin"/>
      </w:r>
      <w:r w:rsidR="001F24B1">
        <w:rPr>
          <w:rFonts w:ascii="Arial" w:hAnsi="Arial" w:cs="Arial"/>
        </w:rPr>
        <w:instrText xml:space="preserve"> ADDIN ZOTERO_ITEM CSL_CITATION {"citationID":"qY0U757M","properties":{"formattedCitation":"(25)","plainCitation":"(25)","noteIndex":0},"citationItems":[{"id":6,"uris":["http://zotero.org/users/local/HVWDw8n9/items/35S5HXEF"],"itemData":{"id":6,"type":"article-journal","abstract":"Understanding the mechanisms of HIV transmission to women will be crucial to the development of effective strategies to curb this epidemic. Current data suggest  that HIV has at least two routes to penetrate the vaginal epithelium and reach  lymphoid tissues, trans-epithelial migration of infected Langerhans cells or  virus penetration into the lamina propria through loss of epithelial integrity  resulting in direct infection of lymphocytes, dendritic cells and macrophages.","container-title":"Microbes and infection","DOI":"10.1016/s1286-4579(02)00056-4","ISSN":"1286-4579","issue":"1","journalAbbreviation":"Microbes Infect","language":"eng","note":"publisher-place: France\nPMID: 12593974","page":"59-67","title":"Target cells in vaginal HIV transmission.","volume":"5","author":[{"family":"Miller","given":"Christopher J."},{"family":"Shattock","given":"Robin J."}],"issued":{"date-parts":[["2003",1]]}}}],"schema":"https://github.com/citation-style-language/schema/raw/master/csl-citation.json"} </w:instrText>
      </w:r>
      <w:r w:rsidR="001F24B1">
        <w:rPr>
          <w:rFonts w:ascii="Arial" w:hAnsi="Arial" w:cs="Arial"/>
        </w:rPr>
        <w:fldChar w:fldCharType="separate"/>
      </w:r>
      <w:r w:rsidR="001F24B1" w:rsidRPr="001F24B1">
        <w:rPr>
          <w:rFonts w:ascii="Arial" w:hAnsi="Arial" w:cs="Arial"/>
        </w:rPr>
        <w:t>(25)</w:t>
      </w:r>
      <w:r w:rsidR="001F24B1">
        <w:rPr>
          <w:rFonts w:ascii="Arial" w:hAnsi="Arial" w:cs="Arial"/>
        </w:rPr>
        <w:fldChar w:fldCharType="end"/>
      </w:r>
      <w:r w:rsidRPr="00CF2777">
        <w:rPr>
          <w:rFonts w:ascii="Arial" w:hAnsi="Arial" w:cs="Arial"/>
        </w:rPr>
        <w:t>. Antiretrovirals can block one or several steps in the viral lifecycle. Understanding mechanism of transmission, target tissue and cells for virus, viral resistance and time to successful infection is important for the development of appropriate microbicides</w:t>
      </w:r>
      <w:r w:rsidR="001F24B1">
        <w:rPr>
          <w:rFonts w:ascii="Arial" w:hAnsi="Arial" w:cs="Arial"/>
        </w:rPr>
        <w:t xml:space="preserve"> </w:t>
      </w:r>
      <w:r w:rsidR="001F24B1">
        <w:rPr>
          <w:rFonts w:ascii="Arial" w:hAnsi="Arial" w:cs="Arial"/>
        </w:rPr>
        <w:fldChar w:fldCharType="begin"/>
      </w:r>
      <w:r w:rsidR="001F24B1">
        <w:rPr>
          <w:rFonts w:ascii="Arial" w:hAnsi="Arial" w:cs="Arial"/>
        </w:rPr>
        <w:instrText xml:space="preserve"> ADDIN ZOTERO_ITEM CSL_CITATION {"citationID":"cOOeZzQ0","properties":{"formattedCitation":"(27)","plainCitation":"(27)","noteIndex":0},"citationItems":[{"id":108,"uris":["http://zotero.org/users/local/HVWDw8n9/items/E3V5FGJK"],"itemData":{"id":108,"type":"article-journal","container-title":"Antiviral chemistry &amp; chemotherapy","DOI":"10.1177/095632020901900401","journalAbbreviation":"Antiviral chemistry &amp; chemotherapy","page":"143-50","title":"The Future of HIV Microbicides: Challenges and Opportunities","volume":"19","author":[{"family":"Garg","given":"Anita"},{"family":"Nuttall","given":"Jeremy"},{"family":"Romano","given":"Joseph"}],"issued":{"date-parts":[["2009",2,1]]}}}],"schema":"https://github.com/citation-style-language/schema/raw/master/csl-citation.json"} </w:instrText>
      </w:r>
      <w:r w:rsidR="001F24B1">
        <w:rPr>
          <w:rFonts w:ascii="Arial" w:hAnsi="Arial" w:cs="Arial"/>
        </w:rPr>
        <w:fldChar w:fldCharType="separate"/>
      </w:r>
      <w:r w:rsidR="001F24B1" w:rsidRPr="001F24B1">
        <w:rPr>
          <w:rFonts w:ascii="Arial" w:hAnsi="Arial" w:cs="Arial"/>
        </w:rPr>
        <w:t>(27)</w:t>
      </w:r>
      <w:r w:rsidR="001F24B1">
        <w:rPr>
          <w:rFonts w:ascii="Arial" w:hAnsi="Arial" w:cs="Arial"/>
        </w:rPr>
        <w:fldChar w:fldCharType="end"/>
      </w:r>
      <w:r w:rsidRPr="00CF2777">
        <w:rPr>
          <w:rFonts w:ascii="Arial" w:hAnsi="Arial" w:cs="Arial"/>
        </w:rPr>
        <w:t>.</w:t>
      </w:r>
    </w:p>
    <w:p w14:paraId="0ADD1E47" w14:textId="59752D9A" w:rsidR="00CF2777" w:rsidRPr="00CF2777" w:rsidRDefault="00CF2777" w:rsidP="00424953">
      <w:pPr>
        <w:pStyle w:val="Body"/>
        <w:contextualSpacing/>
        <w:rPr>
          <w:rFonts w:ascii="Arial" w:hAnsi="Arial" w:cs="Arial"/>
        </w:rPr>
      </w:pPr>
      <w:r w:rsidRPr="00CF2777">
        <w:rPr>
          <w:rFonts w:ascii="Arial" w:hAnsi="Arial" w:cs="Arial"/>
        </w:rPr>
        <w:t>Drug resistance may occur but is currently low for those diagnosed taking oral prevention pills tenofovir and lamivudine containing preparations. Long acting cabotegravir injection has a few emerging cases of cross drug resistance among patients on HIV prophylaxis with integrase inhibitors in the same lass</w:t>
      </w:r>
      <w:r w:rsidR="001F24B1">
        <w:rPr>
          <w:rFonts w:ascii="Arial" w:hAnsi="Arial" w:cs="Arial"/>
        </w:rPr>
        <w:t xml:space="preserve"> </w:t>
      </w:r>
      <w:r w:rsidR="001F24B1">
        <w:rPr>
          <w:rFonts w:ascii="Arial" w:hAnsi="Arial" w:cs="Arial"/>
        </w:rPr>
        <w:fldChar w:fldCharType="begin"/>
      </w:r>
      <w:r w:rsidR="001F24B1">
        <w:rPr>
          <w:rFonts w:ascii="Arial" w:hAnsi="Arial" w:cs="Arial"/>
        </w:rPr>
        <w:instrText xml:space="preserve"> ADDIN ZOTERO_ITEM CSL_CITATION {"citationID":"2oNW3y7P","properties":{"formattedCitation":"(28)","plainCitation":"(28)","noteIndex":0},"citationItems":[{"id":122,"uris":["http://zotero.org/users/local/HVWDw8n9/items/KKHFUJLN"],"itemData":{"id":122,"type":"article-journal","abstract":"PURPOSE OF REVIEW: Cabotegravir is a potent integrase strand transfer inhibitor (INSTI) recently approved as a long-acting injectable formulation for HIV  prevention (CAB-LA). We summarize what is known about cabotegravir  pharmacokinetics, activity, and emergence of resistance from in vitro, macaque  and clinical studies, and we evaluate the risk of resistance from CAB-LA with  on-time injections and after CAB-LA discontinuation. RECENT FINDINGS: The  accumulation of multiple INSTI mutations is required for high-level cabotegravir  resistance, and the same mutation combinations may cause cross-resistance to  dolutegravir, which is widely used for first-line antiretroviral therapy in low-  and middle-income countries. Though CAB-LA was highly effective in preventing  HIV, breakthrough infections did occur in trials of CAB-LA despite on-time  injections, resulting in selection of single and combinations of INSTI resistance  mutations. As CAB-LA is scaled-up, prompt HIV diagnosis to prevent resistance,  and resistance monitoring could help preserve the effectiveness of INSTIs for  both HIV treatment and prevention.","container-title":"Current HIV/AIDS reports","DOI":"10.1007/s11904-022-00616-y","ISSN":"1548-3576 1548-3568","issue":"5","journalAbbreviation":"Curr HIV/AIDS Rep","language":"eng","license":"© 2022. The Author(s).","note":"publisher-place: United States\nPMID: 36112336 \nPMCID: PMC9508028","page":"384-393","title":"Long-Acting Injectable Cabotegravir for HIV Prevention: What Do We Know and Need to Know about the Risks and Consequences of Cabotegravir Resistance?","volume":"19","author":[{"family":"Parikh","given":"Urvi M."},{"family":"Koss","given":"Catherine A."},{"family":"Mellors","given":"John W."}],"issued":{"date-parts":[["2022",10]]}}}],"schema":"https://github.com/citation-style-language/schema/raw/master/csl-citation.json"} </w:instrText>
      </w:r>
      <w:r w:rsidR="001F24B1">
        <w:rPr>
          <w:rFonts w:ascii="Arial" w:hAnsi="Arial" w:cs="Arial"/>
        </w:rPr>
        <w:fldChar w:fldCharType="separate"/>
      </w:r>
      <w:r w:rsidR="001F24B1" w:rsidRPr="001F24B1">
        <w:rPr>
          <w:rFonts w:ascii="Arial" w:hAnsi="Arial" w:cs="Arial"/>
        </w:rPr>
        <w:t>(28)</w:t>
      </w:r>
      <w:r w:rsidR="001F24B1">
        <w:rPr>
          <w:rFonts w:ascii="Arial" w:hAnsi="Arial" w:cs="Arial"/>
        </w:rPr>
        <w:fldChar w:fldCharType="end"/>
      </w:r>
      <w:r w:rsidRPr="00CF2777">
        <w:rPr>
          <w:rFonts w:ascii="Arial" w:hAnsi="Arial" w:cs="Arial"/>
        </w:rPr>
        <w:t xml:space="preserve">. Dapivirine vaginal ring a non-nucleoside reverse transcriptase inhibitor showed low risk of transmission for drug resistant HIV for breakthrough infections occurring among </w:t>
      </w:r>
      <w:proofErr w:type="spellStart"/>
      <w:r w:rsidRPr="00CF2777">
        <w:rPr>
          <w:rFonts w:ascii="Arial" w:hAnsi="Arial" w:cs="Arial"/>
        </w:rPr>
        <w:t>PrEP</w:t>
      </w:r>
      <w:proofErr w:type="spellEnd"/>
      <w:r w:rsidRPr="00CF2777">
        <w:rPr>
          <w:rFonts w:ascii="Arial" w:hAnsi="Arial" w:cs="Arial"/>
        </w:rPr>
        <w:t xml:space="preserve"> users in a phase 3 study</w:t>
      </w:r>
      <w:r w:rsidR="001F24B1">
        <w:rPr>
          <w:rFonts w:ascii="Arial" w:hAnsi="Arial" w:cs="Arial"/>
        </w:rPr>
        <w:t xml:space="preserve"> </w:t>
      </w:r>
      <w:r w:rsidR="001F24B1">
        <w:rPr>
          <w:rFonts w:ascii="Arial" w:hAnsi="Arial" w:cs="Arial"/>
        </w:rPr>
        <w:fldChar w:fldCharType="begin"/>
      </w:r>
      <w:r w:rsidR="001F24B1">
        <w:rPr>
          <w:rFonts w:ascii="Arial" w:hAnsi="Arial" w:cs="Arial"/>
        </w:rPr>
        <w:instrText xml:space="preserve"> ADDIN ZOTERO_ITEM CSL_CITATION {"citationID":"RBZCbWvh","properties":{"formattedCitation":"(29)","plainCitation":"(29)","noteIndex":0},"citationItems":[{"id":120,"uris":["http://zotero.org/users/local/HVWDw8n9/items/SVV2WE4K"],"itemData":{"id":120,"type":"article-journal","container-title":"The Lancet HIV","DOI":"10.1016/S2352-3018(20)30300-3","ISSN":"2352-3018","issue":"2","note":"publisher: Elsevier","page":"e77-e86","title":"Safety, adherence, and HIV-1 seroconversion among women using the dapivirine vaginal ring (DREAM): an open-label, extension study","volume":"8","author":[{"family":"Nel","given":"Annalene"},{"family":"Niekerk","given":"Neliëtte","non-dropping-particle":"van"},{"family":"Van Baelen","given":"Ben"},{"family":"Malherbe","given":"Mariëtte"},{"family":"Mans","given":"Winél"},{"family":"Carter","given":"Allison"},{"family":"Steytler","given":"John"},{"family":"Ryst","given":"Elna","non-dropping-particle":"van der"},{"family":"Craig","given":"Charles"},{"family":"Louw","given":"Cheryl"},{"family":"Gwetu","given":"Thando"},{"family":"Mabude","given":"Zonke"},{"family":"Kotze","given":"Philip"},{"family":"Moraba","given":"Robert"},{"family":"Tempelman","given":"Hugo"},{"family":"Gill","given":"Katherine"},{"family":"Kusemererwa","given":"Sylvia"},{"family":"Bekker","given":"Linda-Gail"},{"family":"Devlin","given":"Brid"},{"family":"Rosenberg","given":"Zeda"}],"issued":{"date-parts":[["2021",2,1]]}}}],"schema":"https://github.com/citation-style-language/schema/raw/master/csl-citation.json"} </w:instrText>
      </w:r>
      <w:r w:rsidR="001F24B1">
        <w:rPr>
          <w:rFonts w:ascii="Arial" w:hAnsi="Arial" w:cs="Arial"/>
        </w:rPr>
        <w:fldChar w:fldCharType="separate"/>
      </w:r>
      <w:r w:rsidR="001F24B1" w:rsidRPr="001F24B1">
        <w:rPr>
          <w:rFonts w:ascii="Arial" w:hAnsi="Arial" w:cs="Arial"/>
        </w:rPr>
        <w:t>(29)</w:t>
      </w:r>
      <w:r w:rsidR="001F24B1">
        <w:rPr>
          <w:rFonts w:ascii="Arial" w:hAnsi="Arial" w:cs="Arial"/>
        </w:rPr>
        <w:fldChar w:fldCharType="end"/>
      </w:r>
      <w:r w:rsidRPr="00CF2777">
        <w:rPr>
          <w:rFonts w:ascii="Arial" w:hAnsi="Arial" w:cs="Arial"/>
        </w:rPr>
        <w:t>.</w:t>
      </w:r>
    </w:p>
    <w:p w14:paraId="5FDF4A14" w14:textId="77777777" w:rsidR="00CF2777" w:rsidRPr="00CF2777" w:rsidRDefault="00CF2777" w:rsidP="00424953">
      <w:pPr>
        <w:pStyle w:val="Body"/>
        <w:contextualSpacing/>
        <w:rPr>
          <w:rFonts w:ascii="Arial" w:hAnsi="Arial" w:cs="Arial"/>
        </w:rPr>
      </w:pPr>
      <w:r w:rsidRPr="00CF2777">
        <w:rPr>
          <w:rFonts w:ascii="Arial" w:hAnsi="Arial" w:cs="Arial"/>
        </w:rPr>
        <w:t xml:space="preserve"> </w:t>
      </w:r>
    </w:p>
    <w:p w14:paraId="1429DBA0" w14:textId="600CB7EE" w:rsidR="00CF2777" w:rsidRDefault="00424953" w:rsidP="00424953">
      <w:pPr>
        <w:pStyle w:val="Body"/>
        <w:contextualSpacing/>
        <w:rPr>
          <w:rFonts w:ascii="Arial" w:hAnsi="Arial" w:cs="Arial"/>
        </w:rPr>
      </w:pPr>
      <w:r>
        <w:rPr>
          <w:rFonts w:ascii="Arial" w:hAnsi="Arial" w:cs="Arial"/>
        </w:rPr>
        <w:lastRenderedPageBreak/>
        <w:t xml:space="preserve">                      </w:t>
      </w:r>
      <w:r w:rsidR="00174320">
        <w:rPr>
          <w:rFonts w:ascii="Arial" w:hAnsi="Arial" w:cs="Arial"/>
          <w:noProof/>
        </w:rPr>
        <w:drawing>
          <wp:inline distT="0" distB="0" distL="0" distR="0" wp14:anchorId="05F9F49B" wp14:editId="4C318A46">
            <wp:extent cx="3912870" cy="3652189"/>
            <wp:effectExtent l="19050" t="19050" r="11430" b="24765"/>
            <wp:docPr id="84164158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2208" cy="3670239"/>
                    </a:xfrm>
                    <a:prstGeom prst="rect">
                      <a:avLst/>
                    </a:prstGeom>
                    <a:noFill/>
                    <a:ln>
                      <a:solidFill>
                        <a:schemeClr val="accent1"/>
                      </a:solidFill>
                    </a:ln>
                  </pic:spPr>
                </pic:pic>
              </a:graphicData>
            </a:graphic>
          </wp:inline>
        </w:drawing>
      </w:r>
    </w:p>
    <w:p w14:paraId="24DB545B" w14:textId="6AAA87C1" w:rsidR="00CF2777" w:rsidRDefault="00CF2777" w:rsidP="00424953">
      <w:pPr>
        <w:pStyle w:val="Body"/>
        <w:contextualSpacing/>
        <w:rPr>
          <w:rFonts w:ascii="Arial" w:hAnsi="Arial" w:cs="Arial"/>
          <w:b/>
          <w:bCs/>
        </w:rPr>
      </w:pPr>
      <w:r w:rsidRPr="00174320">
        <w:rPr>
          <w:rFonts w:ascii="Arial" w:hAnsi="Arial" w:cs="Arial"/>
          <w:b/>
          <w:bCs/>
        </w:rPr>
        <w:t>Fig</w:t>
      </w:r>
      <w:r w:rsidR="00174320" w:rsidRPr="00174320">
        <w:rPr>
          <w:rFonts w:ascii="Arial" w:hAnsi="Arial" w:cs="Arial"/>
          <w:b/>
          <w:bCs/>
        </w:rPr>
        <w:t>.</w:t>
      </w:r>
      <w:r w:rsidRPr="00174320">
        <w:rPr>
          <w:rFonts w:ascii="Arial" w:hAnsi="Arial" w:cs="Arial"/>
          <w:b/>
          <w:bCs/>
        </w:rPr>
        <w:t xml:space="preserve"> </w:t>
      </w:r>
      <w:r w:rsidR="00174320" w:rsidRPr="00174320">
        <w:rPr>
          <w:rFonts w:ascii="Arial" w:hAnsi="Arial" w:cs="Arial"/>
          <w:b/>
          <w:bCs/>
        </w:rPr>
        <w:t>3</w:t>
      </w:r>
      <w:r w:rsidRPr="00174320">
        <w:rPr>
          <w:rFonts w:ascii="Arial" w:hAnsi="Arial" w:cs="Arial"/>
          <w:b/>
          <w:bCs/>
        </w:rPr>
        <w:t>: HIV life cycle and potential targets for inhibition in drug development</w:t>
      </w:r>
      <w:r w:rsidR="00830B7D">
        <w:rPr>
          <w:rFonts w:ascii="Arial" w:hAnsi="Arial" w:cs="Arial"/>
          <w:b/>
          <w:bCs/>
        </w:rPr>
        <w:t xml:space="preserve"> </w:t>
      </w:r>
      <w:r w:rsidR="00830B7D">
        <w:rPr>
          <w:rFonts w:ascii="Arial" w:hAnsi="Arial" w:cs="Arial"/>
          <w:b/>
          <w:bCs/>
        </w:rPr>
        <w:fldChar w:fldCharType="begin"/>
      </w:r>
      <w:r w:rsidR="00830B7D">
        <w:rPr>
          <w:rFonts w:ascii="Arial" w:hAnsi="Arial" w:cs="Arial"/>
          <w:b/>
          <w:bCs/>
        </w:rPr>
        <w:instrText xml:space="preserve"> ADDIN ZOTERO_ITEM CSL_CITATION {"citationID":"xyRwvkG2","properties":{"formattedCitation":"(30)","plainCitation":"(30)","noteIndex":0},"citationItems":[{"id":21,"uris":["http://zotero.org/users/local/HVWDw8n9/items/UTKB6V3F"],"itemData":{"id":21,"type":"document","publisher":"NIAD","title":"HIV Replication Cycle","URL":"https://www.niaid.nih.gov/diseases-conditions/hiv-replication-cycle","author":[{"family":"NIAD","given":""}],"accessed":{"date-parts":[["2024",4,16]]},"issued":{"date-parts":[["2018",6,19]]}}}],"schema":"https://github.com/citation-style-language/schema/raw/master/csl-citation.json"} </w:instrText>
      </w:r>
      <w:r w:rsidR="00830B7D">
        <w:rPr>
          <w:rFonts w:ascii="Arial" w:hAnsi="Arial" w:cs="Arial"/>
          <w:b/>
          <w:bCs/>
        </w:rPr>
        <w:fldChar w:fldCharType="separate"/>
      </w:r>
      <w:r w:rsidR="00830B7D" w:rsidRPr="00830B7D">
        <w:rPr>
          <w:rFonts w:ascii="Arial" w:hAnsi="Arial" w:cs="Arial"/>
        </w:rPr>
        <w:t>(30)</w:t>
      </w:r>
      <w:r w:rsidR="00830B7D">
        <w:rPr>
          <w:rFonts w:ascii="Arial" w:hAnsi="Arial" w:cs="Arial"/>
          <w:b/>
          <w:bCs/>
        </w:rPr>
        <w:fldChar w:fldCharType="end"/>
      </w:r>
    </w:p>
    <w:p w14:paraId="67F20705" w14:textId="77777777" w:rsidR="00424953" w:rsidRPr="00174320" w:rsidRDefault="00424953" w:rsidP="00424953">
      <w:pPr>
        <w:pStyle w:val="Body"/>
        <w:contextualSpacing/>
        <w:rPr>
          <w:rFonts w:ascii="Arial" w:hAnsi="Arial" w:cs="Arial"/>
          <w:b/>
          <w:bCs/>
        </w:rPr>
      </w:pPr>
    </w:p>
    <w:p w14:paraId="67CBF320" w14:textId="699053BE" w:rsidR="00CF2777" w:rsidRPr="00CF2777" w:rsidRDefault="00CF2777" w:rsidP="00424953">
      <w:pPr>
        <w:pStyle w:val="Body"/>
        <w:contextualSpacing/>
        <w:rPr>
          <w:rFonts w:ascii="Arial" w:hAnsi="Arial" w:cs="Arial"/>
        </w:rPr>
      </w:pPr>
      <w:r w:rsidRPr="00CF2777">
        <w:rPr>
          <w:rFonts w:ascii="Arial" w:hAnsi="Arial" w:cs="Arial"/>
        </w:rPr>
        <w:t xml:space="preserve">Vaginal drug delivery offers an opportunity of controlled drug delivery that is discreet, economical, user friendly, good quality with the option for multipurpose prevention products that can not only prevent HIV infection but STIs, cervical cancer and/or pregnancy. Compared to traditional oral drug administration the potential to improve adherence, overcome social barriers to using </w:t>
      </w:r>
      <w:proofErr w:type="spellStart"/>
      <w:r w:rsidRPr="00CF2777">
        <w:rPr>
          <w:rFonts w:ascii="Arial" w:hAnsi="Arial" w:cs="Arial"/>
        </w:rPr>
        <w:t>PrEP</w:t>
      </w:r>
      <w:proofErr w:type="spellEnd"/>
      <w:r w:rsidRPr="00CF2777">
        <w:rPr>
          <w:rFonts w:ascii="Arial" w:hAnsi="Arial" w:cs="Arial"/>
        </w:rPr>
        <w:t>, reduce systemic side effects while improving efficacy and more importantly giving end user better options for their choice of prevention product to use</w:t>
      </w:r>
      <w:r w:rsidR="00830B7D">
        <w:rPr>
          <w:rFonts w:ascii="Arial" w:hAnsi="Arial" w:cs="Arial"/>
        </w:rPr>
        <w:t xml:space="preserve"> </w:t>
      </w:r>
      <w:r w:rsidR="00830B7D">
        <w:rPr>
          <w:rFonts w:ascii="Arial" w:hAnsi="Arial" w:cs="Arial"/>
        </w:rPr>
        <w:fldChar w:fldCharType="begin"/>
      </w:r>
      <w:r w:rsidR="00830B7D">
        <w:rPr>
          <w:rFonts w:ascii="Arial" w:hAnsi="Arial" w:cs="Arial"/>
        </w:rPr>
        <w:instrText xml:space="preserve"> ADDIN ZOTERO_ITEM CSL_CITATION {"citationID":"08zMSRZ8","properties":{"formattedCitation":"(5)","plainCitation":"(5)","noteIndex":0},"citationItems":[{"id":15,"uris":["http://zotero.org/users/local/HVWDw8n9/items/DDU7PKIG"],"itemData":{"id":15,"type":"article-journal","abstract":"HIV topical microbicides are products with anti-HIV activity, generally incorporating a direct-acting antiretroviral agent, that when applied to the  vagina or rectum have the potential to prevent the sexual acquisition of HIV in  women and men. Topical microbicides may meet the prevention needs of individuals  and groups for whom oral daily forms of pre-exposure prophylaxis (PrEP) have not  been acceptable. Microbicides can provide personal control over HIV prevention  and offer the possibility of discreet use, qualities that may be particularly  important for receptive partners in sexual relationships such as women and  transgender women and men, who together account for the clear majority of new HIV  infections worldwide. Although the promise of such a product emerged nearly three  decades ago, proof of concept has been demonstrated only within the last decade.  A robust pipeline of microbicidal gels, films, inserts, and rings has been  evaluated in multiple studies among at-risk women and men, and refinement of  products for ease of use, reversibility, and high safety is the priority for the  field.","container-title":"Annual review of medicine","DOI":"10.1146/annurev-med-090518-093731","ISSN":"1545-326X 0066-4219","journalAbbreviation":"Annu Rev Med","language":"eng","note":"publisher-place: United States\nPMID: 31613684 \nPMCID: PMC8038211","page":"361-377","title":"Topical Microbicides in HIV Prevention: State of the Promise.","volume":"71","author":[{"family":"Baeten","given":"Jared M."},{"family":"Hendrix","given":"Craig W."},{"family":"Hillier","given":"Sharon L."}],"issued":{"date-parts":[["2020",1,27]]}}}],"schema":"https://github.com/citation-style-language/schema/raw/master/csl-citation.json"} </w:instrText>
      </w:r>
      <w:r w:rsidR="00830B7D">
        <w:rPr>
          <w:rFonts w:ascii="Arial" w:hAnsi="Arial" w:cs="Arial"/>
        </w:rPr>
        <w:fldChar w:fldCharType="separate"/>
      </w:r>
      <w:r w:rsidR="00830B7D" w:rsidRPr="00830B7D">
        <w:rPr>
          <w:rFonts w:ascii="Arial" w:hAnsi="Arial" w:cs="Arial"/>
        </w:rPr>
        <w:t>(5)</w:t>
      </w:r>
      <w:r w:rsidR="00830B7D">
        <w:rPr>
          <w:rFonts w:ascii="Arial" w:hAnsi="Arial" w:cs="Arial"/>
        </w:rPr>
        <w:fldChar w:fldCharType="end"/>
      </w:r>
      <w:r w:rsidRPr="00CF2777">
        <w:rPr>
          <w:rFonts w:ascii="Arial" w:hAnsi="Arial" w:cs="Arial"/>
        </w:rPr>
        <w:t xml:space="preserve">. Several product types have been developed from preclinical stage to clinal use including intravaginal rings, tablets, fast dissolving inserts, hydrogels and polymeric films. </w:t>
      </w:r>
    </w:p>
    <w:p w14:paraId="721D6E65" w14:textId="649E65CE" w:rsidR="00CF2777" w:rsidRPr="00CF2777" w:rsidRDefault="00CF2777" w:rsidP="00424953">
      <w:pPr>
        <w:pStyle w:val="Body"/>
        <w:contextualSpacing/>
        <w:rPr>
          <w:rFonts w:ascii="Arial" w:hAnsi="Arial" w:cs="Arial"/>
        </w:rPr>
      </w:pPr>
      <w:r w:rsidRPr="00CF2777">
        <w:rPr>
          <w:rFonts w:ascii="Arial" w:hAnsi="Arial" w:cs="Arial"/>
        </w:rPr>
        <w:t xml:space="preserve">To enhance drug delivery with various dosage forms, APIs are incorporated or fabricated as nanoparticles. Based on previous research work done the ideal target product profile for NPs that can improve drug retention, reduce clearance through </w:t>
      </w:r>
      <w:proofErr w:type="spellStart"/>
      <w:r w:rsidRPr="00CF2777">
        <w:rPr>
          <w:rFonts w:ascii="Arial" w:hAnsi="Arial" w:cs="Arial"/>
        </w:rPr>
        <w:t>opsonisation</w:t>
      </w:r>
      <w:proofErr w:type="spellEnd"/>
      <w:r w:rsidRPr="00CF2777">
        <w:rPr>
          <w:rFonts w:ascii="Arial" w:hAnsi="Arial" w:cs="Arial"/>
        </w:rPr>
        <w:t xml:space="preserve"> and increase bio-adhesion in the vaginal lumen is shown in the table 1 and 2</w:t>
      </w:r>
      <w:r w:rsidR="00830B7D">
        <w:rPr>
          <w:rFonts w:ascii="Arial" w:hAnsi="Arial" w:cs="Arial"/>
        </w:rPr>
        <w:t xml:space="preserve"> </w:t>
      </w:r>
      <w:r w:rsidR="00830B7D">
        <w:rPr>
          <w:rFonts w:ascii="Arial" w:hAnsi="Arial" w:cs="Arial"/>
        </w:rPr>
        <w:fldChar w:fldCharType="begin"/>
      </w:r>
      <w:r w:rsidR="00830B7D">
        <w:rPr>
          <w:rFonts w:ascii="Arial" w:hAnsi="Arial" w:cs="Arial"/>
        </w:rPr>
        <w:instrText xml:space="preserve"> ADDIN ZOTERO_ITEM CSL_CITATION {"citationID":"i2LsFqV8","properties":{"formattedCitation":"(31,32)","plainCitation":"(31,32)","noteIndex":0},"citationItems":[{"id":124,"uris":["http://zotero.org/users/local/HVWDw8n9/items/88XMZPKJ"],"itemData":{"id":124,"type":"article-journal","abstract":"BACKGROUND: Vaginal drug delivery approach represents one of the imperative strategies for local and systemic delivery of drugs. The peculiar dense vascular  networks, mucus permeability, and range of physiological characteristics of the  vaginal cavity have been exploited for therapeutic benefit. Furthermore, the  vaginal drug delivery has been curtailed due to the influence of different  physiological factors like acidic pH, constant cervical secretion, microflora,  cyclic changes during periods along with turnover of mucus of varying thickness.  OBJECTIVE: This review highlights advancement of nanomedicine and its prospective  progress towards the clinic. METHODS: Relevant literature reports and patents  related to topics are retrieved and used. RESULT: The extensive literature search  and patent revealed that nanocarriers are efficacious over conventional treatment  approaches. CONCLUSION: Recently, nanotechnology based drug delivery approach has  promised better therapeutic outcomes by providing enhanced permeation and  sustained drug release activity. Different nanoplatforms based on drugs,  peptides, proteins, antigens, hormones, nucleic material, and microbicides are  gaining momentum for vaginal therapeutics.","container-title":"Recent patents on drug delivery &amp; formulation","DOI":"10.2174/1872211313666190215141507","ISSN":"2212-4039 1872-2113","issue":"1","journalAbbreviation":"Recent Pat Drug Deliv Formul","language":"eng","license":"Copyright© Bentham Science Publishers; For any queries, please email at epub@benthamscience.net.","note":"publisher-place: United Arab Emirates\nPMID: 30767755","page":"3-15","title":"Nanocarriers For Vaginal Drug Delivery.","volume":"13","author":[{"family":"Iqbal","given":"Zeenat"},{"family":"Dilnawaz","given":"Fahima"}],"issued":{"date-parts":[["2019"]]}}},{"id":123,"uris":["http://zotero.org/users/local/HVWDw8n9/items/MI2NUUIB"],"itemData":{"id":123,"type":"article-journal","abstract":"MK-2048 is a second-generation integrase inhibitor active against HIV, which has been applied vaginally using ring formulations. In this work, a  nanoparticle-in-film technology was developed as a discrete pre-exposure  prophylactic product option against HIV for an extended duration of use. A film  platform loaded with poly (lactic-co-glycolic acid) nanoparticles (PNP)  encapsulating MK-2048 was engineered. MK-2048 PNPs were loaded into films that  were manufactured via the solvent casting method. Physicochemical and mechanical  properties, in vitro efficacy, Lactobacillus compatibility, in vitro and ex vivo  permeability, and in vivo pharmacokinetics in macaques were evaluated. PNPs with  a mean diameter of 382.2 nm and −15.2 mV zeta potential were obtained with 95.2%  drug encapsulation efficiency. PNP films showed comparable in vitro efficacy to  free MK-2048 (IC50 0.46 vs. 0.54 nM) and were found to have no impact on  Lactobacillus. MK-2048 encapsulated in PNPs showed an increase in permeability  (&gt;4-fold) compared to the free MK-2048 in MDCKII cell lines. Furthermore, PNPs  had higher ectocervical tissue permeability (1.7-fold) compared to free MK-2048.  PNP films showed sustained drug levels for at least 3 weeks in the macaque  vaginal fluid. This work demonstrates the synergy of integrating nanomedicine and  polymeric film technology to achieve sustained vaginal drug delivery.","container-title":"Polymers","DOI":"10.3390/polym14061196","ISSN":"2073-4360","issue":"6","journalAbbreviation":"Polymers (Basel)","language":"eng","note":"publisher-place: Switzerland\nPMID: 35335526 \nPMCID: PMC8955144","title":"Development and Evaluation of Nanoparticles-in-Film Technology to Achieve Extended In Vivo Exposure of MK-2048 for HIV Prevention.","volume":"14","author":[{"family":"Tong","given":"Xin"},{"family":"Patel","given":"Sravan Kumar"},{"family":"Li","given":"Jing"},{"family":"Patton","given":"Dorothy"},{"family":"Xu","given":"Elaine"},{"family":"Anderson","given":"Peter L."},{"family":"Parikh","given":"Urvi"},{"family":"Sweeney","given":"Yvonne"},{"family":"Strizki","given":"Julie"},{"family":"Hillier","given":"Sharon L."},{"family":"Rohan","given":"Lisa C."}],"issued":{"date-parts":[["2022",3,16]]}}}],"schema":"https://github.com/citation-style-language/schema/raw/master/csl-citation.json"} </w:instrText>
      </w:r>
      <w:r w:rsidR="00830B7D">
        <w:rPr>
          <w:rFonts w:ascii="Arial" w:hAnsi="Arial" w:cs="Arial"/>
        </w:rPr>
        <w:fldChar w:fldCharType="separate"/>
      </w:r>
      <w:r w:rsidR="00830B7D" w:rsidRPr="00830B7D">
        <w:rPr>
          <w:rFonts w:ascii="Arial" w:hAnsi="Arial" w:cs="Arial"/>
        </w:rPr>
        <w:t>(31,32)</w:t>
      </w:r>
      <w:r w:rsidR="00830B7D">
        <w:rPr>
          <w:rFonts w:ascii="Arial" w:hAnsi="Arial" w:cs="Arial"/>
        </w:rPr>
        <w:fldChar w:fldCharType="end"/>
      </w:r>
      <w:r w:rsidR="00830B7D">
        <w:rPr>
          <w:rFonts w:ascii="Arial" w:hAnsi="Arial" w:cs="Arial"/>
        </w:rPr>
        <w:t>.</w:t>
      </w:r>
    </w:p>
    <w:p w14:paraId="48651A48" w14:textId="032D0454" w:rsidR="00A03B96" w:rsidRDefault="00CF2777" w:rsidP="00424953">
      <w:pPr>
        <w:pStyle w:val="Body"/>
        <w:spacing w:after="0"/>
        <w:contextualSpacing/>
        <w:rPr>
          <w:rFonts w:ascii="Arial" w:hAnsi="Arial" w:cs="Arial"/>
        </w:rPr>
      </w:pPr>
      <w:r w:rsidRPr="00CF2777">
        <w:rPr>
          <w:rFonts w:ascii="Arial" w:hAnsi="Arial" w:cs="Arial"/>
        </w:rPr>
        <w:t xml:space="preserve">Multiple considerations should be made in the product design of a microbicide as </w:t>
      </w:r>
      <w:proofErr w:type="spellStart"/>
      <w:r w:rsidRPr="00CF2777">
        <w:rPr>
          <w:rFonts w:ascii="Arial" w:hAnsi="Arial" w:cs="Arial"/>
        </w:rPr>
        <w:t>summarised</w:t>
      </w:r>
      <w:proofErr w:type="spellEnd"/>
      <w:r w:rsidRPr="00CF2777">
        <w:rPr>
          <w:rFonts w:ascii="Arial" w:hAnsi="Arial" w:cs="Arial"/>
        </w:rPr>
        <w:t xml:space="preserve"> in table 1.</w:t>
      </w:r>
    </w:p>
    <w:p w14:paraId="5446B08C" w14:textId="77777777" w:rsidR="00CF2777" w:rsidRDefault="00CF2777" w:rsidP="00424953">
      <w:pPr>
        <w:pStyle w:val="Body"/>
        <w:spacing w:after="0"/>
        <w:contextualSpacing/>
        <w:rPr>
          <w:rFonts w:ascii="Arial" w:hAnsi="Arial" w:cs="Arial"/>
        </w:rPr>
      </w:pPr>
    </w:p>
    <w:p w14:paraId="69B3BE0A" w14:textId="718F3A5B" w:rsidR="00F55EDE" w:rsidRPr="00F55EDE" w:rsidRDefault="00F55EDE" w:rsidP="00424953">
      <w:pPr>
        <w:pStyle w:val="NormalWeb"/>
        <w:contextualSpacing/>
        <w:jc w:val="both"/>
        <w:rPr>
          <w:rFonts w:ascii="Arial" w:hAnsi="Arial" w:cs="Arial"/>
          <w:b/>
          <w:bCs/>
          <w:sz w:val="20"/>
          <w:szCs w:val="20"/>
        </w:rPr>
      </w:pPr>
      <w:r w:rsidRPr="00F55EDE">
        <w:rPr>
          <w:rFonts w:ascii="Arial" w:hAnsi="Arial" w:cs="Arial"/>
          <w:b/>
          <w:bCs/>
          <w:sz w:val="20"/>
          <w:szCs w:val="20"/>
        </w:rPr>
        <w:t>Table 1: A summary of considerations to be made in formulation of microbicides for HIV prevention</w:t>
      </w:r>
    </w:p>
    <w:tbl>
      <w:tblPr>
        <w:tblStyle w:val="ListTable6Colorful"/>
        <w:tblW w:w="9300" w:type="dxa"/>
        <w:tblLayout w:type="fixed"/>
        <w:tblLook w:val="04A0" w:firstRow="1" w:lastRow="0" w:firstColumn="1" w:lastColumn="0" w:noHBand="0" w:noVBand="1"/>
      </w:tblPr>
      <w:tblGrid>
        <w:gridCol w:w="2924"/>
        <w:gridCol w:w="6376"/>
      </w:tblGrid>
      <w:tr w:rsidR="00F55EDE" w:rsidRPr="00F55EDE" w14:paraId="5AB97BE3" w14:textId="77777777" w:rsidTr="00F55ED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0" w:type="dxa"/>
            <w:gridSpan w:val="2"/>
          </w:tcPr>
          <w:p w14:paraId="60273217" w14:textId="6EC8178C" w:rsidR="00F55EDE" w:rsidRPr="00F55EDE" w:rsidRDefault="00F55EDE" w:rsidP="00424953">
            <w:pPr>
              <w:contextualSpacing/>
              <w:rPr>
                <w:rFonts w:ascii="Arial" w:hAnsi="Arial" w:cs="Arial"/>
                <w:lang w:val="en-ZW" w:eastAsia="en-ZW"/>
              </w:rPr>
            </w:pPr>
            <w:r w:rsidRPr="00F55EDE">
              <w:rPr>
                <w:rFonts w:ascii="Arial" w:hAnsi="Arial" w:cs="Arial"/>
                <w:lang w:val="en-ZW" w:eastAsia="en-ZW"/>
              </w:rPr>
              <w:t>Product formulation, physicochemical characterization of a topical microbicide in vitro, in vivo and ex vivo testing</w:t>
            </w:r>
            <w:r w:rsidR="00F7686E">
              <w:rPr>
                <w:rFonts w:ascii="Arial" w:hAnsi="Arial" w:cs="Arial"/>
                <w:lang w:val="en-ZW" w:eastAsia="en-ZW"/>
              </w:rPr>
              <w:t xml:space="preserve"> </w:t>
            </w:r>
            <w:r w:rsidR="00830B7D">
              <w:rPr>
                <w:rFonts w:ascii="Arial" w:hAnsi="Arial" w:cs="Arial"/>
                <w:lang w:val="en-ZW" w:eastAsia="en-ZW"/>
              </w:rPr>
              <w:fldChar w:fldCharType="begin"/>
            </w:r>
            <w:r w:rsidR="00F7686E">
              <w:rPr>
                <w:rFonts w:ascii="Arial" w:hAnsi="Arial" w:cs="Arial"/>
                <w:lang w:val="en-ZW" w:eastAsia="en-ZW"/>
              </w:rPr>
              <w:instrText xml:space="preserve"> ADDIN ZOTERO_ITEM CSL_CITATION {"citationID":"FjkE4tD3","properties":{"formattedCitation":"(7,8,32,33)","plainCitation":"(7,8,32,33)","noteIndex":0},"citationItems":[{"id":16,"uris":["http://zotero.org/users/local/HVWDw8n9/items/V9HAWPUY"],"itemData":{"id":16,"type":"article-journal","abstract":"The review is focused on the hydrogel systems dedicated to the intravaginal delivery of antibacterial, antifungal and anti-Trichomonas vaginalis activity  drugs for the treatment of gynaecological infections. The strategies for the  enhancement of the hydrophobic drug solubility in the hydrogel matrix based on  the formation of bigel systems and the introduction of nano- and microparticles  as a drug reservoir are presented. Hydrogel carriers of natural and synthetic  pharmacological substances, drug-free systems displaying antimicrobial activity  thanks to the hydrogel building elements and systems combining the antimicrobial  activity of both drug and polymer building components are distinguished. The  design of hydrogels facilitating their administration and proper distribution in  the vaginal mucosa and the vagina based on thermoresponsive systems capable of  gelling at vaginal conditions and already-cross-linked injectable systems after  reaching the yield stress are discussed. In addition, the mechanisms of hydrogel  bioadhesion that regulate the retention time in the vagina are indicated.  Finally, the prospects for the further development of hydrogel-based drug  carriers in gynaecological therapies are highlighted.","container-title":"Pharmaceutics","DOI":"10.3390/pharmaceutics13091393","ISSN":"1999-4923","issue":"9","journalAbbreviation":"Pharmaceutics","language":"eng","note":"publisher-place: Switzerland\nPMID: 34575468 \nPMCID: PMC8469626","title":"Antimicrobial Polymer-Based Hydrogels for the Intravaginal Therapies-Engineering Considerations.","volume":"13","author":[{"family":"Gosecka","given":"Monika"},{"family":"Gosecki","given":"Mateusz"}],"issued":{"date-parts":[["2021",9,2]]}}},{"id":17,"uris":["http://zotero.org/users/local/HVWDw8n9/items/NC49PC9Y"],"itemData":{"id":17,"type":"article-journal","abstract":"Griffithsin (GRFT) has shown potent anti-HIV activity, and it is being developed as a drug candidate for HIV prevention. Successful implementation requires  thorough understanding of its preformulation characterization. In this work,  preformulation assessments were conducted to characterize GRFT and identify its  degradation pathways under selected conditions of temperature, light, pH, shear,  ionic strength, and oxidation. Compatibility with vaginal fluid simulant, vaginal  enzymes, Lactobacillus spp., and human cervicovaginal secretions was assessed.  The purity, melting temperature, and HIV gp120-binding affinity of GRFT stored at  4°C and 25°C in phosphate-buffered saline (PBS) were assessed for 2 years.  Chemical modifications were evaluated by intact mass analysis and peptide  sequencing. Excised human ectocervical tissue permeability and localization of  GRFT were evaluated. Our results demonstrated GRFT to be safe and stable under  all the preformulation assessment conditions studied except oxidative stress.  When GRFT was exposed to hydrogen peroxide or human cervicovaginal secretion,  methionine 78 in the protein sequence underwent oxidation. GRFT did not permeate  through human cervical tissue but adhered to the superficial epithelial tissue.  The 2-year stability study revealed no significant change in GRFT's aggregation,  degradation, melting temperature, or gp120-binding affinity despite a slow  increase in oxidation over time. These studies elucidated desirable safety and  bioactivity profile for GRFT, showing promise as a potential drug candidate for  HIV prevention. However, susceptibility to oxidative degradation was identified.  Effective protection of GRFT from oxidation is required for further development.","container-title":"AAPS PharmSciTech","DOI":"10.1208/s12249-021-01931-0","ISSN":"1530-9932","issue":"3","journalAbbreviation":"AAPS PharmSciTech","language":"eng","note":"publisher-place: United States\nPMID: 33625602 \nPMCID: PMC7903873","page":"83","title":"Preformulation Characterization of Griffithsin, a Biopharmaceutical Candidate for HIV Prevention.","volume":"22","author":[{"family":"Kramzer","given":"Lindsay F."},{"family":"Hamorsky","given":"Krystal T."},{"family":"Graebing","given":"Phillip W."},{"family":"Wang","given":"Lin"},{"family":"Fuqua","given":"Joshua L."},{"family":"Matoba","given":"Nobuyuki"},{"family":"Lasnik","given":"Amanda B."},{"family":"Moncla","given":"Bernard J."},{"family":"Zhang","given":"Junmei"},{"family":"Palmer","given":"Kenneth E."},{"family":"Rohan","given":"Lisa C."}],"issued":{"date-parts":[["2021",2,24]]}}},{"id":123,"uris":["http://zotero.org/users/local/HVWDw8n9/items/MI2NUUIB"],"itemData":{"id":123,"type":"article-journal","abstract":"MK-2048 is a second-generation integrase inhibitor active against HIV, which has been applied vaginally using ring formulations. In this work, a  nanoparticle-in-film technology was developed as a discrete pre-exposure  prophylactic product option against HIV for an extended duration of use. A film  platform loaded with poly (lactic-co-glycolic acid) nanoparticles (PNP)  encapsulating MK-2048 was engineered. MK-2048 PNPs were loaded into films that  were manufactured via the solvent casting method. Physicochemical and mechanical  properties, in vitro efficacy, Lactobacillus compatibility, in vitro and ex vivo  permeability, and in vivo pharmacokinetics in macaques were evaluated. PNPs with  a mean diameter of 382.2 nm and −15.2 mV zeta potential were obtained with 95.2%  drug encapsulation efficiency. PNP films showed comparable in vitro efficacy to  free MK-2048 (IC50 0.46 vs. 0.54 nM) and were found to have no impact on  Lactobacillus. MK-2048 encapsulated in PNPs showed an increase in permeability  (&gt;4-fold) compared to the free MK-2048 in MDCKII cell lines. Furthermore, PNPs  had higher ectocervical tissue permeability (1.7-fold) compared to free MK-2048.  PNP films showed sustained drug levels for at least 3 weeks in the macaque  vaginal fluid. This work demonstrates the synergy of integrating nanomedicine and  polymeric film technology to achieve sustained vaginal drug delivery.","container-title":"Polymers","DOI":"10.3390/polym14061196","ISSN":"2073-4360","issue":"6","journalAbbreviation":"Polymers (Basel)","language":"eng","note":"publisher-place: Switzerland\nPMID: 35335526 \nPMCID: PMC8955144","title":"Development and Evaluation of Nanoparticles-in-Film Technology to Achieve Extended In Vivo Exposure of MK-2048 for HIV Prevention.","volume":"14","author":[{"family":"Tong","given":"Xin"},{"family":"Patel","given":"Sravan Kumar"},{"family":"Li","given":"Jing"},{"family":"Patton","given":"Dorothy"},{"family":"Xu","given":"Elaine"},{"family":"Anderson","given":"Peter L."},{"family":"Parikh","given":"Urvi"},{"family":"Sweeney","given":"Yvonne"},{"family":"Strizki","given":"Julie"},{"family":"Hillier","given":"Sharon L."},{"family":"Rohan","given":"Lisa C."}],"issued":{"date-parts":[["2022",3,16]]}}},{"id":132,"uris":["http://zotero.org/users/local/HVWDw8n9/items/VAV4K4NB"],"itemData":{"id":132,"type":"article-journal","abstract":"Our main aim in the present investigation, development and evaluation of the Niclosamide (NCL) based nanocrystals (NC) and hydrogel to provide effective anti-psoriatic activity. The prepared nanosuspension of NCL was stabilized by using poly-vinyl-pyrrolidone/vinyl acetate (PVP/VA) co-polymer with 1:1 ratio (drug/polymer-copolymer) to get stable nanocrystals, which were further modified using hyaluronic acid to provide CD-44 targeting. Central composite design of the experiment was applied in the study to screen out the various independent variables and their response surface graphs. The particle size and polydispersity index of the nanosuspension was measured 173.3 ± 10.2 nm and 0.221 ± 0.09. The solid-state characterization was performed using electron microscopy, Differential scanning calorimetry, powdered x-ray diffraction, and spectroscopic techniques of prepared nanocrystals. The NCL-hydrogel was shows the drug content 95.5% ± 0.12 to 96.5% ± 0.4 and delayed 8.25 ± 1.6% drug released in 12hr. The NCL-hydrogel was found stable at 25 ± 2 °C. The drug release pattern follows the Higuchi model with the highest regression coefficient (R2) and minimum Akaike Information Criteria value (AIC). Cytotoxicity assay in HaCaT cells showed an increase in inhibitory effect by all the formulations than coarse-NCL. The IC50 value NCL, F1 and F2 were found to be 1.25 μM (373 μg/ml), 0.017 μM (57 ng/ml) and 0.023 μM (74 ng/ml), respectively at 48hr using HaCaT cells.","container-title":"Journal of Drug Delivery Science and Technology","DOI":"10.1016/j.jddst.2022.103503","ISSN":"1773-2247","journalAbbreviation":"Journal of Drug Delivery Science and Technology","page":"103503","title":"Development and evaluation of nanocrystals loaded hydrogel for topical application","volume":"74","author":[{"family":"Kumar","given":"Ankaj"},{"family":"Valamla","given":"Bhavana"},{"family":"Thakor","given":"Pradeep"},{"family":"Chary","given":"Padakanti Sandeep"},{"family":"Rajana","given":"Naveen"},{"family":"Mehra","given":"Neelesh Kumar"}],"issued":{"date-parts":[["2022",8,1]]}}}],"schema":"https://github.com/citation-style-language/schema/raw/master/csl-citation.json"} </w:instrText>
            </w:r>
            <w:r w:rsidR="00830B7D">
              <w:rPr>
                <w:rFonts w:ascii="Arial" w:hAnsi="Arial" w:cs="Arial"/>
                <w:lang w:val="en-ZW" w:eastAsia="en-ZW"/>
              </w:rPr>
              <w:fldChar w:fldCharType="separate"/>
            </w:r>
            <w:r w:rsidR="00F7686E" w:rsidRPr="00F7686E">
              <w:rPr>
                <w:rFonts w:ascii="Arial" w:hAnsi="Arial" w:cs="Arial"/>
              </w:rPr>
              <w:t>(7,8,32,33)</w:t>
            </w:r>
            <w:r w:rsidR="00830B7D">
              <w:rPr>
                <w:rFonts w:ascii="Arial" w:hAnsi="Arial" w:cs="Arial"/>
                <w:lang w:val="en-ZW" w:eastAsia="en-ZW"/>
              </w:rPr>
              <w:fldChar w:fldCharType="end"/>
            </w:r>
            <w:r w:rsidR="00830B7D">
              <w:rPr>
                <w:rFonts w:ascii="Arial" w:hAnsi="Arial" w:cs="Arial"/>
                <w:lang w:val="en-ZW" w:eastAsia="en-ZW"/>
              </w:rPr>
              <w:t xml:space="preserve"> </w:t>
            </w:r>
          </w:p>
        </w:tc>
      </w:tr>
      <w:tr w:rsidR="00F55EDE" w:rsidRPr="00F55EDE" w14:paraId="3E0169FD" w14:textId="77777777" w:rsidTr="00F55E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4" w:type="dxa"/>
            <w:shd w:val="clear" w:color="auto" w:fill="auto"/>
          </w:tcPr>
          <w:p w14:paraId="18D2A403" w14:textId="77777777" w:rsidR="00F55EDE" w:rsidRPr="00F55EDE" w:rsidRDefault="00F55EDE" w:rsidP="00424953">
            <w:pPr>
              <w:contextualSpacing/>
              <w:rPr>
                <w:rFonts w:ascii="Arial" w:hAnsi="Arial" w:cs="Arial"/>
                <w:lang w:val="en-ZW" w:eastAsia="en-ZW"/>
              </w:rPr>
            </w:pPr>
            <w:r w:rsidRPr="00F55EDE">
              <w:rPr>
                <w:rFonts w:ascii="Arial" w:hAnsi="Arial" w:cs="Arial"/>
                <w:lang w:val="en-ZW" w:eastAsia="en-ZW"/>
              </w:rPr>
              <w:t>Component</w:t>
            </w:r>
          </w:p>
        </w:tc>
        <w:tc>
          <w:tcPr>
            <w:tcW w:w="6376" w:type="dxa"/>
            <w:shd w:val="clear" w:color="auto" w:fill="auto"/>
          </w:tcPr>
          <w:p w14:paraId="5DE3F888" w14:textId="77777777" w:rsidR="00F55EDE" w:rsidRPr="00F55EDE" w:rsidRDefault="00F55EDE" w:rsidP="00424953">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bCs/>
                <w:lang w:val="en-ZW" w:eastAsia="en-ZW"/>
              </w:rPr>
            </w:pPr>
            <w:r w:rsidRPr="00F55EDE">
              <w:rPr>
                <w:rFonts w:ascii="Arial" w:hAnsi="Arial" w:cs="Arial"/>
                <w:b/>
                <w:bCs/>
                <w:lang w:val="en-ZW" w:eastAsia="en-ZW"/>
              </w:rPr>
              <w:t>Equipment required and/ rationale</w:t>
            </w:r>
          </w:p>
          <w:p w14:paraId="63EAB3D2" w14:textId="77777777" w:rsidR="00F55EDE" w:rsidRPr="00F55EDE" w:rsidRDefault="00F55EDE" w:rsidP="00424953">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bCs/>
                <w:lang w:val="en-ZW" w:eastAsia="en-ZW"/>
              </w:rPr>
            </w:pPr>
          </w:p>
        </w:tc>
      </w:tr>
      <w:tr w:rsidR="00F55EDE" w:rsidRPr="00F55EDE" w14:paraId="021B3EDF" w14:textId="77777777" w:rsidTr="00F55EDE">
        <w:trPr>
          <w:trHeight w:val="300"/>
        </w:trPr>
        <w:tc>
          <w:tcPr>
            <w:cnfStyle w:val="001000000000" w:firstRow="0" w:lastRow="0" w:firstColumn="1" w:lastColumn="0" w:oddVBand="0" w:evenVBand="0" w:oddHBand="0" w:evenHBand="0" w:firstRowFirstColumn="0" w:firstRowLastColumn="0" w:lastRowFirstColumn="0" w:lastRowLastColumn="0"/>
            <w:tcW w:w="2924" w:type="dxa"/>
          </w:tcPr>
          <w:p w14:paraId="574BDB90" w14:textId="77777777" w:rsidR="00F55EDE" w:rsidRPr="00F55EDE" w:rsidRDefault="00F55EDE" w:rsidP="00424953">
            <w:pPr>
              <w:contextualSpacing/>
              <w:rPr>
                <w:rFonts w:ascii="Arial" w:hAnsi="Arial" w:cs="Arial"/>
                <w:lang w:val="en-ZW" w:eastAsia="en-ZW"/>
              </w:rPr>
            </w:pPr>
            <w:r w:rsidRPr="00F55EDE">
              <w:rPr>
                <w:rFonts w:ascii="Arial" w:hAnsi="Arial" w:cs="Arial"/>
                <w:lang w:val="en-ZW" w:eastAsia="en-ZW"/>
              </w:rPr>
              <w:t>Preformulation characterization</w:t>
            </w:r>
          </w:p>
        </w:tc>
        <w:tc>
          <w:tcPr>
            <w:tcW w:w="6376" w:type="dxa"/>
          </w:tcPr>
          <w:p w14:paraId="6AF37A87" w14:textId="77777777" w:rsidR="00F55EDE" w:rsidRPr="00F55EDE" w:rsidRDefault="00F55EDE" w:rsidP="00424953">
            <w:pPr>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n-ZW" w:eastAsia="en-ZW"/>
              </w:rPr>
            </w:pPr>
            <w:r w:rsidRPr="00F55EDE">
              <w:rPr>
                <w:rFonts w:ascii="Arial" w:hAnsi="Arial" w:cs="Arial"/>
                <w:lang w:val="en-ZW" w:eastAsia="en-ZW"/>
              </w:rPr>
              <w:t xml:space="preserve">To understand and define the API, selection criteria for vaginal drug delivery and HIV prevention. Analytical method development (HPLC </w:t>
            </w:r>
            <w:r w:rsidRPr="00F55EDE">
              <w:rPr>
                <w:rFonts w:ascii="Arial" w:hAnsi="Arial" w:cs="Arial"/>
                <w:lang w:val="en-ZW" w:eastAsia="en-ZW"/>
              </w:rPr>
              <w:lastRenderedPageBreak/>
              <w:t>and LCMS), excipient and API compatibility. Thermal analytical methods using DSC for crystallinity and thermal behaviour.</w:t>
            </w:r>
          </w:p>
          <w:p w14:paraId="1432F630" w14:textId="57375E5D" w:rsidR="00F55EDE" w:rsidRPr="00F55EDE" w:rsidRDefault="00F55EDE" w:rsidP="00424953">
            <w:pPr>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n-ZW" w:eastAsia="en-ZW"/>
              </w:rPr>
            </w:pPr>
          </w:p>
        </w:tc>
      </w:tr>
      <w:tr w:rsidR="00F55EDE" w:rsidRPr="00F55EDE" w14:paraId="19C1863A" w14:textId="77777777" w:rsidTr="00F55E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4" w:type="dxa"/>
            <w:shd w:val="clear" w:color="auto" w:fill="auto"/>
          </w:tcPr>
          <w:p w14:paraId="6A47A3A9" w14:textId="77777777" w:rsidR="00F55EDE" w:rsidRPr="00F55EDE" w:rsidRDefault="00F55EDE" w:rsidP="00424953">
            <w:pPr>
              <w:contextualSpacing/>
              <w:rPr>
                <w:rFonts w:ascii="Arial" w:hAnsi="Arial" w:cs="Arial"/>
                <w:lang w:val="en-ZW" w:eastAsia="en-ZW"/>
              </w:rPr>
            </w:pPr>
            <w:r w:rsidRPr="00F55EDE">
              <w:rPr>
                <w:rFonts w:ascii="Arial" w:hAnsi="Arial" w:cs="Arial"/>
                <w:lang w:val="en-ZW" w:eastAsia="en-ZW"/>
              </w:rPr>
              <w:lastRenderedPageBreak/>
              <w:t>Formulation development</w:t>
            </w:r>
          </w:p>
        </w:tc>
        <w:tc>
          <w:tcPr>
            <w:tcW w:w="6376" w:type="dxa"/>
            <w:shd w:val="clear" w:color="auto" w:fill="auto"/>
          </w:tcPr>
          <w:p w14:paraId="35CD6BAB" w14:textId="77777777" w:rsidR="00F55EDE" w:rsidRPr="00F55EDE" w:rsidRDefault="00F55EDE" w:rsidP="00424953">
            <w:pPr>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n-ZW" w:eastAsia="en-ZW"/>
              </w:rPr>
            </w:pPr>
            <w:r w:rsidRPr="00F55EDE">
              <w:rPr>
                <w:rFonts w:ascii="Arial" w:hAnsi="Arial" w:cs="Arial"/>
                <w:lang w:val="en-ZW" w:eastAsia="en-ZW"/>
              </w:rPr>
              <w:t>Dosage form selection, Design of Experiment and process optimization, target product profile</w:t>
            </w:r>
          </w:p>
          <w:p w14:paraId="595E8281" w14:textId="77777777" w:rsidR="00F55EDE" w:rsidRPr="00F55EDE" w:rsidRDefault="00F55EDE" w:rsidP="00424953">
            <w:pPr>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n-ZW" w:eastAsia="en-ZW"/>
              </w:rPr>
            </w:pPr>
          </w:p>
        </w:tc>
      </w:tr>
      <w:tr w:rsidR="00F55EDE" w:rsidRPr="00F55EDE" w14:paraId="40905702" w14:textId="77777777" w:rsidTr="00F55EDE">
        <w:trPr>
          <w:trHeight w:val="300"/>
        </w:trPr>
        <w:tc>
          <w:tcPr>
            <w:cnfStyle w:val="001000000000" w:firstRow="0" w:lastRow="0" w:firstColumn="1" w:lastColumn="0" w:oddVBand="0" w:evenVBand="0" w:oddHBand="0" w:evenHBand="0" w:firstRowFirstColumn="0" w:firstRowLastColumn="0" w:lastRowFirstColumn="0" w:lastRowLastColumn="0"/>
            <w:tcW w:w="2924" w:type="dxa"/>
          </w:tcPr>
          <w:p w14:paraId="3047201C" w14:textId="77777777" w:rsidR="00F55EDE" w:rsidRPr="00F55EDE" w:rsidRDefault="00F55EDE" w:rsidP="00424953">
            <w:pPr>
              <w:contextualSpacing/>
              <w:rPr>
                <w:rFonts w:ascii="Arial" w:hAnsi="Arial" w:cs="Arial"/>
                <w:lang w:val="en-ZW" w:eastAsia="en-ZW"/>
              </w:rPr>
            </w:pPr>
            <w:r w:rsidRPr="00F55EDE">
              <w:rPr>
                <w:rFonts w:ascii="Arial" w:hAnsi="Arial" w:cs="Arial"/>
                <w:lang w:val="en-ZW" w:eastAsia="en-ZW"/>
              </w:rPr>
              <w:t>In vitro drug release studies</w:t>
            </w:r>
          </w:p>
        </w:tc>
        <w:tc>
          <w:tcPr>
            <w:tcW w:w="6376" w:type="dxa"/>
          </w:tcPr>
          <w:p w14:paraId="2C05E110" w14:textId="77777777" w:rsidR="00F55EDE" w:rsidRPr="00F55EDE" w:rsidRDefault="00F55EDE" w:rsidP="00424953">
            <w:pPr>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n-ZW" w:eastAsia="en-ZW"/>
              </w:rPr>
            </w:pPr>
            <w:r w:rsidRPr="00F55EDE">
              <w:rPr>
                <w:rFonts w:ascii="Arial" w:hAnsi="Arial" w:cs="Arial"/>
                <w:lang w:val="en-ZW" w:eastAsia="en-ZW"/>
              </w:rPr>
              <w:t>Different equipment setup depending on dosage form type IV dissolution usually employed and biorelevant media as per USP guide. To determine and optimize drug release as target product profile</w:t>
            </w:r>
          </w:p>
          <w:p w14:paraId="33A79F20" w14:textId="77777777" w:rsidR="00F55EDE" w:rsidRPr="00F55EDE" w:rsidRDefault="00F55EDE" w:rsidP="00424953">
            <w:pPr>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n-ZW" w:eastAsia="en-ZW"/>
              </w:rPr>
            </w:pPr>
          </w:p>
        </w:tc>
      </w:tr>
      <w:tr w:rsidR="00F55EDE" w:rsidRPr="00F55EDE" w14:paraId="183C3EAF" w14:textId="77777777" w:rsidTr="00F55E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4" w:type="dxa"/>
            <w:shd w:val="clear" w:color="auto" w:fill="auto"/>
          </w:tcPr>
          <w:p w14:paraId="7C66AD08" w14:textId="77777777" w:rsidR="00F55EDE" w:rsidRPr="00F55EDE" w:rsidRDefault="00F55EDE" w:rsidP="00424953">
            <w:pPr>
              <w:contextualSpacing/>
              <w:rPr>
                <w:rFonts w:ascii="Arial" w:hAnsi="Arial" w:cs="Arial"/>
                <w:lang w:val="en-ZW" w:eastAsia="en-ZW"/>
              </w:rPr>
            </w:pPr>
            <w:r w:rsidRPr="00F55EDE">
              <w:rPr>
                <w:rFonts w:ascii="Arial" w:hAnsi="Arial" w:cs="Arial"/>
                <w:lang w:val="en-ZW" w:eastAsia="en-ZW"/>
              </w:rPr>
              <w:t>Physicochemical and mechanical properties</w:t>
            </w:r>
          </w:p>
        </w:tc>
        <w:tc>
          <w:tcPr>
            <w:tcW w:w="6376" w:type="dxa"/>
            <w:shd w:val="clear" w:color="auto" w:fill="auto"/>
          </w:tcPr>
          <w:p w14:paraId="5DFF2571" w14:textId="77777777" w:rsidR="00F55EDE" w:rsidRPr="00F55EDE" w:rsidRDefault="00F55EDE" w:rsidP="00424953">
            <w:pPr>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n-ZW" w:eastAsia="en-ZW"/>
              </w:rPr>
            </w:pPr>
            <w:r w:rsidRPr="00F55EDE">
              <w:rPr>
                <w:rFonts w:ascii="Arial" w:hAnsi="Arial" w:cs="Arial"/>
                <w:lang w:val="en-ZW" w:eastAsia="en-ZW"/>
              </w:rPr>
              <w:t xml:space="preserve">Rheometer (Viscosity determination), texture analysis, mucoadhesive properties </w:t>
            </w:r>
          </w:p>
          <w:p w14:paraId="0A090CC9" w14:textId="7439ECAE" w:rsidR="00F55EDE" w:rsidRPr="00F55EDE" w:rsidRDefault="00F55EDE" w:rsidP="00424953">
            <w:pPr>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n-ZW" w:eastAsia="en-ZW"/>
              </w:rPr>
            </w:pPr>
          </w:p>
        </w:tc>
      </w:tr>
      <w:tr w:rsidR="00F55EDE" w:rsidRPr="00F55EDE" w14:paraId="286A5C4F" w14:textId="77777777" w:rsidTr="00F55EDE">
        <w:trPr>
          <w:trHeight w:val="300"/>
        </w:trPr>
        <w:tc>
          <w:tcPr>
            <w:cnfStyle w:val="001000000000" w:firstRow="0" w:lastRow="0" w:firstColumn="1" w:lastColumn="0" w:oddVBand="0" w:evenVBand="0" w:oddHBand="0" w:evenHBand="0" w:firstRowFirstColumn="0" w:firstRowLastColumn="0" w:lastRowFirstColumn="0" w:lastRowLastColumn="0"/>
            <w:tcW w:w="2924" w:type="dxa"/>
          </w:tcPr>
          <w:p w14:paraId="5A3D73DF" w14:textId="77777777" w:rsidR="00F55EDE" w:rsidRPr="00F55EDE" w:rsidRDefault="00F55EDE" w:rsidP="00424953">
            <w:pPr>
              <w:contextualSpacing/>
              <w:rPr>
                <w:rFonts w:ascii="Arial" w:hAnsi="Arial" w:cs="Arial"/>
                <w:lang w:val="en-ZW" w:eastAsia="en-ZW"/>
              </w:rPr>
            </w:pPr>
            <w:r w:rsidRPr="00F55EDE">
              <w:rPr>
                <w:rFonts w:ascii="Arial" w:hAnsi="Arial" w:cs="Arial"/>
                <w:lang w:val="en-ZW" w:eastAsia="en-ZW"/>
              </w:rPr>
              <w:t>In vitro, in vivo and ex vivo efficacy and toxicity testing (free drug vs drug loaded carrier vs blank carrier vs control drug vs media)</w:t>
            </w:r>
          </w:p>
        </w:tc>
        <w:tc>
          <w:tcPr>
            <w:tcW w:w="6376" w:type="dxa"/>
          </w:tcPr>
          <w:p w14:paraId="029329FA" w14:textId="77777777" w:rsidR="00F55EDE" w:rsidRPr="00F55EDE" w:rsidRDefault="00F55EDE" w:rsidP="00424953">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eastAsia="en-ZW"/>
              </w:rPr>
            </w:pPr>
            <w:r w:rsidRPr="00F55EDE">
              <w:rPr>
                <w:rFonts w:ascii="Arial" w:eastAsia="Arial" w:hAnsi="Arial" w:cs="Arial"/>
                <w:lang w:val="en-ZW" w:eastAsia="en-ZW"/>
              </w:rPr>
              <w:t xml:space="preserve">- </w:t>
            </w:r>
            <w:r w:rsidRPr="00F55EDE">
              <w:rPr>
                <w:rFonts w:ascii="Arial" w:eastAsia="Arial" w:hAnsi="Arial" w:cs="Arial"/>
                <w:lang w:val="en-GB" w:eastAsia="en-ZW"/>
              </w:rPr>
              <w:t xml:space="preserve">To determine in vivo toxicity </w:t>
            </w:r>
            <w:r w:rsidRPr="00F55EDE">
              <w:rPr>
                <w:rFonts w:ascii="Arial" w:eastAsia="Arial" w:hAnsi="Arial" w:cs="Arial"/>
                <w:lang w:val="en-ZW" w:eastAsia="en-ZW"/>
              </w:rPr>
              <w:t>of products</w:t>
            </w:r>
            <w:r w:rsidRPr="00F55EDE">
              <w:rPr>
                <w:rFonts w:ascii="Arial" w:eastAsia="Arial" w:hAnsi="Arial" w:cs="Arial"/>
                <w:lang w:val="en-GB" w:eastAsia="en-ZW"/>
              </w:rPr>
              <w:t xml:space="preserve"> administered intravaginally to non-human primates (NHP) and 24 hours histopathological exams are carried using high power microscopes with a digital camera</w:t>
            </w:r>
          </w:p>
          <w:p w14:paraId="62BE07E0" w14:textId="6E09D7CC" w:rsidR="00F55EDE" w:rsidRPr="00F55EDE" w:rsidRDefault="00F55EDE" w:rsidP="00424953">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eastAsia="en-ZW"/>
              </w:rPr>
            </w:pPr>
            <w:r w:rsidRPr="00F55EDE">
              <w:rPr>
                <w:rFonts w:ascii="Arial" w:eastAsia="Arial" w:hAnsi="Arial" w:cs="Arial"/>
                <w:lang w:val="en-ZW" w:eastAsia="en-ZW"/>
              </w:rPr>
              <w:t xml:space="preserve">- </w:t>
            </w:r>
            <w:r w:rsidRPr="00F55EDE">
              <w:rPr>
                <w:rFonts w:ascii="Arial" w:eastAsia="Arial" w:hAnsi="Arial" w:cs="Arial"/>
                <w:lang w:val="en-GB" w:eastAsia="en-ZW"/>
              </w:rPr>
              <w:t xml:space="preserve">drug retention and distribution in vaginal lumen using ex vivo NHP model </w:t>
            </w:r>
          </w:p>
          <w:p w14:paraId="2F411517" w14:textId="3767D0EF" w:rsidR="00F55EDE" w:rsidRPr="00F55EDE" w:rsidRDefault="00F55EDE" w:rsidP="00424953">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ZW" w:eastAsia="en-ZW"/>
              </w:rPr>
            </w:pPr>
            <w:r w:rsidRPr="00F55EDE">
              <w:rPr>
                <w:rFonts w:ascii="Arial" w:eastAsia="Arial" w:hAnsi="Arial" w:cs="Arial"/>
                <w:lang w:val="en-GB" w:eastAsia="en-ZW"/>
              </w:rPr>
              <w:t>- drug-cell association determination using fluorescent activated cell sorting (FACS) was used to assess particle-cell associations and cell-specific particle distribution on ex vivo vaginal animal tissue</w:t>
            </w:r>
            <w:r w:rsidRPr="00F55EDE">
              <w:rPr>
                <w:rFonts w:ascii="Arial" w:eastAsia="Arial" w:hAnsi="Arial" w:cs="Arial"/>
                <w:lang w:val="en-ZW" w:eastAsia="en-ZW"/>
              </w:rPr>
              <w:t xml:space="preserve"> </w:t>
            </w:r>
          </w:p>
          <w:p w14:paraId="39FF4BA3" w14:textId="77777777" w:rsidR="00F55EDE" w:rsidRPr="00F55EDE" w:rsidRDefault="00F55EDE" w:rsidP="00424953">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eastAsia="en-ZW"/>
              </w:rPr>
            </w:pPr>
            <w:r w:rsidRPr="00F55EDE">
              <w:rPr>
                <w:rFonts w:ascii="Arial" w:eastAsia="Arial" w:hAnsi="Arial" w:cs="Arial"/>
                <w:lang w:val="en-ZW" w:eastAsia="en-ZW"/>
              </w:rPr>
              <w:t xml:space="preserve">- </w:t>
            </w:r>
            <w:r w:rsidRPr="00F55EDE">
              <w:rPr>
                <w:rFonts w:ascii="Arial" w:eastAsia="Arial" w:hAnsi="Arial" w:cs="Arial"/>
                <w:lang w:val="en-GB" w:eastAsia="en-ZW"/>
              </w:rPr>
              <w:t>Retention profile of microbicide in reproductive tissue (ex vivo animal model)</w:t>
            </w:r>
          </w:p>
          <w:p w14:paraId="6ED2CF5F" w14:textId="095C065B" w:rsidR="00F55EDE" w:rsidRPr="00F55EDE" w:rsidRDefault="00F55EDE" w:rsidP="00424953">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ZW" w:eastAsia="en-ZW"/>
              </w:rPr>
            </w:pPr>
          </w:p>
        </w:tc>
      </w:tr>
      <w:tr w:rsidR="00F55EDE" w:rsidRPr="00F55EDE" w14:paraId="19283DA9" w14:textId="77777777" w:rsidTr="00F55E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4" w:type="dxa"/>
            <w:shd w:val="clear" w:color="auto" w:fill="auto"/>
          </w:tcPr>
          <w:p w14:paraId="1B686974" w14:textId="77777777" w:rsidR="00F55EDE" w:rsidRPr="00F55EDE" w:rsidRDefault="00F55EDE" w:rsidP="00424953">
            <w:pPr>
              <w:contextualSpacing/>
              <w:rPr>
                <w:rFonts w:ascii="Arial" w:hAnsi="Arial" w:cs="Arial"/>
                <w:b w:val="0"/>
                <w:bCs w:val="0"/>
                <w:lang w:val="en-ZW" w:eastAsia="en-ZW"/>
              </w:rPr>
            </w:pPr>
            <w:r w:rsidRPr="00F55EDE">
              <w:rPr>
                <w:rFonts w:ascii="Arial" w:hAnsi="Arial" w:cs="Arial"/>
                <w:lang w:val="en-ZW" w:eastAsia="en-ZW"/>
              </w:rPr>
              <w:t>Lactobacillus compatibility</w:t>
            </w:r>
          </w:p>
          <w:p w14:paraId="136412A7" w14:textId="77777777" w:rsidR="00F55EDE" w:rsidRPr="00F55EDE" w:rsidRDefault="00F55EDE" w:rsidP="00424953">
            <w:pPr>
              <w:contextualSpacing/>
              <w:rPr>
                <w:rFonts w:ascii="Arial" w:hAnsi="Arial" w:cs="Arial"/>
                <w:lang w:val="en-ZW" w:eastAsia="en-ZW"/>
              </w:rPr>
            </w:pPr>
          </w:p>
        </w:tc>
        <w:tc>
          <w:tcPr>
            <w:tcW w:w="6376" w:type="dxa"/>
            <w:shd w:val="clear" w:color="auto" w:fill="auto"/>
          </w:tcPr>
          <w:p w14:paraId="012C3CE1" w14:textId="77777777" w:rsidR="00F55EDE" w:rsidRPr="00F55EDE" w:rsidRDefault="00F55EDE" w:rsidP="00424953">
            <w:pPr>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n-ZW" w:eastAsia="en-ZW"/>
              </w:rPr>
            </w:pPr>
            <w:r w:rsidRPr="00F55EDE">
              <w:rPr>
                <w:rFonts w:ascii="Arial" w:hAnsi="Arial" w:cs="Arial"/>
                <w:lang w:val="en-ZW" w:eastAsia="en-ZW"/>
              </w:rPr>
              <w:t>Microbicide safety test with nonoxynol-9 control</w:t>
            </w:r>
          </w:p>
        </w:tc>
      </w:tr>
      <w:tr w:rsidR="00F55EDE" w:rsidRPr="00F55EDE" w14:paraId="72CA754C" w14:textId="77777777" w:rsidTr="00F55EDE">
        <w:trPr>
          <w:trHeight w:val="300"/>
        </w:trPr>
        <w:tc>
          <w:tcPr>
            <w:cnfStyle w:val="001000000000" w:firstRow="0" w:lastRow="0" w:firstColumn="1" w:lastColumn="0" w:oddVBand="0" w:evenVBand="0" w:oddHBand="0" w:evenHBand="0" w:firstRowFirstColumn="0" w:firstRowLastColumn="0" w:lastRowFirstColumn="0" w:lastRowLastColumn="0"/>
            <w:tcW w:w="2924" w:type="dxa"/>
          </w:tcPr>
          <w:p w14:paraId="3D255E3A" w14:textId="77777777" w:rsidR="00F55EDE" w:rsidRPr="00F55EDE" w:rsidRDefault="00F55EDE" w:rsidP="00424953">
            <w:pPr>
              <w:contextualSpacing/>
              <w:rPr>
                <w:rFonts w:ascii="Arial" w:hAnsi="Arial" w:cs="Arial"/>
                <w:b w:val="0"/>
                <w:bCs w:val="0"/>
                <w:lang w:val="en-ZW" w:eastAsia="en-ZW"/>
              </w:rPr>
            </w:pPr>
            <w:r w:rsidRPr="00F55EDE">
              <w:rPr>
                <w:rFonts w:ascii="Arial" w:hAnsi="Arial" w:cs="Arial"/>
                <w:lang w:val="en-ZW" w:eastAsia="en-ZW"/>
              </w:rPr>
              <w:t>Product efficacy studies</w:t>
            </w:r>
          </w:p>
          <w:p w14:paraId="37D23F88" w14:textId="77777777" w:rsidR="00F55EDE" w:rsidRPr="00F55EDE" w:rsidRDefault="00F55EDE" w:rsidP="00424953">
            <w:pPr>
              <w:contextualSpacing/>
              <w:rPr>
                <w:rFonts w:ascii="Arial" w:hAnsi="Arial" w:cs="Arial"/>
                <w:lang w:val="en-ZW" w:eastAsia="en-ZW"/>
              </w:rPr>
            </w:pPr>
          </w:p>
        </w:tc>
        <w:tc>
          <w:tcPr>
            <w:tcW w:w="6376" w:type="dxa"/>
          </w:tcPr>
          <w:p w14:paraId="17DC2029" w14:textId="77777777" w:rsidR="00F55EDE" w:rsidRPr="00F55EDE" w:rsidRDefault="00F55EDE" w:rsidP="00424953">
            <w:pPr>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n-ZW" w:eastAsia="en-ZW"/>
              </w:rPr>
            </w:pPr>
            <w:r w:rsidRPr="00F55EDE">
              <w:rPr>
                <w:rFonts w:ascii="Arial" w:eastAsia="Arial" w:hAnsi="Arial" w:cs="Arial"/>
                <w:lang w:val="en-GB" w:eastAsia="en-ZW"/>
              </w:rPr>
              <w:t>against HIV-1BaL in the TMZ-bl antiviral in vitro assay</w:t>
            </w:r>
          </w:p>
        </w:tc>
      </w:tr>
      <w:tr w:rsidR="00F55EDE" w:rsidRPr="00F55EDE" w14:paraId="6542D503" w14:textId="77777777" w:rsidTr="00F55E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4" w:type="dxa"/>
            <w:shd w:val="clear" w:color="auto" w:fill="auto"/>
          </w:tcPr>
          <w:p w14:paraId="5C02CB7C" w14:textId="77777777" w:rsidR="00F55EDE" w:rsidRPr="00F55EDE" w:rsidRDefault="00F55EDE" w:rsidP="00424953">
            <w:pPr>
              <w:contextualSpacing/>
              <w:rPr>
                <w:rFonts w:ascii="Arial" w:hAnsi="Arial" w:cs="Arial"/>
                <w:lang w:val="en-ZW" w:eastAsia="en-ZW"/>
              </w:rPr>
            </w:pPr>
            <w:r w:rsidRPr="00F55EDE">
              <w:rPr>
                <w:rFonts w:ascii="Arial" w:hAnsi="Arial" w:cs="Arial"/>
                <w:lang w:val="en-ZW" w:eastAsia="en-ZW"/>
              </w:rPr>
              <w:t>Ex vivo permeability (ADC vs free drug vs antibody)</w:t>
            </w:r>
          </w:p>
        </w:tc>
        <w:tc>
          <w:tcPr>
            <w:tcW w:w="6376" w:type="dxa"/>
            <w:shd w:val="clear" w:color="auto" w:fill="auto"/>
          </w:tcPr>
          <w:p w14:paraId="72453D05" w14:textId="77777777" w:rsidR="00F55EDE" w:rsidRPr="00F55EDE" w:rsidRDefault="00F55EDE" w:rsidP="00424953">
            <w:pPr>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n-ZW" w:eastAsia="en-ZW"/>
              </w:rPr>
            </w:pPr>
            <w:r w:rsidRPr="00F55EDE">
              <w:rPr>
                <w:rFonts w:ascii="Arial" w:eastAsia="Arial" w:hAnsi="Arial" w:cs="Arial"/>
                <w:lang w:val="en-GB" w:eastAsia="en-ZW"/>
              </w:rPr>
              <w:t>Comparative product permeability study using the Ex-Vivo Ectocervical Tissue Model in an In-Line Set-Up. Reduce use of animal models.</w:t>
            </w:r>
          </w:p>
        </w:tc>
      </w:tr>
      <w:tr w:rsidR="00F55EDE" w:rsidRPr="00F55EDE" w14:paraId="710F0A8E" w14:textId="77777777" w:rsidTr="00F55EDE">
        <w:trPr>
          <w:trHeight w:val="300"/>
        </w:trPr>
        <w:tc>
          <w:tcPr>
            <w:cnfStyle w:val="001000000000" w:firstRow="0" w:lastRow="0" w:firstColumn="1" w:lastColumn="0" w:oddVBand="0" w:evenVBand="0" w:oddHBand="0" w:evenHBand="0" w:firstRowFirstColumn="0" w:firstRowLastColumn="0" w:lastRowFirstColumn="0" w:lastRowLastColumn="0"/>
            <w:tcW w:w="2924" w:type="dxa"/>
          </w:tcPr>
          <w:p w14:paraId="4FF2B905" w14:textId="77777777" w:rsidR="00F55EDE" w:rsidRPr="00F55EDE" w:rsidRDefault="00F55EDE" w:rsidP="00424953">
            <w:pPr>
              <w:contextualSpacing/>
              <w:rPr>
                <w:rFonts w:ascii="Arial" w:hAnsi="Arial" w:cs="Arial"/>
                <w:lang w:val="en-ZW" w:eastAsia="en-ZW"/>
              </w:rPr>
            </w:pPr>
            <w:r w:rsidRPr="00F55EDE">
              <w:rPr>
                <w:rFonts w:ascii="Arial" w:hAnsi="Arial" w:cs="Arial"/>
                <w:lang w:val="en-ZW" w:eastAsia="en-ZW"/>
              </w:rPr>
              <w:t>in vivo pharmacokinetics in rodent model</w:t>
            </w:r>
          </w:p>
        </w:tc>
        <w:tc>
          <w:tcPr>
            <w:tcW w:w="6376" w:type="dxa"/>
          </w:tcPr>
          <w:p w14:paraId="18DC813F" w14:textId="77777777" w:rsidR="00F55EDE" w:rsidRPr="00F55EDE" w:rsidRDefault="00F55EDE" w:rsidP="00424953">
            <w:pPr>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n-ZW" w:eastAsia="en-ZW"/>
              </w:rPr>
            </w:pPr>
            <w:r w:rsidRPr="00F55EDE">
              <w:rPr>
                <w:rFonts w:ascii="Arial" w:hAnsi="Arial" w:cs="Arial"/>
                <w:lang w:val="en-ZW" w:eastAsia="en-ZW"/>
              </w:rPr>
              <w:t>Confirm safety and pharmacokinetic profile of product. Alternative to NHP when an existing molecule on the market is repurposed from treatment to prevention.</w:t>
            </w:r>
          </w:p>
          <w:p w14:paraId="2DB0C1FE" w14:textId="77777777" w:rsidR="00F55EDE" w:rsidRPr="00F55EDE" w:rsidRDefault="00F55EDE" w:rsidP="00424953">
            <w:pPr>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n-ZW" w:eastAsia="en-ZW"/>
              </w:rPr>
            </w:pPr>
          </w:p>
        </w:tc>
      </w:tr>
      <w:tr w:rsidR="00F55EDE" w:rsidRPr="00F55EDE" w14:paraId="19A4707F" w14:textId="77777777" w:rsidTr="00F55E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4" w:type="dxa"/>
            <w:shd w:val="clear" w:color="auto" w:fill="auto"/>
          </w:tcPr>
          <w:p w14:paraId="6914EF41" w14:textId="77777777" w:rsidR="00F55EDE" w:rsidRPr="00F55EDE" w:rsidRDefault="00F55EDE" w:rsidP="00424953">
            <w:pPr>
              <w:contextualSpacing/>
              <w:rPr>
                <w:rFonts w:ascii="Arial" w:hAnsi="Arial" w:cs="Arial"/>
                <w:lang w:val="en-ZW" w:eastAsia="en-ZW"/>
              </w:rPr>
            </w:pPr>
            <w:r w:rsidRPr="00F55EDE">
              <w:rPr>
                <w:rFonts w:ascii="Arial" w:hAnsi="Arial" w:cs="Arial"/>
                <w:lang w:val="en-ZW" w:eastAsia="en-ZW"/>
              </w:rPr>
              <w:t>Accelerated Stability testing</w:t>
            </w:r>
          </w:p>
        </w:tc>
        <w:tc>
          <w:tcPr>
            <w:tcW w:w="6376" w:type="dxa"/>
            <w:shd w:val="clear" w:color="auto" w:fill="auto"/>
          </w:tcPr>
          <w:p w14:paraId="632B929D" w14:textId="77777777" w:rsidR="00F55EDE" w:rsidRPr="00F55EDE" w:rsidRDefault="00F55EDE" w:rsidP="00424953">
            <w:pPr>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n-ZW" w:eastAsia="en-ZW"/>
              </w:rPr>
            </w:pPr>
            <w:r w:rsidRPr="00F55EDE">
              <w:rPr>
                <w:rFonts w:ascii="Arial" w:hAnsi="Arial" w:cs="Arial"/>
                <w:lang w:val="en-ZW" w:eastAsia="en-ZW"/>
              </w:rPr>
              <w:t>ICH compliant stability chambers</w:t>
            </w:r>
          </w:p>
        </w:tc>
      </w:tr>
    </w:tbl>
    <w:p w14:paraId="3F0AAA9E" w14:textId="77777777" w:rsidR="00F55EDE" w:rsidRDefault="00F55EDE" w:rsidP="00424953">
      <w:pPr>
        <w:pStyle w:val="Body"/>
        <w:spacing w:after="0"/>
        <w:contextualSpacing/>
        <w:rPr>
          <w:rFonts w:ascii="Arial" w:hAnsi="Arial" w:cs="Arial"/>
        </w:rPr>
      </w:pPr>
    </w:p>
    <w:p w14:paraId="384E299F" w14:textId="77777777" w:rsidR="00AC7E6C" w:rsidRDefault="00AC7E6C" w:rsidP="00424953">
      <w:pPr>
        <w:pStyle w:val="Body"/>
        <w:spacing w:after="0"/>
        <w:contextualSpacing/>
        <w:rPr>
          <w:rFonts w:ascii="Arial" w:hAnsi="Arial" w:cs="Arial"/>
        </w:rPr>
      </w:pPr>
    </w:p>
    <w:p w14:paraId="6451277C" w14:textId="77777777" w:rsidR="00AC7E6C" w:rsidRDefault="00AC7E6C" w:rsidP="00424953">
      <w:pPr>
        <w:pStyle w:val="Body"/>
        <w:spacing w:after="0"/>
        <w:contextualSpacing/>
        <w:rPr>
          <w:rFonts w:ascii="Arial" w:hAnsi="Arial" w:cs="Arial"/>
        </w:rPr>
      </w:pPr>
    </w:p>
    <w:p w14:paraId="5466D3DC" w14:textId="022D2DAA" w:rsidR="00AC7E6C" w:rsidRPr="00AC7E6C" w:rsidRDefault="00AC7E6C" w:rsidP="00424953">
      <w:pPr>
        <w:pStyle w:val="Body"/>
        <w:spacing w:after="0"/>
        <w:contextualSpacing/>
        <w:rPr>
          <w:rFonts w:ascii="Arial" w:hAnsi="Arial" w:cs="Arial"/>
          <w:b/>
          <w:bCs/>
        </w:rPr>
      </w:pPr>
      <w:r w:rsidRPr="00AC7E6C">
        <w:rPr>
          <w:rFonts w:ascii="Arial" w:hAnsi="Arial" w:cs="Arial"/>
          <w:b/>
          <w:bCs/>
        </w:rPr>
        <w:t>Table 2: Target product profile for nanoparticles used in vaginal delivery</w:t>
      </w:r>
      <w:r w:rsidR="00F7686E">
        <w:rPr>
          <w:rFonts w:ascii="Arial" w:hAnsi="Arial" w:cs="Arial"/>
          <w:b/>
          <w:bCs/>
        </w:rPr>
        <w:t xml:space="preserve"> </w:t>
      </w:r>
      <w:r w:rsidR="00F7686E">
        <w:rPr>
          <w:rFonts w:ascii="Arial" w:hAnsi="Arial" w:cs="Arial"/>
          <w:b/>
          <w:bCs/>
        </w:rPr>
        <w:fldChar w:fldCharType="begin"/>
      </w:r>
      <w:r w:rsidR="00F7686E">
        <w:rPr>
          <w:rFonts w:ascii="Arial" w:hAnsi="Arial" w:cs="Arial"/>
          <w:b/>
          <w:bCs/>
        </w:rPr>
        <w:instrText xml:space="preserve"> ADDIN ZOTERO_ITEM CSL_CITATION {"citationID":"DaMwDfyV","properties":{"formattedCitation":"(31,32)","plainCitation":"(31,32)","noteIndex":0},"citationItems":[{"id":124,"uris":["http://zotero.org/users/local/HVWDw8n9/items/88XMZPKJ"],"itemData":{"id":124,"type":"article-journal","abstract":"BACKGROUND: Vaginal drug delivery approach represents one of the imperative strategies for local and systemic delivery of drugs. The peculiar dense vascular  networks, mucus permeability, and range of physiological characteristics of the  vaginal cavity have been exploited for therapeutic benefit. Furthermore, the  vaginal drug delivery has been curtailed due to the influence of different  physiological factors like acidic pH, constant cervical secretion, microflora,  cyclic changes during periods along with turnover of mucus of varying thickness.  OBJECTIVE: This review highlights advancement of nanomedicine and its prospective  progress towards the clinic. METHODS: Relevant literature reports and patents  related to topics are retrieved and used. RESULT: The extensive literature search  and patent revealed that nanocarriers are efficacious over conventional treatment  approaches. CONCLUSION: Recently, nanotechnology based drug delivery approach has  promised better therapeutic outcomes by providing enhanced permeation and  sustained drug release activity. Different nanoplatforms based on drugs,  peptides, proteins, antigens, hormones, nucleic material, and microbicides are  gaining momentum for vaginal therapeutics.","container-title":"Recent patents on drug delivery &amp; formulation","DOI":"10.2174/1872211313666190215141507","ISSN":"2212-4039 1872-2113","issue":"1","journalAbbreviation":"Recent Pat Drug Deliv Formul","language":"eng","license":"Copyright© Bentham Science Publishers; For any queries, please email at epub@benthamscience.net.","note":"publisher-place: United Arab Emirates\nPMID: 30767755","page":"3-15","title":"Nanocarriers For Vaginal Drug Delivery.","volume":"13","author":[{"family":"Iqbal","given":"Zeenat"},{"family":"Dilnawaz","given":"Fahima"}],"issued":{"date-parts":[["2019"]]}}},{"id":123,"uris":["http://zotero.org/users/local/HVWDw8n9/items/MI2NUUIB"],"itemData":{"id":123,"type":"article-journal","abstract":"MK-2048 is a second-generation integrase inhibitor active against HIV, which has been applied vaginally using ring formulations. In this work, a  nanoparticle-in-film technology was developed as a discrete pre-exposure  prophylactic product option against HIV for an extended duration of use. A film  platform loaded with poly (lactic-co-glycolic acid) nanoparticles (PNP)  encapsulating MK-2048 was engineered. MK-2048 PNPs were loaded into films that  were manufactured via the solvent casting method. Physicochemical and mechanical  properties, in vitro efficacy, Lactobacillus compatibility, in vitro and ex vivo  permeability, and in vivo pharmacokinetics in macaques were evaluated. PNPs with  a mean diameter of 382.2 nm and −15.2 mV zeta potential were obtained with 95.2%  drug encapsulation efficiency. PNP films showed comparable in vitro efficacy to  free MK-2048 (IC50 0.46 vs. 0.54 nM) and were found to have no impact on  Lactobacillus. MK-2048 encapsulated in PNPs showed an increase in permeability  (&gt;4-fold) compared to the free MK-2048 in MDCKII cell lines. Furthermore, PNPs  had higher ectocervical tissue permeability (1.7-fold) compared to free MK-2048.  PNP films showed sustained drug levels for at least 3 weeks in the macaque  vaginal fluid. This work demonstrates the synergy of integrating nanomedicine and  polymeric film technology to achieve sustained vaginal drug delivery.","container-title":"Polymers","DOI":"10.3390/polym14061196","ISSN":"2073-4360","issue":"6","journalAbbreviation":"Polymers (Basel)","language":"eng","note":"publisher-place: Switzerland\nPMID: 35335526 \nPMCID: PMC8955144","title":"Development and Evaluation of Nanoparticles-in-Film Technology to Achieve Extended In Vivo Exposure of MK-2048 for HIV Prevention.","volume":"14","author":[{"family":"Tong","given":"Xin"},{"family":"Patel","given":"Sravan Kumar"},{"family":"Li","given":"Jing"},{"family":"Patton","given":"Dorothy"},{"family":"Xu","given":"Elaine"},{"family":"Anderson","given":"Peter L."},{"family":"Parikh","given":"Urvi"},{"family":"Sweeney","given":"Yvonne"},{"family":"Strizki","given":"Julie"},{"family":"Hillier","given":"Sharon L."},{"family":"Rohan","given":"Lisa C."}],"issued":{"date-parts":[["2022",3,16]]}}}],"schema":"https://github.com/citation-style-language/schema/raw/master/csl-citation.json"} </w:instrText>
      </w:r>
      <w:r w:rsidR="00F7686E">
        <w:rPr>
          <w:rFonts w:ascii="Arial" w:hAnsi="Arial" w:cs="Arial"/>
          <w:b/>
          <w:bCs/>
        </w:rPr>
        <w:fldChar w:fldCharType="separate"/>
      </w:r>
      <w:r w:rsidR="00F7686E" w:rsidRPr="00F7686E">
        <w:rPr>
          <w:rFonts w:ascii="Arial" w:hAnsi="Arial" w:cs="Arial"/>
        </w:rPr>
        <w:t>(31,32)</w:t>
      </w:r>
      <w:r w:rsidR="00F7686E">
        <w:rPr>
          <w:rFonts w:ascii="Arial" w:hAnsi="Arial" w:cs="Arial"/>
          <w:b/>
          <w:bCs/>
        </w:rPr>
        <w:fldChar w:fldCharType="end"/>
      </w:r>
    </w:p>
    <w:p w14:paraId="4CB290B6" w14:textId="77777777" w:rsidR="00AC7E6C" w:rsidRDefault="00AC7E6C" w:rsidP="00424953">
      <w:pPr>
        <w:pStyle w:val="Body"/>
        <w:spacing w:after="0"/>
        <w:contextualSpacing/>
        <w:rPr>
          <w:rFonts w:ascii="Arial" w:hAnsi="Arial" w:cs="Arial"/>
        </w:rPr>
      </w:pPr>
    </w:p>
    <w:tbl>
      <w:tblPr>
        <w:tblStyle w:val="ListTable6Colorful"/>
        <w:tblW w:w="0" w:type="auto"/>
        <w:tblLook w:val="04A0" w:firstRow="1" w:lastRow="0" w:firstColumn="1" w:lastColumn="0" w:noHBand="0" w:noVBand="1"/>
      </w:tblPr>
      <w:tblGrid>
        <w:gridCol w:w="1792"/>
        <w:gridCol w:w="2968"/>
        <w:gridCol w:w="3448"/>
      </w:tblGrid>
      <w:tr w:rsidR="00AC7E6C" w:rsidRPr="00AC7E6C" w14:paraId="01B264EA" w14:textId="77777777" w:rsidTr="00AC7E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4C21D5D" w14:textId="77777777" w:rsidR="00AC7E6C" w:rsidRPr="00AC7E6C" w:rsidRDefault="00AC7E6C" w:rsidP="00424953">
            <w:pPr>
              <w:contextualSpacing/>
              <w:rPr>
                <w:rFonts w:ascii="Arial" w:eastAsia="Arial" w:hAnsi="Arial" w:cs="Arial"/>
                <w:lang w:val="en-GB" w:eastAsia="zh-CN"/>
              </w:rPr>
            </w:pPr>
            <w:r w:rsidRPr="00AC7E6C">
              <w:rPr>
                <w:rFonts w:ascii="Arial" w:eastAsia="Arial" w:hAnsi="Arial" w:cs="Arial"/>
                <w:lang w:val="en-GB" w:eastAsia="zh-CN"/>
              </w:rPr>
              <w:t xml:space="preserve">Parameter   </w:t>
            </w:r>
          </w:p>
        </w:tc>
        <w:tc>
          <w:tcPr>
            <w:tcW w:w="3260" w:type="dxa"/>
          </w:tcPr>
          <w:p w14:paraId="65ED5A91" w14:textId="77777777" w:rsidR="00AC7E6C" w:rsidRPr="00AC7E6C" w:rsidRDefault="00AC7E6C" w:rsidP="00424953">
            <w:pPr>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lang w:val="en-GB" w:eastAsia="zh-CN"/>
              </w:rPr>
            </w:pPr>
            <w:r w:rsidRPr="00AC7E6C">
              <w:rPr>
                <w:rFonts w:ascii="Arial" w:eastAsia="Arial" w:hAnsi="Arial" w:cs="Arial"/>
                <w:lang w:val="en-GB" w:eastAsia="zh-CN"/>
              </w:rPr>
              <w:t xml:space="preserve">Value </w:t>
            </w:r>
          </w:p>
        </w:tc>
        <w:tc>
          <w:tcPr>
            <w:tcW w:w="3918" w:type="dxa"/>
          </w:tcPr>
          <w:p w14:paraId="5DB84816" w14:textId="77777777" w:rsidR="00AC7E6C" w:rsidRPr="00AC7E6C" w:rsidRDefault="00AC7E6C" w:rsidP="00424953">
            <w:pPr>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lang w:val="en-GB" w:eastAsia="zh-CN"/>
              </w:rPr>
            </w:pPr>
            <w:r w:rsidRPr="00AC7E6C">
              <w:rPr>
                <w:rFonts w:ascii="Arial" w:eastAsia="Arial" w:hAnsi="Arial" w:cs="Arial"/>
                <w:lang w:val="en-GB" w:eastAsia="zh-CN"/>
              </w:rPr>
              <w:t>Importance</w:t>
            </w:r>
          </w:p>
        </w:tc>
      </w:tr>
      <w:tr w:rsidR="00AC7E6C" w:rsidRPr="00AC7E6C" w14:paraId="5A4C228A" w14:textId="77777777" w:rsidTr="00AC7E6C">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33D60E38" w14:textId="77777777" w:rsidR="00AC7E6C" w:rsidRPr="00AC7E6C" w:rsidRDefault="00AC7E6C" w:rsidP="00424953">
            <w:pPr>
              <w:contextualSpacing/>
              <w:rPr>
                <w:rFonts w:ascii="Arial" w:eastAsia="Arial" w:hAnsi="Arial" w:cs="Arial"/>
                <w:lang w:val="en-GB" w:eastAsia="zh-CN"/>
              </w:rPr>
            </w:pPr>
            <w:r w:rsidRPr="00AC7E6C">
              <w:rPr>
                <w:rFonts w:ascii="Arial" w:eastAsia="Arial" w:hAnsi="Arial" w:cs="Arial"/>
                <w:lang w:val="en-GB" w:eastAsia="zh-CN"/>
              </w:rPr>
              <w:t>Particle size and morphology</w:t>
            </w:r>
          </w:p>
        </w:tc>
        <w:tc>
          <w:tcPr>
            <w:tcW w:w="3260" w:type="dxa"/>
            <w:shd w:val="clear" w:color="auto" w:fill="auto"/>
          </w:tcPr>
          <w:p w14:paraId="35EC5071" w14:textId="77777777" w:rsidR="00AC7E6C" w:rsidRPr="00AC7E6C" w:rsidRDefault="00AC7E6C" w:rsidP="00424953">
            <w:pPr>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lang w:val="en-GB" w:eastAsia="zh-CN"/>
              </w:rPr>
            </w:pPr>
            <w:r w:rsidRPr="00AC7E6C">
              <w:rPr>
                <w:rFonts w:ascii="Arial" w:eastAsia="Arial" w:hAnsi="Arial" w:cs="Arial"/>
                <w:lang w:val="en-GB" w:eastAsia="zh-CN"/>
              </w:rPr>
              <w:t>(100 – 200 nm); spherical to near spherical shape</w:t>
            </w:r>
          </w:p>
        </w:tc>
        <w:tc>
          <w:tcPr>
            <w:tcW w:w="3918" w:type="dxa"/>
            <w:shd w:val="clear" w:color="auto" w:fill="auto"/>
          </w:tcPr>
          <w:p w14:paraId="2A421B3A" w14:textId="77777777" w:rsidR="00AC7E6C" w:rsidRDefault="00AC7E6C" w:rsidP="00424953">
            <w:pPr>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lang w:val="en-GB" w:eastAsia="zh-CN"/>
              </w:rPr>
            </w:pPr>
            <w:r w:rsidRPr="00AC7E6C">
              <w:rPr>
                <w:rFonts w:ascii="Arial" w:eastAsia="Arial" w:hAnsi="Arial" w:cs="Arial"/>
                <w:lang w:val="en-GB" w:eastAsia="zh-CN"/>
              </w:rPr>
              <w:t>Improved penetration and retention in the CVM.</w:t>
            </w:r>
          </w:p>
          <w:p w14:paraId="45D6BE37" w14:textId="77777777" w:rsidR="00AC7E6C" w:rsidRPr="00AC7E6C" w:rsidRDefault="00AC7E6C" w:rsidP="00424953">
            <w:pPr>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lang w:val="en-GB" w:eastAsia="zh-CN"/>
              </w:rPr>
            </w:pPr>
          </w:p>
        </w:tc>
      </w:tr>
      <w:tr w:rsidR="00AC7E6C" w:rsidRPr="00AC7E6C" w14:paraId="6D4D2563" w14:textId="77777777" w:rsidTr="00AC7E6C">
        <w:tc>
          <w:tcPr>
            <w:cnfStyle w:val="001000000000" w:firstRow="0" w:lastRow="0" w:firstColumn="1" w:lastColumn="0" w:oddVBand="0" w:evenVBand="0" w:oddHBand="0" w:evenHBand="0" w:firstRowFirstColumn="0" w:firstRowLastColumn="0" w:lastRowFirstColumn="0" w:lastRowLastColumn="0"/>
            <w:tcW w:w="1838" w:type="dxa"/>
          </w:tcPr>
          <w:p w14:paraId="35D5EAD0" w14:textId="77777777" w:rsidR="00AC7E6C" w:rsidRPr="00AC7E6C" w:rsidRDefault="00AC7E6C" w:rsidP="00424953">
            <w:pPr>
              <w:contextualSpacing/>
              <w:rPr>
                <w:rFonts w:ascii="Arial" w:eastAsia="Arial" w:hAnsi="Arial" w:cs="Arial"/>
                <w:lang w:val="en-GB" w:eastAsia="zh-CN"/>
              </w:rPr>
            </w:pPr>
            <w:r w:rsidRPr="00AC7E6C">
              <w:rPr>
                <w:rFonts w:ascii="Arial" w:eastAsia="Arial" w:hAnsi="Arial" w:cs="Arial"/>
                <w:lang w:val="en-GB" w:eastAsia="zh-CN"/>
              </w:rPr>
              <w:t>Surface charge</w:t>
            </w:r>
          </w:p>
        </w:tc>
        <w:tc>
          <w:tcPr>
            <w:tcW w:w="3260" w:type="dxa"/>
          </w:tcPr>
          <w:p w14:paraId="6A9E0FDE" w14:textId="77777777" w:rsidR="00AC7E6C" w:rsidRPr="00AC7E6C" w:rsidRDefault="00AC7E6C" w:rsidP="00424953">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eastAsia="zh-CN"/>
              </w:rPr>
            </w:pPr>
            <w:r w:rsidRPr="00AC7E6C">
              <w:rPr>
                <w:rFonts w:ascii="Arial" w:eastAsia="Arial" w:hAnsi="Arial" w:cs="Arial"/>
                <w:lang w:val="en-GB" w:eastAsia="zh-CN"/>
              </w:rPr>
              <w:t>Close to neutral, slightly negative or positive charge</w:t>
            </w:r>
          </w:p>
        </w:tc>
        <w:tc>
          <w:tcPr>
            <w:tcW w:w="3918" w:type="dxa"/>
          </w:tcPr>
          <w:p w14:paraId="655BAB1A" w14:textId="77777777" w:rsidR="00AC7E6C" w:rsidRDefault="00AC7E6C" w:rsidP="00424953">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eastAsia="zh-CN"/>
              </w:rPr>
            </w:pPr>
            <w:r w:rsidRPr="00AC7E6C">
              <w:rPr>
                <w:rFonts w:ascii="Arial" w:eastAsia="Arial" w:hAnsi="Arial" w:cs="Arial"/>
                <w:lang w:val="en-GB" w:eastAsia="zh-CN"/>
              </w:rPr>
              <w:t>Improved interaction with vaginal mucosa and retention of drug.</w:t>
            </w:r>
          </w:p>
          <w:p w14:paraId="4CD39D7A" w14:textId="77777777" w:rsidR="00AC7E6C" w:rsidRPr="00AC7E6C" w:rsidRDefault="00AC7E6C" w:rsidP="00424953">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eastAsia="zh-CN"/>
              </w:rPr>
            </w:pPr>
          </w:p>
        </w:tc>
      </w:tr>
      <w:tr w:rsidR="00AC7E6C" w:rsidRPr="00AC7E6C" w14:paraId="2A37ACA6" w14:textId="77777777" w:rsidTr="00AC7E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3A03F86" w14:textId="77777777" w:rsidR="00AC7E6C" w:rsidRPr="00AC7E6C" w:rsidRDefault="00AC7E6C" w:rsidP="00424953">
            <w:pPr>
              <w:contextualSpacing/>
              <w:rPr>
                <w:rFonts w:ascii="Arial" w:eastAsia="Arial" w:hAnsi="Arial" w:cs="Arial"/>
                <w:lang w:val="en-GB" w:eastAsia="zh-CN"/>
              </w:rPr>
            </w:pPr>
            <w:proofErr w:type="spellStart"/>
            <w:r w:rsidRPr="00AC7E6C">
              <w:rPr>
                <w:rFonts w:ascii="Arial" w:eastAsia="Arial" w:hAnsi="Arial" w:cs="Arial"/>
                <w:lang w:val="en-GB" w:eastAsia="zh-CN"/>
              </w:rPr>
              <w:t>pdI</w:t>
            </w:r>
            <w:proofErr w:type="spellEnd"/>
          </w:p>
        </w:tc>
        <w:tc>
          <w:tcPr>
            <w:tcW w:w="3260" w:type="dxa"/>
            <w:shd w:val="clear" w:color="auto" w:fill="auto"/>
          </w:tcPr>
          <w:p w14:paraId="75B1DB8E" w14:textId="77777777" w:rsidR="00AC7E6C" w:rsidRPr="00AC7E6C" w:rsidRDefault="00AC7E6C" w:rsidP="00424953">
            <w:pPr>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lang w:val="en-GB" w:eastAsia="zh-CN"/>
              </w:rPr>
            </w:pPr>
            <w:r w:rsidRPr="00AC7E6C">
              <w:rPr>
                <w:rFonts w:ascii="Arial" w:eastAsia="Arial" w:hAnsi="Arial" w:cs="Arial"/>
                <w:lang w:val="en-GB" w:eastAsia="zh-CN"/>
              </w:rPr>
              <w:t xml:space="preserve"> </w:t>
            </w:r>
            <w:proofErr w:type="spellStart"/>
            <w:r w:rsidRPr="00AC7E6C">
              <w:rPr>
                <w:rFonts w:ascii="Arial" w:eastAsia="Arial" w:hAnsi="Arial" w:cs="Arial"/>
                <w:lang w:val="en-GB" w:eastAsia="zh-CN"/>
              </w:rPr>
              <w:t>pdI</w:t>
            </w:r>
            <w:proofErr w:type="spellEnd"/>
            <w:r w:rsidRPr="00AC7E6C">
              <w:rPr>
                <w:rFonts w:ascii="Arial" w:eastAsia="Arial" w:hAnsi="Arial" w:cs="Arial"/>
                <w:lang w:val="en-GB" w:eastAsia="zh-CN"/>
              </w:rPr>
              <w:t xml:space="preserve"> (&lt;0.15)</w:t>
            </w:r>
          </w:p>
        </w:tc>
        <w:tc>
          <w:tcPr>
            <w:tcW w:w="3918" w:type="dxa"/>
            <w:shd w:val="clear" w:color="auto" w:fill="auto"/>
          </w:tcPr>
          <w:p w14:paraId="4E8895C4" w14:textId="77777777" w:rsidR="00AC7E6C" w:rsidRDefault="00AC7E6C" w:rsidP="00424953">
            <w:pPr>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lang w:val="en-GB" w:eastAsia="zh-CN"/>
              </w:rPr>
            </w:pPr>
            <w:r w:rsidRPr="00AC7E6C">
              <w:rPr>
                <w:rFonts w:ascii="Arial" w:eastAsia="Arial" w:hAnsi="Arial" w:cs="Arial"/>
                <w:lang w:val="en-GB" w:eastAsia="zh-CN"/>
              </w:rPr>
              <w:t>Narrow particle size range to assure uniform drug distribution per dosage unit</w:t>
            </w:r>
          </w:p>
          <w:p w14:paraId="4340DBA9" w14:textId="77777777" w:rsidR="00AC7E6C" w:rsidRPr="00AC7E6C" w:rsidRDefault="00AC7E6C" w:rsidP="00424953">
            <w:pPr>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lang w:val="en-GB" w:eastAsia="zh-CN"/>
              </w:rPr>
            </w:pPr>
          </w:p>
        </w:tc>
      </w:tr>
      <w:tr w:rsidR="00AC7E6C" w:rsidRPr="00AC7E6C" w14:paraId="676222EE" w14:textId="77777777" w:rsidTr="00AC7E6C">
        <w:tc>
          <w:tcPr>
            <w:cnfStyle w:val="001000000000" w:firstRow="0" w:lastRow="0" w:firstColumn="1" w:lastColumn="0" w:oddVBand="0" w:evenVBand="0" w:oddHBand="0" w:evenHBand="0" w:firstRowFirstColumn="0" w:firstRowLastColumn="0" w:lastRowFirstColumn="0" w:lastRowLastColumn="0"/>
            <w:tcW w:w="1838" w:type="dxa"/>
          </w:tcPr>
          <w:p w14:paraId="34E7365F" w14:textId="77777777" w:rsidR="00AC7E6C" w:rsidRPr="00AC7E6C" w:rsidRDefault="00AC7E6C" w:rsidP="00424953">
            <w:pPr>
              <w:contextualSpacing/>
              <w:rPr>
                <w:rFonts w:ascii="Arial" w:eastAsia="Arial" w:hAnsi="Arial" w:cs="Arial"/>
                <w:lang w:val="en-GB" w:eastAsia="zh-CN"/>
              </w:rPr>
            </w:pPr>
            <w:r w:rsidRPr="00AC7E6C">
              <w:rPr>
                <w:rFonts w:ascii="Arial" w:eastAsia="Arial" w:hAnsi="Arial" w:cs="Arial"/>
                <w:lang w:val="en-GB" w:eastAsia="zh-CN"/>
              </w:rPr>
              <w:lastRenderedPageBreak/>
              <w:t>Encapsulation efficiency</w:t>
            </w:r>
          </w:p>
        </w:tc>
        <w:tc>
          <w:tcPr>
            <w:tcW w:w="3260" w:type="dxa"/>
          </w:tcPr>
          <w:p w14:paraId="251D9ABA" w14:textId="77777777" w:rsidR="00AC7E6C" w:rsidRPr="00AC7E6C" w:rsidRDefault="00AC7E6C" w:rsidP="00424953">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eastAsia="zh-CN"/>
              </w:rPr>
            </w:pPr>
            <w:r w:rsidRPr="00AC7E6C">
              <w:rPr>
                <w:rFonts w:ascii="Arial" w:eastAsia="Arial" w:hAnsi="Arial" w:cs="Arial"/>
                <w:lang w:val="en-GB" w:eastAsia="zh-CN"/>
              </w:rPr>
              <w:t>&gt;60%</w:t>
            </w:r>
          </w:p>
        </w:tc>
        <w:tc>
          <w:tcPr>
            <w:tcW w:w="3918" w:type="dxa"/>
          </w:tcPr>
          <w:p w14:paraId="499C54C5" w14:textId="77777777" w:rsidR="00AC7E6C" w:rsidRDefault="00AC7E6C" w:rsidP="00424953">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eastAsia="zh-CN"/>
              </w:rPr>
            </w:pPr>
            <w:r w:rsidRPr="00AC7E6C">
              <w:rPr>
                <w:rFonts w:ascii="Arial" w:eastAsia="Arial" w:hAnsi="Arial" w:cs="Arial"/>
                <w:lang w:val="en-GB" w:eastAsia="zh-CN"/>
              </w:rPr>
              <w:t>Higher payload and smaller dosage units</w:t>
            </w:r>
          </w:p>
          <w:p w14:paraId="7BC59E98" w14:textId="77777777" w:rsidR="00AC7E6C" w:rsidRPr="00AC7E6C" w:rsidRDefault="00AC7E6C" w:rsidP="00424953">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eastAsia="zh-CN"/>
              </w:rPr>
            </w:pPr>
          </w:p>
        </w:tc>
      </w:tr>
      <w:tr w:rsidR="00AC7E6C" w:rsidRPr="00AC7E6C" w14:paraId="6E986069" w14:textId="77777777" w:rsidTr="00AC7E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3AE2EC16" w14:textId="77777777" w:rsidR="00AC7E6C" w:rsidRPr="00AC7E6C" w:rsidRDefault="00AC7E6C" w:rsidP="00424953">
            <w:pPr>
              <w:contextualSpacing/>
              <w:rPr>
                <w:rFonts w:ascii="Arial" w:eastAsia="Arial" w:hAnsi="Arial" w:cs="Arial"/>
                <w:lang w:val="en-GB" w:eastAsia="zh-CN"/>
              </w:rPr>
            </w:pPr>
            <w:r w:rsidRPr="00AC7E6C">
              <w:rPr>
                <w:rFonts w:ascii="Arial" w:eastAsia="Arial" w:hAnsi="Arial" w:cs="Arial"/>
                <w:lang w:val="en-GB" w:eastAsia="zh-CN"/>
              </w:rPr>
              <w:t>Polymer properties</w:t>
            </w:r>
          </w:p>
        </w:tc>
        <w:tc>
          <w:tcPr>
            <w:tcW w:w="3260" w:type="dxa"/>
            <w:shd w:val="clear" w:color="auto" w:fill="auto"/>
          </w:tcPr>
          <w:p w14:paraId="2E87E9DA" w14:textId="77777777" w:rsidR="00AC7E6C" w:rsidRPr="00AC7E6C" w:rsidRDefault="00AC7E6C" w:rsidP="00424953">
            <w:pPr>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lang w:val="en-GB" w:eastAsia="zh-CN"/>
              </w:rPr>
            </w:pPr>
            <w:proofErr w:type="spellStart"/>
            <w:r w:rsidRPr="00AC7E6C">
              <w:rPr>
                <w:rFonts w:ascii="Arial" w:eastAsia="Arial" w:hAnsi="Arial" w:cs="Arial"/>
                <w:lang w:val="en-GB" w:eastAsia="zh-CN"/>
              </w:rPr>
              <w:t>Biocompatabile</w:t>
            </w:r>
            <w:proofErr w:type="spellEnd"/>
            <w:r w:rsidRPr="00AC7E6C">
              <w:rPr>
                <w:rFonts w:ascii="Arial" w:eastAsia="Arial" w:hAnsi="Arial" w:cs="Arial"/>
                <w:lang w:val="en-GB" w:eastAsia="zh-CN"/>
              </w:rPr>
              <w:t xml:space="preserve">, degradable and </w:t>
            </w:r>
            <w:proofErr w:type="spellStart"/>
            <w:r w:rsidRPr="00AC7E6C">
              <w:rPr>
                <w:rFonts w:ascii="Arial" w:eastAsia="Arial" w:hAnsi="Arial" w:cs="Arial"/>
                <w:lang w:val="en-GB" w:eastAsia="zh-CN"/>
              </w:rPr>
              <w:t>bioadhesive</w:t>
            </w:r>
            <w:proofErr w:type="spellEnd"/>
            <w:r w:rsidRPr="00AC7E6C">
              <w:rPr>
                <w:rFonts w:ascii="Arial" w:eastAsia="Arial" w:hAnsi="Arial" w:cs="Arial"/>
                <w:lang w:val="en-GB" w:eastAsia="zh-CN"/>
              </w:rPr>
              <w:t xml:space="preserve"> </w:t>
            </w:r>
          </w:p>
        </w:tc>
        <w:tc>
          <w:tcPr>
            <w:tcW w:w="3918" w:type="dxa"/>
            <w:shd w:val="clear" w:color="auto" w:fill="auto"/>
          </w:tcPr>
          <w:p w14:paraId="2F230C37" w14:textId="77777777" w:rsidR="00AC7E6C" w:rsidRPr="00AC7E6C" w:rsidRDefault="00AC7E6C" w:rsidP="00424953">
            <w:pPr>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lang w:val="en-GB" w:eastAsia="zh-CN"/>
              </w:rPr>
            </w:pPr>
            <w:r w:rsidRPr="00AC7E6C">
              <w:rPr>
                <w:rFonts w:ascii="Arial" w:eastAsia="Arial" w:hAnsi="Arial" w:cs="Arial"/>
                <w:lang w:val="en-GB" w:eastAsia="zh-CN"/>
              </w:rPr>
              <w:t>Retention of drug, penetration and slow release. Safety and clearance from the reproductive system</w:t>
            </w:r>
          </w:p>
        </w:tc>
      </w:tr>
    </w:tbl>
    <w:p w14:paraId="5BE0A817" w14:textId="77777777" w:rsidR="00AC7E6C" w:rsidRDefault="00AC7E6C" w:rsidP="00424953">
      <w:pPr>
        <w:pStyle w:val="Body"/>
        <w:spacing w:after="0"/>
        <w:contextualSpacing/>
        <w:rPr>
          <w:rFonts w:ascii="Arial" w:hAnsi="Arial" w:cs="Arial"/>
        </w:rPr>
      </w:pPr>
    </w:p>
    <w:p w14:paraId="27890825" w14:textId="77777777" w:rsidR="00AC7E6C" w:rsidRDefault="00AC7E6C" w:rsidP="00424953">
      <w:pPr>
        <w:pStyle w:val="Body"/>
        <w:spacing w:after="0"/>
        <w:contextualSpacing/>
        <w:rPr>
          <w:rFonts w:ascii="Arial" w:hAnsi="Arial" w:cs="Arial"/>
        </w:rPr>
      </w:pPr>
    </w:p>
    <w:p w14:paraId="1D840059" w14:textId="77777777" w:rsidR="00B01FCD" w:rsidRDefault="00000F8F" w:rsidP="00424953">
      <w:pPr>
        <w:pStyle w:val="ConcHead"/>
        <w:spacing w:after="0"/>
        <w:contextualSpacing/>
        <w:jc w:val="both"/>
        <w:rPr>
          <w:rFonts w:ascii="Arial" w:hAnsi="Arial" w:cs="Arial"/>
        </w:rPr>
      </w:pPr>
      <w:r>
        <w:rPr>
          <w:rFonts w:ascii="Arial" w:hAnsi="Arial" w:cs="Arial"/>
        </w:rPr>
        <w:t xml:space="preserve">4. </w:t>
      </w:r>
      <w:r w:rsidR="00B01FCD" w:rsidRPr="00FB3A86">
        <w:rPr>
          <w:rFonts w:ascii="Arial" w:hAnsi="Arial" w:cs="Arial"/>
        </w:rPr>
        <w:t>Conclusion</w:t>
      </w:r>
    </w:p>
    <w:p w14:paraId="6C0E17BE" w14:textId="77777777" w:rsidR="00790ADA" w:rsidRPr="00FB3A86" w:rsidRDefault="00790ADA" w:rsidP="00424953">
      <w:pPr>
        <w:pStyle w:val="ConcHead"/>
        <w:spacing w:after="0"/>
        <w:contextualSpacing/>
        <w:jc w:val="both"/>
        <w:rPr>
          <w:rFonts w:ascii="Arial" w:hAnsi="Arial" w:cs="Arial"/>
        </w:rPr>
      </w:pPr>
    </w:p>
    <w:p w14:paraId="1B5C550B" w14:textId="77777777" w:rsidR="00AC7E6C" w:rsidRPr="00AC7E6C" w:rsidRDefault="00AC7E6C" w:rsidP="00424953">
      <w:pPr>
        <w:pStyle w:val="Body"/>
        <w:contextualSpacing/>
        <w:rPr>
          <w:rFonts w:ascii="Arial" w:hAnsi="Arial" w:cs="Arial"/>
        </w:rPr>
      </w:pPr>
      <w:r w:rsidRPr="00AC7E6C">
        <w:rPr>
          <w:rFonts w:ascii="Arial" w:hAnsi="Arial" w:cs="Arial"/>
        </w:rPr>
        <w:t xml:space="preserve">The need to develop prevention products for the female population can never be overstated. Gaps still exist in knowledge of the biological, chemical and physical roles that the female reproductive tract plays in physiological function in fertility, protection from pathogens and cell regulation at different ages and hormonal cycles throughout the life of an individual. HIV infections and transmission rates remain higher in the adolescent to young adult age groups where risk factors tend still remain unclear from a clinical perspective. Cervical ectopy, early sexual debut, elevated levels of inflammatory cytokines and changes in cervical epithelia all play role in increased risk of HIV acquisition. </w:t>
      </w:r>
    </w:p>
    <w:p w14:paraId="05B20312" w14:textId="135EDB1E" w:rsidR="00790ADA" w:rsidRDefault="00AC7E6C" w:rsidP="00424953">
      <w:pPr>
        <w:pStyle w:val="Body"/>
        <w:spacing w:after="0"/>
        <w:contextualSpacing/>
        <w:rPr>
          <w:rFonts w:ascii="Arial" w:hAnsi="Arial" w:cs="Arial"/>
        </w:rPr>
      </w:pPr>
      <w:r w:rsidRPr="00AC7E6C">
        <w:rPr>
          <w:rFonts w:ascii="Arial" w:hAnsi="Arial" w:cs="Arial"/>
        </w:rPr>
        <w:t xml:space="preserve">Potential targets for drugs in the HIV life cycle exist, but the infection timeline from crossing the vaginal lumen to infection of regional lymph nodes and systemic circulation of the virus gives a prevention window from hours to a few days in which they may have greatest efficacy. These considerations are important in product design and selection of the active pharmaceutical ingredient. The ability to penetrate cervicovaginal mucous and reduce rate of clearance is also important in developing a microbicide. A rational approach to formulation development process, understanding the pharmacokinetics antiviral activity, </w:t>
      </w:r>
      <w:proofErr w:type="spellStart"/>
      <w:r w:rsidRPr="00AC7E6C">
        <w:rPr>
          <w:rFonts w:ascii="Arial" w:hAnsi="Arial" w:cs="Arial"/>
        </w:rPr>
        <w:t>mucoadhesion</w:t>
      </w:r>
      <w:proofErr w:type="spellEnd"/>
      <w:r w:rsidRPr="00AC7E6C">
        <w:rPr>
          <w:rFonts w:ascii="Arial" w:hAnsi="Arial" w:cs="Arial"/>
        </w:rPr>
        <w:t>, safety, toxicity and patient acceptability all have an impact on product uptake and therapeutic efficacy.</w:t>
      </w:r>
    </w:p>
    <w:p w14:paraId="3908BF34" w14:textId="1F9BF54D" w:rsidR="00276A22" w:rsidRDefault="00276A22" w:rsidP="00424953">
      <w:pPr>
        <w:pStyle w:val="Body"/>
        <w:spacing w:after="0"/>
        <w:contextualSpacing/>
        <w:rPr>
          <w:rFonts w:ascii="Arial" w:hAnsi="Arial" w:cs="Arial"/>
        </w:rPr>
      </w:pPr>
    </w:p>
    <w:p w14:paraId="1389779D" w14:textId="77777777" w:rsidR="00276A22" w:rsidRDefault="00276A22" w:rsidP="00276A22">
      <w:pPr>
        <w:pStyle w:val="Body"/>
        <w:spacing w:after="0"/>
        <w:contextualSpacing/>
        <w:rPr>
          <w:rFonts w:ascii="Arial" w:hAnsi="Arial" w:cs="Arial"/>
          <w:b/>
          <w:caps/>
          <w:sz w:val="22"/>
        </w:rPr>
      </w:pPr>
      <w:r w:rsidRPr="00296FAA">
        <w:rPr>
          <w:rFonts w:ascii="Arial" w:hAnsi="Arial" w:cs="Arial"/>
          <w:b/>
          <w:caps/>
          <w:sz w:val="22"/>
        </w:rPr>
        <w:t>HIGHLIGHTS:</w:t>
      </w:r>
    </w:p>
    <w:p w14:paraId="1BBE7AD5" w14:textId="77777777" w:rsidR="00276A22" w:rsidRPr="007230B2" w:rsidRDefault="00276A22" w:rsidP="00276A22">
      <w:pPr>
        <w:pStyle w:val="Body"/>
        <w:numPr>
          <w:ilvl w:val="0"/>
          <w:numId w:val="31"/>
        </w:numPr>
        <w:spacing w:after="0"/>
        <w:contextualSpacing/>
        <w:rPr>
          <w:rFonts w:ascii="Arial" w:eastAsia="Calibri" w:hAnsi="Arial" w:cs="Arial"/>
          <w:szCs w:val="22"/>
        </w:rPr>
      </w:pPr>
      <w:r>
        <w:rPr>
          <w:rFonts w:ascii="Arial" w:eastAsia="Calibri" w:hAnsi="Arial" w:cs="Arial"/>
          <w:szCs w:val="22"/>
        </w:rPr>
        <w:t>N</w:t>
      </w:r>
      <w:r w:rsidRPr="007230B2">
        <w:rPr>
          <w:rFonts w:ascii="Arial" w:eastAsia="Calibri" w:hAnsi="Arial" w:cs="Arial"/>
          <w:szCs w:val="22"/>
        </w:rPr>
        <w:t xml:space="preserve">atural </w:t>
      </w:r>
      <w:r>
        <w:rPr>
          <w:rFonts w:ascii="Arial" w:eastAsia="Calibri" w:hAnsi="Arial" w:cs="Arial"/>
          <w:szCs w:val="22"/>
        </w:rPr>
        <w:t>b</w:t>
      </w:r>
      <w:r w:rsidRPr="007230B2">
        <w:rPr>
          <w:rFonts w:ascii="Arial" w:eastAsia="Calibri" w:hAnsi="Arial" w:cs="Arial"/>
          <w:szCs w:val="22"/>
        </w:rPr>
        <w:t>arriers (biological, chemical and physical) to sexually transmitted infections</w:t>
      </w:r>
    </w:p>
    <w:p w14:paraId="757B0B14" w14:textId="77777777" w:rsidR="00276A22" w:rsidRDefault="00276A22" w:rsidP="00276A22">
      <w:pPr>
        <w:pStyle w:val="Body"/>
        <w:numPr>
          <w:ilvl w:val="0"/>
          <w:numId w:val="31"/>
        </w:numPr>
        <w:spacing w:after="0"/>
        <w:contextualSpacing/>
        <w:rPr>
          <w:rFonts w:ascii="Arial" w:eastAsia="Calibri" w:hAnsi="Arial" w:cs="Arial"/>
          <w:szCs w:val="22"/>
        </w:rPr>
      </w:pPr>
      <w:r>
        <w:rPr>
          <w:rFonts w:ascii="Arial" w:eastAsia="Calibri" w:hAnsi="Arial" w:cs="Arial"/>
          <w:szCs w:val="22"/>
        </w:rPr>
        <w:t>T</w:t>
      </w:r>
      <w:r w:rsidRPr="007230B2">
        <w:rPr>
          <w:rFonts w:ascii="Arial" w:eastAsia="Calibri" w:hAnsi="Arial" w:cs="Arial"/>
          <w:szCs w:val="22"/>
        </w:rPr>
        <w:t xml:space="preserve">he different factors that increase the risk of transmission of HIV and co-infections in the female reproductive tract </w:t>
      </w:r>
    </w:p>
    <w:p w14:paraId="0C64E5F8" w14:textId="77777777" w:rsidR="00276A22" w:rsidRDefault="00276A22" w:rsidP="00276A22">
      <w:pPr>
        <w:pStyle w:val="Body"/>
        <w:numPr>
          <w:ilvl w:val="0"/>
          <w:numId w:val="31"/>
        </w:numPr>
        <w:spacing w:after="0"/>
        <w:contextualSpacing/>
        <w:rPr>
          <w:rFonts w:ascii="Arial" w:eastAsia="Calibri" w:hAnsi="Arial" w:cs="Arial"/>
          <w:szCs w:val="22"/>
        </w:rPr>
      </w:pPr>
      <w:r>
        <w:rPr>
          <w:rFonts w:ascii="Arial" w:eastAsia="Calibri" w:hAnsi="Arial" w:cs="Arial"/>
          <w:szCs w:val="22"/>
        </w:rPr>
        <w:t>Opportunities and challenges for intravaginal drug delivery in HIV prevention technologies</w:t>
      </w:r>
    </w:p>
    <w:p w14:paraId="15D71D8F" w14:textId="77777777" w:rsidR="00276A22" w:rsidRDefault="00276A22" w:rsidP="00276A22">
      <w:pPr>
        <w:pStyle w:val="Body"/>
        <w:numPr>
          <w:ilvl w:val="0"/>
          <w:numId w:val="31"/>
        </w:numPr>
        <w:spacing w:after="0"/>
        <w:contextualSpacing/>
        <w:rPr>
          <w:rFonts w:ascii="Arial" w:eastAsia="Calibri" w:hAnsi="Arial" w:cs="Arial"/>
          <w:szCs w:val="22"/>
        </w:rPr>
      </w:pPr>
      <w:proofErr w:type="spellStart"/>
      <w:r>
        <w:rPr>
          <w:rFonts w:ascii="Arial" w:eastAsia="Calibri" w:hAnsi="Arial" w:cs="Arial"/>
          <w:szCs w:val="22"/>
        </w:rPr>
        <w:t>Preformulation</w:t>
      </w:r>
      <w:proofErr w:type="spellEnd"/>
      <w:r>
        <w:rPr>
          <w:rFonts w:ascii="Arial" w:eastAsia="Calibri" w:hAnsi="Arial" w:cs="Arial"/>
          <w:szCs w:val="22"/>
        </w:rPr>
        <w:t xml:space="preserve"> and formulation methods for vaginal dosage forms designed for HIV prevention</w:t>
      </w:r>
    </w:p>
    <w:p w14:paraId="3D1E426C" w14:textId="77777777" w:rsidR="00276A22" w:rsidRDefault="00276A22" w:rsidP="00424953">
      <w:pPr>
        <w:pStyle w:val="Body"/>
        <w:spacing w:after="0"/>
        <w:contextualSpacing/>
        <w:rPr>
          <w:rFonts w:ascii="Arial" w:hAnsi="Arial" w:cs="Arial"/>
        </w:rPr>
      </w:pPr>
    </w:p>
    <w:p w14:paraId="28150E8B" w14:textId="77777777" w:rsidR="00AC7E6C" w:rsidRPr="00FB3A86" w:rsidRDefault="00AC7E6C" w:rsidP="00424953">
      <w:pPr>
        <w:pStyle w:val="Body"/>
        <w:spacing w:after="0"/>
        <w:contextualSpacing/>
        <w:rPr>
          <w:rFonts w:ascii="Arial" w:hAnsi="Arial" w:cs="Arial"/>
        </w:rPr>
      </w:pPr>
    </w:p>
    <w:p w14:paraId="2AA25774" w14:textId="77777777" w:rsidR="00315186" w:rsidRPr="00315186" w:rsidRDefault="00315186" w:rsidP="00424953">
      <w:pPr>
        <w:contextualSpacing/>
      </w:pPr>
      <w:bookmarkStart w:id="0" w:name="_GoBack"/>
      <w:bookmarkEnd w:id="0"/>
    </w:p>
    <w:p w14:paraId="11FB0995" w14:textId="77777777" w:rsidR="008352AF" w:rsidRDefault="008352AF" w:rsidP="00424953">
      <w:pPr>
        <w:pStyle w:val="ReferHead"/>
        <w:spacing w:after="0"/>
        <w:contextualSpacing/>
        <w:jc w:val="both"/>
        <w:rPr>
          <w:rFonts w:ascii="Arial" w:hAnsi="Arial" w:cs="Arial"/>
          <w:b w:val="0"/>
          <w:caps w:val="0"/>
          <w:sz w:val="20"/>
        </w:rPr>
      </w:pPr>
    </w:p>
    <w:p w14:paraId="696C62C1" w14:textId="0BF9F0F9" w:rsidR="008352AF" w:rsidRPr="0051068A" w:rsidRDefault="008352AF" w:rsidP="008352AF">
      <w:pPr>
        <w:pStyle w:val="ReferHead"/>
        <w:spacing w:after="0"/>
        <w:contextualSpacing/>
        <w:jc w:val="both"/>
        <w:rPr>
          <w:rFonts w:ascii="Arial" w:hAnsi="Arial" w:cs="Arial"/>
          <w:bCs/>
        </w:rPr>
      </w:pPr>
      <w:r w:rsidRPr="0051068A">
        <w:rPr>
          <w:rFonts w:ascii="Arial" w:hAnsi="Arial" w:cs="Arial"/>
          <w:bCs/>
        </w:rPr>
        <w:t xml:space="preserve">8. AI Disclaimer </w:t>
      </w:r>
    </w:p>
    <w:p w14:paraId="7E158197" w14:textId="77777777" w:rsidR="008352AF" w:rsidRPr="00D72E38" w:rsidRDefault="008352AF" w:rsidP="008352AF">
      <w:pPr>
        <w:contextualSpacing/>
        <w:jc w:val="both"/>
        <w:rPr>
          <w:rFonts w:ascii="Arial" w:hAnsi="Arial" w:cs="Arial"/>
          <w:lang w:val="en-ZW"/>
        </w:rPr>
      </w:pPr>
      <w:r w:rsidRPr="0051068A">
        <w:rPr>
          <w:rFonts w:ascii="Arial" w:hAnsi="Arial" w:cs="Arial"/>
          <w:lang w:val="en-ZW"/>
        </w:rPr>
        <w:t>Author(s) hereby declare that NO generative AI technologies such as Large Language Models (ChatGPT, COPILOT, etc) and text-to-image generators have been used during writing or editing of this manuscript.</w:t>
      </w:r>
    </w:p>
    <w:p w14:paraId="1C8E091D" w14:textId="77777777" w:rsidR="00860000" w:rsidRDefault="00860000" w:rsidP="00424953">
      <w:pPr>
        <w:pStyle w:val="ReferHead"/>
        <w:spacing w:after="0"/>
        <w:contextualSpacing/>
        <w:jc w:val="both"/>
        <w:rPr>
          <w:rFonts w:ascii="Arial" w:hAnsi="Arial" w:cs="Arial"/>
        </w:rPr>
      </w:pPr>
    </w:p>
    <w:p w14:paraId="10006C83" w14:textId="4F0089DB" w:rsidR="00B01FCD" w:rsidRDefault="008352AF" w:rsidP="00424953">
      <w:pPr>
        <w:pStyle w:val="ReferHead"/>
        <w:spacing w:after="0"/>
        <w:contextualSpacing/>
        <w:jc w:val="both"/>
        <w:rPr>
          <w:rFonts w:ascii="Arial" w:hAnsi="Arial" w:cs="Arial"/>
        </w:rPr>
      </w:pPr>
      <w:r>
        <w:rPr>
          <w:rFonts w:ascii="Arial" w:hAnsi="Arial" w:cs="Arial"/>
        </w:rPr>
        <w:t xml:space="preserve">9. </w:t>
      </w:r>
      <w:r w:rsidR="00B01FCD" w:rsidRPr="00FB3A86">
        <w:rPr>
          <w:rFonts w:ascii="Arial" w:hAnsi="Arial" w:cs="Arial"/>
        </w:rPr>
        <w:t>References</w:t>
      </w:r>
    </w:p>
    <w:p w14:paraId="7B4FA24C" w14:textId="77777777" w:rsidR="00790ADA" w:rsidRPr="00FB3A86" w:rsidRDefault="00790ADA" w:rsidP="00424953">
      <w:pPr>
        <w:pStyle w:val="ReferHead"/>
        <w:spacing w:after="0"/>
        <w:contextualSpacing/>
        <w:jc w:val="both"/>
        <w:rPr>
          <w:rFonts w:ascii="Arial" w:hAnsi="Arial" w:cs="Arial"/>
        </w:rPr>
      </w:pPr>
    </w:p>
    <w:p w14:paraId="0E2AC7D0" w14:textId="77777777" w:rsidR="00C145A1" w:rsidRPr="00C145A1" w:rsidRDefault="00C145A1" w:rsidP="00424953">
      <w:pPr>
        <w:pStyle w:val="Bibliography"/>
        <w:contextualSpacing/>
        <w:rPr>
          <w:rFonts w:ascii="Arial" w:hAnsi="Arial" w:cs="Arial"/>
        </w:rPr>
      </w:pPr>
      <w:r>
        <w:rPr>
          <w:rFonts w:ascii="Arial" w:hAnsi="Arial" w:cs="Arial"/>
        </w:rPr>
        <w:fldChar w:fldCharType="begin"/>
      </w:r>
      <w:r>
        <w:rPr>
          <w:rFonts w:ascii="Arial" w:hAnsi="Arial" w:cs="Arial"/>
        </w:rPr>
        <w:instrText xml:space="preserve"> ADDIN ZOTERO_BIBL {"uncited":[],"omitted":[],"custom":[]} CSL_BIBLIOGRAPHY </w:instrText>
      </w:r>
      <w:r>
        <w:rPr>
          <w:rFonts w:ascii="Arial" w:hAnsi="Arial" w:cs="Arial"/>
        </w:rPr>
        <w:fldChar w:fldCharType="separate"/>
      </w:r>
      <w:r w:rsidRPr="00C145A1">
        <w:rPr>
          <w:rFonts w:ascii="Arial" w:hAnsi="Arial" w:cs="Arial"/>
        </w:rPr>
        <w:t>1.</w:t>
      </w:r>
      <w:r w:rsidRPr="00C145A1">
        <w:rPr>
          <w:rFonts w:ascii="Arial" w:hAnsi="Arial" w:cs="Arial"/>
        </w:rPr>
        <w:tab/>
        <w:t>UNAIDS. UNAIDS 2023 epidemiological estimates, UNAIDS [Internet]. UNAIDS; 2023 [cited 2024 Apr 16]. Available from: https://thepath.unaids.org/wp-content/themes/unaids2023/assets/files/2023_report.pdf</w:t>
      </w:r>
    </w:p>
    <w:p w14:paraId="1A4037FA" w14:textId="77777777" w:rsidR="00C145A1" w:rsidRPr="00C145A1" w:rsidRDefault="00C145A1" w:rsidP="00424953">
      <w:pPr>
        <w:pStyle w:val="Bibliography"/>
        <w:contextualSpacing/>
        <w:rPr>
          <w:rFonts w:ascii="Arial" w:hAnsi="Arial" w:cs="Arial"/>
        </w:rPr>
      </w:pPr>
      <w:r w:rsidRPr="00C145A1">
        <w:rPr>
          <w:rFonts w:ascii="Arial" w:hAnsi="Arial" w:cs="Arial"/>
        </w:rPr>
        <w:lastRenderedPageBreak/>
        <w:t>2.</w:t>
      </w:r>
      <w:r w:rsidRPr="00C145A1">
        <w:rPr>
          <w:rFonts w:ascii="Arial" w:hAnsi="Arial" w:cs="Arial"/>
        </w:rPr>
        <w:tab/>
        <w:t xml:space="preserve">van Schalkwyk C, Mahy M, Johnson LF, Imai-Eaton JW. Updated Data and Methods for the 2023 UNAIDS HIV Estimates. J Acquir Immune Defic Syndr 1999. 2024 Jan 1;95(1S):e1–4. </w:t>
      </w:r>
    </w:p>
    <w:p w14:paraId="2CB03B40" w14:textId="77777777" w:rsidR="00C145A1" w:rsidRPr="00C145A1" w:rsidRDefault="00C145A1" w:rsidP="00424953">
      <w:pPr>
        <w:pStyle w:val="Bibliography"/>
        <w:contextualSpacing/>
        <w:rPr>
          <w:rFonts w:ascii="Arial" w:hAnsi="Arial" w:cs="Arial"/>
        </w:rPr>
      </w:pPr>
      <w:r w:rsidRPr="00C145A1">
        <w:rPr>
          <w:rFonts w:ascii="Arial" w:hAnsi="Arial" w:cs="Arial"/>
        </w:rPr>
        <w:t>3.</w:t>
      </w:r>
      <w:r w:rsidRPr="00C145A1">
        <w:rPr>
          <w:rFonts w:ascii="Arial" w:hAnsi="Arial" w:cs="Arial"/>
        </w:rPr>
        <w:tab/>
        <w:t xml:space="preserve">Kaushic C. HIV-1 Infection in the Female Reproductive Tract: Role of Interactions between HIV-1 and Genital Epithelial Cells. Am J Reprod Immunol. 2011 Mar 1;65(3):253–60. </w:t>
      </w:r>
    </w:p>
    <w:p w14:paraId="7FDDE063" w14:textId="77777777" w:rsidR="00C145A1" w:rsidRPr="00C145A1" w:rsidRDefault="00C145A1" w:rsidP="00424953">
      <w:pPr>
        <w:pStyle w:val="Bibliography"/>
        <w:contextualSpacing/>
        <w:rPr>
          <w:rFonts w:ascii="Arial" w:hAnsi="Arial" w:cs="Arial"/>
        </w:rPr>
      </w:pPr>
      <w:r w:rsidRPr="00C145A1">
        <w:rPr>
          <w:rFonts w:ascii="Arial" w:hAnsi="Arial" w:cs="Arial"/>
        </w:rPr>
        <w:t>4.</w:t>
      </w:r>
      <w:r w:rsidRPr="00C145A1">
        <w:rPr>
          <w:rFonts w:ascii="Arial" w:hAnsi="Arial" w:cs="Arial"/>
        </w:rPr>
        <w:tab/>
        <w:t xml:space="preserve">Cutler B, Justman J. Vaginal microbicides and the prevention of HIV transmission. Lancet Infect Dis. 2008 Nov;8(11):685–97. </w:t>
      </w:r>
    </w:p>
    <w:p w14:paraId="7DF62382" w14:textId="77777777" w:rsidR="00C145A1" w:rsidRPr="00C145A1" w:rsidRDefault="00C145A1" w:rsidP="00424953">
      <w:pPr>
        <w:pStyle w:val="Bibliography"/>
        <w:contextualSpacing/>
        <w:rPr>
          <w:rFonts w:ascii="Arial" w:hAnsi="Arial" w:cs="Arial"/>
        </w:rPr>
      </w:pPr>
      <w:r w:rsidRPr="00C145A1">
        <w:rPr>
          <w:rFonts w:ascii="Arial" w:hAnsi="Arial" w:cs="Arial"/>
        </w:rPr>
        <w:t>5.</w:t>
      </w:r>
      <w:r w:rsidRPr="00C145A1">
        <w:rPr>
          <w:rFonts w:ascii="Arial" w:hAnsi="Arial" w:cs="Arial"/>
        </w:rPr>
        <w:tab/>
        <w:t xml:space="preserve">Baeten JM, Hendrix CW, Hillier SL. Topical Microbicides in HIV Prevention: State of the Promise. Annu Rev Med. 2020 Jan 27;71:361–77. </w:t>
      </w:r>
    </w:p>
    <w:p w14:paraId="66BD21A5" w14:textId="77777777" w:rsidR="00C145A1" w:rsidRPr="00C145A1" w:rsidRDefault="00C145A1" w:rsidP="00424953">
      <w:pPr>
        <w:pStyle w:val="Bibliography"/>
        <w:contextualSpacing/>
        <w:rPr>
          <w:rFonts w:ascii="Arial" w:hAnsi="Arial" w:cs="Arial"/>
        </w:rPr>
      </w:pPr>
      <w:r w:rsidRPr="00C145A1">
        <w:rPr>
          <w:rFonts w:ascii="Arial" w:hAnsi="Arial" w:cs="Arial"/>
        </w:rPr>
        <w:t>6.</w:t>
      </w:r>
      <w:r w:rsidRPr="00C145A1">
        <w:rPr>
          <w:rFonts w:ascii="Arial" w:hAnsi="Arial" w:cs="Arial"/>
        </w:rPr>
        <w:tab/>
        <w:t xml:space="preserve">Irungu E, Khoza N, Velloza J. Multi-level Interventions to Promote Oral Pre-exposure Prophylaxis Use Among Adolescent Girls and Young Women: a Review of Recent Research. Curr HIV/AIDS Rep. 2021 Dec;18(6):490–9. </w:t>
      </w:r>
    </w:p>
    <w:p w14:paraId="00C094AE" w14:textId="77777777" w:rsidR="00C145A1" w:rsidRPr="00C145A1" w:rsidRDefault="00C145A1" w:rsidP="00424953">
      <w:pPr>
        <w:pStyle w:val="Bibliography"/>
        <w:contextualSpacing/>
        <w:rPr>
          <w:rFonts w:ascii="Arial" w:hAnsi="Arial" w:cs="Arial"/>
        </w:rPr>
      </w:pPr>
      <w:r w:rsidRPr="00C145A1">
        <w:rPr>
          <w:rFonts w:ascii="Arial" w:hAnsi="Arial" w:cs="Arial"/>
        </w:rPr>
        <w:t>7.</w:t>
      </w:r>
      <w:r w:rsidRPr="00C145A1">
        <w:rPr>
          <w:rFonts w:ascii="Arial" w:hAnsi="Arial" w:cs="Arial"/>
        </w:rPr>
        <w:tab/>
        <w:t xml:space="preserve">Gosecka M, Gosecki M. Antimicrobial Polymer-Based Hydrogels for the Intravaginal Therapies-Engineering Considerations. Pharmaceutics. 2021 Sep 2;13(9). </w:t>
      </w:r>
    </w:p>
    <w:p w14:paraId="7714939A" w14:textId="77777777" w:rsidR="00C145A1" w:rsidRPr="00C145A1" w:rsidRDefault="00C145A1" w:rsidP="00424953">
      <w:pPr>
        <w:pStyle w:val="Bibliography"/>
        <w:contextualSpacing/>
        <w:rPr>
          <w:rFonts w:ascii="Arial" w:hAnsi="Arial" w:cs="Arial"/>
        </w:rPr>
      </w:pPr>
      <w:r w:rsidRPr="00C145A1">
        <w:rPr>
          <w:rFonts w:ascii="Arial" w:hAnsi="Arial" w:cs="Arial"/>
        </w:rPr>
        <w:t>8.</w:t>
      </w:r>
      <w:r w:rsidRPr="00C145A1">
        <w:rPr>
          <w:rFonts w:ascii="Arial" w:hAnsi="Arial" w:cs="Arial"/>
        </w:rPr>
        <w:tab/>
        <w:t xml:space="preserve">Kramzer LF, Hamorsky KT, Graebing PW, Wang L, Fuqua JL, Matoba N, et al. Preformulation Characterization of Griffithsin, a Biopharmaceutical Candidate for HIV Prevention. AAPS PharmSciTech. 2021 Feb 24;22(3):83. </w:t>
      </w:r>
    </w:p>
    <w:p w14:paraId="6B6F6438" w14:textId="77777777" w:rsidR="00C145A1" w:rsidRPr="00C145A1" w:rsidRDefault="00C145A1" w:rsidP="00424953">
      <w:pPr>
        <w:pStyle w:val="Bibliography"/>
        <w:contextualSpacing/>
        <w:rPr>
          <w:rFonts w:ascii="Arial" w:hAnsi="Arial" w:cs="Arial"/>
        </w:rPr>
      </w:pPr>
      <w:r w:rsidRPr="00C145A1">
        <w:rPr>
          <w:rFonts w:ascii="Arial" w:hAnsi="Arial" w:cs="Arial"/>
        </w:rPr>
        <w:t>9.</w:t>
      </w:r>
      <w:r w:rsidRPr="00C145A1">
        <w:rPr>
          <w:rFonts w:ascii="Arial" w:hAnsi="Arial" w:cs="Arial"/>
        </w:rPr>
        <w:tab/>
        <w:t xml:space="preserve">Leyva-Gómez G, Piñón-Segundo E, Mendoza-Muñoz N, Zambrano-Zaragoza ML, Mendoza-Elvira S, Quintanar-Guerrero D. Approaches in Polymeric Nanoparticles for Vaginal Drug Delivery: A Review of the State of the Art. Int J Mol Sci. 2018 May 23;19(6). </w:t>
      </w:r>
    </w:p>
    <w:p w14:paraId="2B64A5AA" w14:textId="77777777" w:rsidR="00C145A1" w:rsidRPr="00C145A1" w:rsidRDefault="00C145A1" w:rsidP="00424953">
      <w:pPr>
        <w:pStyle w:val="Bibliography"/>
        <w:contextualSpacing/>
        <w:rPr>
          <w:rFonts w:ascii="Arial" w:hAnsi="Arial" w:cs="Arial"/>
        </w:rPr>
      </w:pPr>
      <w:r w:rsidRPr="00C145A1">
        <w:rPr>
          <w:rFonts w:ascii="Arial" w:hAnsi="Arial" w:cs="Arial"/>
        </w:rPr>
        <w:t>10.</w:t>
      </w:r>
      <w:r w:rsidRPr="00C145A1">
        <w:rPr>
          <w:rFonts w:ascii="Arial" w:hAnsi="Arial" w:cs="Arial"/>
        </w:rPr>
        <w:tab/>
        <w:t xml:space="preserve">Rodriguez-Garcia M, Connors K, Ghosh M. HIV Pathogenesis in the Human Female Reproductive Tract. Curr HIV/AIDS Rep. 2021 Apr 1;18(2):139–56. </w:t>
      </w:r>
    </w:p>
    <w:p w14:paraId="4F344532" w14:textId="77777777" w:rsidR="00C145A1" w:rsidRPr="00C145A1" w:rsidRDefault="00C145A1" w:rsidP="00424953">
      <w:pPr>
        <w:pStyle w:val="Bibliography"/>
        <w:contextualSpacing/>
        <w:rPr>
          <w:rFonts w:ascii="Arial" w:hAnsi="Arial" w:cs="Arial"/>
        </w:rPr>
      </w:pPr>
      <w:r w:rsidRPr="00C145A1">
        <w:rPr>
          <w:rFonts w:ascii="Arial" w:hAnsi="Arial" w:cs="Arial"/>
        </w:rPr>
        <w:t>11.</w:t>
      </w:r>
      <w:r w:rsidRPr="00C145A1">
        <w:rPr>
          <w:rFonts w:ascii="Arial" w:hAnsi="Arial" w:cs="Arial"/>
        </w:rPr>
        <w:tab/>
        <w:t xml:space="preserve">Monin L, Whettlock EM, Male V. Immune responses in the human female reproductive tract. Immunology. 2020 Jun 1;160(2):106–15. </w:t>
      </w:r>
    </w:p>
    <w:p w14:paraId="234F7239" w14:textId="77777777" w:rsidR="00C145A1" w:rsidRPr="00C145A1" w:rsidRDefault="00C145A1" w:rsidP="00424953">
      <w:pPr>
        <w:pStyle w:val="Bibliography"/>
        <w:contextualSpacing/>
        <w:rPr>
          <w:rFonts w:ascii="Arial" w:hAnsi="Arial" w:cs="Arial"/>
        </w:rPr>
      </w:pPr>
      <w:r w:rsidRPr="00C145A1">
        <w:rPr>
          <w:rFonts w:ascii="Arial" w:hAnsi="Arial" w:cs="Arial"/>
        </w:rPr>
        <w:t>12.</w:t>
      </w:r>
      <w:r w:rsidRPr="00C145A1">
        <w:rPr>
          <w:rFonts w:ascii="Arial" w:hAnsi="Arial" w:cs="Arial"/>
        </w:rPr>
        <w:tab/>
        <w:t>Byrareddy SN. Immune landscape of female reproductive tract and HIV susceptibility. eBioMedicine [Internet]. 2021 Aug 1 [cited 2025 Jul 17];70. Available from: https://doi.org/10.1016/j.ebiom.2021.103497</w:t>
      </w:r>
    </w:p>
    <w:p w14:paraId="39DDAD21" w14:textId="77777777" w:rsidR="00C145A1" w:rsidRPr="00C145A1" w:rsidRDefault="00C145A1" w:rsidP="00424953">
      <w:pPr>
        <w:pStyle w:val="Bibliography"/>
        <w:contextualSpacing/>
        <w:rPr>
          <w:rFonts w:ascii="Arial" w:hAnsi="Arial" w:cs="Arial"/>
        </w:rPr>
      </w:pPr>
      <w:r w:rsidRPr="00C145A1">
        <w:rPr>
          <w:rFonts w:ascii="Arial" w:hAnsi="Arial" w:cs="Arial"/>
        </w:rPr>
        <w:t>13.</w:t>
      </w:r>
      <w:r w:rsidRPr="00C145A1">
        <w:rPr>
          <w:rFonts w:ascii="Arial" w:hAnsi="Arial" w:cs="Arial"/>
        </w:rPr>
        <w:tab/>
        <w:t>Atlas of visual inspection of the cervix with acetic acid for screening, triage, and assessment for treatment [Internet]. [cited 2025 Jul 24]. Available from: https://screening.iarc.fr/atlasviadetail.php?Index=14&amp;e=</w:t>
      </w:r>
    </w:p>
    <w:p w14:paraId="08479C37" w14:textId="77777777" w:rsidR="00C145A1" w:rsidRPr="00C145A1" w:rsidRDefault="00C145A1" w:rsidP="00424953">
      <w:pPr>
        <w:pStyle w:val="Bibliography"/>
        <w:contextualSpacing/>
        <w:rPr>
          <w:rFonts w:ascii="Arial" w:hAnsi="Arial" w:cs="Arial"/>
        </w:rPr>
      </w:pPr>
      <w:r w:rsidRPr="00C145A1">
        <w:rPr>
          <w:rFonts w:ascii="Arial" w:hAnsi="Arial" w:cs="Arial"/>
        </w:rPr>
        <w:t>14.</w:t>
      </w:r>
      <w:r w:rsidRPr="00C145A1">
        <w:rPr>
          <w:rFonts w:ascii="Arial" w:hAnsi="Arial" w:cs="Arial"/>
        </w:rPr>
        <w:tab/>
        <w:t xml:space="preserve">Shen R, Richter HE, Smith PD. Interactions between HIV-1 and Mucosal Cells in the Female Reproductive Tract. Am J Reprod Immunol. 2014 Jun 1;71(6):608–17. </w:t>
      </w:r>
    </w:p>
    <w:p w14:paraId="3E40998F" w14:textId="77777777" w:rsidR="00C145A1" w:rsidRPr="00C145A1" w:rsidRDefault="00C145A1" w:rsidP="00424953">
      <w:pPr>
        <w:pStyle w:val="Bibliography"/>
        <w:contextualSpacing/>
        <w:rPr>
          <w:rFonts w:ascii="Arial" w:hAnsi="Arial" w:cs="Arial"/>
        </w:rPr>
      </w:pPr>
      <w:r w:rsidRPr="00C145A1">
        <w:rPr>
          <w:rFonts w:ascii="Arial" w:hAnsi="Arial" w:cs="Arial"/>
        </w:rPr>
        <w:t>15.</w:t>
      </w:r>
      <w:r w:rsidRPr="00C145A1">
        <w:rPr>
          <w:rFonts w:ascii="Arial" w:hAnsi="Arial" w:cs="Arial"/>
        </w:rPr>
        <w:tab/>
        <w:t xml:space="preserve">Yarbrough VL, Winkle S, Herbst-Kralovetz MM. Antimicrobial peptides in the female reproductive tract: a critical component of the mucosal immune barrier with physiological and clinical implications. Hum Reprod Update. 2015 May 1;21(3):353–77. </w:t>
      </w:r>
    </w:p>
    <w:p w14:paraId="4F4FE9E6" w14:textId="77777777" w:rsidR="00C145A1" w:rsidRPr="00C145A1" w:rsidRDefault="00C145A1" w:rsidP="00424953">
      <w:pPr>
        <w:pStyle w:val="Bibliography"/>
        <w:contextualSpacing/>
        <w:rPr>
          <w:rFonts w:ascii="Arial" w:hAnsi="Arial" w:cs="Arial"/>
        </w:rPr>
      </w:pPr>
      <w:r w:rsidRPr="00C145A1">
        <w:rPr>
          <w:rFonts w:ascii="Arial" w:hAnsi="Arial" w:cs="Arial"/>
        </w:rPr>
        <w:t>16.</w:t>
      </w:r>
      <w:r w:rsidRPr="00C145A1">
        <w:rPr>
          <w:rFonts w:ascii="Arial" w:hAnsi="Arial" w:cs="Arial"/>
        </w:rPr>
        <w:tab/>
        <w:t xml:space="preserve">Calenda G, Villegas G, Reis A, Millen L, Barnable P, Mamkina L, et al. Mucosal Susceptibility to Human Immunodeficiency Virus Infection in the Proliferative and Secretory Phases of the Menstrual Cycle. AIDS Res Hum Retroviruses. 2019 Mar 1;35(3):335–47. </w:t>
      </w:r>
    </w:p>
    <w:p w14:paraId="47CD0C6C" w14:textId="77777777" w:rsidR="00C145A1" w:rsidRPr="00C145A1" w:rsidRDefault="00C145A1" w:rsidP="00424953">
      <w:pPr>
        <w:pStyle w:val="Bibliography"/>
        <w:contextualSpacing/>
        <w:rPr>
          <w:rFonts w:ascii="Arial" w:hAnsi="Arial" w:cs="Arial"/>
        </w:rPr>
      </w:pPr>
      <w:r w:rsidRPr="00C145A1">
        <w:rPr>
          <w:rFonts w:ascii="Arial" w:hAnsi="Arial" w:cs="Arial"/>
        </w:rPr>
        <w:t>17.</w:t>
      </w:r>
      <w:r w:rsidRPr="00C145A1">
        <w:rPr>
          <w:rFonts w:ascii="Arial" w:hAnsi="Arial" w:cs="Arial"/>
        </w:rPr>
        <w:tab/>
        <w:t xml:space="preserve">Hughes BL, Dutt R, Raker C, Barthelemy M, Rossoll RM, Ramratnam B, et al. The impact of pregnancy on anti-HIV activity of cervicovaginal secretions. Am J Obstet Gynecol. 2016 Dec 1;215(6):748.e1-748.e12. </w:t>
      </w:r>
    </w:p>
    <w:p w14:paraId="20626C58" w14:textId="77777777" w:rsidR="00C145A1" w:rsidRPr="00C145A1" w:rsidRDefault="00C145A1" w:rsidP="00424953">
      <w:pPr>
        <w:pStyle w:val="Bibliography"/>
        <w:contextualSpacing/>
        <w:rPr>
          <w:rFonts w:ascii="Arial" w:hAnsi="Arial" w:cs="Arial"/>
        </w:rPr>
      </w:pPr>
      <w:r w:rsidRPr="00C145A1">
        <w:rPr>
          <w:rFonts w:ascii="Arial" w:hAnsi="Arial" w:cs="Arial"/>
        </w:rPr>
        <w:t>18.</w:t>
      </w:r>
      <w:r w:rsidRPr="00C145A1">
        <w:rPr>
          <w:rFonts w:ascii="Arial" w:hAnsi="Arial" w:cs="Arial"/>
        </w:rPr>
        <w:tab/>
        <w:t xml:space="preserve">Wira CR, Fahey JV, Rodriguez-Garcia M, Shen Z, Patel MV. Regulation of Mucosal Immunity in the Female Reproductive Tract: The Role of Sex Hormones in Immune Protection Against Sexually Transmitted Pathogens. Am J Reprod Immunol. 2014 Aug 1;72(2):236–58. </w:t>
      </w:r>
    </w:p>
    <w:p w14:paraId="7AE32F07" w14:textId="77777777" w:rsidR="00C145A1" w:rsidRPr="00C145A1" w:rsidRDefault="00C145A1" w:rsidP="00424953">
      <w:pPr>
        <w:pStyle w:val="Bibliography"/>
        <w:contextualSpacing/>
        <w:rPr>
          <w:rFonts w:ascii="Arial" w:hAnsi="Arial" w:cs="Arial"/>
        </w:rPr>
      </w:pPr>
      <w:r w:rsidRPr="00C145A1">
        <w:rPr>
          <w:rFonts w:ascii="Arial" w:hAnsi="Arial" w:cs="Arial"/>
        </w:rPr>
        <w:t>19.</w:t>
      </w:r>
      <w:r w:rsidRPr="00C145A1">
        <w:rPr>
          <w:rFonts w:ascii="Arial" w:hAnsi="Arial" w:cs="Arial"/>
        </w:rPr>
        <w:tab/>
        <w:t xml:space="preserve">Cooley A, Madhukaran S, Stroebele E, Caraballo MC, Wang L, Hon GC, et al. Dynamic states of cervical epithelia during pregnancy and epithelial barrier disruption. bioRxiv. 2022 Jan 1;2022.07.26.501609. </w:t>
      </w:r>
    </w:p>
    <w:p w14:paraId="78900F2F" w14:textId="77777777" w:rsidR="00C145A1" w:rsidRPr="00C145A1" w:rsidRDefault="00C145A1" w:rsidP="00424953">
      <w:pPr>
        <w:pStyle w:val="Bibliography"/>
        <w:contextualSpacing/>
        <w:rPr>
          <w:rFonts w:ascii="Arial" w:hAnsi="Arial" w:cs="Arial"/>
        </w:rPr>
      </w:pPr>
      <w:r w:rsidRPr="00C145A1">
        <w:rPr>
          <w:rFonts w:ascii="Arial" w:hAnsi="Arial" w:cs="Arial"/>
        </w:rPr>
        <w:lastRenderedPageBreak/>
        <w:t>20.</w:t>
      </w:r>
      <w:r w:rsidRPr="00C145A1">
        <w:rPr>
          <w:rFonts w:ascii="Arial" w:hAnsi="Arial" w:cs="Arial"/>
        </w:rPr>
        <w:tab/>
        <w:t xml:space="preserve">Anderson BL, Ghosh M, Raker C, Fahey J, Song Y, Rouse DJ, et al. In vitro anti-HIV-1 activity in cervicovaginal secretions from pregnant and nonpregnant women. Am J Obstet Gynecol. 2012 Jul;207(1):65.e1-10. </w:t>
      </w:r>
    </w:p>
    <w:p w14:paraId="49A370CA" w14:textId="77777777" w:rsidR="00C145A1" w:rsidRPr="00C145A1" w:rsidRDefault="00C145A1" w:rsidP="00424953">
      <w:pPr>
        <w:pStyle w:val="Bibliography"/>
        <w:contextualSpacing/>
        <w:rPr>
          <w:rFonts w:ascii="Arial" w:hAnsi="Arial" w:cs="Arial"/>
        </w:rPr>
      </w:pPr>
      <w:r w:rsidRPr="00C145A1">
        <w:rPr>
          <w:rFonts w:ascii="Arial" w:hAnsi="Arial" w:cs="Arial"/>
        </w:rPr>
        <w:t>21.</w:t>
      </w:r>
      <w:r w:rsidRPr="00C145A1">
        <w:rPr>
          <w:rFonts w:ascii="Arial" w:hAnsi="Arial" w:cs="Arial"/>
        </w:rPr>
        <w:tab/>
        <w:t>Amabebe E, Anumba DOC. The Vaginal Microenvironment: The Physiologic Role of Lactobacilli. Front Med [Internet]. 2018;Volume 5-2018. Available from: https://www.frontiersin.org/journals/medicine/articles/10.3389/fmed.2018.00181</w:t>
      </w:r>
    </w:p>
    <w:p w14:paraId="1E2AD2D2" w14:textId="77777777" w:rsidR="00C145A1" w:rsidRPr="00C145A1" w:rsidRDefault="00C145A1" w:rsidP="00424953">
      <w:pPr>
        <w:pStyle w:val="Bibliography"/>
        <w:contextualSpacing/>
        <w:rPr>
          <w:rFonts w:ascii="Arial" w:hAnsi="Arial" w:cs="Arial"/>
        </w:rPr>
      </w:pPr>
      <w:r w:rsidRPr="00C145A1">
        <w:rPr>
          <w:rFonts w:ascii="Arial" w:hAnsi="Arial" w:cs="Arial"/>
        </w:rPr>
        <w:t>22.</w:t>
      </w:r>
      <w:r w:rsidRPr="00C145A1">
        <w:rPr>
          <w:rFonts w:ascii="Arial" w:hAnsi="Arial" w:cs="Arial"/>
        </w:rPr>
        <w:tab/>
        <w:t xml:space="preserve">Pendharkar S, Skafte-Holm A, Simsek G, Haahr T. Lactobacilli and Their Probiotic Effects in the Vagina of Reproductive Age Women. Microorganisms. 2023;11(3). </w:t>
      </w:r>
    </w:p>
    <w:p w14:paraId="6BE6892B" w14:textId="77777777" w:rsidR="00C145A1" w:rsidRPr="00C145A1" w:rsidRDefault="00C145A1" w:rsidP="00424953">
      <w:pPr>
        <w:pStyle w:val="Bibliography"/>
        <w:contextualSpacing/>
        <w:rPr>
          <w:rFonts w:ascii="Arial" w:hAnsi="Arial" w:cs="Arial"/>
        </w:rPr>
      </w:pPr>
      <w:r w:rsidRPr="00C145A1">
        <w:rPr>
          <w:rFonts w:ascii="Arial" w:hAnsi="Arial" w:cs="Arial"/>
        </w:rPr>
        <w:t>23.</w:t>
      </w:r>
      <w:r w:rsidRPr="00C145A1">
        <w:rPr>
          <w:rFonts w:ascii="Arial" w:hAnsi="Arial" w:cs="Arial"/>
        </w:rPr>
        <w:tab/>
        <w:t xml:space="preserve">Patil P, Bhopale P, Saudagar RB. Intravaginal Drug Delivery System: Compherensive Approach to Vaginal Formulations. J Drug Deliv Ther. 2019 Sep 15;9(5):171–4. </w:t>
      </w:r>
    </w:p>
    <w:p w14:paraId="06293062" w14:textId="77777777" w:rsidR="00C145A1" w:rsidRPr="00C145A1" w:rsidRDefault="00C145A1" w:rsidP="00424953">
      <w:pPr>
        <w:pStyle w:val="Bibliography"/>
        <w:contextualSpacing/>
        <w:rPr>
          <w:rFonts w:ascii="Arial" w:hAnsi="Arial" w:cs="Arial"/>
        </w:rPr>
      </w:pPr>
      <w:r w:rsidRPr="00C145A1">
        <w:rPr>
          <w:rFonts w:ascii="Arial" w:hAnsi="Arial" w:cs="Arial"/>
        </w:rPr>
        <w:t>24.</w:t>
      </w:r>
      <w:r w:rsidRPr="00C145A1">
        <w:rPr>
          <w:rFonts w:ascii="Arial" w:hAnsi="Arial" w:cs="Arial"/>
        </w:rPr>
        <w:tab/>
        <w:t xml:space="preserve">Rafiei F, Tabesh H, Farzad S, Farzaneh F, Rezaei M, Hosseinzade F, et al. Development of Hormonal Intravaginal Rings: Technology and Challenges. Geburtshilfe Frauenheilkd. 2021 Jul;81(7):789–806. </w:t>
      </w:r>
    </w:p>
    <w:p w14:paraId="7531D985" w14:textId="77777777" w:rsidR="00C145A1" w:rsidRPr="00C145A1" w:rsidRDefault="00C145A1" w:rsidP="00424953">
      <w:pPr>
        <w:pStyle w:val="Bibliography"/>
        <w:contextualSpacing/>
        <w:rPr>
          <w:rFonts w:ascii="Arial" w:hAnsi="Arial" w:cs="Arial"/>
        </w:rPr>
      </w:pPr>
      <w:r w:rsidRPr="00C145A1">
        <w:rPr>
          <w:rFonts w:ascii="Arial" w:hAnsi="Arial" w:cs="Arial"/>
        </w:rPr>
        <w:t>25.</w:t>
      </w:r>
      <w:r w:rsidRPr="00C145A1">
        <w:rPr>
          <w:rFonts w:ascii="Arial" w:hAnsi="Arial" w:cs="Arial"/>
        </w:rPr>
        <w:tab/>
        <w:t xml:space="preserve">Miller CJ, Shattock RJ. Target cells in vaginal HIV transmission. Microbes Infect. 2003 Jan;5(1):59–67. </w:t>
      </w:r>
    </w:p>
    <w:p w14:paraId="1472ACD2" w14:textId="77777777" w:rsidR="00C145A1" w:rsidRPr="00C145A1" w:rsidRDefault="00C145A1" w:rsidP="00424953">
      <w:pPr>
        <w:pStyle w:val="Bibliography"/>
        <w:contextualSpacing/>
        <w:rPr>
          <w:rFonts w:ascii="Arial" w:hAnsi="Arial" w:cs="Arial"/>
        </w:rPr>
      </w:pPr>
      <w:r w:rsidRPr="00C145A1">
        <w:rPr>
          <w:rFonts w:ascii="Arial" w:hAnsi="Arial" w:cs="Arial"/>
        </w:rPr>
        <w:t>26.</w:t>
      </w:r>
      <w:r w:rsidRPr="00C145A1">
        <w:rPr>
          <w:rFonts w:ascii="Arial" w:hAnsi="Arial" w:cs="Arial"/>
        </w:rPr>
        <w:tab/>
        <w:t xml:space="preserve">Sanchez Armengol E, Veider F, Millotti G, Kali G, Bernkop-Schnürch A, Laffleur F. Exploring the potential of vaginal drug delivery: innovations, efficacy, and therapeutic prospects. J Pharm Pharmacol. 2025 Jun 26;rgaf045. </w:t>
      </w:r>
    </w:p>
    <w:p w14:paraId="0E5C9E2D" w14:textId="77777777" w:rsidR="00C145A1" w:rsidRPr="00C145A1" w:rsidRDefault="00C145A1" w:rsidP="00424953">
      <w:pPr>
        <w:pStyle w:val="Bibliography"/>
        <w:contextualSpacing/>
        <w:rPr>
          <w:rFonts w:ascii="Arial" w:hAnsi="Arial" w:cs="Arial"/>
        </w:rPr>
      </w:pPr>
      <w:r w:rsidRPr="00C145A1">
        <w:rPr>
          <w:rFonts w:ascii="Arial" w:hAnsi="Arial" w:cs="Arial"/>
        </w:rPr>
        <w:t>27.</w:t>
      </w:r>
      <w:r w:rsidRPr="00C145A1">
        <w:rPr>
          <w:rFonts w:ascii="Arial" w:hAnsi="Arial" w:cs="Arial"/>
        </w:rPr>
        <w:tab/>
        <w:t xml:space="preserve">Garg A, Nuttall J, Romano J. The Future of HIV Microbicides: Challenges and Opportunities. Antivir Chem Chemother. 2009 Feb 1;19:143–50. </w:t>
      </w:r>
    </w:p>
    <w:p w14:paraId="122CEC6F" w14:textId="77777777" w:rsidR="00C145A1" w:rsidRPr="00C145A1" w:rsidRDefault="00C145A1" w:rsidP="00424953">
      <w:pPr>
        <w:pStyle w:val="Bibliography"/>
        <w:contextualSpacing/>
        <w:rPr>
          <w:rFonts w:ascii="Arial" w:hAnsi="Arial" w:cs="Arial"/>
        </w:rPr>
      </w:pPr>
      <w:r w:rsidRPr="00C145A1">
        <w:rPr>
          <w:rFonts w:ascii="Arial" w:hAnsi="Arial" w:cs="Arial"/>
        </w:rPr>
        <w:t>28.</w:t>
      </w:r>
      <w:r w:rsidRPr="00C145A1">
        <w:rPr>
          <w:rFonts w:ascii="Arial" w:hAnsi="Arial" w:cs="Arial"/>
        </w:rPr>
        <w:tab/>
        <w:t xml:space="preserve">Parikh UM, Koss CA, Mellors JW. Long-Acting Injectable Cabotegravir for HIV Prevention: What Do We Know and Need to Know about the Risks and Consequences of Cabotegravir Resistance? Curr HIV/AIDS Rep. 2022 Oct;19(5):384–93. </w:t>
      </w:r>
    </w:p>
    <w:p w14:paraId="607707C2" w14:textId="77777777" w:rsidR="00C145A1" w:rsidRPr="00C145A1" w:rsidRDefault="00C145A1" w:rsidP="00424953">
      <w:pPr>
        <w:pStyle w:val="Bibliography"/>
        <w:contextualSpacing/>
        <w:rPr>
          <w:rFonts w:ascii="Arial" w:hAnsi="Arial" w:cs="Arial"/>
        </w:rPr>
      </w:pPr>
      <w:r w:rsidRPr="00C145A1">
        <w:rPr>
          <w:rFonts w:ascii="Arial" w:hAnsi="Arial" w:cs="Arial"/>
        </w:rPr>
        <w:t>29.</w:t>
      </w:r>
      <w:r w:rsidRPr="00C145A1">
        <w:rPr>
          <w:rFonts w:ascii="Arial" w:hAnsi="Arial" w:cs="Arial"/>
        </w:rPr>
        <w:tab/>
        <w:t xml:space="preserve">Nel A, van Niekerk N, Van Baelen B, Malherbe M, Mans W, Carter A, et al. Safety, adherence, and HIV-1 seroconversion among women using the dapivirine vaginal ring (DREAM): an open-label, extension study. Lancet HIV. 2021 Feb 1;8(2):e77–86. </w:t>
      </w:r>
    </w:p>
    <w:p w14:paraId="51718879" w14:textId="77777777" w:rsidR="00C145A1" w:rsidRPr="00C145A1" w:rsidRDefault="00C145A1" w:rsidP="00424953">
      <w:pPr>
        <w:pStyle w:val="Bibliography"/>
        <w:contextualSpacing/>
        <w:rPr>
          <w:rFonts w:ascii="Arial" w:hAnsi="Arial" w:cs="Arial"/>
        </w:rPr>
      </w:pPr>
      <w:r w:rsidRPr="00C145A1">
        <w:rPr>
          <w:rFonts w:ascii="Arial" w:hAnsi="Arial" w:cs="Arial"/>
        </w:rPr>
        <w:t>30.</w:t>
      </w:r>
      <w:r w:rsidRPr="00C145A1">
        <w:rPr>
          <w:rFonts w:ascii="Arial" w:hAnsi="Arial" w:cs="Arial"/>
        </w:rPr>
        <w:tab/>
        <w:t>NIAD. HIV Replication Cycle [Internet]. NIAD; 2018 [cited 2024 Apr 16]. Available from: https://www.niaid.nih.gov/diseases-conditions/hiv-replication-cycle</w:t>
      </w:r>
    </w:p>
    <w:p w14:paraId="0B8D727C" w14:textId="77777777" w:rsidR="00C145A1" w:rsidRPr="00C145A1" w:rsidRDefault="00C145A1" w:rsidP="00424953">
      <w:pPr>
        <w:pStyle w:val="Bibliography"/>
        <w:contextualSpacing/>
        <w:rPr>
          <w:rFonts w:ascii="Arial" w:hAnsi="Arial" w:cs="Arial"/>
        </w:rPr>
      </w:pPr>
      <w:r w:rsidRPr="00C145A1">
        <w:rPr>
          <w:rFonts w:ascii="Arial" w:hAnsi="Arial" w:cs="Arial"/>
        </w:rPr>
        <w:t>31.</w:t>
      </w:r>
      <w:r w:rsidRPr="00C145A1">
        <w:rPr>
          <w:rFonts w:ascii="Arial" w:hAnsi="Arial" w:cs="Arial"/>
        </w:rPr>
        <w:tab/>
        <w:t xml:space="preserve">Iqbal Z, Dilnawaz F. Nanocarriers For Vaginal Drug Delivery. Recent Pat Drug Deliv Formul. 2019;13(1):3–15. </w:t>
      </w:r>
    </w:p>
    <w:p w14:paraId="4C6DC16F" w14:textId="77777777" w:rsidR="00C145A1" w:rsidRPr="00C145A1" w:rsidRDefault="00C145A1" w:rsidP="00424953">
      <w:pPr>
        <w:pStyle w:val="Bibliography"/>
        <w:contextualSpacing/>
        <w:rPr>
          <w:rFonts w:ascii="Arial" w:hAnsi="Arial" w:cs="Arial"/>
        </w:rPr>
      </w:pPr>
      <w:r w:rsidRPr="00C145A1">
        <w:rPr>
          <w:rFonts w:ascii="Arial" w:hAnsi="Arial" w:cs="Arial"/>
        </w:rPr>
        <w:t>32.</w:t>
      </w:r>
      <w:r w:rsidRPr="00C145A1">
        <w:rPr>
          <w:rFonts w:ascii="Arial" w:hAnsi="Arial" w:cs="Arial"/>
        </w:rPr>
        <w:tab/>
        <w:t xml:space="preserve">Tong X, Patel SK, Li J, Patton D, Xu E, Anderson PL, et al. Development and Evaluation of Nanoparticles-in-Film Technology to Achieve Extended In Vivo Exposure of MK-2048 for HIV Prevention. Polymers. 2022 Mar 16;14(6). </w:t>
      </w:r>
    </w:p>
    <w:p w14:paraId="29A2969E" w14:textId="77777777" w:rsidR="00C145A1" w:rsidRPr="00C145A1" w:rsidRDefault="00C145A1" w:rsidP="00424953">
      <w:pPr>
        <w:pStyle w:val="Bibliography"/>
        <w:contextualSpacing/>
        <w:rPr>
          <w:rFonts w:ascii="Arial" w:hAnsi="Arial" w:cs="Arial"/>
        </w:rPr>
      </w:pPr>
      <w:r w:rsidRPr="00C145A1">
        <w:rPr>
          <w:rFonts w:ascii="Arial" w:hAnsi="Arial" w:cs="Arial"/>
        </w:rPr>
        <w:t>33.</w:t>
      </w:r>
      <w:r w:rsidRPr="00C145A1">
        <w:rPr>
          <w:rFonts w:ascii="Arial" w:hAnsi="Arial" w:cs="Arial"/>
        </w:rPr>
        <w:tab/>
        <w:t xml:space="preserve">Kumar A, Valamla B, Thakor P, Chary PS, Rajana N, Mehra NK. Development and evaluation of nanocrystals loaded hydrogel for topical application. J Drug Deliv Sci Technol. 2022 Aug 1;74:103503. </w:t>
      </w:r>
    </w:p>
    <w:p w14:paraId="3EB31E26" w14:textId="58C99749" w:rsidR="00B01FCD" w:rsidRPr="00FB3A86" w:rsidRDefault="00C145A1" w:rsidP="00424953">
      <w:pPr>
        <w:pStyle w:val="Body"/>
        <w:spacing w:after="0"/>
        <w:contextualSpacing/>
        <w:rPr>
          <w:rFonts w:ascii="Arial" w:hAnsi="Arial" w:cs="Arial"/>
        </w:rPr>
      </w:pPr>
      <w:r>
        <w:rPr>
          <w:rFonts w:ascii="Arial" w:hAnsi="Arial" w:cs="Arial"/>
        </w:rPr>
        <w:fldChar w:fldCharType="end"/>
      </w:r>
    </w:p>
    <w:p w14:paraId="591750A1" w14:textId="4A067484" w:rsidR="004D4277" w:rsidRPr="00FB3A86" w:rsidRDefault="004D4277" w:rsidP="00276A22">
      <w:pPr>
        <w:pStyle w:val="DefAcrHead"/>
        <w:spacing w:after="0"/>
        <w:contextualSpacing/>
        <w:jc w:val="both"/>
        <w:rPr>
          <w:rFonts w:ascii="Arial" w:hAnsi="Arial" w:cs="Arial"/>
          <w:b w:val="0"/>
        </w:rPr>
        <w:sectPr w:rsidR="004D4277" w:rsidRPr="00FB3A86" w:rsidSect="00DF1EE7">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2016" w:bottom="2016" w:left="2016" w:header="720" w:footer="1123" w:gutter="0"/>
          <w:cols w:space="720"/>
          <w:docGrid w:linePitch="272"/>
        </w:sectPr>
      </w:pPr>
    </w:p>
    <w:p w14:paraId="6E7D1E68" w14:textId="77777777" w:rsidR="00B01FCD" w:rsidRPr="00FB3A86" w:rsidRDefault="00B01FCD" w:rsidP="00424953">
      <w:pPr>
        <w:pStyle w:val="Appendix"/>
        <w:spacing w:after="0"/>
        <w:contextualSpacing/>
        <w:jc w:val="both"/>
        <w:rPr>
          <w:rFonts w:ascii="Arial" w:hAnsi="Arial" w:cs="Arial"/>
          <w:b w:val="0"/>
        </w:rPr>
      </w:pPr>
    </w:p>
    <w:sectPr w:rsidR="00B01FCD" w:rsidRPr="00FB3A86" w:rsidSect="00412475">
      <w:type w:val="continuous"/>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67EAF" w14:textId="77777777" w:rsidR="00844EF3" w:rsidRDefault="00844EF3" w:rsidP="00C37E61">
      <w:r>
        <w:separator/>
      </w:r>
    </w:p>
  </w:endnote>
  <w:endnote w:type="continuationSeparator" w:id="0">
    <w:p w14:paraId="418910FF" w14:textId="77777777" w:rsidR="00844EF3" w:rsidRDefault="00844EF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Yu Gothic"/>
    <w:charset w:val="00"/>
    <w:family w:val="auto"/>
    <w:pitch w:val="default"/>
    <w:sig w:usb0="00000000" w:usb1="00000000" w:usb2="00000010" w:usb3="00000000" w:csb0="0002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B84C3" w14:textId="77777777" w:rsidR="009E3B79" w:rsidRDefault="009E3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F383A"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7818C" w14:textId="77777777" w:rsidR="009E3B79" w:rsidRDefault="009E3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A543A" w14:textId="77777777" w:rsidR="00844EF3" w:rsidRDefault="00844EF3" w:rsidP="00C37E61">
      <w:r>
        <w:separator/>
      </w:r>
    </w:p>
  </w:footnote>
  <w:footnote w:type="continuationSeparator" w:id="0">
    <w:p w14:paraId="6ABB1ACB" w14:textId="77777777" w:rsidR="00844EF3" w:rsidRDefault="00844EF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4844F" w14:textId="32A13862" w:rsidR="009E3B79" w:rsidRDefault="009E3B79">
    <w:pPr>
      <w:pStyle w:val="Header"/>
    </w:pPr>
    <w:r>
      <w:rPr>
        <w:noProof/>
      </w:rPr>
      <w:pict w14:anchorId="3D9C5C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87854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1BDD1" w14:textId="7D828275" w:rsidR="009E3B79" w:rsidRDefault="009E3B79">
    <w:pPr>
      <w:pStyle w:val="Header"/>
    </w:pPr>
    <w:r>
      <w:rPr>
        <w:noProof/>
      </w:rPr>
      <w:pict w14:anchorId="40A10D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87854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20EEF" w14:textId="15016F31" w:rsidR="009E3B79" w:rsidRDefault="009E3B79">
    <w:pPr>
      <w:pStyle w:val="Header"/>
    </w:pPr>
    <w:r>
      <w:rPr>
        <w:noProof/>
      </w:rPr>
      <w:pict w14:anchorId="5FA697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878546"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E952CA"/>
    <w:multiLevelType w:val="hybridMultilevel"/>
    <w:tmpl w:val="9A484F9E"/>
    <w:lvl w:ilvl="0" w:tplc="2ACE86D2">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1"/>
  </w:num>
  <w:num w:numId="21">
    <w:abstractNumId w:val="9"/>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0C60"/>
    <w:rsid w:val="00030174"/>
    <w:rsid w:val="0004579C"/>
    <w:rsid w:val="0007235F"/>
    <w:rsid w:val="000A47FA"/>
    <w:rsid w:val="000A64DC"/>
    <w:rsid w:val="000A65D3"/>
    <w:rsid w:val="000B1402"/>
    <w:rsid w:val="000B1E33"/>
    <w:rsid w:val="000D689F"/>
    <w:rsid w:val="000E7B7B"/>
    <w:rsid w:val="000E7D62"/>
    <w:rsid w:val="000F68A9"/>
    <w:rsid w:val="00103357"/>
    <w:rsid w:val="001102C0"/>
    <w:rsid w:val="00123C9F"/>
    <w:rsid w:val="00126190"/>
    <w:rsid w:val="00130F17"/>
    <w:rsid w:val="001320BF"/>
    <w:rsid w:val="00163BC4"/>
    <w:rsid w:val="00164C09"/>
    <w:rsid w:val="00174320"/>
    <w:rsid w:val="00191062"/>
    <w:rsid w:val="00192B72"/>
    <w:rsid w:val="001A29D8"/>
    <w:rsid w:val="001A5CAA"/>
    <w:rsid w:val="001B0427"/>
    <w:rsid w:val="001D2209"/>
    <w:rsid w:val="001D3A51"/>
    <w:rsid w:val="001E10D2"/>
    <w:rsid w:val="001E25B4"/>
    <w:rsid w:val="001E44FE"/>
    <w:rsid w:val="001F24B1"/>
    <w:rsid w:val="00200595"/>
    <w:rsid w:val="00204835"/>
    <w:rsid w:val="00231920"/>
    <w:rsid w:val="0023195C"/>
    <w:rsid w:val="002353E7"/>
    <w:rsid w:val="00240EDD"/>
    <w:rsid w:val="0024282C"/>
    <w:rsid w:val="002460DC"/>
    <w:rsid w:val="00250985"/>
    <w:rsid w:val="002556F6"/>
    <w:rsid w:val="00276A22"/>
    <w:rsid w:val="00283105"/>
    <w:rsid w:val="00284C4C"/>
    <w:rsid w:val="00287E68"/>
    <w:rsid w:val="00296529"/>
    <w:rsid w:val="00296FAA"/>
    <w:rsid w:val="002B27FB"/>
    <w:rsid w:val="002B685A"/>
    <w:rsid w:val="002C57D2"/>
    <w:rsid w:val="002E0D56"/>
    <w:rsid w:val="00310EB9"/>
    <w:rsid w:val="003136CD"/>
    <w:rsid w:val="00315186"/>
    <w:rsid w:val="0033343E"/>
    <w:rsid w:val="00333ED9"/>
    <w:rsid w:val="003512C2"/>
    <w:rsid w:val="00371FB6"/>
    <w:rsid w:val="003734DE"/>
    <w:rsid w:val="003763C1"/>
    <w:rsid w:val="00376BBE"/>
    <w:rsid w:val="0039224F"/>
    <w:rsid w:val="003A43A4"/>
    <w:rsid w:val="003A7E18"/>
    <w:rsid w:val="003C4C86"/>
    <w:rsid w:val="003C6258"/>
    <w:rsid w:val="003D7C8F"/>
    <w:rsid w:val="003E187D"/>
    <w:rsid w:val="003E2904"/>
    <w:rsid w:val="00401927"/>
    <w:rsid w:val="0041027F"/>
    <w:rsid w:val="00412475"/>
    <w:rsid w:val="00423789"/>
    <w:rsid w:val="00424953"/>
    <w:rsid w:val="00440F43"/>
    <w:rsid w:val="00441B6F"/>
    <w:rsid w:val="00446221"/>
    <w:rsid w:val="00450E62"/>
    <w:rsid w:val="004539DB"/>
    <w:rsid w:val="00471A80"/>
    <w:rsid w:val="0048676A"/>
    <w:rsid w:val="0049322A"/>
    <w:rsid w:val="004B7059"/>
    <w:rsid w:val="004C0C20"/>
    <w:rsid w:val="004D305E"/>
    <w:rsid w:val="004D4277"/>
    <w:rsid w:val="004D7054"/>
    <w:rsid w:val="004E3CB2"/>
    <w:rsid w:val="00502516"/>
    <w:rsid w:val="00505F06"/>
    <w:rsid w:val="00506828"/>
    <w:rsid w:val="0051068A"/>
    <w:rsid w:val="005157D8"/>
    <w:rsid w:val="0053056E"/>
    <w:rsid w:val="00554FDA"/>
    <w:rsid w:val="00555882"/>
    <w:rsid w:val="005563CB"/>
    <w:rsid w:val="00572513"/>
    <w:rsid w:val="0058558B"/>
    <w:rsid w:val="005C0284"/>
    <w:rsid w:val="005C784C"/>
    <w:rsid w:val="005D0279"/>
    <w:rsid w:val="005D17F6"/>
    <w:rsid w:val="005E5539"/>
    <w:rsid w:val="00602BF5"/>
    <w:rsid w:val="00605A55"/>
    <w:rsid w:val="00617FDD"/>
    <w:rsid w:val="00620292"/>
    <w:rsid w:val="00633614"/>
    <w:rsid w:val="00633F68"/>
    <w:rsid w:val="00636EB2"/>
    <w:rsid w:val="006375B8"/>
    <w:rsid w:val="00647F1C"/>
    <w:rsid w:val="0066510A"/>
    <w:rsid w:val="00673F9F"/>
    <w:rsid w:val="00686953"/>
    <w:rsid w:val="00687DEA"/>
    <w:rsid w:val="00687E67"/>
    <w:rsid w:val="006967F7"/>
    <w:rsid w:val="006A250C"/>
    <w:rsid w:val="006B21D3"/>
    <w:rsid w:val="006B57D0"/>
    <w:rsid w:val="006B612E"/>
    <w:rsid w:val="006D30FF"/>
    <w:rsid w:val="006D6940"/>
    <w:rsid w:val="006F11EC"/>
    <w:rsid w:val="0070082C"/>
    <w:rsid w:val="007230B2"/>
    <w:rsid w:val="00735DD3"/>
    <w:rsid w:val="007369E6"/>
    <w:rsid w:val="00740D14"/>
    <w:rsid w:val="00746E59"/>
    <w:rsid w:val="00754C9A"/>
    <w:rsid w:val="0075599A"/>
    <w:rsid w:val="00761D52"/>
    <w:rsid w:val="00766568"/>
    <w:rsid w:val="00776B21"/>
    <w:rsid w:val="0077749E"/>
    <w:rsid w:val="00790ADA"/>
    <w:rsid w:val="0079519E"/>
    <w:rsid w:val="007C1E15"/>
    <w:rsid w:val="007D2288"/>
    <w:rsid w:val="007E088F"/>
    <w:rsid w:val="007F170C"/>
    <w:rsid w:val="007F7B32"/>
    <w:rsid w:val="00804BC2"/>
    <w:rsid w:val="0081431A"/>
    <w:rsid w:val="00830B7D"/>
    <w:rsid w:val="0083216F"/>
    <w:rsid w:val="008352AF"/>
    <w:rsid w:val="00844EF3"/>
    <w:rsid w:val="00860000"/>
    <w:rsid w:val="008623DE"/>
    <w:rsid w:val="00863BD3"/>
    <w:rsid w:val="008641ED"/>
    <w:rsid w:val="00866D66"/>
    <w:rsid w:val="008671C6"/>
    <w:rsid w:val="00875803"/>
    <w:rsid w:val="008B459E"/>
    <w:rsid w:val="008E13AE"/>
    <w:rsid w:val="008E1506"/>
    <w:rsid w:val="008E710C"/>
    <w:rsid w:val="008F69D6"/>
    <w:rsid w:val="00902823"/>
    <w:rsid w:val="00915CA6"/>
    <w:rsid w:val="00927834"/>
    <w:rsid w:val="00944DDF"/>
    <w:rsid w:val="009500A6"/>
    <w:rsid w:val="0095725A"/>
    <w:rsid w:val="00957C18"/>
    <w:rsid w:val="009659BA"/>
    <w:rsid w:val="009750DB"/>
    <w:rsid w:val="00983040"/>
    <w:rsid w:val="00992F4C"/>
    <w:rsid w:val="009B3FB9"/>
    <w:rsid w:val="009C2465"/>
    <w:rsid w:val="009D35A0"/>
    <w:rsid w:val="009D7EB7"/>
    <w:rsid w:val="009E048A"/>
    <w:rsid w:val="009E08E9"/>
    <w:rsid w:val="009E3B79"/>
    <w:rsid w:val="009E3DB9"/>
    <w:rsid w:val="009E6E35"/>
    <w:rsid w:val="009F0EDA"/>
    <w:rsid w:val="00A03B96"/>
    <w:rsid w:val="00A05B19"/>
    <w:rsid w:val="00A1134E"/>
    <w:rsid w:val="00A24E7E"/>
    <w:rsid w:val="00A258C3"/>
    <w:rsid w:val="00A347C0"/>
    <w:rsid w:val="00A42761"/>
    <w:rsid w:val="00A51431"/>
    <w:rsid w:val="00A539AD"/>
    <w:rsid w:val="00A8400E"/>
    <w:rsid w:val="00A94063"/>
    <w:rsid w:val="00AA6219"/>
    <w:rsid w:val="00AA74E0"/>
    <w:rsid w:val="00AB703F"/>
    <w:rsid w:val="00AC6BB8"/>
    <w:rsid w:val="00AC7E6C"/>
    <w:rsid w:val="00AD697E"/>
    <w:rsid w:val="00AE008F"/>
    <w:rsid w:val="00AF7E2F"/>
    <w:rsid w:val="00B01FCD"/>
    <w:rsid w:val="00B1776C"/>
    <w:rsid w:val="00B51ADB"/>
    <w:rsid w:val="00B52583"/>
    <w:rsid w:val="00B52896"/>
    <w:rsid w:val="00B856AD"/>
    <w:rsid w:val="00B95236"/>
    <w:rsid w:val="00B96BD9"/>
    <w:rsid w:val="00BA0BA3"/>
    <w:rsid w:val="00BA1B01"/>
    <w:rsid w:val="00BA2641"/>
    <w:rsid w:val="00BB34CF"/>
    <w:rsid w:val="00BB37AA"/>
    <w:rsid w:val="00BC53A0"/>
    <w:rsid w:val="00BD17DF"/>
    <w:rsid w:val="00BD7EAE"/>
    <w:rsid w:val="00BE62AD"/>
    <w:rsid w:val="00BF121F"/>
    <w:rsid w:val="00BF1F80"/>
    <w:rsid w:val="00C05ED5"/>
    <w:rsid w:val="00C145A1"/>
    <w:rsid w:val="00C166EF"/>
    <w:rsid w:val="00C17EB0"/>
    <w:rsid w:val="00C27F5F"/>
    <w:rsid w:val="00C30A0F"/>
    <w:rsid w:val="00C37E61"/>
    <w:rsid w:val="00C70EA9"/>
    <w:rsid w:val="00C70F1B"/>
    <w:rsid w:val="00C71A47"/>
    <w:rsid w:val="00C7464C"/>
    <w:rsid w:val="00C85588"/>
    <w:rsid w:val="00CD6755"/>
    <w:rsid w:val="00CD6856"/>
    <w:rsid w:val="00CE0089"/>
    <w:rsid w:val="00CE793C"/>
    <w:rsid w:val="00CF193C"/>
    <w:rsid w:val="00CF2777"/>
    <w:rsid w:val="00D16EDF"/>
    <w:rsid w:val="00D173F1"/>
    <w:rsid w:val="00D3063D"/>
    <w:rsid w:val="00D74CB0"/>
    <w:rsid w:val="00D8295D"/>
    <w:rsid w:val="00DC2A65"/>
    <w:rsid w:val="00DE15F0"/>
    <w:rsid w:val="00DE5663"/>
    <w:rsid w:val="00DE78AA"/>
    <w:rsid w:val="00DF1EE7"/>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E7D21"/>
    <w:rsid w:val="00EF581D"/>
    <w:rsid w:val="00EF7FD8"/>
    <w:rsid w:val="00F06F59"/>
    <w:rsid w:val="00F0720A"/>
    <w:rsid w:val="00F17988"/>
    <w:rsid w:val="00F469F0"/>
    <w:rsid w:val="00F53273"/>
    <w:rsid w:val="00F55EDE"/>
    <w:rsid w:val="00F60F42"/>
    <w:rsid w:val="00F755E4"/>
    <w:rsid w:val="00F7686E"/>
    <w:rsid w:val="00F77D02"/>
    <w:rsid w:val="00FA1AD0"/>
    <w:rsid w:val="00FA2884"/>
    <w:rsid w:val="00FB3A86"/>
    <w:rsid w:val="00FD36C8"/>
    <w:rsid w:val="00FE7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E15501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qFormat/>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qFormat/>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F55EDE"/>
    <w:pPr>
      <w:spacing w:before="100" w:beforeAutospacing="1" w:after="100" w:afterAutospacing="1"/>
    </w:pPr>
    <w:rPr>
      <w:rFonts w:ascii="Times New Roman" w:hAnsi="Times New Roman"/>
      <w:sz w:val="24"/>
      <w:szCs w:val="24"/>
      <w:lang w:val="en-ZW" w:eastAsia="en-ZW"/>
    </w:rPr>
  </w:style>
  <w:style w:type="table" w:customStyle="1" w:styleId="TableGrid1">
    <w:name w:val="Table Grid1"/>
    <w:basedOn w:val="TableNormal"/>
    <w:next w:val="TableGrid"/>
    <w:uiPriority w:val="59"/>
    <w:qFormat/>
    <w:rsid w:val="00F55EDE"/>
    <w:rPr>
      <w:rFonts w:eastAsia="SimSun"/>
      <w:lang w:val="en-ZW" w:eastAsia="en-Z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stTable6Colorful">
    <w:name w:val="List Table 6 Colorful"/>
    <w:basedOn w:val="TableNormal"/>
    <w:uiPriority w:val="51"/>
    <w:rsid w:val="00F55ED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2">
    <w:name w:val="Table Grid2"/>
    <w:basedOn w:val="TableNormal"/>
    <w:next w:val="TableGrid"/>
    <w:uiPriority w:val="59"/>
    <w:qFormat/>
    <w:rsid w:val="00AC7E6C"/>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ibliography">
    <w:name w:val="Bibliography"/>
    <w:basedOn w:val="Normal"/>
    <w:next w:val="Normal"/>
    <w:uiPriority w:val="37"/>
    <w:unhideWhenUsed/>
    <w:rsid w:val="00C145A1"/>
    <w:pPr>
      <w:tabs>
        <w:tab w:val="left" w:pos="384"/>
      </w:tabs>
      <w:spacing w:after="240"/>
      <w:ind w:left="384" w:hanging="384"/>
    </w:pPr>
  </w:style>
  <w:style w:type="character" w:customStyle="1" w:styleId="FooterChar">
    <w:name w:val="Footer Char"/>
    <w:basedOn w:val="DefaultParagraphFont"/>
    <w:link w:val="Footer"/>
    <w:uiPriority w:val="99"/>
    <w:qFormat/>
    <w:rsid w:val="00DF1EE7"/>
    <w:rPr>
      <w:rFonts w:ascii="Helvetica" w:hAnsi="Helvetica"/>
    </w:rPr>
  </w:style>
  <w:style w:type="paragraph" w:styleId="CommentSubject">
    <w:name w:val="annotation subject"/>
    <w:basedOn w:val="CommentText"/>
    <w:next w:val="CommentText"/>
    <w:link w:val="CommentSubjectChar"/>
    <w:semiHidden/>
    <w:unhideWhenUsed/>
    <w:rsid w:val="00424953"/>
    <w:rPr>
      <w:rFonts w:ascii="Helvetica" w:hAnsi="Helvetica"/>
      <w:b/>
      <w:bCs/>
      <w:lang w:val="en-US" w:eastAsia="en-US"/>
    </w:rPr>
  </w:style>
  <w:style w:type="character" w:customStyle="1" w:styleId="CommentSubjectChar">
    <w:name w:val="Comment Subject Char"/>
    <w:basedOn w:val="CommentTextChar"/>
    <w:link w:val="CommentSubject"/>
    <w:semiHidden/>
    <w:rsid w:val="00424953"/>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6332932">
      <w:bodyDiv w:val="1"/>
      <w:marLeft w:val="0"/>
      <w:marRight w:val="0"/>
      <w:marTop w:val="0"/>
      <w:marBottom w:val="0"/>
      <w:divBdr>
        <w:top w:val="none" w:sz="0" w:space="0" w:color="auto"/>
        <w:left w:val="none" w:sz="0" w:space="0" w:color="auto"/>
        <w:bottom w:val="none" w:sz="0" w:space="0" w:color="auto"/>
        <w:right w:val="none" w:sz="0" w:space="0" w:color="auto"/>
      </w:divBdr>
    </w:div>
    <w:div w:id="204030208">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1079929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2BE93-F437-49CE-9443-486359D53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TotalTime>
  <Pages>11</Pages>
  <Words>30214</Words>
  <Characters>172221</Characters>
  <Application>Microsoft Office Word</Application>
  <DocSecurity>0</DocSecurity>
  <Lines>1435</Lines>
  <Paragraphs>404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202031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7</cp:revision>
  <cp:lastPrinted>1999-07-06T11:00:00Z</cp:lastPrinted>
  <dcterms:created xsi:type="dcterms:W3CDTF">2025-08-11T09:00:00Z</dcterms:created>
  <dcterms:modified xsi:type="dcterms:W3CDTF">2025-08-12T06:11:00Z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id="MIR63bpI"/&gt;&lt;style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