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51841" w14:textId="378414C2" w:rsidR="00812EF0" w:rsidRPr="00812EF0" w:rsidRDefault="00812EF0">
      <w:pPr>
        <w:pStyle w:val="Author"/>
        <w:spacing w:line="240" w:lineRule="auto"/>
        <w:jc w:val="left"/>
        <w:rPr>
          <w:rFonts w:ascii="Arial" w:hAnsi="Arial" w:cs="Arial"/>
          <w:bCs/>
          <w:iCs/>
          <w:kern w:val="28"/>
          <w:sz w:val="36"/>
          <w:u w:val="single"/>
        </w:rPr>
      </w:pPr>
      <w:r w:rsidRPr="00812EF0">
        <w:rPr>
          <w:rFonts w:ascii="Arial" w:hAnsi="Arial" w:cs="Arial"/>
          <w:bCs/>
          <w:iCs/>
          <w:kern w:val="28"/>
          <w:sz w:val="36"/>
          <w:u w:val="single"/>
        </w:rPr>
        <w:t>Original Research Article</w:t>
      </w:r>
    </w:p>
    <w:p w14:paraId="526B57F6" w14:textId="65AECE81" w:rsidR="00AE324A" w:rsidRDefault="004A746B">
      <w:pPr>
        <w:pStyle w:val="Author"/>
        <w:spacing w:line="240" w:lineRule="auto"/>
        <w:jc w:val="left"/>
        <w:rPr>
          <w:rFonts w:ascii="Arial" w:hAnsi="Arial" w:cs="Arial"/>
          <w:bCs/>
          <w:iCs/>
          <w:kern w:val="28"/>
          <w:sz w:val="36"/>
        </w:rPr>
      </w:pPr>
      <w:r>
        <w:rPr>
          <w:rFonts w:ascii="Arial" w:hAnsi="Arial" w:cs="Arial"/>
          <w:bCs/>
          <w:iCs/>
          <w:kern w:val="28"/>
          <w:sz w:val="36"/>
        </w:rPr>
        <w:t xml:space="preserve">Predictors </w:t>
      </w:r>
      <w:proofErr w:type="gramStart"/>
      <w:r>
        <w:rPr>
          <w:rFonts w:ascii="Arial" w:hAnsi="Arial" w:cs="Arial"/>
          <w:bCs/>
          <w:iCs/>
          <w:kern w:val="28"/>
          <w:sz w:val="36"/>
        </w:rPr>
        <w:t>Of</w:t>
      </w:r>
      <w:proofErr w:type="gramEnd"/>
      <w:r>
        <w:rPr>
          <w:rFonts w:ascii="Arial" w:hAnsi="Arial" w:cs="Arial"/>
          <w:bCs/>
          <w:iCs/>
          <w:kern w:val="28"/>
          <w:sz w:val="36"/>
        </w:rPr>
        <w:t xml:space="preserve"> Sexual Dysfunction Among Female Adults Attending Government Primary Healthcare Clinics In The Kuala Langat District (FSD-PHC): A Cross-Sectional Study</w:t>
      </w:r>
    </w:p>
    <w:p w14:paraId="7B1A52E1" w14:textId="77777777" w:rsidR="00AE324A" w:rsidRDefault="00AE324A">
      <w:pPr>
        <w:pStyle w:val="Author"/>
        <w:spacing w:line="240" w:lineRule="auto"/>
        <w:jc w:val="left"/>
        <w:rPr>
          <w:rFonts w:ascii="Arial" w:hAnsi="Arial" w:cs="Arial"/>
          <w:sz w:val="36"/>
        </w:rPr>
      </w:pPr>
    </w:p>
    <w:p w14:paraId="079DEBD3" w14:textId="77777777" w:rsidR="00CF0BCE" w:rsidRDefault="00CF0BCE">
      <w:pPr>
        <w:rPr>
          <w:i/>
          <w:iCs/>
        </w:rPr>
      </w:pPr>
    </w:p>
    <w:p w14:paraId="7598CDC1" w14:textId="77777777" w:rsidR="00AE324A" w:rsidRDefault="00AE324A">
      <w:pPr>
        <w:pStyle w:val="Affiliation"/>
        <w:spacing w:after="0" w:line="240" w:lineRule="auto"/>
        <w:jc w:val="both"/>
        <w:rPr>
          <w:rFonts w:ascii="Arial" w:hAnsi="Arial" w:cs="Arial"/>
        </w:rPr>
      </w:pPr>
    </w:p>
    <w:p w14:paraId="021A586F" w14:textId="77777777" w:rsidR="00AE324A" w:rsidRDefault="004A746B">
      <w:pPr>
        <w:pStyle w:val="Copyright"/>
        <w:spacing w:after="0" w:line="240" w:lineRule="auto"/>
        <w:jc w:val="both"/>
        <w:rPr>
          <w:rFonts w:ascii="Arial" w:hAnsi="Arial" w:cs="Arial"/>
        </w:rPr>
        <w:sectPr w:rsidR="00AE324A" w:rsidSect="002D6BC1">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B7F2522" wp14:editId="07C0813E">
                <wp:extent cx="5303520" cy="635"/>
                <wp:effectExtent l="17145" t="18415" r="13335" b="10160"/>
                <wp:docPr id="8813380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HSS&#10;8qDQAAAAAgEAAA8AAAAAAAAAAQAgAAAAOAAAAGRycy9kb3ducmV2LnhtbFBLAQIUABQAAAAIAIdO&#10;4kAA8LAv3AEAALsDAAAOAAAAAAAAAAEAIAAAADUBAABkcnMvZTJvRG9jLnhtbFBLBQYAAAAABgAG&#10;AFkBAACDBQAAAAA=&#10;">
                <v:fill on="f" focussize="0,0"/>
                <v:stroke weight="1.5pt" color="#000000" joinstyle="round"/>
                <v:imagedata o:title=""/>
                <o:lock v:ext="edit" aspectratio="f"/>
                <w10:wrap type="none"/>
                <w10:anchorlock/>
              </v:shape>
            </w:pict>
          </mc:Fallback>
        </mc:AlternateContent>
      </w:r>
      <w:r>
        <w:rPr>
          <w:rFonts w:ascii="Arial" w:hAnsi="Arial" w:cs="Arial"/>
        </w:rPr>
        <w:t>.</w:t>
      </w:r>
    </w:p>
    <w:p w14:paraId="47BF3C6B" w14:textId="77777777" w:rsidR="00AE324A" w:rsidRDefault="004A746B">
      <w:pPr>
        <w:pStyle w:val="AbstHead"/>
        <w:spacing w:after="0"/>
        <w:jc w:val="both"/>
        <w:rPr>
          <w:rFonts w:ascii="Arial" w:hAnsi="Arial" w:cs="Arial"/>
        </w:rPr>
      </w:pPr>
      <w:r>
        <w:rPr>
          <w:rFonts w:ascii="Arial" w:hAnsi="Arial" w:cs="Arial"/>
        </w:rPr>
        <w:t xml:space="preserve">ABSTRACT </w:t>
      </w:r>
    </w:p>
    <w:p w14:paraId="0E7DA127" w14:textId="77777777" w:rsidR="00AE324A" w:rsidRDefault="00AE324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E324A" w14:paraId="628F7913" w14:textId="77777777">
        <w:tc>
          <w:tcPr>
            <w:tcW w:w="9576" w:type="dxa"/>
            <w:shd w:val="clear" w:color="auto" w:fill="F2F2F2"/>
          </w:tcPr>
          <w:p w14:paraId="049C1C34" w14:textId="77777777" w:rsidR="00AE324A" w:rsidRDefault="004A746B">
            <w:pPr>
              <w:pStyle w:val="Body"/>
              <w:spacing w:after="0"/>
              <w:jc w:val="left"/>
              <w:rPr>
                <w:rFonts w:ascii="Arial" w:eastAsia="Calibri" w:hAnsi="Arial" w:cs="Arial"/>
              </w:rPr>
            </w:pPr>
            <w:r>
              <w:rPr>
                <w:rFonts w:ascii="Arial" w:eastAsia="Calibri" w:hAnsi="Arial" w:cs="Arial"/>
                <w:b/>
              </w:rPr>
              <w:t xml:space="preserve">Aims: </w:t>
            </w:r>
            <w:r>
              <w:rPr>
                <w:rFonts w:ascii="Arial" w:eastAsia="Calibri" w:hAnsi="Arial" w:cs="Arial"/>
              </w:rPr>
              <w:t>To determine the predictors of female sexual dysfunction (FSD) and to compare sexual functioning profiles across reproductive phases</w:t>
            </w:r>
          </w:p>
          <w:p w14:paraId="73F2B1DB" w14:textId="77777777" w:rsidR="00AE324A" w:rsidRDefault="004A746B">
            <w:pPr>
              <w:pStyle w:val="Body"/>
              <w:spacing w:after="0"/>
              <w:rPr>
                <w:rFonts w:ascii="Arial" w:eastAsia="Calibri" w:hAnsi="Arial" w:cs="Arial"/>
              </w:rPr>
            </w:pPr>
            <w:r>
              <w:rPr>
                <w:rFonts w:ascii="Arial" w:eastAsia="Calibri" w:hAnsi="Arial" w:cs="Arial"/>
                <w:b/>
              </w:rPr>
              <w:t>Study design:</w:t>
            </w:r>
            <w:r>
              <w:rPr>
                <w:rFonts w:ascii="Arial" w:eastAsia="Calibri" w:hAnsi="Arial" w:cs="Arial"/>
              </w:rPr>
              <w:t xml:space="preserve"> Cross-sectional</w:t>
            </w:r>
          </w:p>
          <w:p w14:paraId="409E1CE3" w14:textId="77777777" w:rsidR="00AE324A" w:rsidRDefault="004A746B">
            <w:pPr>
              <w:pStyle w:val="Body"/>
              <w:spacing w:after="0"/>
              <w:rPr>
                <w:rFonts w:ascii="Arial" w:eastAsia="Calibri" w:hAnsi="Arial" w:cs="Arial"/>
              </w:rPr>
            </w:pPr>
            <w:r>
              <w:rPr>
                <w:rFonts w:ascii="Arial" w:eastAsia="Calibri" w:hAnsi="Arial" w:cs="Arial"/>
                <w:b/>
              </w:rPr>
              <w:t>Place and Duration of Study:</w:t>
            </w:r>
            <w:r>
              <w:rPr>
                <w:rFonts w:ascii="Arial" w:eastAsia="Calibri" w:hAnsi="Arial" w:cs="Arial"/>
              </w:rPr>
              <w:t xml:space="preserve"> Government primary healthcare clinics in the Kuala Langat District, Selangor, Malaysia, from April to July 2025.</w:t>
            </w:r>
          </w:p>
          <w:p w14:paraId="0CC713E6" w14:textId="77777777" w:rsidR="00AE324A" w:rsidRDefault="004A746B">
            <w:pPr>
              <w:pStyle w:val="Body"/>
              <w:spacing w:after="0"/>
              <w:rPr>
                <w:rFonts w:ascii="Arial" w:eastAsia="Calibri" w:hAnsi="Arial" w:cs="Arial"/>
              </w:rPr>
            </w:pPr>
            <w:r>
              <w:rPr>
                <w:rFonts w:ascii="Arial" w:eastAsia="Calibri" w:hAnsi="Arial" w:cs="Arial"/>
                <w:b/>
                <w:bCs/>
              </w:rPr>
              <w:t>Methodology:</w:t>
            </w:r>
            <w:r>
              <w:rPr>
                <w:rFonts w:ascii="Arial" w:eastAsia="Calibri" w:hAnsi="Arial" w:cs="Arial"/>
              </w:rPr>
              <w:t xml:space="preserve"> We included 361 women aged 18-70 years old and excluded </w:t>
            </w:r>
            <w:proofErr w:type="gramStart"/>
            <w:r>
              <w:rPr>
                <w:rFonts w:ascii="Arial" w:eastAsia="Calibri" w:hAnsi="Arial" w:cs="Arial"/>
              </w:rPr>
              <w:t>those illiterate</w:t>
            </w:r>
            <w:proofErr w:type="gramEnd"/>
            <w:r>
              <w:rPr>
                <w:rFonts w:ascii="Arial" w:eastAsia="Calibri" w:hAnsi="Arial" w:cs="Arial"/>
              </w:rPr>
              <w:t xml:space="preserve"> in the Malay language or had poor cognition.</w:t>
            </w:r>
            <w:r>
              <w:rPr>
                <w:rFonts w:ascii="Arial" w:hAnsi="Arial" w:cs="Arial"/>
              </w:rPr>
              <w:t xml:space="preserve"> Sexual func</w:t>
            </w:r>
            <w:r>
              <w:rPr>
                <w:rFonts w:ascii="Arial" w:hAnsi="Arial" w:cs="Arial"/>
              </w:rPr>
              <w:t xml:space="preserve">tioning profiles were assessed with </w:t>
            </w:r>
            <w:r>
              <w:rPr>
                <w:rFonts w:ascii="Arial" w:eastAsia="Calibri" w:hAnsi="Arial" w:cs="Arial"/>
              </w:rPr>
              <w:t>a validated Malay version of the Female Sexual Function Index questionnaire (MVFSFI), a 19-item, multidimensional self-report measure of six basic domains: desire, arousal, lubrication, orgasm, satisfaction, and pain.</w:t>
            </w:r>
          </w:p>
          <w:p w14:paraId="4C531374" w14:textId="77777777" w:rsidR="00AE324A" w:rsidRDefault="004A746B">
            <w:pPr>
              <w:pStyle w:val="Body"/>
              <w:contextualSpacing/>
              <w:rPr>
                <w:rFonts w:ascii="Arial" w:eastAsia="Calibri" w:hAnsi="Arial" w:cs="Arial"/>
              </w:rPr>
            </w:pPr>
            <w:r>
              <w:rPr>
                <w:rFonts w:ascii="Arial" w:eastAsia="Calibri" w:hAnsi="Arial" w:cs="Arial"/>
                <w:b/>
                <w:bCs/>
              </w:rPr>
              <w:t>Re</w:t>
            </w:r>
            <w:r>
              <w:rPr>
                <w:rFonts w:ascii="Arial" w:eastAsia="Calibri" w:hAnsi="Arial" w:cs="Arial"/>
                <w:b/>
                <w:bCs/>
              </w:rPr>
              <w:t>sults:</w:t>
            </w:r>
            <w:r>
              <w:rPr>
                <w:rFonts w:ascii="Arial" w:eastAsia="Calibri" w:hAnsi="Arial" w:cs="Arial"/>
              </w:rPr>
              <w:t xml:space="preserve"> FSD was present in 54.6% (n=197). Using multivariate logistic regression analysis, ten factors: (1) age: 40 to 59 years (AOR=5.03, 95% CI 1.01, 7.84, p=0.031); 60 years and above (AOR=11.01, 95% CI 8.02, 18.21, p=0.042) (2) partner’s age: 40 to 59 y</w:t>
            </w:r>
            <w:r>
              <w:rPr>
                <w:rFonts w:ascii="Arial" w:eastAsia="Calibri" w:hAnsi="Arial" w:cs="Arial"/>
              </w:rPr>
              <w:t>ears (AOR=4.01, 95% CI 2.22, 7.72, p&lt;0.001); 60 years and above (AOR=10.03, 95% CI 8.14, 19.01, p&lt;0.001)  (3) Chinese ethnicity (AOR=5.79, 95% CI 2.04, 8.02, p=0.012) (4) education level: post-secondary(AOR=9.08, 95% CI 4.36, 8.60, p&lt;0.001); tertiary (AOR=</w:t>
            </w:r>
            <w:r>
              <w:rPr>
                <w:rFonts w:ascii="Arial" w:eastAsia="Calibri" w:hAnsi="Arial" w:cs="Arial"/>
              </w:rPr>
              <w:t>10.63, 95% CI 4.31, 18.35, p=0.023)  (5) sexual intercourse more than twice weekly (AOR=0.16, 95% CI 0.30, 0.92, p=0.043) (6) perimenopausal women (AOR=12.83, 95% CI 7.23, 19.02, p=0.041)  (7) urogenital symptoms (AOR=4.02, 95% CI 8.87, 37.14, p=0.023) (8)</w:t>
            </w:r>
            <w:r>
              <w:rPr>
                <w:rFonts w:ascii="Arial" w:eastAsia="Calibri" w:hAnsi="Arial" w:cs="Arial"/>
              </w:rPr>
              <w:t xml:space="preserve"> spouse with sexual dysfunction(AOR=4.62, 95% CI 2.02, 6.99, p=0.037)  (9) depression (AOR=7.01, 95% CI 10.98, 34.93, p=0.014) and (10) anxiety(AOR=8.18, 95% CI 7.71, 35.14, p=0.032) were significantly associated with FSD. Chi-square analysis revealed stat</w:t>
            </w:r>
            <w:r>
              <w:rPr>
                <w:rFonts w:ascii="Arial" w:eastAsia="Calibri" w:hAnsi="Arial" w:cs="Arial"/>
              </w:rPr>
              <w:t xml:space="preserve">istically significant differences (p&lt;0.001) in all sexual functioning domains between premenopausal, perimenopausal, and menopausal women. </w:t>
            </w:r>
          </w:p>
          <w:p w14:paraId="2A1E2C1F" w14:textId="77777777" w:rsidR="00AE324A" w:rsidRDefault="004A746B">
            <w:pPr>
              <w:pStyle w:val="Body"/>
              <w:spacing w:after="0"/>
              <w:rPr>
                <w:rFonts w:ascii="Arial" w:eastAsia="Calibri" w:hAnsi="Arial" w:cs="Arial"/>
                <w:szCs w:val="22"/>
              </w:rPr>
            </w:pPr>
            <w:r>
              <w:rPr>
                <w:rFonts w:ascii="Arial" w:eastAsia="Calibri" w:hAnsi="Arial" w:cs="Arial"/>
                <w:b/>
                <w:bCs/>
              </w:rPr>
              <w:t>Conclusion:</w:t>
            </w:r>
            <w:r>
              <w:rPr>
                <w:rFonts w:ascii="Arial" w:eastAsia="Calibri" w:hAnsi="Arial" w:cs="Arial"/>
              </w:rPr>
              <w:t xml:space="preserve"> FSD is prevalent and increases with advancing reproductive phases. Routine screening for FSD should be i</w:t>
            </w:r>
            <w:r>
              <w:rPr>
                <w:rFonts w:ascii="Arial" w:eastAsia="Calibri" w:hAnsi="Arial" w:cs="Arial"/>
              </w:rPr>
              <w:t>ntegrated into primary care, particularly for perimenopausal and menopausal women, with emphasis on addressing psychosocial, relational, and partner-related factors through couple-based interventions.</w:t>
            </w:r>
          </w:p>
        </w:tc>
      </w:tr>
    </w:tbl>
    <w:p w14:paraId="3524C99C" w14:textId="77777777" w:rsidR="00AE324A" w:rsidRDefault="00AE324A">
      <w:pPr>
        <w:pStyle w:val="Body"/>
        <w:spacing w:after="0"/>
        <w:rPr>
          <w:rFonts w:ascii="Arial" w:hAnsi="Arial" w:cs="Arial"/>
          <w:i/>
        </w:rPr>
      </w:pPr>
    </w:p>
    <w:p w14:paraId="5F573B3D" w14:textId="77777777" w:rsidR="00AE324A" w:rsidRDefault="004A746B">
      <w:pPr>
        <w:pStyle w:val="Body"/>
        <w:spacing w:after="0"/>
        <w:rPr>
          <w:rFonts w:ascii="Arial" w:hAnsi="Arial" w:cs="Arial"/>
          <w:i/>
        </w:rPr>
      </w:pPr>
      <w:r>
        <w:rPr>
          <w:rFonts w:ascii="Arial" w:hAnsi="Arial" w:cs="Arial"/>
          <w:i/>
        </w:rPr>
        <w:t>Keyword: female, sexual dysfunction, reproductive, pr</w:t>
      </w:r>
      <w:r>
        <w:rPr>
          <w:rFonts w:ascii="Arial" w:hAnsi="Arial" w:cs="Arial"/>
          <w:i/>
        </w:rPr>
        <w:t>imary care</w:t>
      </w:r>
    </w:p>
    <w:p w14:paraId="30887DA2" w14:textId="77777777" w:rsidR="00AE324A" w:rsidRDefault="00AE324A">
      <w:pPr>
        <w:pStyle w:val="Body"/>
        <w:spacing w:after="0"/>
        <w:rPr>
          <w:rFonts w:ascii="Arial" w:hAnsi="Arial" w:cs="Arial"/>
          <w:i/>
        </w:rPr>
      </w:pPr>
    </w:p>
    <w:p w14:paraId="7F488DF5" w14:textId="77777777" w:rsidR="00AE324A" w:rsidRDefault="004A746B">
      <w:pPr>
        <w:pStyle w:val="AbstHead"/>
        <w:spacing w:after="0"/>
        <w:jc w:val="both"/>
        <w:rPr>
          <w:rFonts w:ascii="Arial" w:hAnsi="Arial" w:cs="Arial"/>
        </w:rPr>
      </w:pPr>
      <w:r>
        <w:rPr>
          <w:rFonts w:ascii="Arial" w:hAnsi="Arial" w:cs="Arial"/>
        </w:rPr>
        <w:t xml:space="preserve">1. INTRODUCTION </w:t>
      </w:r>
    </w:p>
    <w:p w14:paraId="1D7AF59A" w14:textId="77777777" w:rsidR="00AE324A" w:rsidRDefault="00AE324A">
      <w:pPr>
        <w:pStyle w:val="AbstHead"/>
        <w:spacing w:after="0"/>
        <w:jc w:val="both"/>
        <w:rPr>
          <w:rFonts w:ascii="Arial" w:hAnsi="Arial" w:cs="Arial"/>
        </w:rPr>
      </w:pPr>
    </w:p>
    <w:p w14:paraId="112CE9B1" w14:textId="77777777" w:rsidR="00AE324A" w:rsidRDefault="004A746B">
      <w:pPr>
        <w:pStyle w:val="Body"/>
        <w:spacing w:line="480" w:lineRule="auto"/>
        <w:rPr>
          <w:rFonts w:ascii="Arial" w:hAnsi="Arial" w:cs="Arial"/>
        </w:rPr>
      </w:pPr>
      <w:r>
        <w:rPr>
          <w:rFonts w:ascii="Arial" w:hAnsi="Arial" w:cs="Arial"/>
        </w:rPr>
        <w:t xml:space="preserve">Female sexual dysfunction (FSD) is a disturbance in the sexual response cycle or pain associated with sexual intercourse, which encompasses a broad spectrum of persistent </w:t>
      </w:r>
      <w:r>
        <w:rPr>
          <w:rFonts w:ascii="Arial" w:hAnsi="Arial" w:cs="Arial"/>
        </w:rPr>
        <w:lastRenderedPageBreak/>
        <w:t>difficulties related to sexual desire, arousal, orgasm,</w:t>
      </w:r>
      <w:r>
        <w:rPr>
          <w:rFonts w:ascii="Arial" w:hAnsi="Arial" w:cs="Arial"/>
        </w:rPr>
        <w:t xml:space="preserve"> or pain which cause distress, affect</w:t>
      </w:r>
      <w:r>
        <w:rPr>
          <w:rFonts w:ascii="Arial" w:hAnsi="Arial" w:cs="Arial"/>
          <w:color w:val="FF0000"/>
        </w:rPr>
        <w:t>s</w:t>
      </w:r>
      <w:r>
        <w:rPr>
          <w:rFonts w:ascii="Arial" w:hAnsi="Arial" w:cs="Arial"/>
        </w:rPr>
        <w:t xml:space="preserve"> quality of life, emotional well-being and relationships in a woman.(1,2) Globally, female sexual dysfunction (FSD) is a significant public health concern, with meta-analyses estimating a prevalence of approximately 41</w:t>
      </w:r>
      <w:r>
        <w:rPr>
          <w:rFonts w:ascii="Arial" w:hAnsi="Arial" w:cs="Arial"/>
        </w:rPr>
        <w:t>% to 51% among premenopausal and reproductive-aged women, highlighting its widespread nature and impact on women's quality of life.(3,4) While locally, FSD is also a prevalent yet underreported health concern, as studies have shown a prevalence rate rangin</w:t>
      </w:r>
      <w:r>
        <w:rPr>
          <w:rFonts w:ascii="Arial" w:hAnsi="Arial" w:cs="Arial"/>
        </w:rPr>
        <w:t xml:space="preserve">g from 29.6% to 35.5% in postpartum women and 68% to 85% among middle-aged women in hospitals.(5–7) Therefore, these findings, alongside global data, </w:t>
      </w:r>
      <w:proofErr w:type="spellStart"/>
      <w:r>
        <w:rPr>
          <w:rFonts w:ascii="Arial" w:hAnsi="Arial" w:cs="Arial"/>
        </w:rPr>
        <w:t>emphasise</w:t>
      </w:r>
      <w:proofErr w:type="spellEnd"/>
      <w:r>
        <w:rPr>
          <w:rFonts w:ascii="Arial" w:hAnsi="Arial" w:cs="Arial"/>
        </w:rPr>
        <w:t xml:space="preserve"> the need for greater recognition and integration of sexual health into women’s healthcare, espec</w:t>
      </w:r>
      <w:r>
        <w:rPr>
          <w:rFonts w:ascii="Arial" w:hAnsi="Arial" w:cs="Arial"/>
        </w:rPr>
        <w:t>ially in culturally sensitive contexts. In addition, sexual satisfaction in women is closely linked to psychological well-being, relationship quality, and overall life satisfaction.(5,7,8) FSD is associated with lower self-esteem, increased anxiety and dep</w:t>
      </w:r>
      <w:r>
        <w:rPr>
          <w:rFonts w:ascii="Arial" w:hAnsi="Arial" w:cs="Arial"/>
        </w:rPr>
        <w:t>ression, and reduced intimacy.(5,7,8) In conservative societies like Malaysia, cultural and religious norms often prevent open discussions, leading to underreporting and delayed care.(7) This highlights the need to identify predictors of FSD within the pri</w:t>
      </w:r>
      <w:r>
        <w:rPr>
          <w:rFonts w:ascii="Arial" w:hAnsi="Arial" w:cs="Arial"/>
        </w:rPr>
        <w:t xml:space="preserve">mary care setting to improve screening, diagnosis, and targeted interventions for better sexual and overall health outcomes among women. </w:t>
      </w:r>
    </w:p>
    <w:p w14:paraId="030DEF7D" w14:textId="77777777" w:rsidR="00AE324A" w:rsidRDefault="004A746B">
      <w:pPr>
        <w:pStyle w:val="Body"/>
        <w:spacing w:line="480" w:lineRule="auto"/>
        <w:rPr>
          <w:rFonts w:ascii="Arial" w:hAnsi="Arial" w:cs="Arial"/>
        </w:rPr>
      </w:pPr>
      <w:r>
        <w:rPr>
          <w:rFonts w:ascii="Arial" w:hAnsi="Arial" w:cs="Arial"/>
        </w:rPr>
        <w:t xml:space="preserve">Despite FSD being increasingly </w:t>
      </w:r>
      <w:proofErr w:type="spellStart"/>
      <w:r>
        <w:rPr>
          <w:rFonts w:ascii="Arial" w:hAnsi="Arial" w:cs="Arial"/>
        </w:rPr>
        <w:t>recognised</w:t>
      </w:r>
      <w:proofErr w:type="spellEnd"/>
      <w:r>
        <w:rPr>
          <w:rFonts w:ascii="Arial" w:hAnsi="Arial" w:cs="Arial"/>
        </w:rPr>
        <w:t xml:space="preserve"> as a public health issue, key knowledge gaps persist, particularly in primar</w:t>
      </w:r>
      <w:r>
        <w:rPr>
          <w:rFonts w:ascii="Arial" w:hAnsi="Arial" w:cs="Arial"/>
        </w:rPr>
        <w:t>y care and across diverse reproductive phases; pre-menopause, perimenopause and menopause phase. Sexual functioning is influenced by hormonal, psychological, and relational changes throughout a woman’s reproductive lifespan, but its patterns in Southeast A</w:t>
      </w:r>
      <w:r>
        <w:rPr>
          <w:rFonts w:ascii="Arial" w:hAnsi="Arial" w:cs="Arial"/>
        </w:rPr>
        <w:t>sian primary care settings remain underexplored.(3,7,9) Additionally, the relationship between sexual activity frequency and FSD is poorly understood—though studies suggest lower sexual frequency may be linked to dysfunction</w:t>
      </w:r>
      <w:r>
        <w:rPr>
          <w:rFonts w:ascii="Arial" w:hAnsi="Arial" w:cs="Arial"/>
          <w:color w:val="FF0000"/>
        </w:rPr>
        <w:t>;</w:t>
      </w:r>
      <w:r>
        <w:rPr>
          <w:rFonts w:ascii="Arial" w:hAnsi="Arial" w:cs="Arial"/>
        </w:rPr>
        <w:t xml:space="preserve"> causality, and sexual domain-s</w:t>
      </w:r>
      <w:r>
        <w:rPr>
          <w:rFonts w:ascii="Arial" w:hAnsi="Arial" w:cs="Arial"/>
        </w:rPr>
        <w:t xml:space="preserve">pecific associations across reproductive phases are unclear.(8) Several important gaps in understanding persist, especially within certain populations and healthcare settings, </w:t>
      </w:r>
      <w:r>
        <w:rPr>
          <w:rFonts w:ascii="Arial" w:hAnsi="Arial" w:cs="Arial"/>
        </w:rPr>
        <w:lastRenderedPageBreak/>
        <w:t>as most existing studies tend to examine reproductive phases separately rather t</w:t>
      </w:r>
      <w:r>
        <w:rPr>
          <w:rFonts w:ascii="Arial" w:hAnsi="Arial" w:cs="Arial"/>
        </w:rPr>
        <w:t>han holistically, limited to hospital-based or urban populations, often focusing narrowly on specific subgroups such as menopausal women.(5–7,9) There is a clear lack of data from primary care settings, particularly in semi-urban or rural districts like th</w:t>
      </w:r>
      <w:r>
        <w:rPr>
          <w:rFonts w:ascii="Arial" w:hAnsi="Arial" w:cs="Arial"/>
        </w:rPr>
        <w:t xml:space="preserve">e Kuala Langat district, where primary clinics are the first point of contact for most women. Addressing these gaps is essential for identifying modifiable risk factors and informing targeted interventions early, at the primary care level. </w:t>
      </w:r>
    </w:p>
    <w:p w14:paraId="48A94D20" w14:textId="77777777" w:rsidR="00AE324A" w:rsidRDefault="004A746B">
      <w:pPr>
        <w:pStyle w:val="Body"/>
        <w:spacing w:line="480" w:lineRule="auto"/>
        <w:rPr>
          <w:rFonts w:ascii="Arial" w:hAnsi="Arial" w:cs="Arial"/>
        </w:rPr>
      </w:pPr>
      <w:r>
        <w:rPr>
          <w:rFonts w:ascii="Arial" w:hAnsi="Arial" w:cs="Arial"/>
        </w:rPr>
        <w:t xml:space="preserve">This study addresses this gap by exploring FSD in a real-world, culturally diverse primary care context by determining the predictors of FSD among female adults attending government primary healthcare clinics in the Kuala Langat district and comparing its </w:t>
      </w:r>
      <w:r>
        <w:rPr>
          <w:rFonts w:ascii="Arial" w:hAnsi="Arial" w:cs="Arial"/>
        </w:rPr>
        <w:t>specific domains of sexual functioning across reproductive phases. Moreover, the use of the validated Malay version of the Female Sexual Function Index (MVFSFI) enhances the cultural and linguistic relevance of data collection, enabling more accurate ident</w:t>
      </w:r>
      <w:r>
        <w:rPr>
          <w:rFonts w:ascii="Arial" w:hAnsi="Arial" w:cs="Arial"/>
        </w:rPr>
        <w:t xml:space="preserve">ification of sexual dysfunction in a population where sexual health remains a sensitive and often </w:t>
      </w:r>
      <w:proofErr w:type="spellStart"/>
      <w:r>
        <w:rPr>
          <w:rFonts w:ascii="Arial" w:hAnsi="Arial" w:cs="Arial"/>
        </w:rPr>
        <w:t>stigmatised</w:t>
      </w:r>
      <w:proofErr w:type="spellEnd"/>
      <w:r>
        <w:rPr>
          <w:rFonts w:ascii="Arial" w:hAnsi="Arial" w:cs="Arial"/>
        </w:rPr>
        <w:t xml:space="preserve"> </w:t>
      </w:r>
      <w:proofErr w:type="gramStart"/>
      <w:r>
        <w:rPr>
          <w:rFonts w:ascii="Arial" w:hAnsi="Arial" w:cs="Arial"/>
        </w:rPr>
        <w:t>topic.(</w:t>
      </w:r>
      <w:proofErr w:type="gramEnd"/>
      <w:r>
        <w:rPr>
          <w:rFonts w:ascii="Arial" w:hAnsi="Arial" w:cs="Arial"/>
        </w:rPr>
        <w:t>10) Hence, understanding the predictors of FSD in a primary care setting is essential for developing context-appropriate screening, managem</w:t>
      </w:r>
      <w:r>
        <w:rPr>
          <w:rFonts w:ascii="Arial" w:hAnsi="Arial" w:cs="Arial"/>
        </w:rPr>
        <w:t>ent strategies, and public health interventions. Findings from this study are expected to inform primary care practices and health policy, while also guiding training initiatives aimed at improving women's sexual and overall well-being in Malaysia and simi</w:t>
      </w:r>
      <w:r>
        <w:rPr>
          <w:rFonts w:ascii="Arial" w:hAnsi="Arial" w:cs="Arial"/>
        </w:rPr>
        <w:t>lar Southeast Asian populations.</w:t>
      </w:r>
    </w:p>
    <w:p w14:paraId="22009FBE" w14:textId="77777777" w:rsidR="00AE324A" w:rsidRDefault="004A746B">
      <w:pPr>
        <w:pStyle w:val="AbstHead"/>
        <w:spacing w:after="0"/>
        <w:jc w:val="both"/>
        <w:rPr>
          <w:rFonts w:ascii="Arial" w:hAnsi="Arial" w:cs="Arial"/>
        </w:rPr>
      </w:pPr>
      <w:r>
        <w:rPr>
          <w:rFonts w:ascii="Arial" w:hAnsi="Arial" w:cs="Arial"/>
        </w:rPr>
        <w:t xml:space="preserve">2. material and methods </w:t>
      </w:r>
    </w:p>
    <w:p w14:paraId="0CFD01B6" w14:textId="77777777" w:rsidR="00AE324A" w:rsidRDefault="00AE324A">
      <w:pPr>
        <w:pStyle w:val="AbstHead"/>
        <w:spacing w:after="0"/>
        <w:jc w:val="both"/>
        <w:rPr>
          <w:rFonts w:ascii="Arial" w:hAnsi="Arial" w:cs="Arial"/>
        </w:rPr>
      </w:pPr>
    </w:p>
    <w:p w14:paraId="613753BE" w14:textId="77777777" w:rsidR="00AE324A" w:rsidRDefault="004A746B">
      <w:pPr>
        <w:rPr>
          <w:rFonts w:ascii="Arial" w:hAnsi="Arial" w:cs="Arial"/>
          <w:b/>
          <w:bCs/>
          <w:sz w:val="22"/>
          <w:szCs w:val="22"/>
        </w:rPr>
      </w:pPr>
      <w:r>
        <w:rPr>
          <w:rFonts w:ascii="Arial" w:hAnsi="Arial" w:cs="Arial"/>
          <w:b/>
          <w:bCs/>
          <w:sz w:val="22"/>
          <w:szCs w:val="22"/>
        </w:rPr>
        <w:t>2.1 METHODS</w:t>
      </w:r>
    </w:p>
    <w:p w14:paraId="22949BCF" w14:textId="77777777" w:rsidR="00AE324A" w:rsidRDefault="004A746B">
      <w:pPr>
        <w:spacing w:line="480" w:lineRule="auto"/>
        <w:jc w:val="both"/>
        <w:rPr>
          <w:rFonts w:ascii="Arial" w:hAnsi="Arial" w:cs="Arial"/>
          <w:highlight w:val="yellow"/>
        </w:rPr>
      </w:pPr>
      <w:r>
        <w:rPr>
          <w:rFonts w:ascii="Arial" w:hAnsi="Arial" w:cs="Arial"/>
        </w:rPr>
        <w:t xml:space="preserve">A cross-sectional study was conducted from April to July 2025 in six main government primary healthcare clinics providing outpatient services in the Kuala Langat district, Selangor, </w:t>
      </w:r>
      <w:r>
        <w:rPr>
          <w:rFonts w:ascii="Arial" w:hAnsi="Arial" w:cs="Arial"/>
        </w:rPr>
        <w:t>Malaysia. All women aged 18 to 70 years were invited to participate in the study. The selection of the age range corresponds to the prevalence of 29.6% of FSD in women aged 18-70 years, which was identified in a local primary care population.</w:t>
      </w:r>
      <w:r>
        <w:rPr>
          <w:rFonts w:ascii="Arial" w:hAnsi="Arial" w:cs="Arial"/>
        </w:rPr>
        <w:fldChar w:fldCharType="begin"/>
      </w:r>
      <w:r>
        <w:rPr>
          <w:rFonts w:ascii="Arial" w:hAnsi="Arial" w:cs="Arial"/>
        </w:rPr>
        <w:instrText xml:space="preserve"> ADDIN ZOTERO_</w:instrText>
      </w:r>
      <w:r>
        <w:rPr>
          <w:rFonts w:ascii="Arial" w:hAnsi="Arial" w:cs="Arial"/>
        </w:rPr>
        <w:instrText>ITEM CSL_CITATION {"citationID":"HX24A9eZ","properties":{"formattedCitation":"(8)","plainCitation":"(8)","noteIndex":0},"citationItems":[{"id":2278,"uris":["http://zotero.org/users/4073496/items/NJM2C8R6"],"itemData":{"id":2278,"type":"article-journal","ab</w:instrText>
      </w:r>
      <w:r>
        <w:rPr>
          <w:rFonts w:ascii="Arial" w:hAnsi="Arial" w:cs="Arial"/>
        </w:rPr>
        <w:instrText>stract":"INTRODUCTION: Female sexual dysfunction (FSD) is a prevalent sexual health problem that does not spare the women in Malaysia, a nation with a conservative multiethnic society.\nAIM: To investigate the prevalence of FSD and the potential risk facto</w:instrText>
      </w:r>
      <w:r>
        <w:rPr>
          <w:rFonts w:ascii="Arial" w:hAnsi="Arial" w:cs="Arial"/>
        </w:rPr>
        <w:instrText>rs that may impair sexual function among women at a primary care setting in Malaysia.\nMAIN OUTCOME MEASURE: The prevalence, the risk factors, and the main predictors for FSD were measured among these women.\nMETHODS: A validated Malay version of the Femal</w:instrText>
      </w:r>
      <w:r>
        <w:rPr>
          <w:rFonts w:ascii="Arial" w:hAnsi="Arial" w:cs="Arial"/>
        </w:rPr>
        <w:instrText>e Sexual Function Index was used to assess FSD. A total of 230 married women aged 18-70 years participated in this study. The sociodemographic and marital profiles of women who had FSD and those who did not were compared; the risk factors for FSD were dete</w:instrText>
      </w:r>
      <w:r>
        <w:rPr>
          <w:rFonts w:ascii="Arial" w:hAnsi="Arial" w:cs="Arial"/>
        </w:rPr>
        <w:instrText>rmined.\nRESULTS: The majority of the respondents were younger than 50 years old, predominantly Malays, and had a higher academic achievement. The prevalence of FSD in the primary care population was 29.6%. The prevalence of women with lack of orgasms, low</w:instrText>
      </w:r>
      <w:r>
        <w:rPr>
          <w:rFonts w:ascii="Arial" w:hAnsi="Arial" w:cs="Arial"/>
        </w:rPr>
        <w:instrText xml:space="preserve"> sexual arousal, lack of lubrication, sexual dissatisfaction, and sexual pain were 59.1%, 60.9%, 50.4%, 52.2%, and 67.8%, respectively.\nCONCLUSION: The risk factors for FSD are older age, Malays, married longer (more than 14 years), having less sexual int</w:instrText>
      </w:r>
      <w:r>
        <w:rPr>
          <w:rFonts w:ascii="Arial" w:hAnsi="Arial" w:cs="Arial"/>
        </w:rPr>
        <w:instrText>ercourse (less than 1-2 times a week), having more children, married to an older husband (aged &gt;42 years), and having a higher academic status. Lack of lubrication is found to be the main predictor for FSD in this study. Is lack of lubrication a cause or a</w:instrText>
      </w:r>
      <w:r>
        <w:rPr>
          <w:rFonts w:ascii="Arial" w:hAnsi="Arial" w:cs="Arial"/>
        </w:rPr>
        <w:instrText xml:space="preserve"> complication of FSD? Prospective research is needed in the near future.","container-title":"The Journal of Sexual Medicine","DOI":"10.1111/j.1743-6109.2006.00319.x","ISSN":"1743-6095","issue":"2","journalAbbreviation":"J Sex Med","language":"eng","note":"</w:instrText>
      </w:r>
      <w:r>
        <w:rPr>
          <w:rFonts w:ascii="Arial" w:hAnsi="Arial" w:cs="Arial"/>
        </w:rPr>
        <w:instrText>PMID: 17040486","page":"311-321","source":"PubMed","title":"The prevalence of sexual dysfunction and potential risk factors that may impair sexual function in Malaysian women","volume":"4","author":[{"family":"Sidi","given":"Hatta"},{"family":"Puteh","give</w:instrText>
      </w:r>
      <w:r>
        <w:rPr>
          <w:rFonts w:ascii="Arial" w:hAnsi="Arial" w:cs="Arial"/>
        </w:rPr>
        <w:instrText xml:space="preserve">n":"Sharifah Ezat Wan"},{"family":"Abdullah","given":"Norni"},{"family":"Midin","given":"Marhani"}],"issued":{"date-parts":[["2007",3]]}}}],"schema":"https://github.com/citation-style-language/schema/raw/master/csl-citation.json"}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t xml:space="preserve">  Women who were il</w:t>
      </w:r>
      <w:r>
        <w:rPr>
          <w:rFonts w:ascii="Arial" w:hAnsi="Arial" w:cs="Arial"/>
        </w:rPr>
        <w:t xml:space="preserve">literate in the </w:t>
      </w:r>
      <w:r>
        <w:rPr>
          <w:rFonts w:ascii="Arial" w:hAnsi="Arial" w:cs="Arial"/>
        </w:rPr>
        <w:lastRenderedPageBreak/>
        <w:t>Malay language or had poor cognition were excluded. The sampling method was conducted by systematic random sampling, whereby every third woman who fulfilled the inclusion criteria was recruited into the study. The study sample size was dete</w:t>
      </w:r>
      <w:r>
        <w:rPr>
          <w:rFonts w:ascii="Arial" w:hAnsi="Arial" w:cs="Arial"/>
        </w:rPr>
        <w:t>rmined with single and two-sample proportion formulas.</w:t>
      </w:r>
      <w:r>
        <w:rPr>
          <w:rFonts w:ascii="Arial" w:hAnsi="Arial" w:cs="Arial"/>
        </w:rPr>
        <w:fldChar w:fldCharType="begin"/>
      </w:r>
      <w:r>
        <w:rPr>
          <w:rFonts w:ascii="Arial" w:hAnsi="Arial" w:cs="Arial"/>
        </w:rPr>
        <w:instrText xml:space="preserve"> ADDIN ZOTERO_ITEM CSL_CITATION {"citationID":"M2ibRKgy","properties":{"formattedCitation":"(11)","plainCitation":"(11)","noteIndex":0},"citationItems":[{"id":2283,"uris":["http://zotero.org/users/40734</w:instrText>
      </w:r>
      <w:r>
        <w:rPr>
          <w:rFonts w:ascii="Arial" w:hAnsi="Arial" w:cs="Arial"/>
        </w:rPr>
        <w:instrText>96/items/78Z3RKDL"],"itemData":{"id":2283,"type":"article-journal","abstract":"One of the most common reasons why researchers seek help from statistician is sample size calculation. However despite the common believe that it only involves formula and calcu</w:instrText>
      </w:r>
      <w:r>
        <w:rPr>
          <w:rFonts w:ascii="Arial" w:hAnsi="Arial" w:cs="Arial"/>
        </w:rPr>
        <w:instrText>lation, researchers often ignore other aspects of research design that leads to proper sample size calculation. In this article, the author outlines basic steps toward sample size calculation. The author also introduces the logic behind sample size calcula</w:instrText>
      </w:r>
      <w:r>
        <w:rPr>
          <w:rFonts w:ascii="Arial" w:hAnsi="Arial" w:cs="Arial"/>
        </w:rPr>
        <w:instrText>tion for single mean and single proportion in simplified and less intimidating forms to those not statistically inclined.","container-title":"Education in Medicine Journal","DOI":"10.5959/eimj.v5i2.130","ISSN":"2180-1932","issue":"2","journalAbbreviation":</w:instrText>
      </w:r>
      <w:r>
        <w:rPr>
          <w:rFonts w:ascii="Arial" w:hAnsi="Arial" w:cs="Arial"/>
        </w:rPr>
        <w:instrText>"EIMJ","language":"en","note":"publisher: Penerbit Universiti Sains Malaysia","source":"Crossref","title":"Introduction to sample size calculation","URL":"http://eduimed.usm.my/EIMJ20130502/EIMJ20130502_10.pdf","volume":"5","author":[{"family":"Arifin","gi</w:instrText>
      </w:r>
      <w:r>
        <w:rPr>
          <w:rFonts w:ascii="Arial" w:hAnsi="Arial" w:cs="Arial"/>
        </w:rPr>
        <w:instrText xml:space="preserve">ven":"Wan Nor"}],"accessed":{"date-parts":[["2025",7,22]]},"issued":{"date-parts":[["2013",6,1]]}}}],"schema":"https://github.com/citation-style-language/schema/raw/master/csl-citation.json"}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The two-sample proportions formulas were used to calcula</w:t>
      </w:r>
      <w:r>
        <w:rPr>
          <w:rFonts w:ascii="Arial" w:hAnsi="Arial" w:cs="Arial"/>
        </w:rPr>
        <w:t>te associated factors with the assumption that the two populations have the same variance, each value is independent, the assumption of homogeneity of variance and the populations are normally distributed.</w:t>
      </w:r>
      <w:r>
        <w:rPr>
          <w:rFonts w:ascii="Arial" w:hAnsi="Arial" w:cs="Arial"/>
        </w:rPr>
        <w:fldChar w:fldCharType="begin"/>
      </w:r>
      <w:r>
        <w:rPr>
          <w:rFonts w:ascii="Arial" w:hAnsi="Arial" w:cs="Arial"/>
        </w:rPr>
        <w:instrText xml:space="preserve"> ADDIN ZOTERO_ITEM CSL_CITATION {"citationID":"5B2o</w:instrText>
      </w:r>
      <w:r>
        <w:rPr>
          <w:rFonts w:ascii="Arial" w:hAnsi="Arial" w:cs="Arial"/>
        </w:rPr>
        <w:instrText>msjk","properties":{"formattedCitation":"(11)","plainCitation":"(11)","noteIndex":0},"citationItems":[{"id":2283,"uris":["http://zotero.org/users/4073496/items/78Z3RKDL"],"itemData":{"id":2283,"type":"article-journal","abstract":"One of the most common rea</w:instrText>
      </w:r>
      <w:r>
        <w:rPr>
          <w:rFonts w:ascii="Arial" w:hAnsi="Arial" w:cs="Arial"/>
        </w:rPr>
        <w:instrText>sons why researchers seek help from statistician is sample size calculation. However despite the common believe that it only involves formula and calculation, researchers often ignore other aspects of research design that leads to proper sample size calcul</w:instrText>
      </w:r>
      <w:r>
        <w:rPr>
          <w:rFonts w:ascii="Arial" w:hAnsi="Arial" w:cs="Arial"/>
        </w:rPr>
        <w:instrText>ation. In this article, the author outlines basic steps toward sample size calculation. The author also introduces the logic behind sample size calculation for single mean and single proportion in simplified and less intimidating forms to those not statist</w:instrText>
      </w:r>
      <w:r>
        <w:rPr>
          <w:rFonts w:ascii="Arial" w:hAnsi="Arial" w:cs="Arial"/>
        </w:rPr>
        <w:instrText>ically inclined.","container-title":"Education in Medicine Journal","DOI":"10.5959/eimj.v5i2.130","ISSN":"2180-1932","issue":"2","journalAbbreviation":"EIMJ","language":"en","note":"publisher: Penerbit Universiti Sains Malaysia","source":"Crossref","title"</w:instrText>
      </w:r>
      <w:r>
        <w:rPr>
          <w:rFonts w:ascii="Arial" w:hAnsi="Arial" w:cs="Arial"/>
        </w:rPr>
        <w:instrText>:"Introduction to sample size calculation","URL":"http://eduimed.usm.my/EIMJ20130502/EIMJ20130502_10.pdf","volume":"5","author":[{"family":"Arifin","given":"Wan Nor"}],"accessed":{"date-parts":[["2025",7,22]]},"issued":{"date-parts":[["2013",6,1]]}}}],"sch</w:instrText>
      </w:r>
      <w:r>
        <w:rPr>
          <w:rFonts w:ascii="Arial" w:hAnsi="Arial" w:cs="Arial"/>
        </w:rPr>
        <w:instrText xml:space="preserve">ema":"https://github.com/citation-style-language/schema/raw/master/csl-citation.json"}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The largest sample size value calculated among all the variables was taken as the sample size in this study.</w:t>
      </w:r>
      <w:r>
        <w:rPr>
          <w:rFonts w:ascii="Arial" w:hAnsi="Arial" w:cs="Arial"/>
        </w:rPr>
        <w:fldChar w:fldCharType="begin"/>
      </w:r>
      <w:r>
        <w:rPr>
          <w:rFonts w:ascii="Arial" w:hAnsi="Arial" w:cs="Arial"/>
        </w:rPr>
        <w:instrText xml:space="preserve"> ADDIN ZOTERO_ITEM CSL_CITATION {"citationID":"ESdN1W</w:instrText>
      </w:r>
      <w:r>
        <w:rPr>
          <w:rFonts w:ascii="Arial" w:hAnsi="Arial" w:cs="Arial"/>
        </w:rPr>
        <w:instrText>Yk","properties":{"formattedCitation":"(11)","plainCitation":"(11)","noteIndex":0},"citationItems":[{"id":2283,"uris":["http://zotero.org/users/4073496/items/78Z3RKDL"],"itemData":{"id":2283,"type":"article-journal","abstract":"One of the most common reaso</w:instrText>
      </w:r>
      <w:r>
        <w:rPr>
          <w:rFonts w:ascii="Arial" w:hAnsi="Arial" w:cs="Arial"/>
        </w:rPr>
        <w:instrText>ns why researchers seek help from statistician is sample size calculation. However despite the common believe that it only involves formula and calculation, researchers often ignore other aspects of research design that leads to proper sample size calculat</w:instrText>
      </w:r>
      <w:r>
        <w:rPr>
          <w:rFonts w:ascii="Arial" w:hAnsi="Arial" w:cs="Arial"/>
        </w:rPr>
        <w:instrText>ion. In this article, the author outlines basic steps toward sample size calculation. The author also introduces the logic behind sample size calculation for single mean and single proportion in simplified and less intimidating forms to those not statistic</w:instrText>
      </w:r>
      <w:r>
        <w:rPr>
          <w:rFonts w:ascii="Arial" w:hAnsi="Arial" w:cs="Arial"/>
        </w:rPr>
        <w:instrText>ally inclined.","container-title":"Education in Medicine Journal","DOI":"10.5959/eimj.v5i2.130","ISSN":"2180-1932","issue":"2","journalAbbreviation":"EIMJ","language":"en","note":"publisher: Penerbit Universiti Sains Malaysia","source":"Crossref","title":"</w:instrText>
      </w:r>
      <w:r>
        <w:rPr>
          <w:rFonts w:ascii="Arial" w:hAnsi="Arial" w:cs="Arial"/>
        </w:rPr>
        <w:instrText>Introduction to sample size calculation","URL":"http://eduimed.usm.my/EIMJ20130502/EIMJ20130502_10.pdf","volume":"5","author":[{"family":"Arifin","given":"Wan Nor"}],"accessed":{"date-parts":[["2025",7,22]]},"issued":{"date-parts":[["2013",6,1]]}}}],"schem</w:instrText>
      </w:r>
      <w:r>
        <w:rPr>
          <w:rFonts w:ascii="Arial" w:hAnsi="Arial" w:cs="Arial"/>
        </w:rPr>
        <w:instrText xml:space="preserve">a":"https://github.com/citation-style-language/schema/raw/master/csl-citation.json"}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The sample size calculated was 400 women with a 20% drop-out rate.</w:t>
      </w:r>
    </w:p>
    <w:p w14:paraId="3A2A0A60" w14:textId="77777777" w:rsidR="00AE324A" w:rsidRDefault="004A746B">
      <w:pPr>
        <w:spacing w:line="480" w:lineRule="auto"/>
        <w:jc w:val="both"/>
        <w:rPr>
          <w:rFonts w:ascii="Arial" w:eastAsiaTheme="minorHAnsi" w:hAnsi="Arial" w:cs="Arial"/>
          <w:lang w:val="en-MY"/>
        </w:rPr>
      </w:pPr>
      <w:r>
        <w:rPr>
          <w:rFonts w:ascii="Arial" w:hAnsi="Arial" w:cs="Arial"/>
        </w:rPr>
        <w:t>The self-administered questionnaire was made available in the Malay language as the majority (80</w:t>
      </w:r>
      <w:r>
        <w:rPr>
          <w:rFonts w:ascii="Arial" w:hAnsi="Arial" w:cs="Arial"/>
        </w:rPr>
        <w:t>%) of the women in the district are of Malay ethnicity. Anonymity of the participants of the study was ensured to ensure confidentiality and mitigate response bias. This could encourage participants to answer the questionnaire honestly, reflecting their se</w:t>
      </w:r>
      <w:r>
        <w:rPr>
          <w:rFonts w:ascii="Arial" w:hAnsi="Arial" w:cs="Arial"/>
        </w:rPr>
        <w:t>xual practices.</w:t>
      </w:r>
      <w:r>
        <w:rPr>
          <w:rFonts w:ascii="Arial" w:hAnsi="Arial" w:cs="Arial"/>
          <w:b/>
          <w:bCs/>
        </w:rPr>
        <w:t xml:space="preserve"> </w:t>
      </w:r>
      <w:r>
        <w:rPr>
          <w:rFonts w:ascii="Arial" w:hAnsi="Arial" w:cs="Arial"/>
        </w:rPr>
        <w:t xml:space="preserve">There were three sections in the questionnaire, whereby the first section examined the socio-demographic characteristics (age, partner’s age, ethnicity, education level, employment, income, duration of marriage or relationship). The second </w:t>
      </w:r>
      <w:r>
        <w:rPr>
          <w:rFonts w:ascii="Arial" w:hAnsi="Arial" w:cs="Arial"/>
        </w:rPr>
        <w:t>section examined the clinical parameters (frequency of sexual intercourse weekly, reproductive phase: pre-menopausal, perimenopausal or menopause, history of urogenital surgery, presence of urogenital symptoms, partner with sexual dysfunction, depression a</w:t>
      </w:r>
      <w:r>
        <w:rPr>
          <w:rFonts w:ascii="Arial" w:hAnsi="Arial" w:cs="Arial"/>
        </w:rPr>
        <w:t xml:space="preserve">nd anxiety). The third section examined the presence of FSD using a translated Female Sexual Functioning Index (FSFI), validated in the Malay language, the </w:t>
      </w:r>
      <w:r>
        <w:rPr>
          <w:rFonts w:ascii="Arial" w:eastAsiaTheme="minorHAnsi" w:hAnsi="Arial" w:cs="Arial"/>
          <w:lang w:val="en-MY"/>
        </w:rPr>
        <w:t>Malay version of the FSFI (MVFSFI).</w:t>
      </w:r>
      <w:r>
        <w:rPr>
          <w:rFonts w:ascii="Arial" w:eastAsiaTheme="minorHAnsi" w:hAnsi="Arial" w:cs="Arial"/>
          <w:lang w:val="en-MY"/>
        </w:rPr>
        <w:fldChar w:fldCharType="begin"/>
      </w:r>
      <w:r>
        <w:rPr>
          <w:rFonts w:ascii="Arial" w:eastAsiaTheme="minorHAnsi" w:hAnsi="Arial" w:cs="Arial"/>
          <w:lang w:val="en-MY"/>
        </w:rPr>
        <w:instrText xml:space="preserve"> ADDIN ZOTERO_ITEM CSL_CITATION {"citationID":"RW3QWoXT","propert</w:instrText>
      </w:r>
      <w:r>
        <w:rPr>
          <w:rFonts w:ascii="Arial" w:eastAsiaTheme="minorHAnsi" w:hAnsi="Arial" w:cs="Arial"/>
          <w:lang w:val="en-MY"/>
        </w:rPr>
        <w:instrText xml:space="preserve">ies":{"formattedCitation":"(10)","plainCitation":"(10)","noteIndex":0},"citationItems":[{"id":2284,"uris":["http://zotero.org/users/4073496/items/TNJG8HNM"],"itemData":{"id":2284,"type":"article-journal","abstract":"INTRODUCTION: Female sexual dysfunction </w:instrText>
      </w:r>
      <w:r>
        <w:rPr>
          <w:rFonts w:ascii="Arial" w:eastAsiaTheme="minorHAnsi" w:hAnsi="Arial" w:cs="Arial"/>
          <w:lang w:val="en-MY"/>
        </w:rPr>
        <w:instrText>(FSD) is a prevalent sexual health problem that has been inadequately investigated in Malaysia, a nation with a conservative multiethnic society.\nAIM: To validate the Malay version of the Female Sexual Function Index (MVFSFI) for the study of FSD.\nMAIN O</w:instrText>
      </w:r>
      <w:r>
        <w:rPr>
          <w:rFonts w:ascii="Arial" w:eastAsiaTheme="minorHAnsi" w:hAnsi="Arial" w:cs="Arial"/>
          <w:lang w:val="en-MY"/>
        </w:rPr>
        <w:instrText>UTCOME MEASURE: To measure the validity and reliability of the MVFSFI and its domains.\nMETHODS: Validation was carried out on aspects of face, content, discriminant, and criterion (concurrent) validity. Reliability studies on test-retest and on internal c</w:instrText>
      </w:r>
      <w:r>
        <w:rPr>
          <w:rFonts w:ascii="Arial" w:eastAsiaTheme="minorHAnsi" w:hAnsi="Arial" w:cs="Arial"/>
          <w:lang w:val="en-MY"/>
        </w:rPr>
        <w:instrText>onsistency were conducted with Cronbach's alpha and Pearson correlation, respectively. The values with the highest sensitivity and specificity generated from the receiver operating characteristic curves were taken as the cutoff scores to differentiate case</w:instrText>
      </w:r>
      <w:r>
        <w:rPr>
          <w:rFonts w:ascii="Arial" w:eastAsiaTheme="minorHAnsi" w:hAnsi="Arial" w:cs="Arial"/>
          <w:lang w:val="en-MY"/>
        </w:rPr>
        <w:instrText>s and noncases.\nRESULTS: A total of 230 married women aged 18-70 years participated in this study. There was a high test-retest correlation by respondents (r at least &gt;0.7). The MVFSFI was found to have good discriminant validity as a whole and for each d</w:instrText>
      </w:r>
      <w:r>
        <w:rPr>
          <w:rFonts w:ascii="Arial" w:eastAsiaTheme="minorHAnsi" w:hAnsi="Arial" w:cs="Arial"/>
          <w:lang w:val="en-MY"/>
        </w:rPr>
        <w:instrText>omain. A total score of 55 was taken as the cutoff point for the MVFSFI to distinguish between women with sexual dysfunction and those without (sensitivity = 99%, specificity = 97%). Scores lower than 55 indicate sexual dysfunction. The cutoff score for ea</w:instrText>
      </w:r>
      <w:r>
        <w:rPr>
          <w:rFonts w:ascii="Arial" w:eastAsiaTheme="minorHAnsi" w:hAnsi="Arial" w:cs="Arial"/>
          <w:lang w:val="en-MY"/>
        </w:rPr>
        <w:instrText>ch domain was also established for the MVFSFI: &lt;/=5 for sexual desire disorder (sensitivity = 95%, specificity = 89%); &lt;/=9 for sexual arousal disorder (sensitivity = 77%, specificity = 95%); &lt;/=10 for disorder of lubrication (sensitivity = 79%, specificit</w:instrText>
      </w:r>
      <w:r>
        <w:rPr>
          <w:rFonts w:ascii="Arial" w:eastAsiaTheme="minorHAnsi" w:hAnsi="Arial" w:cs="Arial"/>
          <w:lang w:val="en-MY"/>
        </w:rPr>
        <w:instrText>y = 87%); &lt;/=4 for orgasmic disorder (sensitivity = 83%, specificity = 85%); &lt;/=11 for sexual dissatisfaction (sensitivity = 83%, specificity = 85%); and &lt;/=7 for sexual pain disorder (sensitivity = 86%, specificity = 95%).\nCONCLUSION: The MVFSFI is a val</w:instrText>
      </w:r>
      <w:r>
        <w:rPr>
          <w:rFonts w:ascii="Arial" w:eastAsiaTheme="minorHAnsi" w:hAnsi="Arial" w:cs="Arial"/>
          <w:lang w:val="en-MY"/>
        </w:rPr>
        <w:instrText>idated and locally accepted questionnaire for use in the assessment of FSD in the Malaysian population.","container-title":"The Journal of Sexual Medicine","DOI":"10.1111/j.1743-6109.2007.00476.x","ISSN":"1743-6095","issue":"6","journalAbbreviation":"J Sex</w:instrText>
      </w:r>
      <w:r>
        <w:rPr>
          <w:rFonts w:ascii="Arial" w:eastAsiaTheme="minorHAnsi" w:hAnsi="Arial" w:cs="Arial"/>
          <w:lang w:val="en-MY"/>
        </w:rPr>
        <w:instrText xml:space="preserve"> Med","language":"eng","note":"PMID: 17608666","page":"1642-1654","source":"PubMed","title":"The Female Sexual Function Index (FSFI): validation of the Malay version","title-short":"The Female Sexual Function Index (FSFI)","volume":"4","author":[{"family":</w:instrText>
      </w:r>
      <w:r>
        <w:rPr>
          <w:rFonts w:ascii="Arial" w:eastAsiaTheme="minorHAnsi" w:hAnsi="Arial" w:cs="Arial"/>
          <w:lang w:val="en-MY"/>
        </w:rPr>
        <w:instrText>"Sidi","given":"Hatta"},{"family":"Abdullah","given":"Norni"},{"family":"Puteh","given":"Sharifah Ezat Wan"},{"family":"Midin","given":"Marhani"}],"issued":{"date-parts":[["2007",11]]}}}],"schema":"https://github.com/citation-style-language/schema/raw/mast</w:instrText>
      </w:r>
      <w:r>
        <w:rPr>
          <w:rFonts w:ascii="Arial" w:eastAsiaTheme="minorHAnsi" w:hAnsi="Arial" w:cs="Arial"/>
          <w:lang w:val="en-MY"/>
        </w:rPr>
        <w:instrText xml:space="preserve">er/csl-citation.json"} </w:instrText>
      </w:r>
      <w:r>
        <w:rPr>
          <w:rFonts w:ascii="Arial" w:eastAsiaTheme="minorHAnsi" w:hAnsi="Arial" w:cs="Arial"/>
          <w:lang w:val="en-MY"/>
        </w:rPr>
        <w:fldChar w:fldCharType="separate"/>
      </w:r>
      <w:r>
        <w:rPr>
          <w:rFonts w:ascii="Arial" w:eastAsiaTheme="minorHAnsi" w:hAnsi="Arial" w:cs="Arial"/>
        </w:rPr>
        <w:t>(10)</w:t>
      </w:r>
      <w:r>
        <w:rPr>
          <w:rFonts w:ascii="Arial" w:eastAsiaTheme="minorHAnsi" w:hAnsi="Arial" w:cs="Arial"/>
          <w:lang w:val="en-MY"/>
        </w:rPr>
        <w:fldChar w:fldCharType="end"/>
      </w:r>
    </w:p>
    <w:p w14:paraId="79DCC4DC" w14:textId="77777777" w:rsidR="00AE324A" w:rsidRDefault="004A746B">
      <w:pPr>
        <w:autoSpaceDE w:val="0"/>
        <w:autoSpaceDN w:val="0"/>
        <w:adjustRightInd w:val="0"/>
        <w:spacing w:line="480" w:lineRule="auto"/>
        <w:jc w:val="both"/>
        <w:rPr>
          <w:rFonts w:ascii="Arial" w:hAnsi="Arial" w:cs="Arial"/>
        </w:rPr>
      </w:pPr>
      <w:r>
        <w:rPr>
          <w:rFonts w:ascii="Arial" w:hAnsi="Arial" w:cs="Arial"/>
        </w:rPr>
        <w:t>The questionnaire captures changes in sexual functioning within the previous one month and gives a Likert scale for the whole area of functioning as well as for each sexual domain.</w:t>
      </w:r>
      <w:r>
        <w:rPr>
          <w:rFonts w:ascii="Arial" w:hAnsi="Arial" w:cs="Arial"/>
        </w:rPr>
        <w:fldChar w:fldCharType="begin"/>
      </w:r>
      <w:r>
        <w:rPr>
          <w:rFonts w:ascii="Arial" w:hAnsi="Arial" w:cs="Arial"/>
        </w:rPr>
        <w:instrText xml:space="preserve"> ADDIN ZOTERO_ITEM CSL_CITATION {"citationID"</w:instrText>
      </w:r>
      <w:r>
        <w:rPr>
          <w:rFonts w:ascii="Arial" w:hAnsi="Arial" w:cs="Arial"/>
        </w:rPr>
        <w:instrText>:"vlxZ0wiV","properties":{"formattedCitation":"(10)","plainCitation":"(10)","noteIndex":0},"citationItems":[{"id":2284,"uris":["http://zotero.org/users/4073496/items/TNJG8HNM"],"itemData":{"id":2284,"type":"article-journal","abstract":"INTRODUCTION: Female</w:instrText>
      </w:r>
      <w:r>
        <w:rPr>
          <w:rFonts w:ascii="Arial" w:hAnsi="Arial" w:cs="Arial"/>
        </w:rPr>
        <w:instrText xml:space="preserve"> sexual dysfunction (FSD) is a prevalent sexual health problem that has been inadequately investigated in Malaysia, a nation with a conservative multiethnic society.\nAIM: To validate the Malay version of the Female Sexual Function Index (MVFSFI) for the s</w:instrText>
      </w:r>
      <w:r>
        <w:rPr>
          <w:rFonts w:ascii="Arial" w:hAnsi="Arial" w:cs="Arial"/>
        </w:rPr>
        <w:instrText>tudy of FSD.\nMAIN OUTCOME MEASURE: To measure the validity and reliability of the MVFSFI and its domains.\nMETHODS: Validation was carried out on aspects of face, content, discriminant, and criterion (concurrent) validity. Reliability studies on test-rete</w:instrText>
      </w:r>
      <w:r>
        <w:rPr>
          <w:rFonts w:ascii="Arial" w:hAnsi="Arial" w:cs="Arial"/>
        </w:rPr>
        <w:instrText>st and on internal consistency were conducted with Cronbach's alpha and Pearson correlation, respectively. The values with the highest sensitivity and specificity generated from the receiver operating characteristic curves were taken as the cutoff scores t</w:instrText>
      </w:r>
      <w:r>
        <w:rPr>
          <w:rFonts w:ascii="Arial" w:hAnsi="Arial" w:cs="Arial"/>
        </w:rPr>
        <w:instrText xml:space="preserve">o differentiate cases and noncases.\nRESULTS: A total of 230 married women aged 18-70 years participated in this study. There was a high test-retest correlation by respondents (r at least &gt;0.7). The MVFSFI was found to have good discriminant validity as a </w:instrText>
      </w:r>
      <w:r>
        <w:rPr>
          <w:rFonts w:ascii="Arial" w:hAnsi="Arial" w:cs="Arial"/>
        </w:rPr>
        <w:instrText>whole and for each domain. A total score of 55 was taken as the cutoff point for the MVFSFI to distinguish between women with sexual dysfunction and those without (sensitivity = 99%, specificity = 97%). Scores lower than 55 indicate sexual dysfunction. The</w:instrText>
      </w:r>
      <w:r>
        <w:rPr>
          <w:rFonts w:ascii="Arial" w:hAnsi="Arial" w:cs="Arial"/>
        </w:rPr>
        <w:instrText xml:space="preserve"> cutoff score for each domain was also established for the MVFSFI: &lt;/=5 for sexual desire disorder (sensitivity = 95%, specificity = 89%); &lt;/=9 for sexual arousal disorder (sensitivity = 77%, specificity = 95%); &lt;/=10 for disorder of lubrication (sensitivi</w:instrText>
      </w:r>
      <w:r>
        <w:rPr>
          <w:rFonts w:ascii="Arial" w:hAnsi="Arial" w:cs="Arial"/>
        </w:rPr>
        <w:instrText>ty = 79%, specificity = 87%); &lt;/=4 for orgasmic disorder (sensitivity = 83%, specificity = 85%); &lt;/=11 for sexual dissatisfaction (sensitivity = 83%, specificity = 85%); and &lt;/=7 for sexual pain disorder (sensitivity = 86%, specificity = 95%).\nCONCLUSION:</w:instrText>
      </w:r>
      <w:r>
        <w:rPr>
          <w:rFonts w:ascii="Arial" w:hAnsi="Arial" w:cs="Arial"/>
        </w:rPr>
        <w:instrText xml:space="preserve"> The MVFSFI is a validated and locally accepted questionnaire for use in the assessment of FSD in the Malaysian population.","container-title":"The Journal of Sexual Medicine","DOI":"10.1111/j.1743-6109.2007.00476.x","ISSN":"1743-6095","issue":"6","journal</w:instrText>
      </w:r>
      <w:r>
        <w:rPr>
          <w:rFonts w:ascii="Arial" w:hAnsi="Arial" w:cs="Arial"/>
        </w:rPr>
        <w:instrText>Abbreviation":"J Sex Med","language":"eng","note":"PMID: 17608666","page":"1642-1654","source":"PubMed","title":"The Female Sexual Function Index (FSFI): validation of the Malay version","title-short":"The Female Sexual Function Index (FSFI)","volume":"4",</w:instrText>
      </w:r>
      <w:r>
        <w:rPr>
          <w:rFonts w:ascii="Arial" w:hAnsi="Arial" w:cs="Arial"/>
        </w:rPr>
        <w:instrText>"author":[{"family":"Sidi","given":"Hatta"},{"family":"Abdullah","given":"Norni"},{"family":"Puteh","given":"Sharifah Ezat Wan"},{"family":"Midin","given":"Marhani"}],"issued":{"date-parts":[["2007",11]]}}}],"schema":"https://github.com/citation-style-lang</w:instrText>
      </w:r>
      <w:r>
        <w:rPr>
          <w:rFonts w:ascii="Arial" w:hAnsi="Arial" w:cs="Arial"/>
        </w:rPr>
        <w:instrText xml:space="preserve">uage/schema/raw/master/csl-citation.json"}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It was validated in the local Malaysian population, which consists of a total of 19 items, a multidimensional self-report measure of six female sexual functioning domains: desire (2 questions), arousal (4 </w:t>
      </w:r>
      <w:r>
        <w:rPr>
          <w:rFonts w:ascii="Arial" w:hAnsi="Arial" w:cs="Arial"/>
        </w:rPr>
        <w:t>questions), lubrication (4 questions), orgasm (2 questions), satisfaction (4 questions) and pain (3 questions).</w:t>
      </w:r>
      <w:r>
        <w:rPr>
          <w:rFonts w:ascii="Arial" w:hAnsi="Arial" w:cs="Arial"/>
        </w:rPr>
        <w:fldChar w:fldCharType="begin"/>
      </w:r>
      <w:r>
        <w:rPr>
          <w:rFonts w:ascii="Arial" w:hAnsi="Arial" w:cs="Arial"/>
        </w:rPr>
        <w:instrText xml:space="preserve"> ADDIN ZOTERO_ITEM CSL_CITATION {"citationID":"RtfApovc","properties":{"formattedCitation":"(10)","plainCitation":"(10)","noteIndex":0},"citation</w:instrText>
      </w:r>
      <w:r>
        <w:rPr>
          <w:rFonts w:ascii="Arial" w:hAnsi="Arial" w:cs="Arial"/>
        </w:rPr>
        <w:instrText>Items":[{"id":2284,"uris":["http://zotero.org/users/4073496/items/TNJG8HNM"],"itemData":{"id":2284,"type":"article-journal","abstract":"INTRODUCTION: Female sexual dysfunction (FSD) is a prevalent sexual health problem that has been inadequately investigat</w:instrText>
      </w:r>
      <w:r>
        <w:rPr>
          <w:rFonts w:ascii="Arial" w:hAnsi="Arial" w:cs="Arial"/>
        </w:rPr>
        <w:instrText>ed in Malaysia, a nation with a conservative multiethnic society.\nAIM: To validate the Malay version of the Female Sexual Function Index (MVFSFI) for the study of FSD.\nMAIN OUTCOME MEASURE: To measure the validity and reliability of the MVFSFI and its do</w:instrText>
      </w:r>
      <w:r>
        <w:rPr>
          <w:rFonts w:ascii="Arial" w:hAnsi="Arial" w:cs="Arial"/>
        </w:rPr>
        <w:instrText>mains.\nMETHODS: Validation was carried out on aspects of face, content, discriminant, and criterion (concurrent) validity. Reliability studies on test-retest and on internal consistency were conducted with Cronbach's alpha and Pearson correlation, respect</w:instrText>
      </w:r>
      <w:r>
        <w:rPr>
          <w:rFonts w:ascii="Arial" w:hAnsi="Arial" w:cs="Arial"/>
        </w:rPr>
        <w:instrText>ively. The values with the highest sensitivity and specificity generated from the receiver operating characteristic curves were taken as the cutoff scores to differentiate cases and noncases.\nRESULTS: A total of 230 married women aged 18-70 years particip</w:instrText>
      </w:r>
      <w:r>
        <w:rPr>
          <w:rFonts w:ascii="Arial" w:hAnsi="Arial" w:cs="Arial"/>
        </w:rPr>
        <w:instrText>ated in this study. There was a high test-retest correlation by respondents (r at least &gt;0.7). The MVFSFI was found to have good discriminant validity as a whole and for each domain. A total score of 55 was taken as the cutoff point for the MVFSFI to disti</w:instrText>
      </w:r>
      <w:r>
        <w:rPr>
          <w:rFonts w:ascii="Arial" w:hAnsi="Arial" w:cs="Arial"/>
        </w:rPr>
        <w:instrText>nguish between women with sexual dysfunction and those without (sensitivity = 99%, specificity = 97%). Scores lower than 55 indicate sexual dysfunction. The cutoff score for each domain was also established for the MVFSFI: &lt;/=5 for sexual desire disorder (</w:instrText>
      </w:r>
      <w:r>
        <w:rPr>
          <w:rFonts w:ascii="Arial" w:hAnsi="Arial" w:cs="Arial"/>
        </w:rPr>
        <w:instrText>sensitivity = 95%, specificity = 89%); &lt;/=9 for sexual arousal disorder (sensitivity = 77%, specificity = 95%); &lt;/=10 for disorder of lubrication (sensitivity = 79%, specificity = 87%); &lt;/=4 for orgasmic disorder (sensitivity = 83%, specificity = 85%); &lt;/=</w:instrText>
      </w:r>
      <w:r>
        <w:rPr>
          <w:rFonts w:ascii="Arial" w:hAnsi="Arial" w:cs="Arial"/>
        </w:rPr>
        <w:instrText>11 for sexual dissatisfaction (sensitivity = 83%, specificity = 85%); and &lt;/=7 for sexual pain disorder (sensitivity = 86%, specificity = 95%).\nCONCLUSION: The MVFSFI is a validated and locally accepted questionnaire for use in the assessment of FSD in th</w:instrText>
      </w:r>
      <w:r>
        <w:rPr>
          <w:rFonts w:ascii="Arial" w:hAnsi="Arial" w:cs="Arial"/>
        </w:rPr>
        <w:instrText>e Malaysian population.","container-title":"The Journal of Sexual Medicine","DOI":"10.1111/j.1743-6109.2007.00476.x","ISSN":"1743-6095","issue":"6","journalAbbreviation":"J Sex Med","language":"eng","note":"PMID: 17608666","page":"1642-1654","source":"PubM</w:instrText>
      </w:r>
      <w:r>
        <w:rPr>
          <w:rFonts w:ascii="Arial" w:hAnsi="Arial" w:cs="Arial"/>
        </w:rPr>
        <w:instrText>ed","title":"The Female Sexual Function Index (FSFI): validation of the Malay version","title-short":"The Female Sexual Function Index (FSFI)","volume":"4","author":[{"family":"Sidi","given":"Hatta"},{"family":"Abdullah","given":"Norni"},{"family":"Puteh",</w:instrText>
      </w:r>
      <w:r>
        <w:rPr>
          <w:rFonts w:ascii="Arial" w:hAnsi="Arial" w:cs="Arial"/>
        </w:rPr>
        <w:instrText xml:space="preserve">"given":"Sharifah Ezat Wan"},{"family":"Midin","given":"Marhani"}],"issued":{"date-parts":[["2007",11]]}}}],"schema":"https://github.com/citation-style-language/schema/raw/master/csl-citation.json"}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The total scores of the MVFSFI were calculated by</w:t>
      </w:r>
      <w:r>
        <w:rPr>
          <w:rFonts w:ascii="Arial" w:hAnsi="Arial" w:cs="Arial"/>
        </w:rPr>
        <w:t xml:space="preserve"> </w:t>
      </w:r>
      <w:r>
        <w:rPr>
          <w:rFonts w:ascii="Arial" w:hAnsi="Arial" w:cs="Arial"/>
        </w:rPr>
        <w:lastRenderedPageBreak/>
        <w:t>summing all the scores of all items in the scale.</w:t>
      </w:r>
      <w:r>
        <w:rPr>
          <w:rFonts w:ascii="Arial" w:hAnsi="Arial" w:cs="Arial"/>
        </w:rPr>
        <w:fldChar w:fldCharType="begin"/>
      </w:r>
      <w:r>
        <w:rPr>
          <w:rFonts w:ascii="Arial" w:hAnsi="Arial" w:cs="Arial"/>
        </w:rPr>
        <w:instrText xml:space="preserve"> ADDIN ZOTERO_ITEM CSL_CITATION {"citationID":"BHXAAwdi","properties":{"formattedCitation":"(10)","plainCitation":"(10)","noteIndex":0},"citationItems":[{"id":2284,"uris":["http://zotero.org/users/4073496/i</w:instrText>
      </w:r>
      <w:r>
        <w:rPr>
          <w:rFonts w:ascii="Arial" w:hAnsi="Arial" w:cs="Arial"/>
        </w:rPr>
        <w:instrText>tems/TNJG8HNM"],"itemData":{"id":2284,"type":"article-journal","abstract":"INTRODUCTION: Female sexual dysfunction (FSD) is a prevalent sexual health problem that has been inadequately investigated in Malaysia, a nation with a conservative multiethnic soci</w:instrText>
      </w:r>
      <w:r>
        <w:rPr>
          <w:rFonts w:ascii="Arial" w:hAnsi="Arial" w:cs="Arial"/>
        </w:rPr>
        <w:instrText>ety.\nAIM: To validate the Malay version of the Female Sexual Function Index (MVFSFI) for the study of FSD.\nMAIN OUTCOME MEASURE: To measure the validity and reliability of the MVFSFI and its domains.\nMETHODS: Validation was carried out on aspects of fac</w:instrText>
      </w:r>
      <w:r>
        <w:rPr>
          <w:rFonts w:ascii="Arial" w:hAnsi="Arial" w:cs="Arial"/>
        </w:rPr>
        <w:instrText>e, content, discriminant, and criterion (concurrent) validity. Reliability studies on test-retest and on internal consistency were conducted with Cronbach's alpha and Pearson correlation, respectively. The values with the highest sensitivity and specificit</w:instrText>
      </w:r>
      <w:r>
        <w:rPr>
          <w:rFonts w:ascii="Arial" w:hAnsi="Arial" w:cs="Arial"/>
        </w:rPr>
        <w:instrText xml:space="preserve">y generated from the receiver operating characteristic curves were taken as the cutoff scores to differentiate cases and noncases.\nRESULTS: A total of 230 married women aged 18-70 years participated in this study. There was a high test-retest correlation </w:instrText>
      </w:r>
      <w:r>
        <w:rPr>
          <w:rFonts w:ascii="Arial" w:hAnsi="Arial" w:cs="Arial"/>
        </w:rPr>
        <w:instrText>by respondents (r at least &gt;0.7). The MVFSFI was found to have good discriminant validity as a whole and for each domain. A total score of 55 was taken as the cutoff point for the MVFSFI to distinguish between women with sexual dysfunction and those withou</w:instrText>
      </w:r>
      <w:r>
        <w:rPr>
          <w:rFonts w:ascii="Arial" w:hAnsi="Arial" w:cs="Arial"/>
        </w:rPr>
        <w:instrText>t (sensitivity = 99%, specificity = 97%). Scores lower than 55 indicate sexual dysfunction. The cutoff score for each domain was also established for the MVFSFI: &lt;/=5 for sexual desire disorder (sensitivity = 95%, specificity = 89%); &lt;/=9 for sexual arousa</w:instrText>
      </w:r>
      <w:r>
        <w:rPr>
          <w:rFonts w:ascii="Arial" w:hAnsi="Arial" w:cs="Arial"/>
        </w:rPr>
        <w:instrText>l disorder (sensitivity = 77%, specificity = 95%); &lt;/=10 for disorder of lubrication (sensitivity = 79%, specificity = 87%); &lt;/=4 for orgasmic disorder (sensitivity = 83%, specificity = 85%); &lt;/=11 for sexual dissatisfaction (sensitivity = 83%, specificity</w:instrText>
      </w:r>
      <w:r>
        <w:rPr>
          <w:rFonts w:ascii="Arial" w:hAnsi="Arial" w:cs="Arial"/>
        </w:rPr>
        <w:instrText xml:space="preserve"> = 85%); and &lt;/=7 for sexual pain disorder (sensitivity = 86%, specificity = 95%).\nCONCLUSION: The MVFSFI is a validated and locally accepted questionnaire for use in the assessment of FSD in the Malaysian population.","container-title":"The Journal of Se</w:instrText>
      </w:r>
      <w:r>
        <w:rPr>
          <w:rFonts w:ascii="Arial" w:hAnsi="Arial" w:cs="Arial"/>
        </w:rPr>
        <w:instrText>xual Medicine","DOI":"10.1111/j.1743-6109.2007.00476.x","ISSN":"1743-6095","issue":"6","journalAbbreviation":"J Sex Med","language":"eng","note":"PMID: 17608666","page":"1642-1654","source":"PubMed","title":"The Female Sexual Function Index (FSFI): validat</w:instrText>
      </w:r>
      <w:r>
        <w:rPr>
          <w:rFonts w:ascii="Arial" w:hAnsi="Arial" w:cs="Arial"/>
        </w:rPr>
        <w:instrText>ion of the Malay version","title-short":"The Female Sexual Function Index (FSFI)","volume":"4","author":[{"family":"Sidi","given":"Hatta"},{"family":"Abdullah","given":"Norni"},{"family":"Puteh","given":"Sharifah Ezat Wan"},{"family":"Midin","given":"Marha</w:instrText>
      </w:r>
      <w:r>
        <w:rPr>
          <w:rFonts w:ascii="Arial" w:hAnsi="Arial" w:cs="Arial"/>
        </w:rPr>
        <w:instrText xml:space="preserve">ni"}],"issued":{"date-parts":[["2007",11]]}}}],"schema":"https://github.com/citation-style-language/schema/raw/master/csl-citation.json"}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Similarly, the scores of each domain were calculated by summing the scores of each item in the domain.</w:t>
      </w:r>
      <w:r>
        <w:rPr>
          <w:rFonts w:ascii="Arial" w:hAnsi="Arial" w:cs="Arial"/>
        </w:rPr>
        <w:fldChar w:fldCharType="begin"/>
      </w:r>
      <w:r>
        <w:rPr>
          <w:rFonts w:ascii="Arial" w:hAnsi="Arial" w:cs="Arial"/>
        </w:rPr>
        <w:instrText xml:space="preserve"> ADDIN Z</w:instrText>
      </w:r>
      <w:r>
        <w:rPr>
          <w:rFonts w:ascii="Arial" w:hAnsi="Arial" w:cs="Arial"/>
        </w:rPr>
        <w:instrText>OTERO_ITEM CSL_CITATION {"citationID":"s1gLnc7y","properties":{"formattedCitation":"(10)","plainCitation":"(10)","noteIndex":0},"citationItems":[{"id":2284,"uris":["http://zotero.org/users/4073496/items/TNJG8HNM"],"itemData":{"id":2284,"type":"article-jour</w:instrText>
      </w:r>
      <w:r>
        <w:rPr>
          <w:rFonts w:ascii="Arial" w:hAnsi="Arial" w:cs="Arial"/>
        </w:rPr>
        <w:instrText>nal","abstract":"INTRODUCTION: Female sexual dysfunction (FSD) is a prevalent sexual health problem that has been inadequately investigated in Malaysia, a nation with a conservative multiethnic society.\nAIM: To validate the Malay version of the Female Sex</w:instrText>
      </w:r>
      <w:r>
        <w:rPr>
          <w:rFonts w:ascii="Arial" w:hAnsi="Arial" w:cs="Arial"/>
        </w:rPr>
        <w:instrText>ual Function Index (MVFSFI) for the study of FSD.\nMAIN OUTCOME MEASURE: To measure the validity and reliability of the MVFSFI and its domains.\nMETHODS: Validation was carried out on aspects of face, content, discriminant, and criterion (concurrent) valid</w:instrText>
      </w:r>
      <w:r>
        <w:rPr>
          <w:rFonts w:ascii="Arial" w:hAnsi="Arial" w:cs="Arial"/>
        </w:rPr>
        <w:instrText>ity. Reliability studies on test-retest and on internal consistency were conducted with Cronbach's alpha and Pearson correlation, respectively. The values with the highest sensitivity and specificity generated from the receiver operating characteristic cur</w:instrText>
      </w:r>
      <w:r>
        <w:rPr>
          <w:rFonts w:ascii="Arial" w:hAnsi="Arial" w:cs="Arial"/>
        </w:rPr>
        <w:instrText xml:space="preserve">ves were taken as the cutoff scores to differentiate cases and noncases.\nRESULTS: A total of 230 married women aged 18-70 years participated in this study. There was a high test-retest correlation by respondents (r at least &gt;0.7). The MVFSFI was found to </w:instrText>
      </w:r>
      <w:r>
        <w:rPr>
          <w:rFonts w:ascii="Arial" w:hAnsi="Arial" w:cs="Arial"/>
        </w:rPr>
        <w:instrText>have good discriminant validity as a whole and for each domain. A total score of 55 was taken as the cutoff point for the MVFSFI to distinguish between women with sexual dysfunction and those without (sensitivity = 99%, specificity = 97%). Scores lower tha</w:instrText>
      </w:r>
      <w:r>
        <w:rPr>
          <w:rFonts w:ascii="Arial" w:hAnsi="Arial" w:cs="Arial"/>
        </w:rPr>
        <w:instrText>n 55 indicate sexual dysfunction. The cutoff score for each domain was also established for the MVFSFI: &lt;/=5 for sexual desire disorder (sensitivity = 95%, specificity = 89%); &lt;/=9 for sexual arousal disorder (sensitivity = 77%, specificity = 95%); &lt;/=10 f</w:instrText>
      </w:r>
      <w:r>
        <w:rPr>
          <w:rFonts w:ascii="Arial" w:hAnsi="Arial" w:cs="Arial"/>
        </w:rPr>
        <w:instrText xml:space="preserve">or disorder of lubrication (sensitivity = 79%, specificity = 87%); &lt;/=4 for orgasmic disorder (sensitivity = 83%, specificity = 85%); &lt;/=11 for sexual dissatisfaction (sensitivity = 83%, specificity = 85%); and &lt;/=7 for sexual pain disorder (sensitivity = </w:instrText>
      </w:r>
      <w:r>
        <w:rPr>
          <w:rFonts w:ascii="Arial" w:hAnsi="Arial" w:cs="Arial"/>
        </w:rPr>
        <w:instrText>86%, specificity = 95%).\nCONCLUSION: The MVFSFI is a validated and locally accepted questionnaire for use in the assessment of FSD in the Malaysian population.","container-title":"The Journal of Sexual Medicine","DOI":"10.1111/j.1743-6109.2007.00476.x","I</w:instrText>
      </w:r>
      <w:r>
        <w:rPr>
          <w:rFonts w:ascii="Arial" w:hAnsi="Arial" w:cs="Arial"/>
        </w:rPr>
        <w:instrText>SSN":"1743-6095","issue":"6","journalAbbreviation":"J Sex Med","language":"eng","note":"PMID: 17608666","page":"1642-1654","source":"PubMed","title":"The Female Sexual Function Index (FSFI): validation of the Malay version","title-short":"The Female Sexual</w:instrText>
      </w:r>
      <w:r>
        <w:rPr>
          <w:rFonts w:ascii="Arial" w:hAnsi="Arial" w:cs="Arial"/>
        </w:rPr>
        <w:instrText xml:space="preserve"> Function Index (FSFI)","volume":"4","author":[{"family":"Sidi","given":"Hatta"},{"family":"Abdullah","given":"Norni"},{"family":"Puteh","given":"Sharifah Ezat Wan"},{"family":"Midin","given":"Marhani"}],"issued":{"date-parts":[["2007",11]]}}}],"schema":"h</w:instrText>
      </w:r>
      <w:r>
        <w:rPr>
          <w:rFonts w:ascii="Arial" w:hAnsi="Arial" w:cs="Arial"/>
        </w:rPr>
        <w:instrText xml:space="preserve">ttps://github.com/citation-style-language/schema/raw/master/csl-citation.json"}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The lower the score, the more likely it the respondents have sexual dysfunction.</w:t>
      </w:r>
      <w:r>
        <w:rPr>
          <w:rFonts w:ascii="Arial" w:hAnsi="Arial" w:cs="Arial"/>
        </w:rPr>
        <w:fldChar w:fldCharType="begin"/>
      </w:r>
      <w:r>
        <w:rPr>
          <w:rFonts w:ascii="Arial" w:hAnsi="Arial" w:cs="Arial"/>
        </w:rPr>
        <w:instrText xml:space="preserve"> ADDIN ZOTERO_ITEM CSL_CITATION {"citationID":"cWlIeYWT","properties":{"formattedCitatio</w:instrText>
      </w:r>
      <w:r>
        <w:rPr>
          <w:rFonts w:ascii="Arial" w:hAnsi="Arial" w:cs="Arial"/>
        </w:rPr>
        <w:instrText>n":"(10)","plainCitation":"(10)","noteIndex":0},"citationItems":[{"id":2284,"uris":["http://zotero.org/users/4073496/items/TNJG8HNM"],"itemData":{"id":2284,"type":"article-journal","abstract":"INTRODUCTION: Female sexual dysfunction (FSD) is a prevalent se</w:instrText>
      </w:r>
      <w:r>
        <w:rPr>
          <w:rFonts w:ascii="Arial" w:hAnsi="Arial" w:cs="Arial"/>
        </w:rPr>
        <w:instrText>xual health problem that has been inadequately investigated in Malaysia, a nation with a conservative multiethnic society.\nAIM: To validate the Malay version of the Female Sexual Function Index (MVFSFI) for the study of FSD.\nMAIN OUTCOME MEASURE: To meas</w:instrText>
      </w:r>
      <w:r>
        <w:rPr>
          <w:rFonts w:ascii="Arial" w:hAnsi="Arial" w:cs="Arial"/>
        </w:rPr>
        <w:instrText>ure the validity and reliability of the MVFSFI and its domains.\nMETHODS: Validation was carried out on aspects of face, content, discriminant, and criterion (concurrent) validity. Reliability studies on test-retest and on internal consistency were conduct</w:instrText>
      </w:r>
      <w:r>
        <w:rPr>
          <w:rFonts w:ascii="Arial" w:hAnsi="Arial" w:cs="Arial"/>
        </w:rPr>
        <w:instrText>ed with Cronbach's alpha and Pearson correlation, respectively. The values with the highest sensitivity and specificity generated from the receiver operating characteristic curves were taken as the cutoff scores to differentiate cases and noncases.\nRESULT</w:instrText>
      </w:r>
      <w:r>
        <w:rPr>
          <w:rFonts w:ascii="Arial" w:hAnsi="Arial" w:cs="Arial"/>
        </w:rPr>
        <w:instrText>S: A total of 230 married women aged 18-70 years participated in this study. There was a high test-retest correlation by respondents (r at least &gt;0.7). The MVFSFI was found to have good discriminant validity as a whole and for each domain. A total score of</w:instrText>
      </w:r>
      <w:r>
        <w:rPr>
          <w:rFonts w:ascii="Arial" w:hAnsi="Arial" w:cs="Arial"/>
        </w:rPr>
        <w:instrText xml:space="preserve"> 55 was taken as the cutoff point for the MVFSFI to distinguish between women with sexual dysfunction and those without (sensitivity = 99%, specificity = 97%). Scores lower than 55 indicate sexual dysfunction. The cutoff score for each domain was also esta</w:instrText>
      </w:r>
      <w:r>
        <w:rPr>
          <w:rFonts w:ascii="Arial" w:hAnsi="Arial" w:cs="Arial"/>
        </w:rPr>
        <w:instrText>blished for the MVFSFI: &lt;/=5 for sexual desire disorder (sensitivity = 95%, specificity = 89%); &lt;/=9 for sexual arousal disorder (sensitivity = 77%, specificity = 95%); &lt;/=10 for disorder of lubrication (sensitivity = 79%, specificity = 87%); &lt;/=4 for orga</w:instrText>
      </w:r>
      <w:r>
        <w:rPr>
          <w:rFonts w:ascii="Arial" w:hAnsi="Arial" w:cs="Arial"/>
        </w:rPr>
        <w:instrText>smic disorder (sensitivity = 83%, specificity = 85%); &lt;/=11 for sexual dissatisfaction (sensitivity = 83%, specificity = 85%); and &lt;/=7 for sexual pain disorder (sensitivity = 86%, specificity = 95%).\nCONCLUSION: The MVFSFI is a validated and locally acce</w:instrText>
      </w:r>
      <w:r>
        <w:rPr>
          <w:rFonts w:ascii="Arial" w:hAnsi="Arial" w:cs="Arial"/>
        </w:rPr>
        <w:instrText>pted questionnaire for use in the assessment of FSD in the Malaysian population.","container-title":"The Journal of Sexual Medicine","DOI":"10.1111/j.1743-6109.2007.00476.x","ISSN":"1743-6095","issue":"6","journalAbbreviation":"J Sex Med","language":"eng",</w:instrText>
      </w:r>
      <w:r>
        <w:rPr>
          <w:rFonts w:ascii="Arial" w:hAnsi="Arial" w:cs="Arial"/>
        </w:rPr>
        <w:instrText>"note":"PMID: 17608666","page":"1642-1654","source":"PubMed","title":"The Female Sexual Function Index (FSFI): validation of the Malay version","title-short":"The Female Sexual Function Index (FSFI)","volume":"4","author":[{"family":"Sidi","given":"Hatta"}</w:instrText>
      </w:r>
      <w:r>
        <w:rPr>
          <w:rFonts w:ascii="Arial" w:hAnsi="Arial" w:cs="Arial"/>
        </w:rPr>
        <w:instrText xml:space="preserve">,{"family":"Abdullah","given":"Norni"},{"family":"Puteh","given":"Sharifah Ezat Wan"},{"family":"Midin","given":"Marhani"}],"issued":{"date-parts":[["2007",11]]}}}],"schema":"https://github.com/citation-style-language/schema/raw/master/csl-citation.json"}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w:t>
      </w:r>
      <w:r>
        <w:rPr>
          <w:rFonts w:ascii="Arial" w:eastAsiaTheme="minorHAnsi" w:hAnsi="Arial" w:cs="Arial"/>
          <w:lang w:val="en-MY"/>
        </w:rPr>
        <w:t>A total score of 55 was taken as the cutoff point for the MVFSFI to distinguish between women</w:t>
      </w:r>
      <w:r>
        <w:rPr>
          <w:rFonts w:ascii="Arial" w:hAnsi="Arial" w:cs="Arial"/>
        </w:rPr>
        <w:t xml:space="preserve"> </w:t>
      </w:r>
      <w:r>
        <w:rPr>
          <w:rFonts w:ascii="Arial" w:eastAsiaTheme="minorHAnsi" w:hAnsi="Arial" w:cs="Arial"/>
          <w:lang w:val="en-MY"/>
        </w:rPr>
        <w:t>with sexual dysfunction and those without (sensitivity = 99%, specificity = 97%).</w:t>
      </w:r>
      <w:r>
        <w:rPr>
          <w:rFonts w:ascii="Arial" w:eastAsiaTheme="minorHAnsi" w:hAnsi="Arial" w:cs="Arial"/>
          <w:lang w:val="en-MY"/>
        </w:rPr>
        <w:fldChar w:fldCharType="begin"/>
      </w:r>
      <w:r>
        <w:rPr>
          <w:rFonts w:ascii="Arial" w:eastAsiaTheme="minorHAnsi" w:hAnsi="Arial" w:cs="Arial"/>
          <w:lang w:val="en-MY"/>
        </w:rPr>
        <w:instrText xml:space="preserve"> ADDIN ZOTERO_ITEM CSL_CITATION {"citationID":"7zKUmwnX","properties":{"f</w:instrText>
      </w:r>
      <w:r>
        <w:rPr>
          <w:rFonts w:ascii="Arial" w:eastAsiaTheme="minorHAnsi" w:hAnsi="Arial" w:cs="Arial"/>
          <w:lang w:val="en-MY"/>
        </w:rPr>
        <w:instrText>ormattedCitation":"(10)","plainCitation":"(10)","noteIndex":0},"citationItems":[{"id":2284,"uris":["http://zotero.org/users/4073496/items/TNJG8HNM"],"itemData":{"id":2284,"type":"article-journal","abstract":"INTRODUCTION: Female sexual dysfunction (FSD) is</w:instrText>
      </w:r>
      <w:r>
        <w:rPr>
          <w:rFonts w:ascii="Arial" w:eastAsiaTheme="minorHAnsi" w:hAnsi="Arial" w:cs="Arial"/>
          <w:lang w:val="en-MY"/>
        </w:rPr>
        <w:instrText xml:space="preserve"> a prevalent sexual health problem that has been inadequately investigated in Malaysia, a nation with a conservative multiethnic society.\nAIM: To validate the Malay version of the Female Sexual Function Index (MVFSFI) for the study of FSD.\nMAIN OUTCOME M</w:instrText>
      </w:r>
      <w:r>
        <w:rPr>
          <w:rFonts w:ascii="Arial" w:eastAsiaTheme="minorHAnsi" w:hAnsi="Arial" w:cs="Arial"/>
          <w:lang w:val="en-MY"/>
        </w:rPr>
        <w:instrText>EASURE: To measure the validity and reliability of the MVFSFI and its domains.\nMETHODS: Validation was carried out on aspects of face, content, discriminant, and criterion (concurrent) validity. Reliability studies on test-retest and on internal consisten</w:instrText>
      </w:r>
      <w:r>
        <w:rPr>
          <w:rFonts w:ascii="Arial" w:eastAsiaTheme="minorHAnsi" w:hAnsi="Arial" w:cs="Arial"/>
          <w:lang w:val="en-MY"/>
        </w:rPr>
        <w:instrText>cy were conducted with Cronbach's alpha and Pearson correlation, respectively. The values with the highest sensitivity and specificity generated from the receiver operating characteristic curves were taken as the cutoff scores to differentiate cases and no</w:instrText>
      </w:r>
      <w:r>
        <w:rPr>
          <w:rFonts w:ascii="Arial" w:eastAsiaTheme="minorHAnsi" w:hAnsi="Arial" w:cs="Arial"/>
          <w:lang w:val="en-MY"/>
        </w:rPr>
        <w:instrText>ncases.\nRESULTS: A total of 230 married women aged 18-70 years participated in this study. There was a high test-retest correlation by respondents (r at least &gt;0.7). The MVFSFI was found to have good discriminant validity as a whole and for each domain. A</w:instrText>
      </w:r>
      <w:r>
        <w:rPr>
          <w:rFonts w:ascii="Arial" w:eastAsiaTheme="minorHAnsi" w:hAnsi="Arial" w:cs="Arial"/>
          <w:lang w:val="en-MY"/>
        </w:rPr>
        <w:instrText xml:space="preserve"> total score of 55 was taken as the cutoff point for the MVFSFI to distinguish between women with sexual dysfunction and those without (sensitivity = 99%, specificity = 97%). Scores lower than 55 indicate sexual dysfunction. The cutoff score for each domai</w:instrText>
      </w:r>
      <w:r>
        <w:rPr>
          <w:rFonts w:ascii="Arial" w:eastAsiaTheme="minorHAnsi" w:hAnsi="Arial" w:cs="Arial"/>
          <w:lang w:val="en-MY"/>
        </w:rPr>
        <w:instrText>n was also established for the MVFSFI: &lt;/=5 for sexual desire disorder (sensitivity = 95%, specificity = 89%); &lt;/=9 for sexual arousal disorder (sensitivity = 77%, specificity = 95%); &lt;/=10 for disorder of lubrication (sensitivity = 79%, specificity = 87%)</w:instrText>
      </w:r>
      <w:r>
        <w:rPr>
          <w:rFonts w:ascii="Arial" w:eastAsiaTheme="minorHAnsi" w:hAnsi="Arial" w:cs="Arial"/>
          <w:lang w:val="en-MY"/>
        </w:rPr>
        <w:instrText>; &lt;/=4 for orgasmic disorder (sensitivity = 83%, specificity = 85%); &lt;/=11 for sexual dissatisfaction (sensitivity = 83%, specificity = 85%); and &lt;/=7 for sexual pain disorder (sensitivity = 86%, specificity = 95%).\nCONCLUSION: The MVFSFI is a validated a</w:instrText>
      </w:r>
      <w:r>
        <w:rPr>
          <w:rFonts w:ascii="Arial" w:eastAsiaTheme="minorHAnsi" w:hAnsi="Arial" w:cs="Arial"/>
          <w:lang w:val="en-MY"/>
        </w:rPr>
        <w:instrText>nd locally accepted questionnaire for use in the assessment of FSD in the Malaysian population.","container-title":"The Journal of Sexual Medicine","DOI":"10.1111/j.1743-6109.2007.00476.x","ISSN":"1743-6095","issue":"6","journalAbbreviation":"J Sex Med","l</w:instrText>
      </w:r>
      <w:r>
        <w:rPr>
          <w:rFonts w:ascii="Arial" w:eastAsiaTheme="minorHAnsi" w:hAnsi="Arial" w:cs="Arial"/>
          <w:lang w:val="en-MY"/>
        </w:rPr>
        <w:instrText>anguage":"eng","note":"PMID: 17608666","page":"1642-1654","source":"PubMed","title":"The Female Sexual Function Index (FSFI): validation of the Malay version","title-short":"The Female Sexual Function Index (FSFI)","volume":"4","author":[{"family":"Sidi","</w:instrText>
      </w:r>
      <w:r>
        <w:rPr>
          <w:rFonts w:ascii="Arial" w:eastAsiaTheme="minorHAnsi" w:hAnsi="Arial" w:cs="Arial"/>
          <w:lang w:val="en-MY"/>
        </w:rPr>
        <w:instrText>given":"Hatta"},{"family":"Abdullah","given":"Norni"},{"family":"Puteh","given":"Sharifah Ezat Wan"},{"family":"Midin","given":"Marhani"}],"issued":{"date-parts":[["2007",11]]}}}],"schema":"https://github.com/citation-style-language/schema/raw/master/csl-c</w:instrText>
      </w:r>
      <w:r>
        <w:rPr>
          <w:rFonts w:ascii="Arial" w:eastAsiaTheme="minorHAnsi" w:hAnsi="Arial" w:cs="Arial"/>
          <w:lang w:val="en-MY"/>
        </w:rPr>
        <w:instrText xml:space="preserve">itation.json"} </w:instrText>
      </w:r>
      <w:r>
        <w:rPr>
          <w:rFonts w:ascii="Arial" w:eastAsiaTheme="minorHAnsi" w:hAnsi="Arial" w:cs="Arial"/>
          <w:lang w:val="en-MY"/>
        </w:rPr>
        <w:fldChar w:fldCharType="separate"/>
      </w:r>
      <w:r>
        <w:rPr>
          <w:rFonts w:ascii="Arial" w:eastAsiaTheme="minorHAnsi" w:hAnsi="Arial" w:cs="Arial"/>
        </w:rPr>
        <w:t>(10)</w:t>
      </w:r>
      <w:r>
        <w:rPr>
          <w:rFonts w:ascii="Arial" w:eastAsiaTheme="minorHAnsi" w:hAnsi="Arial" w:cs="Arial"/>
          <w:lang w:val="en-MY"/>
        </w:rPr>
        <w:fldChar w:fldCharType="end"/>
      </w:r>
      <w:r>
        <w:rPr>
          <w:rFonts w:ascii="Arial" w:eastAsiaTheme="minorHAnsi" w:hAnsi="Arial" w:cs="Arial"/>
          <w:lang w:val="en-MY"/>
        </w:rPr>
        <w:t xml:space="preserve"> Scores lower than 55 indicate sexual</w:t>
      </w:r>
      <w:r>
        <w:rPr>
          <w:rFonts w:ascii="Arial" w:hAnsi="Arial" w:cs="Arial"/>
        </w:rPr>
        <w:t xml:space="preserve"> </w:t>
      </w:r>
      <w:r>
        <w:rPr>
          <w:rFonts w:ascii="Arial" w:eastAsiaTheme="minorHAnsi" w:hAnsi="Arial" w:cs="Arial"/>
          <w:lang w:val="en-MY"/>
        </w:rPr>
        <w:t>dysfunction.</w:t>
      </w:r>
      <w:r>
        <w:rPr>
          <w:rFonts w:ascii="Arial" w:eastAsiaTheme="minorHAnsi" w:hAnsi="Arial" w:cs="Arial"/>
          <w:lang w:val="en-MY"/>
        </w:rPr>
        <w:fldChar w:fldCharType="begin"/>
      </w:r>
      <w:r>
        <w:rPr>
          <w:rFonts w:ascii="Arial" w:eastAsiaTheme="minorHAnsi" w:hAnsi="Arial" w:cs="Arial"/>
          <w:lang w:val="en-MY"/>
        </w:rPr>
        <w:instrText xml:space="preserve"> ADDIN ZOTERO_ITEM CSL_CITATION {"citationID":"l1KdCwHR","properties":{"formattedCitation":"(10)","plainCitation":"(10)","noteIndex":0},"citationItems":[{"id":2284,"uris":["http://zote</w:instrText>
      </w:r>
      <w:r>
        <w:rPr>
          <w:rFonts w:ascii="Arial" w:eastAsiaTheme="minorHAnsi" w:hAnsi="Arial" w:cs="Arial"/>
          <w:lang w:val="en-MY"/>
        </w:rPr>
        <w:instrText>ro.org/users/4073496/items/TNJG8HNM"],"itemData":{"id":2284,"type":"article-journal","abstract":"INTRODUCTION: Female sexual dysfunction (FSD) is a prevalent sexual health problem that has been inadequately investigated in Malaysia, a nation with a conserv</w:instrText>
      </w:r>
      <w:r>
        <w:rPr>
          <w:rFonts w:ascii="Arial" w:eastAsiaTheme="minorHAnsi" w:hAnsi="Arial" w:cs="Arial"/>
          <w:lang w:val="en-MY"/>
        </w:rPr>
        <w:instrText>ative multiethnic society.\nAIM: To validate the Malay version of the Female Sexual Function Index (MVFSFI) for the study of FSD.\nMAIN OUTCOME MEASURE: To measure the validity and reliability of the MVFSFI and its domains.\nMETHODS: Validation was carried</w:instrText>
      </w:r>
      <w:r>
        <w:rPr>
          <w:rFonts w:ascii="Arial" w:eastAsiaTheme="minorHAnsi" w:hAnsi="Arial" w:cs="Arial"/>
          <w:lang w:val="en-MY"/>
        </w:rPr>
        <w:instrText xml:space="preserve"> out on aspects of face, content, discriminant, and criterion (concurrent) validity. Reliability studies on test-retest and on internal consistency were conducted with Cronbach's alpha and Pearson correlation, respectively. The values with the highest sens</w:instrText>
      </w:r>
      <w:r>
        <w:rPr>
          <w:rFonts w:ascii="Arial" w:eastAsiaTheme="minorHAnsi" w:hAnsi="Arial" w:cs="Arial"/>
          <w:lang w:val="en-MY"/>
        </w:rPr>
        <w:instrText>itivity and specificity generated from the receiver operating characteristic curves were taken as the cutoff scores to differentiate cases and noncases.\nRESULTS: A total of 230 married women aged 18-70 years participated in this study. There was a high te</w:instrText>
      </w:r>
      <w:r>
        <w:rPr>
          <w:rFonts w:ascii="Arial" w:eastAsiaTheme="minorHAnsi" w:hAnsi="Arial" w:cs="Arial"/>
          <w:lang w:val="en-MY"/>
        </w:rPr>
        <w:instrText>st-retest correlation by respondents (r at least &gt;0.7). The MVFSFI was found to have good discriminant validity as a whole and for each domain. A total score of 55 was taken as the cutoff point for the MVFSFI to distinguish between women with sexual dysfun</w:instrText>
      </w:r>
      <w:r>
        <w:rPr>
          <w:rFonts w:ascii="Arial" w:eastAsiaTheme="minorHAnsi" w:hAnsi="Arial" w:cs="Arial"/>
          <w:lang w:val="en-MY"/>
        </w:rPr>
        <w:instrText xml:space="preserve">ction and those without (sensitivity = 99%, specificity = 97%). Scores lower than 55 indicate sexual dysfunction. The cutoff score for each domain was also established for the MVFSFI: &lt;/=5 for sexual desire disorder (sensitivity = 95%, specificity = 89%); </w:instrText>
      </w:r>
      <w:r>
        <w:rPr>
          <w:rFonts w:ascii="Arial" w:eastAsiaTheme="minorHAnsi" w:hAnsi="Arial" w:cs="Arial"/>
          <w:lang w:val="en-MY"/>
        </w:rPr>
        <w:instrText>&lt;/=9 for sexual arousal disorder (sensitivity = 77%, specificity = 95%); &lt;/=10 for disorder of lubrication (sensitivity = 79%, specificity = 87%); &lt;/=4 for orgasmic disorder (sensitivity = 83%, specificity = 85%); &lt;/=11 for sexual dissatisfaction (sensitiv</w:instrText>
      </w:r>
      <w:r>
        <w:rPr>
          <w:rFonts w:ascii="Arial" w:eastAsiaTheme="minorHAnsi" w:hAnsi="Arial" w:cs="Arial"/>
          <w:lang w:val="en-MY"/>
        </w:rPr>
        <w:instrText>ity = 83%, specificity = 85%); and &lt;/=7 for sexual pain disorder (sensitivity = 86%, specificity = 95%).\nCONCLUSION: The MVFSFI is a validated and locally accepted questionnaire for use in the assessment of FSD in the Malaysian population.","container-tit</w:instrText>
      </w:r>
      <w:r>
        <w:rPr>
          <w:rFonts w:ascii="Arial" w:eastAsiaTheme="minorHAnsi" w:hAnsi="Arial" w:cs="Arial"/>
          <w:lang w:val="en-MY"/>
        </w:rPr>
        <w:instrText>le":"The Journal of Sexual Medicine","DOI":"10.1111/j.1743-6109.2007.00476.x","ISSN":"1743-6095","issue":"6","journalAbbreviation":"J Sex Med","language":"eng","note":"PMID: 17608666","page":"1642-1654","source":"PubMed","title":"The Female Sexual Function</w:instrText>
      </w:r>
      <w:r>
        <w:rPr>
          <w:rFonts w:ascii="Arial" w:eastAsiaTheme="minorHAnsi" w:hAnsi="Arial" w:cs="Arial"/>
          <w:lang w:val="en-MY"/>
        </w:rPr>
        <w:instrText xml:space="preserve"> Index (FSFI): validation of the Malay version","title-short":"The Female Sexual Function Index (FSFI)","volume":"4","author":[{"family":"Sidi","given":"Hatta"},{"family":"Abdullah","given":"Norni"},{"family":"Puteh","given":"Sharifah Ezat Wan"},{"family":</w:instrText>
      </w:r>
      <w:r>
        <w:rPr>
          <w:rFonts w:ascii="Arial" w:eastAsiaTheme="minorHAnsi" w:hAnsi="Arial" w:cs="Arial"/>
          <w:lang w:val="en-MY"/>
        </w:rPr>
        <w:instrText xml:space="preserve">"Midin","given":"Marhani"}],"issued":{"date-parts":[["2007",11]]}}}],"schema":"https://github.com/citation-style-language/schema/raw/master/csl-citation.json"} </w:instrText>
      </w:r>
      <w:r>
        <w:rPr>
          <w:rFonts w:ascii="Arial" w:eastAsiaTheme="minorHAnsi" w:hAnsi="Arial" w:cs="Arial"/>
          <w:lang w:val="en-MY"/>
        </w:rPr>
        <w:fldChar w:fldCharType="separate"/>
      </w:r>
      <w:r>
        <w:rPr>
          <w:rFonts w:ascii="Arial" w:eastAsiaTheme="minorHAnsi" w:hAnsi="Arial" w:cs="Arial"/>
        </w:rPr>
        <w:t>(10)</w:t>
      </w:r>
      <w:r>
        <w:rPr>
          <w:rFonts w:ascii="Arial" w:eastAsiaTheme="minorHAnsi" w:hAnsi="Arial" w:cs="Arial"/>
          <w:lang w:val="en-MY"/>
        </w:rPr>
        <w:fldChar w:fldCharType="end"/>
      </w:r>
      <w:r>
        <w:rPr>
          <w:rFonts w:ascii="Arial" w:eastAsiaTheme="minorHAnsi" w:hAnsi="Arial" w:cs="Arial"/>
          <w:lang w:val="en-MY"/>
        </w:rPr>
        <w:t xml:space="preserve"> The cutoff score for each domain was also established for the MVFSFI: score ≤ 5 for sexu</w:t>
      </w:r>
      <w:r>
        <w:rPr>
          <w:rFonts w:ascii="Arial" w:eastAsiaTheme="minorHAnsi" w:hAnsi="Arial" w:cs="Arial"/>
          <w:lang w:val="en-MY"/>
        </w:rPr>
        <w:t>al desire disorder</w:t>
      </w:r>
      <w:r>
        <w:rPr>
          <w:rFonts w:ascii="Arial" w:hAnsi="Arial" w:cs="Arial"/>
        </w:rPr>
        <w:t xml:space="preserve"> </w:t>
      </w:r>
      <w:r>
        <w:rPr>
          <w:rFonts w:ascii="Arial" w:eastAsiaTheme="minorHAnsi" w:hAnsi="Arial" w:cs="Arial"/>
          <w:lang w:val="en-MY"/>
        </w:rPr>
        <w:t xml:space="preserve">(sensitivity = 95%, specificity = 89%); score </w:t>
      </w:r>
      <w:r>
        <w:rPr>
          <w:rFonts w:ascii="Arial" w:eastAsiaTheme="minorHAnsi" w:hAnsi="Arial" w:cs="Arial"/>
          <w:kern w:val="2"/>
          <w:lang w:val="en-MY"/>
        </w:rPr>
        <w:t xml:space="preserve">≤ </w:t>
      </w:r>
      <w:r>
        <w:rPr>
          <w:rFonts w:ascii="Arial" w:eastAsiaTheme="minorHAnsi" w:hAnsi="Arial" w:cs="Arial"/>
          <w:lang w:val="en-MY"/>
        </w:rPr>
        <w:t xml:space="preserve">9 for sexual arousal disorder (sensitivity = 77%, specificity = 95%); score </w:t>
      </w:r>
      <w:r>
        <w:rPr>
          <w:rFonts w:ascii="Arial" w:eastAsiaTheme="minorHAnsi" w:hAnsi="Arial" w:cs="Arial"/>
          <w:kern w:val="2"/>
          <w:lang w:val="en-MY"/>
        </w:rPr>
        <w:t>≤</w:t>
      </w:r>
      <w:r>
        <w:rPr>
          <w:rFonts w:ascii="Arial" w:eastAsiaTheme="minorHAnsi" w:hAnsi="Arial" w:cs="Arial"/>
          <w:lang w:val="en-MY"/>
        </w:rPr>
        <w:t>10 for</w:t>
      </w:r>
      <w:r>
        <w:rPr>
          <w:rFonts w:ascii="Arial" w:hAnsi="Arial" w:cs="Arial"/>
        </w:rPr>
        <w:t xml:space="preserve"> </w:t>
      </w:r>
      <w:r>
        <w:rPr>
          <w:rFonts w:ascii="Arial" w:eastAsiaTheme="minorHAnsi" w:hAnsi="Arial" w:cs="Arial"/>
          <w:lang w:val="en-MY"/>
        </w:rPr>
        <w:t xml:space="preserve">disorder of lubrication (sensitivity = 79%, specificity = 87%); score </w:t>
      </w:r>
      <w:r>
        <w:rPr>
          <w:rFonts w:ascii="Arial" w:eastAsiaTheme="minorHAnsi" w:hAnsi="Arial" w:cs="Arial"/>
          <w:kern w:val="2"/>
          <w:lang w:val="en-MY"/>
        </w:rPr>
        <w:t xml:space="preserve">≤ </w:t>
      </w:r>
      <w:r>
        <w:rPr>
          <w:rFonts w:ascii="Arial" w:eastAsiaTheme="minorHAnsi" w:hAnsi="Arial" w:cs="Arial"/>
          <w:lang w:val="en-MY"/>
        </w:rPr>
        <w:t xml:space="preserve">4 for orgasmic disorder </w:t>
      </w:r>
      <w:r>
        <w:rPr>
          <w:rFonts w:ascii="Arial" w:eastAsiaTheme="minorHAnsi" w:hAnsi="Arial" w:cs="Arial"/>
          <w:lang w:val="en-MY"/>
        </w:rPr>
        <w:t>(sensitivity = 83%, specificity</w:t>
      </w:r>
      <w:r>
        <w:rPr>
          <w:rFonts w:ascii="Arial" w:hAnsi="Arial" w:cs="Arial"/>
        </w:rPr>
        <w:t xml:space="preserve"> </w:t>
      </w:r>
      <w:r>
        <w:rPr>
          <w:rFonts w:ascii="Arial" w:eastAsiaTheme="minorHAnsi" w:hAnsi="Arial" w:cs="Arial"/>
          <w:lang w:val="en-MY"/>
        </w:rPr>
        <w:t xml:space="preserve">= 85%); score </w:t>
      </w:r>
      <w:r>
        <w:rPr>
          <w:rFonts w:ascii="Arial" w:eastAsiaTheme="minorHAnsi" w:hAnsi="Arial" w:cs="Arial"/>
          <w:kern w:val="2"/>
          <w:lang w:val="en-MY"/>
        </w:rPr>
        <w:t xml:space="preserve">≤ </w:t>
      </w:r>
      <w:r>
        <w:rPr>
          <w:rFonts w:ascii="Arial" w:eastAsiaTheme="minorHAnsi" w:hAnsi="Arial" w:cs="Arial"/>
          <w:lang w:val="en-MY"/>
        </w:rPr>
        <w:t xml:space="preserve">11 for sexual dissatisfaction (sensitivity = 83%, specificity = 85%); and score </w:t>
      </w:r>
      <w:r>
        <w:rPr>
          <w:rFonts w:ascii="Arial" w:eastAsiaTheme="minorHAnsi" w:hAnsi="Arial" w:cs="Arial"/>
          <w:kern w:val="2"/>
          <w:lang w:val="en-MY"/>
        </w:rPr>
        <w:t>≤</w:t>
      </w:r>
      <w:r>
        <w:rPr>
          <w:rFonts w:ascii="Arial" w:eastAsiaTheme="minorHAnsi" w:hAnsi="Arial" w:cs="Arial"/>
          <w:lang w:val="en-MY"/>
        </w:rPr>
        <w:t>7 for sexual pain disorder (sensitivity = 86%, specificity = 95%).</w:t>
      </w:r>
      <w:r>
        <w:rPr>
          <w:rFonts w:ascii="Arial" w:eastAsiaTheme="minorHAnsi" w:hAnsi="Arial" w:cs="Arial"/>
          <w:lang w:val="en-MY"/>
        </w:rPr>
        <w:fldChar w:fldCharType="begin"/>
      </w:r>
      <w:r>
        <w:rPr>
          <w:rFonts w:ascii="Arial" w:eastAsiaTheme="minorHAnsi" w:hAnsi="Arial" w:cs="Arial"/>
          <w:lang w:val="en-MY"/>
        </w:rPr>
        <w:instrText xml:space="preserve"> ADDIN ZOTERO_ITEM CSL_CITATION {"citationID":"TCyMBYBm","pro</w:instrText>
      </w:r>
      <w:r>
        <w:rPr>
          <w:rFonts w:ascii="Arial" w:eastAsiaTheme="minorHAnsi" w:hAnsi="Arial" w:cs="Arial"/>
          <w:lang w:val="en-MY"/>
        </w:rPr>
        <w:instrText>perties":{"formattedCitation":"(10)","plainCitation":"(10)","noteIndex":0},"citationItems":[{"id":2284,"uris":["http://zotero.org/users/4073496/items/TNJG8HNM"],"itemData":{"id":2284,"type":"article-journal","abstract":"INTRODUCTION: Female sexual dysfunct</w:instrText>
      </w:r>
      <w:r>
        <w:rPr>
          <w:rFonts w:ascii="Arial" w:eastAsiaTheme="minorHAnsi" w:hAnsi="Arial" w:cs="Arial"/>
          <w:lang w:val="en-MY"/>
        </w:rPr>
        <w:instrText>ion (FSD) is a prevalent sexual health problem that has been inadequately investigated in Malaysia, a nation with a conservative multiethnic society.\nAIM: To validate the Malay version of the Female Sexual Function Index (MVFSFI) for the study of FSD.\nMA</w:instrText>
      </w:r>
      <w:r>
        <w:rPr>
          <w:rFonts w:ascii="Arial" w:eastAsiaTheme="minorHAnsi" w:hAnsi="Arial" w:cs="Arial"/>
          <w:lang w:val="en-MY"/>
        </w:rPr>
        <w:instrText>IN OUTCOME MEASURE: To measure the validity and reliability of the MVFSFI and its domains.\nMETHODS: Validation was carried out on aspects of face, content, discriminant, and criterion (concurrent) validity. Reliability studies on test-retest and on intern</w:instrText>
      </w:r>
      <w:r>
        <w:rPr>
          <w:rFonts w:ascii="Arial" w:eastAsiaTheme="minorHAnsi" w:hAnsi="Arial" w:cs="Arial"/>
          <w:lang w:val="en-MY"/>
        </w:rPr>
        <w:instrText xml:space="preserve">al consistency were conducted with Cronbach's alpha and Pearson correlation, respectively. The values with the highest sensitivity and specificity generated from the receiver operating characteristic curves were taken as the cutoff scores to differentiate </w:instrText>
      </w:r>
      <w:r>
        <w:rPr>
          <w:rFonts w:ascii="Arial" w:eastAsiaTheme="minorHAnsi" w:hAnsi="Arial" w:cs="Arial"/>
          <w:lang w:val="en-MY"/>
        </w:rPr>
        <w:instrText>cases and noncases.\nRESULTS: A total of 230 married women aged 18-70 years participated in this study. There was a high test-retest correlation by respondents (r at least &gt;0.7). The MVFSFI was found to have good discriminant validity as a whole and for ea</w:instrText>
      </w:r>
      <w:r>
        <w:rPr>
          <w:rFonts w:ascii="Arial" w:eastAsiaTheme="minorHAnsi" w:hAnsi="Arial" w:cs="Arial"/>
          <w:lang w:val="en-MY"/>
        </w:rPr>
        <w:instrText>ch domain. A total score of 55 was taken as the cutoff point for the MVFSFI to distinguish between women with sexual dysfunction and those without (sensitivity = 99%, specificity = 97%). Scores lower than 55 indicate sexual dysfunction. The cutoff score fo</w:instrText>
      </w:r>
      <w:r>
        <w:rPr>
          <w:rFonts w:ascii="Arial" w:eastAsiaTheme="minorHAnsi" w:hAnsi="Arial" w:cs="Arial"/>
          <w:lang w:val="en-MY"/>
        </w:rPr>
        <w:instrText>r each domain was also established for the MVFSFI: &lt;/=5 for sexual desire disorder (sensitivity = 95%, specificity = 89%); &lt;/=9 for sexual arousal disorder (sensitivity = 77%, specificity = 95%); &lt;/=10 for disorder of lubrication (sensitivity = 79%, specif</w:instrText>
      </w:r>
      <w:r>
        <w:rPr>
          <w:rFonts w:ascii="Arial" w:eastAsiaTheme="minorHAnsi" w:hAnsi="Arial" w:cs="Arial"/>
          <w:lang w:val="en-MY"/>
        </w:rPr>
        <w:instrText>icity = 87%); &lt;/=4 for orgasmic disorder (sensitivity = 83%, specificity = 85%); &lt;/=11 for sexual dissatisfaction (sensitivity = 83%, specificity = 85%); and &lt;/=7 for sexual pain disorder (sensitivity = 86%, specificity = 95%).\nCONCLUSION: The MVFSFI is a</w:instrText>
      </w:r>
      <w:r>
        <w:rPr>
          <w:rFonts w:ascii="Arial" w:eastAsiaTheme="minorHAnsi" w:hAnsi="Arial" w:cs="Arial"/>
          <w:lang w:val="en-MY"/>
        </w:rPr>
        <w:instrText xml:space="preserve"> validated and locally accepted questionnaire for use in the assessment of FSD in the Malaysian population.","container-title":"The Journal of Sexual Medicine","DOI":"10.1111/j.1743-6109.2007.00476.x","ISSN":"1743-6095","issue":"6","journalAbbreviation":"J</w:instrText>
      </w:r>
      <w:r>
        <w:rPr>
          <w:rFonts w:ascii="Arial" w:eastAsiaTheme="minorHAnsi" w:hAnsi="Arial" w:cs="Arial"/>
          <w:lang w:val="en-MY"/>
        </w:rPr>
        <w:instrText xml:space="preserve"> Sex Med","language":"eng","note":"PMID: 17608666","page":"1642-1654","source":"PubMed","title":"The Female Sexual Function Index (FSFI): validation of the Malay version","title-short":"The Female Sexual Function Index (FSFI)","volume":"4","author":[{"fami</w:instrText>
      </w:r>
      <w:r>
        <w:rPr>
          <w:rFonts w:ascii="Arial" w:eastAsiaTheme="minorHAnsi" w:hAnsi="Arial" w:cs="Arial"/>
          <w:lang w:val="en-MY"/>
        </w:rPr>
        <w:instrText>ly":"Sidi","given":"Hatta"},{"family":"Abdullah","given":"Norni"},{"family":"Puteh","given":"Sharifah Ezat Wan"},{"family":"Midin","given":"Marhani"}],"issued":{"date-parts":[["2007",11]]}}}],"schema":"https://github.com/citation-style-language/schema/raw/</w:instrText>
      </w:r>
      <w:r>
        <w:rPr>
          <w:rFonts w:ascii="Arial" w:eastAsiaTheme="minorHAnsi" w:hAnsi="Arial" w:cs="Arial"/>
          <w:lang w:val="en-MY"/>
        </w:rPr>
        <w:instrText xml:space="preserve">master/csl-citation.json"} </w:instrText>
      </w:r>
      <w:r>
        <w:rPr>
          <w:rFonts w:ascii="Arial" w:eastAsiaTheme="minorHAnsi" w:hAnsi="Arial" w:cs="Arial"/>
          <w:lang w:val="en-MY"/>
        </w:rPr>
        <w:fldChar w:fldCharType="separate"/>
      </w:r>
      <w:r>
        <w:rPr>
          <w:rFonts w:ascii="Arial" w:eastAsiaTheme="minorHAnsi" w:hAnsi="Arial" w:cs="Arial"/>
        </w:rPr>
        <w:t>(10)</w:t>
      </w:r>
      <w:r>
        <w:rPr>
          <w:rFonts w:ascii="Arial" w:eastAsiaTheme="minorHAnsi" w:hAnsi="Arial" w:cs="Arial"/>
          <w:lang w:val="en-MY"/>
        </w:rPr>
        <w:fldChar w:fldCharType="end"/>
      </w:r>
      <w:r>
        <w:rPr>
          <w:rFonts w:ascii="Arial" w:eastAsiaTheme="minorHAnsi" w:hAnsi="Arial" w:cs="Arial"/>
          <w:lang w:val="en-MY"/>
        </w:rPr>
        <w:t xml:space="preserve"> The tool was shown to have a high test–retest correlation by respondents (</w:t>
      </w:r>
      <w:r>
        <w:rPr>
          <w:rFonts w:ascii="Arial" w:eastAsiaTheme="minorHAnsi" w:hAnsi="Arial" w:cs="Arial"/>
          <w:i/>
          <w:iCs/>
          <w:lang w:val="en-MY"/>
        </w:rPr>
        <w:t xml:space="preserve">r </w:t>
      </w:r>
      <w:r>
        <w:rPr>
          <w:rFonts w:ascii="Arial" w:eastAsiaTheme="minorHAnsi" w:hAnsi="Arial" w:cs="Arial"/>
          <w:lang w:val="en-MY"/>
        </w:rPr>
        <w:t>at least &gt;0.7) and a Cronbach’s alpha ranged from 0.87 to 0.97.</w:t>
      </w:r>
      <w:r>
        <w:rPr>
          <w:rFonts w:ascii="Arial" w:eastAsiaTheme="minorHAnsi" w:hAnsi="Arial" w:cs="Arial"/>
          <w:lang w:val="en-MY"/>
        </w:rPr>
        <w:fldChar w:fldCharType="begin"/>
      </w:r>
      <w:r>
        <w:rPr>
          <w:rFonts w:ascii="Arial" w:eastAsiaTheme="minorHAnsi" w:hAnsi="Arial" w:cs="Arial"/>
          <w:lang w:val="en-MY"/>
        </w:rPr>
        <w:instrText xml:space="preserve"> ADDIN ZOTERO_ITEM CSL_CITATION {"citationID":"T6HCgSaw","properties":{"formattedC</w:instrText>
      </w:r>
      <w:r>
        <w:rPr>
          <w:rFonts w:ascii="Arial" w:eastAsiaTheme="minorHAnsi" w:hAnsi="Arial" w:cs="Arial"/>
          <w:lang w:val="en-MY"/>
        </w:rPr>
        <w:instrText>itation":"(10)","plainCitation":"(10)","noteIndex":0},"citationItems":[{"id":2284,"uris":["http://zotero.org/users/4073496/items/TNJG8HNM"],"itemData":{"id":2284,"type":"article-journal","abstract":"INTRODUCTION: Female sexual dysfunction (FSD) is a preval</w:instrText>
      </w:r>
      <w:r>
        <w:rPr>
          <w:rFonts w:ascii="Arial" w:eastAsiaTheme="minorHAnsi" w:hAnsi="Arial" w:cs="Arial"/>
          <w:lang w:val="en-MY"/>
        </w:rPr>
        <w:instrText>ent sexual health problem that has been inadequately investigated in Malaysia, a nation with a conservative multiethnic society.\nAIM: To validate the Malay version of the Female Sexual Function Index (MVFSFI) for the study of FSD.\nMAIN OUTCOME MEASURE: T</w:instrText>
      </w:r>
      <w:r>
        <w:rPr>
          <w:rFonts w:ascii="Arial" w:eastAsiaTheme="minorHAnsi" w:hAnsi="Arial" w:cs="Arial"/>
          <w:lang w:val="en-MY"/>
        </w:rPr>
        <w:instrText>o measure the validity and reliability of the MVFSFI and its domains.\nMETHODS: Validation was carried out on aspects of face, content, discriminant, and criterion (concurrent) validity. Reliability studies on test-retest and on internal consistency were c</w:instrText>
      </w:r>
      <w:r>
        <w:rPr>
          <w:rFonts w:ascii="Arial" w:eastAsiaTheme="minorHAnsi" w:hAnsi="Arial" w:cs="Arial"/>
          <w:lang w:val="en-MY"/>
        </w:rPr>
        <w:instrText>onducted with Cronbach's alpha and Pearson correlation, respectively. The values with the highest sensitivity and specificity generated from the receiver operating characteristic curves were taken as the cutoff scores to differentiate cases and noncases.\n</w:instrText>
      </w:r>
      <w:r>
        <w:rPr>
          <w:rFonts w:ascii="Arial" w:eastAsiaTheme="minorHAnsi" w:hAnsi="Arial" w:cs="Arial"/>
          <w:lang w:val="en-MY"/>
        </w:rPr>
        <w:instrText>RESULTS: A total of 230 married women aged 18-70 years participated in this study. There was a high test-retest correlation by respondents (r at least &gt;0.7). The MVFSFI was found to have good discriminant validity as a whole and for each domain. A total sc</w:instrText>
      </w:r>
      <w:r>
        <w:rPr>
          <w:rFonts w:ascii="Arial" w:eastAsiaTheme="minorHAnsi" w:hAnsi="Arial" w:cs="Arial"/>
          <w:lang w:val="en-MY"/>
        </w:rPr>
        <w:instrText>ore of 55 was taken as the cutoff point for the MVFSFI to distinguish between women with sexual dysfunction and those without (sensitivity = 99%, specificity = 97%). Scores lower than 55 indicate sexual dysfunction. The cutoff score for each domain was als</w:instrText>
      </w:r>
      <w:r>
        <w:rPr>
          <w:rFonts w:ascii="Arial" w:eastAsiaTheme="minorHAnsi" w:hAnsi="Arial" w:cs="Arial"/>
          <w:lang w:val="en-MY"/>
        </w:rPr>
        <w:instrText>o established for the MVFSFI: &lt;/=5 for sexual desire disorder (sensitivity = 95%, specificity = 89%); &lt;/=9 for sexual arousal disorder (sensitivity = 77%, specificity = 95%); &lt;/=10 for disorder of lubrication (sensitivity = 79%, specificity = 87%); &lt;/=4 fo</w:instrText>
      </w:r>
      <w:r>
        <w:rPr>
          <w:rFonts w:ascii="Arial" w:eastAsiaTheme="minorHAnsi" w:hAnsi="Arial" w:cs="Arial"/>
          <w:lang w:val="en-MY"/>
        </w:rPr>
        <w:instrText>r orgasmic disorder (sensitivity = 83%, specificity = 85%); &lt;/=11 for sexual dissatisfaction (sensitivity = 83%, specificity = 85%); and &lt;/=7 for sexual pain disorder (sensitivity = 86%, specificity = 95%).\nCONCLUSION: The MVFSFI is a validated and locall</w:instrText>
      </w:r>
      <w:r>
        <w:rPr>
          <w:rFonts w:ascii="Arial" w:eastAsiaTheme="minorHAnsi" w:hAnsi="Arial" w:cs="Arial"/>
          <w:lang w:val="en-MY"/>
        </w:rPr>
        <w:instrText>y accepted questionnaire for use in the assessment of FSD in the Malaysian population.","container-title":"The Journal of Sexual Medicine","DOI":"10.1111/j.1743-6109.2007.00476.x","ISSN":"1743-6095","issue":"6","journalAbbreviation":"J Sex Med","language":</w:instrText>
      </w:r>
      <w:r>
        <w:rPr>
          <w:rFonts w:ascii="Arial" w:eastAsiaTheme="minorHAnsi" w:hAnsi="Arial" w:cs="Arial"/>
          <w:lang w:val="en-MY"/>
        </w:rPr>
        <w:instrText>"eng","note":"PMID: 17608666","page":"1642-1654","source":"PubMed","title":"The Female Sexual Function Index (FSFI): validation of the Malay version","title-short":"The Female Sexual Function Index (FSFI)","volume":"4","author":[{"family":"Sidi","given":"H</w:instrText>
      </w:r>
      <w:r>
        <w:rPr>
          <w:rFonts w:ascii="Arial" w:eastAsiaTheme="minorHAnsi" w:hAnsi="Arial" w:cs="Arial"/>
          <w:lang w:val="en-MY"/>
        </w:rPr>
        <w:instrText>atta"},{"family":"Abdullah","given":"Norni"},{"family":"Puteh","given":"Sharifah Ezat Wan"},{"family":"Midin","given":"Marhani"}],"issued":{"date-parts":[["2007",11]]}}}],"schema":"https://github.com/citation-style-language/schema/raw/master/csl-citation.j</w:instrText>
      </w:r>
      <w:r>
        <w:rPr>
          <w:rFonts w:ascii="Arial" w:eastAsiaTheme="minorHAnsi" w:hAnsi="Arial" w:cs="Arial"/>
          <w:lang w:val="en-MY"/>
        </w:rPr>
        <w:instrText xml:space="preserve">son"} </w:instrText>
      </w:r>
      <w:r>
        <w:rPr>
          <w:rFonts w:ascii="Arial" w:eastAsiaTheme="minorHAnsi" w:hAnsi="Arial" w:cs="Arial"/>
          <w:lang w:val="en-MY"/>
        </w:rPr>
        <w:fldChar w:fldCharType="separate"/>
      </w:r>
      <w:r>
        <w:rPr>
          <w:rFonts w:ascii="Arial" w:eastAsiaTheme="minorHAnsi" w:hAnsi="Arial" w:cs="Arial"/>
        </w:rPr>
        <w:t>(10)</w:t>
      </w:r>
      <w:r>
        <w:rPr>
          <w:rFonts w:ascii="Arial" w:eastAsiaTheme="minorHAnsi" w:hAnsi="Arial" w:cs="Arial"/>
          <w:lang w:val="en-MY"/>
        </w:rPr>
        <w:fldChar w:fldCharType="end"/>
      </w:r>
    </w:p>
    <w:p w14:paraId="257930C6" w14:textId="77777777" w:rsidR="00AE324A" w:rsidRDefault="004A746B">
      <w:pPr>
        <w:autoSpaceDE w:val="0"/>
        <w:autoSpaceDN w:val="0"/>
        <w:adjustRightInd w:val="0"/>
        <w:spacing w:line="480" w:lineRule="auto"/>
        <w:jc w:val="both"/>
        <w:rPr>
          <w:rFonts w:ascii="Arial" w:eastAsiaTheme="minorHAnsi" w:hAnsi="Arial" w:cs="Arial"/>
          <w:lang w:val="en-MY"/>
        </w:rPr>
      </w:pPr>
      <w:r>
        <w:rPr>
          <w:rFonts w:ascii="Arial" w:eastAsiaTheme="minorHAnsi" w:hAnsi="Arial" w:cs="Arial"/>
          <w:lang w:val="en-MY"/>
        </w:rPr>
        <w:t>The study has one outcome: the presence of FSD. The independent variables undertaken were as follows: socio-demographic characteristics (age, partner’s age, ethnicity, education level, employment, income, duration of marriage or relationship)</w:t>
      </w:r>
      <w:r>
        <w:rPr>
          <w:rFonts w:ascii="Arial" w:eastAsiaTheme="minorHAnsi" w:hAnsi="Arial" w:cs="Arial"/>
          <w:lang w:val="en-MY"/>
        </w:rPr>
        <w:t xml:space="preserve"> and clinical parameters (frequency of sexual intercourse weekly, reproductive phase: premenopausal, perimenopausal or menopause, history of urogenital surgery, presence of urogenital symptoms, partner with sexual dysfunction, depression and anxiety).</w:t>
      </w:r>
    </w:p>
    <w:p w14:paraId="3550D15B" w14:textId="77777777" w:rsidR="00AE324A" w:rsidRDefault="00AE324A">
      <w:pPr>
        <w:autoSpaceDE w:val="0"/>
        <w:autoSpaceDN w:val="0"/>
        <w:adjustRightInd w:val="0"/>
        <w:spacing w:line="480" w:lineRule="auto"/>
        <w:jc w:val="both"/>
        <w:rPr>
          <w:rFonts w:ascii="Arial" w:hAnsi="Arial" w:cs="Arial"/>
          <w:highlight w:val="yellow"/>
        </w:rPr>
      </w:pPr>
    </w:p>
    <w:p w14:paraId="787C5716" w14:textId="77777777" w:rsidR="00AE324A" w:rsidRDefault="00AE324A">
      <w:pPr>
        <w:autoSpaceDE w:val="0"/>
        <w:autoSpaceDN w:val="0"/>
        <w:adjustRightInd w:val="0"/>
        <w:spacing w:line="480" w:lineRule="auto"/>
        <w:jc w:val="both"/>
        <w:rPr>
          <w:rFonts w:ascii="Arial" w:hAnsi="Arial" w:cs="Arial"/>
          <w:highlight w:val="yellow"/>
        </w:rPr>
      </w:pPr>
    </w:p>
    <w:p w14:paraId="5525EEB0" w14:textId="77777777" w:rsidR="00AE324A" w:rsidRDefault="004A746B">
      <w:pPr>
        <w:rPr>
          <w:rFonts w:ascii="Arial" w:hAnsi="Arial" w:cs="Arial"/>
          <w:b/>
          <w:bCs/>
          <w:sz w:val="22"/>
          <w:szCs w:val="22"/>
        </w:rPr>
      </w:pPr>
      <w:r>
        <w:rPr>
          <w:rFonts w:ascii="Arial" w:hAnsi="Arial" w:cs="Arial"/>
          <w:b/>
          <w:bCs/>
          <w:sz w:val="22"/>
          <w:szCs w:val="22"/>
        </w:rPr>
        <w:t>2.</w:t>
      </w:r>
      <w:r>
        <w:rPr>
          <w:rFonts w:ascii="Arial" w:hAnsi="Arial" w:cs="Arial"/>
          <w:b/>
          <w:bCs/>
          <w:sz w:val="22"/>
          <w:szCs w:val="22"/>
        </w:rPr>
        <w:t>2 DATA ANALYSIS</w:t>
      </w:r>
    </w:p>
    <w:p w14:paraId="2B42ADFB" w14:textId="77777777" w:rsidR="00AE324A" w:rsidRDefault="00AE324A">
      <w:pPr>
        <w:rPr>
          <w:rFonts w:ascii="Arial" w:hAnsi="Arial" w:cs="Arial"/>
          <w:b/>
          <w:bCs/>
        </w:rPr>
      </w:pPr>
    </w:p>
    <w:p w14:paraId="38193A12" w14:textId="77777777" w:rsidR="00AE324A" w:rsidRDefault="004A746B">
      <w:pPr>
        <w:spacing w:line="480" w:lineRule="auto"/>
        <w:jc w:val="both"/>
        <w:rPr>
          <w:rFonts w:ascii="Arial" w:hAnsi="Arial" w:cs="Arial"/>
        </w:rPr>
      </w:pPr>
      <w:r>
        <w:rPr>
          <w:rFonts w:ascii="Arial" w:hAnsi="Arial" w:cs="Arial"/>
        </w:rPr>
        <w:t>The data was undertaken using the IBM SPSS Statistics version 26.0. There is one outcome in this study: the presence of sexual dysfunction among female adults attending government primary healthcare clinics. To examine the associated facto</w:t>
      </w:r>
      <w:r>
        <w:rPr>
          <w:rFonts w:ascii="Arial" w:hAnsi="Arial" w:cs="Arial"/>
        </w:rPr>
        <w:t xml:space="preserve">rs with FSD, the Pearson Chi-Square/Fisher exact test was used for bivariate analysis and multiple logistic regression was used for multivariate analysis. </w:t>
      </w:r>
    </w:p>
    <w:p w14:paraId="3AD58DBF" w14:textId="77777777" w:rsidR="00AE324A" w:rsidRDefault="004A746B">
      <w:pPr>
        <w:spacing w:line="480" w:lineRule="auto"/>
        <w:jc w:val="both"/>
        <w:rPr>
          <w:rFonts w:ascii="Arial" w:hAnsi="Arial" w:cs="Arial"/>
        </w:rPr>
      </w:pPr>
      <w:r>
        <w:rPr>
          <w:rFonts w:ascii="Arial" w:hAnsi="Arial" w:cs="Arial"/>
        </w:rPr>
        <w:lastRenderedPageBreak/>
        <w:t>Testing for multicollinearity and assumptions was also carried out before multiple logistic regressi</w:t>
      </w:r>
      <w:r>
        <w:rPr>
          <w:rFonts w:ascii="Arial" w:hAnsi="Arial" w:cs="Arial"/>
        </w:rPr>
        <w:t>on analysis. Testing for multicollinearity of the independent variables was carried out by examining the variance inflation factor (VIF). There was no multicollinearity detected, and the VIF ranged from 1.37 to 6.21. The tolerance level of 0.1 (=VIF 10) wa</w:t>
      </w:r>
      <w:r>
        <w:rPr>
          <w:rFonts w:ascii="Arial" w:hAnsi="Arial" w:cs="Arial"/>
        </w:rPr>
        <w:t>s used because a tolerance of less than 0.20 is cause for concern; a tolerance of less than 0.10 almost certainly indicates a serious collinearity problem, and a tolerance value of 0.10 corresponds to the “rule of 10” with respect to the VIF.</w:t>
      </w:r>
      <w:r>
        <w:rPr>
          <w:rFonts w:ascii="Arial" w:hAnsi="Arial" w:cs="Arial"/>
        </w:rPr>
        <w:fldChar w:fldCharType="begin"/>
      </w:r>
      <w:r>
        <w:rPr>
          <w:rFonts w:ascii="Arial" w:hAnsi="Arial" w:cs="Arial"/>
        </w:rPr>
        <w:instrText xml:space="preserve"> ADDIN ZOTERO_</w:instrText>
      </w:r>
      <w:r>
        <w:rPr>
          <w:rFonts w:ascii="Arial" w:hAnsi="Arial" w:cs="Arial"/>
        </w:rPr>
        <w:instrText>ITEM CSL_CITATION {"citationID":"2GC63Kw5","properties":{"formattedCitation":"(12)","plainCitation":"(12)","noteIndex":0},"citationItems":[{"id":2286,"uris":["http://zotero.org/users/4073496/items/A53A8IER"],"itemData":{"id":2286,"type":"article-journal","</w:instrText>
      </w:r>
      <w:r>
        <w:rPr>
          <w:rFonts w:ascii="Arial" w:hAnsi="Arial" w:cs="Arial"/>
        </w:rPr>
        <w:instrText>abstract":"A procedure that can be used to evaluate the variance inflation factors and tolerance indices in linear regression models is discussed. The method permits both point and interval estimation of these factors and indices associated with explanator</w:instrText>
      </w:r>
      <w:r>
        <w:rPr>
          <w:rFonts w:ascii="Arial" w:hAnsi="Arial" w:cs="Arial"/>
        </w:rPr>
        <w:instrText xml:space="preserve">y variables considered for inclusion in a regression model. The approach makes use of popular latent variable modeling software to obtain these point and interval estimates. The procedure allows more informed evaluation of these quantities when addressing </w:instrText>
      </w:r>
      <w:r>
        <w:rPr>
          <w:rFonts w:ascii="Arial" w:hAnsi="Arial" w:cs="Arial"/>
        </w:rPr>
        <w:instrText>multicollinearity-related issues in empirical research using regression models. The method is illustrated on an empirical example using the popular software Mplus. Results of a simulation study investigating the capabilities of the procedure are also prese</w:instrText>
      </w:r>
      <w:r>
        <w:rPr>
          <w:rFonts w:ascii="Arial" w:hAnsi="Arial" w:cs="Arial"/>
        </w:rPr>
        <w:instrText>nted.","container-title":"Educational and Psychological Measurement","DOI":"10.1177/0013164418817803","ISSN":"1552-3888","issue":"5","journalAbbreviation":"Educ Psychol Meas","language":"eng","note":"PMID: 31488917\nPMCID: PMC6713981","page":"874-882","sou</w:instrText>
      </w:r>
      <w:r>
        <w:rPr>
          <w:rFonts w:ascii="Arial" w:hAnsi="Arial" w:cs="Arial"/>
        </w:rPr>
        <w:instrText>rce":"PubMed","title":"Evaluation of Variance Inflation Factors in Regression Models Using Latent Variable Modeling Methods","volume":"79","author":[{"family":"Marcoulides","given":"Katerina M."},{"family":"Raykov","given":"Tenko"}],"issued":{"date-parts":</w:instrText>
      </w:r>
      <w:r>
        <w:rPr>
          <w:rFonts w:ascii="Arial" w:hAnsi="Arial" w:cs="Arial"/>
        </w:rPr>
        <w:instrText xml:space="preserve">[["2019",10]]}}}],"schema":"https://github.com/citation-style-language/schema/raw/master/csl-citation.json"}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The statistical significance in the final model was accepted at p-values equal to or less than 0.05. The model fitness was assessed using t</w:t>
      </w:r>
      <w:r>
        <w:rPr>
          <w:rFonts w:ascii="Arial" w:hAnsi="Arial" w:cs="Arial"/>
        </w:rPr>
        <w:t>he Hosmer-</w:t>
      </w:r>
      <w:proofErr w:type="spellStart"/>
      <w:r>
        <w:rPr>
          <w:rFonts w:ascii="Arial" w:hAnsi="Arial" w:cs="Arial"/>
        </w:rPr>
        <w:t>Lemeshow</w:t>
      </w:r>
      <w:proofErr w:type="spellEnd"/>
      <w:r>
        <w:rPr>
          <w:rFonts w:ascii="Arial" w:hAnsi="Arial" w:cs="Arial"/>
        </w:rPr>
        <w:t xml:space="preserve"> goodness of fit test. </w:t>
      </w:r>
      <w:r>
        <w:rPr>
          <w:rFonts w:ascii="Arial" w:hAnsi="Arial" w:cs="Arial"/>
        </w:rPr>
        <w:fldChar w:fldCharType="begin"/>
      </w:r>
      <w:r>
        <w:rPr>
          <w:rFonts w:ascii="Arial" w:hAnsi="Arial" w:cs="Arial"/>
        </w:rPr>
        <w:instrText xml:space="preserve"> ADDIN ZOTERO_ITEM CSL_CITATION {"citationID":"I0tDsh7r","properties":{"formattedCitation":"(13)","plainCitation":"(13)","noteIndex":0},"citationItems":[{"id":2288,"uris":["http://zotero.org/users/4073496/items/4M99</w:instrText>
      </w:r>
      <w:r>
        <w:rPr>
          <w:rFonts w:ascii="Arial" w:hAnsi="Arial" w:cs="Arial"/>
        </w:rPr>
        <w:instrText>3557"],"itemData":{"id":2288,"type":"webpage","container-title":"SAGE Publications Ltd","language":"en","title":"Discovering Statistics Using IBM SPSS Statistics","URL":"https://uk.sagepub.com/en-gb/eur/discovering-statistics-using-ibm-spss-statistics/book</w:instrText>
      </w:r>
      <w:r>
        <w:rPr>
          <w:rFonts w:ascii="Arial" w:hAnsi="Arial" w:cs="Arial"/>
        </w:rPr>
        <w:instrText xml:space="preserve">285130","accessed":{"date-parts":[["2025",7,22]]},"issued":{"date-parts":[["2025",7,20]]}}}],"schema":"https://github.com/citation-style-language/schema/raw/master/csl-citation.json"}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The analysis with the Hosmer-</w:t>
      </w:r>
      <w:proofErr w:type="spellStart"/>
      <w:r>
        <w:rPr>
          <w:rFonts w:ascii="Arial" w:hAnsi="Arial" w:cs="Arial"/>
        </w:rPr>
        <w:t>Lemeshow</w:t>
      </w:r>
      <w:proofErr w:type="spellEnd"/>
      <w:r>
        <w:rPr>
          <w:rFonts w:ascii="Arial" w:hAnsi="Arial" w:cs="Arial"/>
        </w:rPr>
        <w:t xml:space="preserve"> test showed a p-value of </w:t>
      </w:r>
      <w:r>
        <w:rPr>
          <w:rFonts w:ascii="Arial" w:hAnsi="Arial" w:cs="Arial"/>
        </w:rPr>
        <w:t xml:space="preserve">more than 0.05 (presence of sexual dysfunction p=0.08), indicating an adequate model fit. </w:t>
      </w:r>
      <w:r>
        <w:rPr>
          <w:rFonts w:ascii="Arial" w:hAnsi="Arial" w:cs="Arial"/>
        </w:rPr>
        <w:fldChar w:fldCharType="begin"/>
      </w:r>
      <w:r>
        <w:rPr>
          <w:rFonts w:ascii="Arial" w:hAnsi="Arial" w:cs="Arial"/>
        </w:rPr>
        <w:instrText xml:space="preserve"> ADDIN ZOTERO_ITEM CSL_CITATION {"citationID":"rOUNTNQp","properties":{"formattedCitation":"(13)","plainCitation":"(13)","noteIndex":0},"citationItems":[{"id":2288,"u</w:instrText>
      </w:r>
      <w:r>
        <w:rPr>
          <w:rFonts w:ascii="Arial" w:hAnsi="Arial" w:cs="Arial"/>
        </w:rPr>
        <w:instrText>ris":["http://zotero.org/users/4073496/items/4M993557"],"itemData":{"id":2288,"type":"webpage","container-title":"SAGE Publications Ltd","language":"en","title":"Discovering Statistics Using IBM SPSS Statistics","URL":"https://uk.sagepub.com/en-gb/eur/disc</w:instrText>
      </w:r>
      <w:r>
        <w:rPr>
          <w:rFonts w:ascii="Arial" w:hAnsi="Arial" w:cs="Arial"/>
        </w:rPr>
        <w:instrText xml:space="preserve">overing-statistics-using-ibm-spss-statistics/book285130","accessed":{"date-parts":[["2025",7,22]]},"issued":{"date-parts":[["2025",7,20]]}}}],"schema":"https://github.com/citation-style-language/schema/raw/master/csl-citation.json"}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The chi-square </w:t>
      </w:r>
      <w:r>
        <w:rPr>
          <w:rFonts w:ascii="Arial" w:hAnsi="Arial" w:cs="Arial"/>
        </w:rPr>
        <w:t>test (χ²-test) was used to compare sexual functioning domains across the reproductive phases: premenopausal, perimenopausal and menopause.</w:t>
      </w:r>
    </w:p>
    <w:p w14:paraId="2DAB9D9F" w14:textId="77777777" w:rsidR="00AE324A" w:rsidRDefault="00AE324A">
      <w:pPr>
        <w:pStyle w:val="AbstHead"/>
        <w:spacing w:after="0"/>
        <w:jc w:val="both"/>
        <w:rPr>
          <w:rFonts w:ascii="Arial" w:hAnsi="Arial" w:cs="Arial"/>
        </w:rPr>
      </w:pPr>
    </w:p>
    <w:p w14:paraId="2BCAB04F" w14:textId="77777777" w:rsidR="00AE324A" w:rsidRDefault="004A746B">
      <w:pPr>
        <w:pStyle w:val="Head1"/>
        <w:spacing w:after="0"/>
        <w:jc w:val="both"/>
        <w:rPr>
          <w:rFonts w:ascii="Arial" w:hAnsi="Arial" w:cs="Arial"/>
        </w:rPr>
      </w:pPr>
      <w:r>
        <w:rPr>
          <w:rFonts w:ascii="Arial" w:hAnsi="Arial" w:cs="Arial"/>
        </w:rPr>
        <w:t>3. results and discussion</w:t>
      </w:r>
    </w:p>
    <w:p w14:paraId="19DA8E7C" w14:textId="77777777" w:rsidR="00AE324A" w:rsidRDefault="00AE324A">
      <w:pPr>
        <w:pStyle w:val="Head1"/>
        <w:spacing w:after="0"/>
        <w:jc w:val="both"/>
        <w:rPr>
          <w:rFonts w:ascii="Arial" w:hAnsi="Arial" w:cs="Arial"/>
        </w:rPr>
      </w:pPr>
    </w:p>
    <w:p w14:paraId="7098DEF8" w14:textId="77777777" w:rsidR="00AE324A" w:rsidRDefault="004A746B">
      <w:pPr>
        <w:spacing w:line="480" w:lineRule="auto"/>
        <w:rPr>
          <w:rFonts w:ascii="Arial" w:hAnsi="Arial" w:cs="Arial"/>
          <w:b/>
          <w:bCs/>
          <w:sz w:val="22"/>
          <w:szCs w:val="22"/>
        </w:rPr>
      </w:pPr>
      <w:r>
        <w:rPr>
          <w:rFonts w:ascii="Arial" w:hAnsi="Arial" w:cs="Arial"/>
          <w:b/>
          <w:bCs/>
          <w:sz w:val="22"/>
          <w:szCs w:val="22"/>
        </w:rPr>
        <w:t>3.1 RESULTS</w:t>
      </w:r>
    </w:p>
    <w:p w14:paraId="33AECB94" w14:textId="77777777" w:rsidR="00AE324A" w:rsidRDefault="004A746B">
      <w:pPr>
        <w:spacing w:line="480" w:lineRule="auto"/>
        <w:jc w:val="both"/>
        <w:rPr>
          <w:rFonts w:ascii="Arial" w:hAnsi="Arial" w:cs="Arial"/>
        </w:rPr>
      </w:pPr>
      <w:r>
        <w:rPr>
          <w:rFonts w:ascii="Arial" w:hAnsi="Arial" w:cs="Arial"/>
        </w:rPr>
        <w:t xml:space="preserve">The response rate was 90.0% (361/400). Most of the respondents (44.0%) and </w:t>
      </w:r>
      <w:r>
        <w:rPr>
          <w:rFonts w:ascii="Arial" w:hAnsi="Arial" w:cs="Arial"/>
        </w:rPr>
        <w:t>their partners (42.1%) were aged less than 40 years, with the median age of 43 and 44 years, respectively. The majority (74.2%) were of Malay ethnicity and had secondary school education (38.8%). Meanwhile, more than half (65.4%) of the respondents are emp</w:t>
      </w:r>
      <w:r>
        <w:rPr>
          <w:rFonts w:ascii="Arial" w:hAnsi="Arial" w:cs="Arial"/>
        </w:rPr>
        <w:t>loyed, have a monthly household income of less than RM4,849 (70.6%) and were married for more than 15 years (52.4%).</w:t>
      </w:r>
    </w:p>
    <w:p w14:paraId="53C4AD6E" w14:textId="77777777" w:rsidR="00AE324A" w:rsidRDefault="004A746B">
      <w:pPr>
        <w:spacing w:line="480" w:lineRule="auto"/>
        <w:jc w:val="both"/>
        <w:rPr>
          <w:rFonts w:ascii="Arial" w:hAnsi="Arial" w:cs="Arial"/>
        </w:rPr>
      </w:pPr>
      <w:r>
        <w:rPr>
          <w:rFonts w:ascii="Arial" w:hAnsi="Arial" w:cs="Arial"/>
        </w:rPr>
        <w:t>The clinical parameters showed that the majority (84.8%) of respondents had 1 to 2 times of sexual intercourse per week, in the pre-menopau</w:t>
      </w:r>
      <w:r>
        <w:rPr>
          <w:rFonts w:ascii="Arial" w:hAnsi="Arial" w:cs="Arial"/>
        </w:rPr>
        <w:t>se reproductive phase (</w:t>
      </w:r>
      <w:r>
        <w:rPr>
          <w:rFonts w:ascii="Arial" w:eastAsiaTheme="minorHAnsi" w:hAnsi="Arial" w:cs="Arial"/>
          <w:kern w:val="2"/>
        </w:rPr>
        <w:t xml:space="preserve">56.8%) and had comorbidities (58.7%). </w:t>
      </w:r>
      <w:r w:rsidRPr="004446E7">
        <w:rPr>
          <w:rFonts w:ascii="Arial" w:eastAsiaTheme="minorHAnsi" w:hAnsi="Arial" w:cs="Arial"/>
          <w:kern w:val="2"/>
        </w:rPr>
        <w:t>M</w:t>
      </w:r>
      <w:r>
        <w:rPr>
          <w:rFonts w:ascii="Arial" w:eastAsiaTheme="minorHAnsi" w:hAnsi="Arial" w:cs="Arial"/>
          <w:kern w:val="2"/>
        </w:rPr>
        <w:t xml:space="preserve">ost (92.8%) did not undergo urogenital procedure or surgery and were free of urogenital symptoms (88.1%) </w:t>
      </w:r>
      <w:r w:rsidRPr="004446E7">
        <w:rPr>
          <w:rFonts w:ascii="Arial" w:eastAsiaTheme="minorHAnsi" w:hAnsi="Arial" w:cs="Arial"/>
          <w:kern w:val="2"/>
        </w:rPr>
        <w:t>whereas</w:t>
      </w:r>
      <w:r>
        <w:rPr>
          <w:rFonts w:ascii="Arial" w:eastAsiaTheme="minorHAnsi" w:hAnsi="Arial" w:cs="Arial"/>
          <w:color w:val="FF0000"/>
          <w:kern w:val="2"/>
        </w:rPr>
        <w:t xml:space="preserve"> </w:t>
      </w:r>
      <w:r>
        <w:rPr>
          <w:rFonts w:ascii="Arial" w:eastAsiaTheme="minorHAnsi" w:hAnsi="Arial" w:cs="Arial"/>
          <w:kern w:val="2"/>
        </w:rPr>
        <w:t>a minority (12.5%) of the respondents were screened positive for depression and a</w:t>
      </w:r>
      <w:r>
        <w:rPr>
          <w:rFonts w:ascii="Arial" w:eastAsiaTheme="minorHAnsi" w:hAnsi="Arial" w:cs="Arial"/>
          <w:kern w:val="2"/>
        </w:rPr>
        <w:t xml:space="preserve">nxiety (9.7%), and 18.3% of the respondents </w:t>
      </w:r>
      <w:r>
        <w:rPr>
          <w:rFonts w:ascii="Arial" w:eastAsiaTheme="minorHAnsi" w:hAnsi="Arial" w:cs="Arial"/>
          <w:kern w:val="2"/>
        </w:rPr>
        <w:lastRenderedPageBreak/>
        <w:t>reported their spouse had sexual dysfunction. More than half (54.6%) of the respondents reported sexual dysfunction based on a total MVFSFI score ≤55 (Refer Table 1)</w:t>
      </w:r>
    </w:p>
    <w:p w14:paraId="3B3E256F" w14:textId="77777777" w:rsidR="00AE324A" w:rsidRDefault="004A746B">
      <w:pPr>
        <w:spacing w:after="160" w:line="259" w:lineRule="auto"/>
        <w:rPr>
          <w:rFonts w:ascii="Arial" w:eastAsiaTheme="minorHAnsi" w:hAnsi="Arial" w:cs="Arial"/>
          <w:b/>
          <w:bCs/>
          <w:kern w:val="2"/>
        </w:rPr>
      </w:pPr>
      <w:r>
        <w:rPr>
          <w:rFonts w:ascii="Arial" w:eastAsiaTheme="minorHAnsi" w:hAnsi="Arial" w:cs="Arial"/>
          <w:b/>
          <w:bCs/>
          <w:kern w:val="2"/>
        </w:rPr>
        <w:t xml:space="preserve">Table 1. Demographic, clinical parameters and </w:t>
      </w:r>
      <w:r>
        <w:rPr>
          <w:rFonts w:ascii="Arial" w:eastAsiaTheme="minorHAnsi" w:hAnsi="Arial" w:cs="Arial"/>
          <w:b/>
          <w:bCs/>
          <w:kern w:val="2"/>
        </w:rPr>
        <w:t>sexual dysfunction among female adults attending government primary healthcare clinics in the Kuala Langat district (N=361)</w:t>
      </w:r>
    </w:p>
    <w:tbl>
      <w:tblPr>
        <w:tblStyle w:val="TableGrid"/>
        <w:tblW w:w="8364"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5103"/>
        <w:gridCol w:w="1560"/>
        <w:gridCol w:w="1701"/>
      </w:tblGrid>
      <w:tr w:rsidR="00AE324A" w14:paraId="3E83D5F0" w14:textId="77777777">
        <w:tc>
          <w:tcPr>
            <w:tcW w:w="5103" w:type="dxa"/>
            <w:tcBorders>
              <w:right w:val="nil"/>
            </w:tcBorders>
          </w:tcPr>
          <w:p w14:paraId="5A2EF04F"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Characteristics</w:t>
            </w:r>
          </w:p>
        </w:tc>
        <w:tc>
          <w:tcPr>
            <w:tcW w:w="1560" w:type="dxa"/>
            <w:tcBorders>
              <w:left w:val="nil"/>
              <w:right w:val="nil"/>
            </w:tcBorders>
          </w:tcPr>
          <w:p w14:paraId="55C5F07F"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Frequency (n)</w:t>
            </w:r>
          </w:p>
        </w:tc>
        <w:tc>
          <w:tcPr>
            <w:tcW w:w="1701" w:type="dxa"/>
            <w:tcBorders>
              <w:left w:val="nil"/>
            </w:tcBorders>
          </w:tcPr>
          <w:p w14:paraId="25A82443"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Percentage (%)</w:t>
            </w:r>
          </w:p>
        </w:tc>
      </w:tr>
      <w:tr w:rsidR="00AE324A" w14:paraId="5A8BF69F" w14:textId="77777777">
        <w:tc>
          <w:tcPr>
            <w:tcW w:w="5103" w:type="dxa"/>
            <w:tcBorders>
              <w:bottom w:val="single" w:sz="4" w:space="0" w:color="auto"/>
              <w:right w:val="nil"/>
            </w:tcBorders>
          </w:tcPr>
          <w:p w14:paraId="62B3297C"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Demographic</w:t>
            </w:r>
          </w:p>
        </w:tc>
        <w:tc>
          <w:tcPr>
            <w:tcW w:w="1560" w:type="dxa"/>
            <w:tcBorders>
              <w:left w:val="nil"/>
              <w:bottom w:val="single" w:sz="4" w:space="0" w:color="auto"/>
              <w:right w:val="nil"/>
            </w:tcBorders>
          </w:tcPr>
          <w:p w14:paraId="0E4B56F6" w14:textId="77777777" w:rsidR="00AE324A" w:rsidRDefault="00AE324A">
            <w:pPr>
              <w:rPr>
                <w:rFonts w:ascii="Arial" w:eastAsiaTheme="minorHAnsi" w:hAnsi="Arial" w:cs="Arial"/>
                <w:kern w:val="2"/>
                <w:sz w:val="20"/>
                <w:szCs w:val="20"/>
              </w:rPr>
            </w:pPr>
          </w:p>
        </w:tc>
        <w:tc>
          <w:tcPr>
            <w:tcW w:w="1701" w:type="dxa"/>
            <w:tcBorders>
              <w:left w:val="nil"/>
              <w:bottom w:val="single" w:sz="4" w:space="0" w:color="auto"/>
            </w:tcBorders>
          </w:tcPr>
          <w:p w14:paraId="7B53D7D5" w14:textId="77777777" w:rsidR="00AE324A" w:rsidRDefault="00AE324A">
            <w:pPr>
              <w:rPr>
                <w:rFonts w:ascii="Arial" w:eastAsiaTheme="minorHAnsi" w:hAnsi="Arial" w:cs="Arial"/>
                <w:kern w:val="2"/>
                <w:sz w:val="20"/>
                <w:szCs w:val="20"/>
              </w:rPr>
            </w:pPr>
          </w:p>
        </w:tc>
      </w:tr>
      <w:tr w:rsidR="00AE324A" w14:paraId="7B311026" w14:textId="77777777">
        <w:tc>
          <w:tcPr>
            <w:tcW w:w="5103" w:type="dxa"/>
            <w:tcBorders>
              <w:bottom w:val="nil"/>
              <w:right w:val="nil"/>
            </w:tcBorders>
          </w:tcPr>
          <w:p w14:paraId="46810F7F"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Age</w:t>
            </w:r>
          </w:p>
        </w:tc>
        <w:tc>
          <w:tcPr>
            <w:tcW w:w="1560" w:type="dxa"/>
            <w:tcBorders>
              <w:left w:val="nil"/>
              <w:bottom w:val="nil"/>
              <w:right w:val="nil"/>
            </w:tcBorders>
          </w:tcPr>
          <w:p w14:paraId="603C5DE4"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06EADD1B" w14:textId="77777777" w:rsidR="00AE324A" w:rsidRDefault="00AE324A">
            <w:pPr>
              <w:rPr>
                <w:rFonts w:ascii="Arial" w:eastAsiaTheme="minorHAnsi" w:hAnsi="Arial" w:cs="Arial"/>
                <w:kern w:val="2"/>
                <w:sz w:val="20"/>
                <w:szCs w:val="20"/>
              </w:rPr>
            </w:pPr>
          </w:p>
        </w:tc>
      </w:tr>
      <w:tr w:rsidR="00AE324A" w14:paraId="199030EF" w14:textId="77777777">
        <w:tc>
          <w:tcPr>
            <w:tcW w:w="5103" w:type="dxa"/>
            <w:tcBorders>
              <w:top w:val="nil"/>
              <w:bottom w:val="nil"/>
              <w:right w:val="nil"/>
            </w:tcBorders>
          </w:tcPr>
          <w:p w14:paraId="24457C9D" w14:textId="77777777" w:rsidR="00AE324A" w:rsidRDefault="004A746B">
            <w:pPr>
              <w:autoSpaceDE w:val="0"/>
              <w:autoSpaceDN w:val="0"/>
              <w:adjustRightInd w:val="0"/>
              <w:rPr>
                <w:rFonts w:ascii="Arial" w:eastAsiaTheme="minorHAnsi" w:hAnsi="Arial" w:cs="Arial"/>
                <w:color w:val="000000"/>
                <w:sz w:val="20"/>
                <w:szCs w:val="20"/>
                <w:lang w:val="en-MY"/>
              </w:rPr>
            </w:pPr>
            <w:r>
              <w:rPr>
                <w:rFonts w:ascii="Arial" w:eastAsiaTheme="minorHAnsi" w:hAnsi="Arial" w:cs="Arial"/>
                <w:color w:val="000000"/>
                <w:sz w:val="20"/>
                <w:szCs w:val="20"/>
                <w:lang w:val="en-MY"/>
              </w:rPr>
              <w:t>≤ 40 years</w:t>
            </w:r>
          </w:p>
        </w:tc>
        <w:tc>
          <w:tcPr>
            <w:tcW w:w="1560" w:type="dxa"/>
            <w:tcBorders>
              <w:top w:val="nil"/>
              <w:left w:val="nil"/>
              <w:bottom w:val="nil"/>
              <w:right w:val="nil"/>
            </w:tcBorders>
          </w:tcPr>
          <w:p w14:paraId="18CA61C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159</w:t>
            </w:r>
          </w:p>
        </w:tc>
        <w:tc>
          <w:tcPr>
            <w:tcW w:w="1701" w:type="dxa"/>
            <w:tcBorders>
              <w:top w:val="nil"/>
              <w:left w:val="nil"/>
              <w:bottom w:val="nil"/>
            </w:tcBorders>
          </w:tcPr>
          <w:p w14:paraId="27163230"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44.0</w:t>
            </w:r>
          </w:p>
        </w:tc>
      </w:tr>
      <w:tr w:rsidR="00AE324A" w14:paraId="786E9342" w14:textId="77777777">
        <w:tc>
          <w:tcPr>
            <w:tcW w:w="5103" w:type="dxa"/>
            <w:tcBorders>
              <w:top w:val="nil"/>
              <w:bottom w:val="nil"/>
              <w:right w:val="nil"/>
            </w:tcBorders>
          </w:tcPr>
          <w:p w14:paraId="4BB1FDF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40 – 59 years</w:t>
            </w:r>
          </w:p>
        </w:tc>
        <w:tc>
          <w:tcPr>
            <w:tcW w:w="1560" w:type="dxa"/>
            <w:tcBorders>
              <w:top w:val="nil"/>
              <w:left w:val="nil"/>
              <w:bottom w:val="nil"/>
              <w:right w:val="nil"/>
            </w:tcBorders>
          </w:tcPr>
          <w:p w14:paraId="0668CEF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107</w:t>
            </w:r>
          </w:p>
        </w:tc>
        <w:tc>
          <w:tcPr>
            <w:tcW w:w="1701" w:type="dxa"/>
            <w:tcBorders>
              <w:top w:val="nil"/>
              <w:left w:val="nil"/>
              <w:bottom w:val="nil"/>
            </w:tcBorders>
          </w:tcPr>
          <w:p w14:paraId="7DD8923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29.6</w:t>
            </w:r>
          </w:p>
        </w:tc>
      </w:tr>
      <w:tr w:rsidR="00AE324A" w14:paraId="39E5D7E6" w14:textId="77777777">
        <w:tc>
          <w:tcPr>
            <w:tcW w:w="5103" w:type="dxa"/>
            <w:tcBorders>
              <w:top w:val="nil"/>
              <w:bottom w:val="single" w:sz="4" w:space="0" w:color="auto"/>
              <w:right w:val="nil"/>
            </w:tcBorders>
          </w:tcPr>
          <w:p w14:paraId="4514433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60 years</w:t>
            </w:r>
          </w:p>
        </w:tc>
        <w:tc>
          <w:tcPr>
            <w:tcW w:w="1560" w:type="dxa"/>
            <w:tcBorders>
              <w:top w:val="nil"/>
              <w:left w:val="nil"/>
              <w:bottom w:val="single" w:sz="4" w:space="0" w:color="auto"/>
              <w:right w:val="nil"/>
            </w:tcBorders>
          </w:tcPr>
          <w:p w14:paraId="3564432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95</w:t>
            </w:r>
          </w:p>
        </w:tc>
        <w:tc>
          <w:tcPr>
            <w:tcW w:w="1701" w:type="dxa"/>
            <w:tcBorders>
              <w:top w:val="nil"/>
              <w:left w:val="nil"/>
              <w:bottom w:val="single" w:sz="4" w:space="0" w:color="auto"/>
            </w:tcBorders>
          </w:tcPr>
          <w:p w14:paraId="62719173"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26.4</w:t>
            </w:r>
          </w:p>
        </w:tc>
      </w:tr>
      <w:tr w:rsidR="00AE324A" w14:paraId="2364B07D" w14:textId="77777777">
        <w:tc>
          <w:tcPr>
            <w:tcW w:w="5103" w:type="dxa"/>
            <w:tcBorders>
              <w:bottom w:val="nil"/>
              <w:right w:val="nil"/>
            </w:tcBorders>
          </w:tcPr>
          <w:p w14:paraId="41985458"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Partner age</w:t>
            </w:r>
          </w:p>
        </w:tc>
        <w:tc>
          <w:tcPr>
            <w:tcW w:w="1560" w:type="dxa"/>
            <w:tcBorders>
              <w:left w:val="nil"/>
              <w:bottom w:val="nil"/>
              <w:right w:val="nil"/>
            </w:tcBorders>
          </w:tcPr>
          <w:p w14:paraId="0BE879E1"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70987245" w14:textId="77777777" w:rsidR="00AE324A" w:rsidRDefault="00AE324A">
            <w:pPr>
              <w:rPr>
                <w:rFonts w:ascii="Arial" w:eastAsiaTheme="minorHAnsi" w:hAnsi="Arial" w:cs="Arial"/>
                <w:kern w:val="2"/>
                <w:sz w:val="20"/>
                <w:szCs w:val="20"/>
              </w:rPr>
            </w:pPr>
          </w:p>
        </w:tc>
      </w:tr>
      <w:tr w:rsidR="00AE324A" w14:paraId="0908B895" w14:textId="77777777">
        <w:tc>
          <w:tcPr>
            <w:tcW w:w="5103" w:type="dxa"/>
            <w:tcBorders>
              <w:top w:val="nil"/>
              <w:bottom w:val="nil"/>
              <w:right w:val="nil"/>
            </w:tcBorders>
          </w:tcPr>
          <w:p w14:paraId="68D362C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 40 years</w:t>
            </w:r>
          </w:p>
        </w:tc>
        <w:tc>
          <w:tcPr>
            <w:tcW w:w="1560" w:type="dxa"/>
            <w:tcBorders>
              <w:top w:val="nil"/>
              <w:left w:val="nil"/>
              <w:bottom w:val="nil"/>
              <w:right w:val="nil"/>
            </w:tcBorders>
          </w:tcPr>
          <w:p w14:paraId="1081756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152</w:t>
            </w:r>
          </w:p>
        </w:tc>
        <w:tc>
          <w:tcPr>
            <w:tcW w:w="1701" w:type="dxa"/>
            <w:tcBorders>
              <w:top w:val="nil"/>
              <w:left w:val="nil"/>
              <w:bottom w:val="nil"/>
            </w:tcBorders>
          </w:tcPr>
          <w:p w14:paraId="5182266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42.1</w:t>
            </w:r>
          </w:p>
        </w:tc>
      </w:tr>
      <w:tr w:rsidR="00AE324A" w14:paraId="393E231B" w14:textId="77777777">
        <w:tc>
          <w:tcPr>
            <w:tcW w:w="5103" w:type="dxa"/>
            <w:tcBorders>
              <w:top w:val="nil"/>
              <w:bottom w:val="nil"/>
              <w:right w:val="nil"/>
            </w:tcBorders>
          </w:tcPr>
          <w:p w14:paraId="2E9DDA3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40 – 59 years</w:t>
            </w:r>
          </w:p>
        </w:tc>
        <w:tc>
          <w:tcPr>
            <w:tcW w:w="1560" w:type="dxa"/>
            <w:tcBorders>
              <w:top w:val="nil"/>
              <w:left w:val="nil"/>
              <w:bottom w:val="nil"/>
              <w:right w:val="nil"/>
            </w:tcBorders>
          </w:tcPr>
          <w:p w14:paraId="78C9184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113</w:t>
            </w:r>
          </w:p>
        </w:tc>
        <w:tc>
          <w:tcPr>
            <w:tcW w:w="1701" w:type="dxa"/>
            <w:tcBorders>
              <w:top w:val="nil"/>
              <w:left w:val="nil"/>
              <w:bottom w:val="nil"/>
            </w:tcBorders>
          </w:tcPr>
          <w:p w14:paraId="55B5C472"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31.3</w:t>
            </w:r>
          </w:p>
        </w:tc>
      </w:tr>
      <w:tr w:rsidR="00AE324A" w14:paraId="6F9C8F06" w14:textId="77777777">
        <w:tc>
          <w:tcPr>
            <w:tcW w:w="5103" w:type="dxa"/>
            <w:tcBorders>
              <w:top w:val="nil"/>
              <w:bottom w:val="single" w:sz="4" w:space="0" w:color="auto"/>
              <w:right w:val="nil"/>
            </w:tcBorders>
          </w:tcPr>
          <w:p w14:paraId="1FD5868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 60 years</w:t>
            </w:r>
          </w:p>
        </w:tc>
        <w:tc>
          <w:tcPr>
            <w:tcW w:w="1560" w:type="dxa"/>
            <w:tcBorders>
              <w:top w:val="nil"/>
              <w:left w:val="nil"/>
              <w:bottom w:val="single" w:sz="4" w:space="0" w:color="auto"/>
              <w:right w:val="nil"/>
            </w:tcBorders>
          </w:tcPr>
          <w:p w14:paraId="5D976420"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96</w:t>
            </w:r>
          </w:p>
        </w:tc>
        <w:tc>
          <w:tcPr>
            <w:tcW w:w="1701" w:type="dxa"/>
            <w:tcBorders>
              <w:top w:val="nil"/>
              <w:left w:val="nil"/>
              <w:bottom w:val="single" w:sz="4" w:space="0" w:color="auto"/>
            </w:tcBorders>
          </w:tcPr>
          <w:p w14:paraId="13E9137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26.6</w:t>
            </w:r>
          </w:p>
        </w:tc>
      </w:tr>
      <w:tr w:rsidR="00AE324A" w14:paraId="4BBCFCB5" w14:textId="77777777">
        <w:tc>
          <w:tcPr>
            <w:tcW w:w="5103" w:type="dxa"/>
            <w:tcBorders>
              <w:bottom w:val="nil"/>
              <w:right w:val="nil"/>
            </w:tcBorders>
          </w:tcPr>
          <w:p w14:paraId="6427CE5E"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Ethnicity</w:t>
            </w:r>
          </w:p>
        </w:tc>
        <w:tc>
          <w:tcPr>
            <w:tcW w:w="1560" w:type="dxa"/>
            <w:tcBorders>
              <w:left w:val="nil"/>
              <w:bottom w:val="nil"/>
              <w:right w:val="nil"/>
            </w:tcBorders>
          </w:tcPr>
          <w:p w14:paraId="6624C948"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2C4AC6E5" w14:textId="77777777" w:rsidR="00AE324A" w:rsidRDefault="00AE324A">
            <w:pPr>
              <w:rPr>
                <w:rFonts w:ascii="Arial" w:eastAsiaTheme="minorHAnsi" w:hAnsi="Arial" w:cs="Arial"/>
                <w:kern w:val="2"/>
                <w:sz w:val="20"/>
                <w:szCs w:val="20"/>
              </w:rPr>
            </w:pPr>
          </w:p>
        </w:tc>
      </w:tr>
      <w:tr w:rsidR="00AE324A" w14:paraId="2649F4C0" w14:textId="77777777">
        <w:tc>
          <w:tcPr>
            <w:tcW w:w="5103" w:type="dxa"/>
            <w:tcBorders>
              <w:top w:val="nil"/>
              <w:bottom w:val="nil"/>
              <w:right w:val="nil"/>
            </w:tcBorders>
          </w:tcPr>
          <w:p w14:paraId="2C378A7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Malay</w:t>
            </w:r>
          </w:p>
        </w:tc>
        <w:tc>
          <w:tcPr>
            <w:tcW w:w="1560" w:type="dxa"/>
            <w:tcBorders>
              <w:top w:val="nil"/>
              <w:left w:val="nil"/>
              <w:bottom w:val="nil"/>
              <w:right w:val="nil"/>
            </w:tcBorders>
          </w:tcPr>
          <w:p w14:paraId="69C7C17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268</w:t>
            </w:r>
          </w:p>
        </w:tc>
        <w:tc>
          <w:tcPr>
            <w:tcW w:w="1701" w:type="dxa"/>
            <w:tcBorders>
              <w:top w:val="nil"/>
              <w:left w:val="nil"/>
              <w:bottom w:val="nil"/>
            </w:tcBorders>
          </w:tcPr>
          <w:p w14:paraId="2F568C1D"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74.2</w:t>
            </w:r>
          </w:p>
        </w:tc>
      </w:tr>
      <w:tr w:rsidR="00AE324A" w14:paraId="4FB5D2BF" w14:textId="77777777">
        <w:tc>
          <w:tcPr>
            <w:tcW w:w="5103" w:type="dxa"/>
            <w:tcBorders>
              <w:top w:val="nil"/>
              <w:bottom w:val="nil"/>
              <w:right w:val="nil"/>
            </w:tcBorders>
          </w:tcPr>
          <w:p w14:paraId="7E3F36C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Chinese</w:t>
            </w:r>
          </w:p>
        </w:tc>
        <w:tc>
          <w:tcPr>
            <w:tcW w:w="1560" w:type="dxa"/>
            <w:tcBorders>
              <w:top w:val="nil"/>
              <w:left w:val="nil"/>
              <w:bottom w:val="nil"/>
              <w:right w:val="nil"/>
            </w:tcBorders>
          </w:tcPr>
          <w:p w14:paraId="5A253FA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40</w:t>
            </w:r>
          </w:p>
        </w:tc>
        <w:tc>
          <w:tcPr>
            <w:tcW w:w="1701" w:type="dxa"/>
            <w:tcBorders>
              <w:top w:val="nil"/>
              <w:left w:val="nil"/>
              <w:bottom w:val="nil"/>
            </w:tcBorders>
          </w:tcPr>
          <w:p w14:paraId="62075E3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11.1</w:t>
            </w:r>
          </w:p>
        </w:tc>
      </w:tr>
      <w:tr w:rsidR="00AE324A" w14:paraId="5A6A12D9" w14:textId="77777777">
        <w:tc>
          <w:tcPr>
            <w:tcW w:w="5103" w:type="dxa"/>
            <w:tcBorders>
              <w:top w:val="nil"/>
              <w:bottom w:val="single" w:sz="4" w:space="0" w:color="auto"/>
              <w:right w:val="nil"/>
            </w:tcBorders>
          </w:tcPr>
          <w:p w14:paraId="0D62CBC5"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Indian</w:t>
            </w:r>
          </w:p>
        </w:tc>
        <w:tc>
          <w:tcPr>
            <w:tcW w:w="1560" w:type="dxa"/>
            <w:tcBorders>
              <w:top w:val="nil"/>
              <w:left w:val="nil"/>
              <w:bottom w:val="single" w:sz="4" w:space="0" w:color="auto"/>
              <w:right w:val="nil"/>
            </w:tcBorders>
          </w:tcPr>
          <w:p w14:paraId="22300B00"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53</w:t>
            </w:r>
          </w:p>
        </w:tc>
        <w:tc>
          <w:tcPr>
            <w:tcW w:w="1701" w:type="dxa"/>
            <w:tcBorders>
              <w:top w:val="nil"/>
              <w:left w:val="nil"/>
              <w:bottom w:val="single" w:sz="4" w:space="0" w:color="auto"/>
            </w:tcBorders>
          </w:tcPr>
          <w:p w14:paraId="2822CEF3"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14.7</w:t>
            </w:r>
          </w:p>
        </w:tc>
      </w:tr>
      <w:tr w:rsidR="00AE324A" w14:paraId="41441879" w14:textId="77777777">
        <w:tc>
          <w:tcPr>
            <w:tcW w:w="5103" w:type="dxa"/>
            <w:tcBorders>
              <w:bottom w:val="nil"/>
              <w:right w:val="nil"/>
            </w:tcBorders>
          </w:tcPr>
          <w:p w14:paraId="3261EF1E"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Education level</w:t>
            </w:r>
          </w:p>
        </w:tc>
        <w:tc>
          <w:tcPr>
            <w:tcW w:w="1560" w:type="dxa"/>
            <w:tcBorders>
              <w:left w:val="nil"/>
              <w:bottom w:val="nil"/>
              <w:right w:val="nil"/>
            </w:tcBorders>
          </w:tcPr>
          <w:p w14:paraId="721F1508"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2D76CA85" w14:textId="77777777" w:rsidR="00AE324A" w:rsidRDefault="00AE324A">
            <w:pPr>
              <w:rPr>
                <w:rFonts w:ascii="Arial" w:eastAsiaTheme="minorHAnsi" w:hAnsi="Arial" w:cs="Arial"/>
                <w:kern w:val="2"/>
                <w:sz w:val="20"/>
                <w:szCs w:val="20"/>
              </w:rPr>
            </w:pPr>
          </w:p>
        </w:tc>
      </w:tr>
      <w:tr w:rsidR="00AE324A" w14:paraId="52AD2637" w14:textId="77777777">
        <w:tc>
          <w:tcPr>
            <w:tcW w:w="5103" w:type="dxa"/>
            <w:tcBorders>
              <w:top w:val="nil"/>
              <w:bottom w:val="nil"/>
              <w:right w:val="nil"/>
            </w:tcBorders>
          </w:tcPr>
          <w:p w14:paraId="6C6BB0B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Primary</w:t>
            </w:r>
          </w:p>
        </w:tc>
        <w:tc>
          <w:tcPr>
            <w:tcW w:w="1560" w:type="dxa"/>
            <w:tcBorders>
              <w:top w:val="nil"/>
              <w:left w:val="nil"/>
              <w:bottom w:val="nil"/>
              <w:right w:val="nil"/>
            </w:tcBorders>
          </w:tcPr>
          <w:p w14:paraId="7A679015"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50</w:t>
            </w:r>
          </w:p>
        </w:tc>
        <w:tc>
          <w:tcPr>
            <w:tcW w:w="1701" w:type="dxa"/>
            <w:tcBorders>
              <w:top w:val="nil"/>
              <w:left w:val="nil"/>
              <w:bottom w:val="nil"/>
            </w:tcBorders>
          </w:tcPr>
          <w:p w14:paraId="720F5E9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13.9</w:t>
            </w:r>
          </w:p>
        </w:tc>
      </w:tr>
      <w:tr w:rsidR="00AE324A" w14:paraId="5A1299C5" w14:textId="77777777">
        <w:tc>
          <w:tcPr>
            <w:tcW w:w="5103" w:type="dxa"/>
            <w:tcBorders>
              <w:top w:val="nil"/>
              <w:bottom w:val="nil"/>
              <w:right w:val="nil"/>
            </w:tcBorders>
          </w:tcPr>
          <w:p w14:paraId="579FF7F3"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Secondary</w:t>
            </w:r>
          </w:p>
        </w:tc>
        <w:tc>
          <w:tcPr>
            <w:tcW w:w="1560" w:type="dxa"/>
            <w:tcBorders>
              <w:top w:val="nil"/>
              <w:left w:val="nil"/>
              <w:bottom w:val="nil"/>
              <w:right w:val="nil"/>
            </w:tcBorders>
          </w:tcPr>
          <w:p w14:paraId="2EF81BA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140</w:t>
            </w:r>
          </w:p>
        </w:tc>
        <w:tc>
          <w:tcPr>
            <w:tcW w:w="1701" w:type="dxa"/>
            <w:tcBorders>
              <w:top w:val="nil"/>
              <w:left w:val="nil"/>
              <w:bottom w:val="nil"/>
            </w:tcBorders>
          </w:tcPr>
          <w:p w14:paraId="7F4A224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38.8</w:t>
            </w:r>
          </w:p>
        </w:tc>
      </w:tr>
      <w:tr w:rsidR="00AE324A" w14:paraId="6863ED6D" w14:textId="77777777">
        <w:tc>
          <w:tcPr>
            <w:tcW w:w="5103" w:type="dxa"/>
            <w:tcBorders>
              <w:top w:val="nil"/>
              <w:bottom w:val="nil"/>
              <w:right w:val="nil"/>
            </w:tcBorders>
          </w:tcPr>
          <w:p w14:paraId="16A2049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Post-secondary</w:t>
            </w:r>
          </w:p>
        </w:tc>
        <w:tc>
          <w:tcPr>
            <w:tcW w:w="1560" w:type="dxa"/>
            <w:tcBorders>
              <w:top w:val="nil"/>
              <w:left w:val="nil"/>
              <w:bottom w:val="nil"/>
              <w:right w:val="nil"/>
            </w:tcBorders>
          </w:tcPr>
          <w:p w14:paraId="6096EF8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79</w:t>
            </w:r>
          </w:p>
        </w:tc>
        <w:tc>
          <w:tcPr>
            <w:tcW w:w="1701" w:type="dxa"/>
            <w:tcBorders>
              <w:top w:val="nil"/>
              <w:left w:val="nil"/>
              <w:bottom w:val="nil"/>
            </w:tcBorders>
          </w:tcPr>
          <w:p w14:paraId="196F92E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21.8</w:t>
            </w:r>
          </w:p>
        </w:tc>
      </w:tr>
      <w:tr w:rsidR="00AE324A" w14:paraId="60DF3953" w14:textId="77777777">
        <w:tc>
          <w:tcPr>
            <w:tcW w:w="5103" w:type="dxa"/>
            <w:tcBorders>
              <w:top w:val="nil"/>
              <w:bottom w:val="single" w:sz="4" w:space="0" w:color="auto"/>
              <w:right w:val="nil"/>
            </w:tcBorders>
          </w:tcPr>
          <w:p w14:paraId="5C98674E"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Tertiary</w:t>
            </w:r>
          </w:p>
        </w:tc>
        <w:tc>
          <w:tcPr>
            <w:tcW w:w="1560" w:type="dxa"/>
            <w:tcBorders>
              <w:top w:val="nil"/>
              <w:left w:val="nil"/>
              <w:bottom w:val="single" w:sz="4" w:space="0" w:color="auto"/>
              <w:right w:val="nil"/>
            </w:tcBorders>
          </w:tcPr>
          <w:p w14:paraId="5DC00D13"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92</w:t>
            </w:r>
          </w:p>
        </w:tc>
        <w:tc>
          <w:tcPr>
            <w:tcW w:w="1701" w:type="dxa"/>
            <w:tcBorders>
              <w:top w:val="nil"/>
              <w:left w:val="nil"/>
              <w:bottom w:val="single" w:sz="4" w:space="0" w:color="auto"/>
            </w:tcBorders>
          </w:tcPr>
          <w:p w14:paraId="2BC287C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25.5</w:t>
            </w:r>
          </w:p>
        </w:tc>
      </w:tr>
      <w:tr w:rsidR="00AE324A" w14:paraId="6608BAA7" w14:textId="77777777">
        <w:tc>
          <w:tcPr>
            <w:tcW w:w="5103" w:type="dxa"/>
            <w:tcBorders>
              <w:bottom w:val="nil"/>
              <w:right w:val="nil"/>
            </w:tcBorders>
          </w:tcPr>
          <w:p w14:paraId="6EA71E29"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Occupation</w:t>
            </w:r>
          </w:p>
        </w:tc>
        <w:tc>
          <w:tcPr>
            <w:tcW w:w="1560" w:type="dxa"/>
            <w:tcBorders>
              <w:left w:val="nil"/>
              <w:bottom w:val="nil"/>
              <w:right w:val="nil"/>
            </w:tcBorders>
          </w:tcPr>
          <w:p w14:paraId="1C3CF226"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69225AF8" w14:textId="77777777" w:rsidR="00AE324A" w:rsidRDefault="00AE324A">
            <w:pPr>
              <w:rPr>
                <w:rFonts w:ascii="Arial" w:eastAsiaTheme="minorHAnsi" w:hAnsi="Arial" w:cs="Arial"/>
                <w:kern w:val="2"/>
                <w:sz w:val="20"/>
                <w:szCs w:val="20"/>
              </w:rPr>
            </w:pPr>
          </w:p>
        </w:tc>
      </w:tr>
      <w:tr w:rsidR="00AE324A" w14:paraId="2D990024" w14:textId="77777777">
        <w:tc>
          <w:tcPr>
            <w:tcW w:w="5103" w:type="dxa"/>
            <w:tcBorders>
              <w:top w:val="nil"/>
              <w:bottom w:val="nil"/>
              <w:right w:val="nil"/>
            </w:tcBorders>
          </w:tcPr>
          <w:p w14:paraId="77ED7B5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Employed</w:t>
            </w:r>
          </w:p>
        </w:tc>
        <w:tc>
          <w:tcPr>
            <w:tcW w:w="1560" w:type="dxa"/>
            <w:tcBorders>
              <w:top w:val="nil"/>
              <w:left w:val="nil"/>
              <w:bottom w:val="nil"/>
              <w:right w:val="nil"/>
            </w:tcBorders>
          </w:tcPr>
          <w:p w14:paraId="6CA1E7A3"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236</w:t>
            </w:r>
          </w:p>
        </w:tc>
        <w:tc>
          <w:tcPr>
            <w:tcW w:w="1701" w:type="dxa"/>
            <w:tcBorders>
              <w:top w:val="nil"/>
              <w:left w:val="nil"/>
              <w:bottom w:val="nil"/>
            </w:tcBorders>
          </w:tcPr>
          <w:p w14:paraId="1A403E0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65.4</w:t>
            </w:r>
          </w:p>
        </w:tc>
      </w:tr>
      <w:tr w:rsidR="00AE324A" w14:paraId="299B3C5E" w14:textId="77777777">
        <w:tc>
          <w:tcPr>
            <w:tcW w:w="5103" w:type="dxa"/>
            <w:tcBorders>
              <w:top w:val="nil"/>
              <w:bottom w:val="single" w:sz="4" w:space="0" w:color="auto"/>
              <w:right w:val="nil"/>
            </w:tcBorders>
          </w:tcPr>
          <w:p w14:paraId="61A73E3E"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Unemployed</w:t>
            </w:r>
          </w:p>
        </w:tc>
        <w:tc>
          <w:tcPr>
            <w:tcW w:w="1560" w:type="dxa"/>
            <w:tcBorders>
              <w:top w:val="nil"/>
              <w:left w:val="nil"/>
              <w:bottom w:val="single" w:sz="4" w:space="0" w:color="auto"/>
              <w:right w:val="nil"/>
            </w:tcBorders>
          </w:tcPr>
          <w:p w14:paraId="680BB03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125</w:t>
            </w:r>
          </w:p>
        </w:tc>
        <w:tc>
          <w:tcPr>
            <w:tcW w:w="1701" w:type="dxa"/>
            <w:tcBorders>
              <w:top w:val="nil"/>
              <w:left w:val="nil"/>
              <w:bottom w:val="single" w:sz="4" w:space="0" w:color="auto"/>
            </w:tcBorders>
          </w:tcPr>
          <w:p w14:paraId="2373B95F"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34.6</w:t>
            </w:r>
          </w:p>
        </w:tc>
      </w:tr>
      <w:tr w:rsidR="00AE324A" w14:paraId="6E05C75F" w14:textId="77777777">
        <w:tc>
          <w:tcPr>
            <w:tcW w:w="5103" w:type="dxa"/>
            <w:tcBorders>
              <w:bottom w:val="nil"/>
              <w:right w:val="nil"/>
            </w:tcBorders>
          </w:tcPr>
          <w:p w14:paraId="4367A73C"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Household income (Malaysia income category)</w:t>
            </w:r>
          </w:p>
        </w:tc>
        <w:tc>
          <w:tcPr>
            <w:tcW w:w="1560" w:type="dxa"/>
            <w:tcBorders>
              <w:left w:val="nil"/>
              <w:bottom w:val="nil"/>
              <w:right w:val="nil"/>
            </w:tcBorders>
          </w:tcPr>
          <w:p w14:paraId="7A876E67"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38A35BCE" w14:textId="77777777" w:rsidR="00AE324A" w:rsidRDefault="00AE324A">
            <w:pPr>
              <w:rPr>
                <w:rFonts w:ascii="Arial" w:eastAsiaTheme="minorHAnsi" w:hAnsi="Arial" w:cs="Arial"/>
                <w:kern w:val="2"/>
                <w:sz w:val="20"/>
                <w:szCs w:val="20"/>
              </w:rPr>
            </w:pPr>
          </w:p>
        </w:tc>
      </w:tr>
      <w:tr w:rsidR="00AE324A" w14:paraId="0C8F441E" w14:textId="77777777">
        <w:tc>
          <w:tcPr>
            <w:tcW w:w="5103" w:type="dxa"/>
            <w:tcBorders>
              <w:top w:val="nil"/>
              <w:bottom w:val="nil"/>
              <w:right w:val="nil"/>
            </w:tcBorders>
          </w:tcPr>
          <w:p w14:paraId="6EBE8A0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&lt; RM4,849 (B40)</w:t>
            </w:r>
          </w:p>
        </w:tc>
        <w:tc>
          <w:tcPr>
            <w:tcW w:w="1560" w:type="dxa"/>
            <w:tcBorders>
              <w:top w:val="nil"/>
              <w:left w:val="nil"/>
              <w:bottom w:val="nil"/>
              <w:right w:val="nil"/>
            </w:tcBorders>
          </w:tcPr>
          <w:p w14:paraId="1EC2654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255</w:t>
            </w:r>
          </w:p>
        </w:tc>
        <w:tc>
          <w:tcPr>
            <w:tcW w:w="1701" w:type="dxa"/>
            <w:tcBorders>
              <w:top w:val="nil"/>
              <w:left w:val="nil"/>
              <w:bottom w:val="nil"/>
            </w:tcBorders>
          </w:tcPr>
          <w:p w14:paraId="22B4C8FD"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70.6</w:t>
            </w:r>
          </w:p>
        </w:tc>
      </w:tr>
      <w:tr w:rsidR="00AE324A" w14:paraId="3B687C40" w14:textId="77777777">
        <w:tc>
          <w:tcPr>
            <w:tcW w:w="5103" w:type="dxa"/>
            <w:tcBorders>
              <w:top w:val="nil"/>
              <w:bottom w:val="nil"/>
              <w:right w:val="nil"/>
            </w:tcBorders>
          </w:tcPr>
          <w:p w14:paraId="6F34DAD5"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RM4850 – RM 10,959 (M40)</w:t>
            </w:r>
          </w:p>
        </w:tc>
        <w:tc>
          <w:tcPr>
            <w:tcW w:w="1560" w:type="dxa"/>
            <w:tcBorders>
              <w:top w:val="nil"/>
              <w:left w:val="nil"/>
              <w:bottom w:val="nil"/>
              <w:right w:val="nil"/>
            </w:tcBorders>
          </w:tcPr>
          <w:p w14:paraId="59BC167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68</w:t>
            </w:r>
          </w:p>
        </w:tc>
        <w:tc>
          <w:tcPr>
            <w:tcW w:w="1701" w:type="dxa"/>
            <w:tcBorders>
              <w:top w:val="nil"/>
              <w:left w:val="nil"/>
              <w:bottom w:val="nil"/>
            </w:tcBorders>
          </w:tcPr>
          <w:p w14:paraId="1FB69B1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18.8</w:t>
            </w:r>
          </w:p>
        </w:tc>
      </w:tr>
      <w:tr w:rsidR="00AE324A" w14:paraId="34F0AD20" w14:textId="77777777">
        <w:tc>
          <w:tcPr>
            <w:tcW w:w="5103" w:type="dxa"/>
            <w:tcBorders>
              <w:top w:val="nil"/>
              <w:bottom w:val="single" w:sz="4" w:space="0" w:color="auto"/>
              <w:right w:val="nil"/>
            </w:tcBorders>
          </w:tcPr>
          <w:p w14:paraId="32737440"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 RM 10,960 (T20)</w:t>
            </w:r>
          </w:p>
        </w:tc>
        <w:tc>
          <w:tcPr>
            <w:tcW w:w="1560" w:type="dxa"/>
            <w:tcBorders>
              <w:top w:val="nil"/>
              <w:left w:val="nil"/>
              <w:bottom w:val="single" w:sz="4" w:space="0" w:color="auto"/>
              <w:right w:val="nil"/>
            </w:tcBorders>
          </w:tcPr>
          <w:p w14:paraId="123F7C4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38</w:t>
            </w:r>
          </w:p>
        </w:tc>
        <w:tc>
          <w:tcPr>
            <w:tcW w:w="1701" w:type="dxa"/>
            <w:tcBorders>
              <w:top w:val="nil"/>
              <w:left w:val="nil"/>
              <w:bottom w:val="single" w:sz="4" w:space="0" w:color="auto"/>
            </w:tcBorders>
          </w:tcPr>
          <w:p w14:paraId="288FEFD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10.5</w:t>
            </w:r>
          </w:p>
        </w:tc>
      </w:tr>
      <w:tr w:rsidR="00AE324A" w14:paraId="4249D45E" w14:textId="77777777">
        <w:tc>
          <w:tcPr>
            <w:tcW w:w="5103" w:type="dxa"/>
            <w:tcBorders>
              <w:bottom w:val="nil"/>
              <w:right w:val="nil"/>
            </w:tcBorders>
          </w:tcPr>
          <w:p w14:paraId="102E69F0"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 xml:space="preserve">Mariage duration </w:t>
            </w:r>
          </w:p>
        </w:tc>
        <w:tc>
          <w:tcPr>
            <w:tcW w:w="1560" w:type="dxa"/>
            <w:tcBorders>
              <w:left w:val="nil"/>
              <w:bottom w:val="nil"/>
              <w:right w:val="nil"/>
            </w:tcBorders>
          </w:tcPr>
          <w:p w14:paraId="5FA2D056"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041F5D45" w14:textId="77777777" w:rsidR="00AE324A" w:rsidRDefault="00AE324A">
            <w:pPr>
              <w:rPr>
                <w:rFonts w:ascii="Arial" w:eastAsiaTheme="minorHAnsi" w:hAnsi="Arial" w:cs="Arial"/>
                <w:kern w:val="2"/>
                <w:sz w:val="20"/>
                <w:szCs w:val="20"/>
              </w:rPr>
            </w:pPr>
          </w:p>
        </w:tc>
      </w:tr>
      <w:tr w:rsidR="00AE324A" w14:paraId="7A80313C" w14:textId="77777777">
        <w:tc>
          <w:tcPr>
            <w:tcW w:w="5103" w:type="dxa"/>
            <w:tcBorders>
              <w:top w:val="nil"/>
              <w:bottom w:val="nil"/>
              <w:right w:val="nil"/>
            </w:tcBorders>
          </w:tcPr>
          <w:p w14:paraId="2564EBBF"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&lt; 15 years</w:t>
            </w:r>
          </w:p>
        </w:tc>
        <w:tc>
          <w:tcPr>
            <w:tcW w:w="1560" w:type="dxa"/>
            <w:tcBorders>
              <w:top w:val="nil"/>
              <w:left w:val="nil"/>
              <w:bottom w:val="nil"/>
              <w:right w:val="nil"/>
            </w:tcBorders>
          </w:tcPr>
          <w:p w14:paraId="2BB4D0CF"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172</w:t>
            </w:r>
          </w:p>
        </w:tc>
        <w:tc>
          <w:tcPr>
            <w:tcW w:w="1701" w:type="dxa"/>
            <w:tcBorders>
              <w:top w:val="nil"/>
              <w:left w:val="nil"/>
              <w:bottom w:val="nil"/>
            </w:tcBorders>
          </w:tcPr>
          <w:p w14:paraId="52BB678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47.6</w:t>
            </w:r>
          </w:p>
        </w:tc>
      </w:tr>
      <w:tr w:rsidR="00AE324A" w14:paraId="438D6082" w14:textId="77777777">
        <w:tc>
          <w:tcPr>
            <w:tcW w:w="5103" w:type="dxa"/>
            <w:tcBorders>
              <w:top w:val="nil"/>
              <w:right w:val="nil"/>
            </w:tcBorders>
          </w:tcPr>
          <w:p w14:paraId="22EDC0A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 15 years</w:t>
            </w:r>
          </w:p>
        </w:tc>
        <w:tc>
          <w:tcPr>
            <w:tcW w:w="1560" w:type="dxa"/>
            <w:tcBorders>
              <w:top w:val="nil"/>
              <w:left w:val="nil"/>
              <w:right w:val="nil"/>
            </w:tcBorders>
          </w:tcPr>
          <w:p w14:paraId="1604E29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189</w:t>
            </w:r>
          </w:p>
        </w:tc>
        <w:tc>
          <w:tcPr>
            <w:tcW w:w="1701" w:type="dxa"/>
            <w:tcBorders>
              <w:top w:val="nil"/>
              <w:left w:val="nil"/>
            </w:tcBorders>
          </w:tcPr>
          <w:p w14:paraId="5475BAD5"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52.4</w:t>
            </w:r>
          </w:p>
        </w:tc>
      </w:tr>
      <w:tr w:rsidR="00AE324A" w14:paraId="1DB85D2D" w14:textId="77777777">
        <w:tc>
          <w:tcPr>
            <w:tcW w:w="5103" w:type="dxa"/>
            <w:tcBorders>
              <w:bottom w:val="single" w:sz="4" w:space="0" w:color="auto"/>
              <w:right w:val="nil"/>
            </w:tcBorders>
          </w:tcPr>
          <w:p w14:paraId="21BC40FB"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Clinical parameters</w:t>
            </w:r>
          </w:p>
        </w:tc>
        <w:tc>
          <w:tcPr>
            <w:tcW w:w="1560" w:type="dxa"/>
            <w:tcBorders>
              <w:left w:val="nil"/>
              <w:bottom w:val="single" w:sz="4" w:space="0" w:color="auto"/>
              <w:right w:val="nil"/>
            </w:tcBorders>
          </w:tcPr>
          <w:p w14:paraId="4E15AA49" w14:textId="77777777" w:rsidR="00AE324A" w:rsidRDefault="00AE324A">
            <w:pPr>
              <w:rPr>
                <w:rFonts w:ascii="Arial" w:eastAsiaTheme="minorHAnsi" w:hAnsi="Arial" w:cs="Arial"/>
                <w:kern w:val="2"/>
                <w:sz w:val="20"/>
                <w:szCs w:val="20"/>
              </w:rPr>
            </w:pPr>
          </w:p>
        </w:tc>
        <w:tc>
          <w:tcPr>
            <w:tcW w:w="1701" w:type="dxa"/>
            <w:tcBorders>
              <w:left w:val="nil"/>
              <w:bottom w:val="single" w:sz="4" w:space="0" w:color="auto"/>
            </w:tcBorders>
          </w:tcPr>
          <w:p w14:paraId="303288D7" w14:textId="77777777" w:rsidR="00AE324A" w:rsidRDefault="00AE324A">
            <w:pPr>
              <w:rPr>
                <w:rFonts w:ascii="Arial" w:eastAsiaTheme="minorHAnsi" w:hAnsi="Arial" w:cs="Arial"/>
                <w:kern w:val="2"/>
                <w:sz w:val="20"/>
                <w:szCs w:val="20"/>
              </w:rPr>
            </w:pPr>
          </w:p>
        </w:tc>
      </w:tr>
      <w:tr w:rsidR="00AE324A" w14:paraId="12FD2D94" w14:textId="77777777">
        <w:tc>
          <w:tcPr>
            <w:tcW w:w="5103" w:type="dxa"/>
            <w:tcBorders>
              <w:bottom w:val="nil"/>
              <w:right w:val="nil"/>
            </w:tcBorders>
          </w:tcPr>
          <w:p w14:paraId="44DB3C3F"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Frequency of sexual intercourse per week</w:t>
            </w:r>
          </w:p>
        </w:tc>
        <w:tc>
          <w:tcPr>
            <w:tcW w:w="1560" w:type="dxa"/>
            <w:tcBorders>
              <w:left w:val="nil"/>
              <w:bottom w:val="nil"/>
              <w:right w:val="nil"/>
            </w:tcBorders>
          </w:tcPr>
          <w:p w14:paraId="29A31FDE"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720A5F76" w14:textId="77777777" w:rsidR="00AE324A" w:rsidRDefault="00AE324A">
            <w:pPr>
              <w:rPr>
                <w:rFonts w:ascii="Arial" w:eastAsiaTheme="minorHAnsi" w:hAnsi="Arial" w:cs="Arial"/>
                <w:kern w:val="2"/>
                <w:sz w:val="20"/>
                <w:szCs w:val="20"/>
              </w:rPr>
            </w:pPr>
          </w:p>
        </w:tc>
      </w:tr>
      <w:tr w:rsidR="00AE324A" w14:paraId="71094374" w14:textId="77777777">
        <w:tc>
          <w:tcPr>
            <w:tcW w:w="5103" w:type="dxa"/>
            <w:tcBorders>
              <w:top w:val="nil"/>
              <w:bottom w:val="nil"/>
              <w:right w:val="nil"/>
            </w:tcBorders>
          </w:tcPr>
          <w:p w14:paraId="15CA360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 xml:space="preserve">1-2 times </w:t>
            </w:r>
          </w:p>
        </w:tc>
        <w:tc>
          <w:tcPr>
            <w:tcW w:w="1560" w:type="dxa"/>
            <w:tcBorders>
              <w:top w:val="nil"/>
              <w:left w:val="nil"/>
              <w:bottom w:val="nil"/>
              <w:right w:val="nil"/>
            </w:tcBorders>
          </w:tcPr>
          <w:p w14:paraId="0988357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306</w:t>
            </w:r>
          </w:p>
        </w:tc>
        <w:tc>
          <w:tcPr>
            <w:tcW w:w="1701" w:type="dxa"/>
            <w:tcBorders>
              <w:top w:val="nil"/>
              <w:left w:val="nil"/>
              <w:bottom w:val="nil"/>
            </w:tcBorders>
          </w:tcPr>
          <w:p w14:paraId="4976E3AD"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84.8</w:t>
            </w:r>
          </w:p>
        </w:tc>
      </w:tr>
      <w:tr w:rsidR="00AE324A" w14:paraId="1B58ACB1" w14:textId="77777777">
        <w:tc>
          <w:tcPr>
            <w:tcW w:w="5103" w:type="dxa"/>
            <w:tcBorders>
              <w:top w:val="nil"/>
              <w:bottom w:val="single" w:sz="4" w:space="0" w:color="auto"/>
              <w:right w:val="nil"/>
            </w:tcBorders>
          </w:tcPr>
          <w:p w14:paraId="0B6DB0A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 xml:space="preserve">&gt; 2 times </w:t>
            </w:r>
          </w:p>
        </w:tc>
        <w:tc>
          <w:tcPr>
            <w:tcW w:w="1560" w:type="dxa"/>
            <w:tcBorders>
              <w:top w:val="nil"/>
              <w:left w:val="nil"/>
              <w:bottom w:val="single" w:sz="4" w:space="0" w:color="auto"/>
              <w:right w:val="nil"/>
            </w:tcBorders>
          </w:tcPr>
          <w:p w14:paraId="0A1EC5B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55</w:t>
            </w:r>
          </w:p>
        </w:tc>
        <w:tc>
          <w:tcPr>
            <w:tcW w:w="1701" w:type="dxa"/>
            <w:tcBorders>
              <w:top w:val="nil"/>
              <w:left w:val="nil"/>
              <w:bottom w:val="single" w:sz="4" w:space="0" w:color="auto"/>
            </w:tcBorders>
          </w:tcPr>
          <w:p w14:paraId="5993EF85"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15.2</w:t>
            </w:r>
          </w:p>
        </w:tc>
      </w:tr>
      <w:tr w:rsidR="00AE324A" w14:paraId="621CEEB3" w14:textId="77777777">
        <w:tc>
          <w:tcPr>
            <w:tcW w:w="5103" w:type="dxa"/>
            <w:tcBorders>
              <w:bottom w:val="nil"/>
              <w:right w:val="nil"/>
            </w:tcBorders>
          </w:tcPr>
          <w:p w14:paraId="33E5C0F1"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Reproductive phase</w:t>
            </w:r>
          </w:p>
        </w:tc>
        <w:tc>
          <w:tcPr>
            <w:tcW w:w="1560" w:type="dxa"/>
            <w:tcBorders>
              <w:left w:val="nil"/>
              <w:bottom w:val="nil"/>
              <w:right w:val="nil"/>
            </w:tcBorders>
          </w:tcPr>
          <w:p w14:paraId="1027B1B3"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5DD8D2D4" w14:textId="77777777" w:rsidR="00AE324A" w:rsidRDefault="00AE324A">
            <w:pPr>
              <w:rPr>
                <w:rFonts w:ascii="Arial" w:eastAsiaTheme="minorHAnsi" w:hAnsi="Arial" w:cs="Arial"/>
                <w:kern w:val="2"/>
                <w:sz w:val="20"/>
                <w:szCs w:val="20"/>
              </w:rPr>
            </w:pPr>
          </w:p>
        </w:tc>
      </w:tr>
      <w:tr w:rsidR="00AE324A" w14:paraId="71802545" w14:textId="77777777">
        <w:tc>
          <w:tcPr>
            <w:tcW w:w="5103" w:type="dxa"/>
            <w:tcBorders>
              <w:top w:val="nil"/>
              <w:bottom w:val="nil"/>
              <w:right w:val="nil"/>
            </w:tcBorders>
          </w:tcPr>
          <w:p w14:paraId="0AFE212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Pre-menopause</w:t>
            </w:r>
          </w:p>
        </w:tc>
        <w:tc>
          <w:tcPr>
            <w:tcW w:w="1560" w:type="dxa"/>
            <w:tcBorders>
              <w:top w:val="nil"/>
              <w:left w:val="nil"/>
              <w:bottom w:val="nil"/>
              <w:right w:val="nil"/>
            </w:tcBorders>
          </w:tcPr>
          <w:p w14:paraId="524A534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205</w:t>
            </w:r>
          </w:p>
        </w:tc>
        <w:tc>
          <w:tcPr>
            <w:tcW w:w="1701" w:type="dxa"/>
            <w:tcBorders>
              <w:top w:val="nil"/>
              <w:left w:val="nil"/>
              <w:bottom w:val="nil"/>
            </w:tcBorders>
          </w:tcPr>
          <w:p w14:paraId="086A4FB2"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56.8</w:t>
            </w:r>
          </w:p>
        </w:tc>
      </w:tr>
      <w:tr w:rsidR="00AE324A" w14:paraId="6C230262" w14:textId="77777777">
        <w:tc>
          <w:tcPr>
            <w:tcW w:w="5103" w:type="dxa"/>
            <w:tcBorders>
              <w:top w:val="nil"/>
              <w:bottom w:val="nil"/>
              <w:right w:val="nil"/>
            </w:tcBorders>
          </w:tcPr>
          <w:p w14:paraId="5C22BE7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Perimenopause</w:t>
            </w:r>
          </w:p>
        </w:tc>
        <w:tc>
          <w:tcPr>
            <w:tcW w:w="1560" w:type="dxa"/>
            <w:tcBorders>
              <w:top w:val="nil"/>
              <w:left w:val="nil"/>
              <w:bottom w:val="nil"/>
              <w:right w:val="nil"/>
            </w:tcBorders>
          </w:tcPr>
          <w:p w14:paraId="3BF141AE"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35</w:t>
            </w:r>
          </w:p>
        </w:tc>
        <w:tc>
          <w:tcPr>
            <w:tcW w:w="1701" w:type="dxa"/>
            <w:tcBorders>
              <w:top w:val="nil"/>
              <w:left w:val="nil"/>
              <w:bottom w:val="nil"/>
            </w:tcBorders>
          </w:tcPr>
          <w:p w14:paraId="31718C60"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9.7</w:t>
            </w:r>
          </w:p>
        </w:tc>
      </w:tr>
      <w:tr w:rsidR="00AE324A" w14:paraId="6B126923" w14:textId="77777777">
        <w:tc>
          <w:tcPr>
            <w:tcW w:w="5103" w:type="dxa"/>
            <w:tcBorders>
              <w:top w:val="nil"/>
              <w:bottom w:val="single" w:sz="4" w:space="0" w:color="auto"/>
              <w:right w:val="nil"/>
            </w:tcBorders>
          </w:tcPr>
          <w:p w14:paraId="161F5CB2"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Menopause</w:t>
            </w:r>
          </w:p>
        </w:tc>
        <w:tc>
          <w:tcPr>
            <w:tcW w:w="1560" w:type="dxa"/>
            <w:tcBorders>
              <w:top w:val="nil"/>
              <w:left w:val="nil"/>
              <w:bottom w:val="single" w:sz="4" w:space="0" w:color="auto"/>
              <w:right w:val="nil"/>
            </w:tcBorders>
          </w:tcPr>
          <w:p w14:paraId="4C33CC2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121</w:t>
            </w:r>
          </w:p>
        </w:tc>
        <w:tc>
          <w:tcPr>
            <w:tcW w:w="1701" w:type="dxa"/>
            <w:tcBorders>
              <w:top w:val="nil"/>
              <w:left w:val="nil"/>
              <w:bottom w:val="single" w:sz="4" w:space="0" w:color="auto"/>
            </w:tcBorders>
          </w:tcPr>
          <w:p w14:paraId="7A2B52BF"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33.5</w:t>
            </w:r>
          </w:p>
        </w:tc>
      </w:tr>
      <w:tr w:rsidR="00AE324A" w14:paraId="761C2FEE" w14:textId="77777777">
        <w:tc>
          <w:tcPr>
            <w:tcW w:w="5103" w:type="dxa"/>
            <w:tcBorders>
              <w:bottom w:val="nil"/>
              <w:right w:val="nil"/>
            </w:tcBorders>
          </w:tcPr>
          <w:p w14:paraId="3C585861"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 xml:space="preserve">Presence of comorbidities </w:t>
            </w:r>
          </w:p>
          <w:p w14:paraId="24435409"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 xml:space="preserve">(diabetes, hypertension, dyslipidemia, </w:t>
            </w:r>
            <w:proofErr w:type="spellStart"/>
            <w:r>
              <w:rPr>
                <w:rFonts w:ascii="Arial" w:eastAsiaTheme="minorHAnsi" w:hAnsi="Arial" w:cs="Arial"/>
                <w:b/>
                <w:bCs/>
                <w:kern w:val="2"/>
                <w:sz w:val="20"/>
                <w:szCs w:val="20"/>
              </w:rPr>
              <w:t>ischaemic</w:t>
            </w:r>
            <w:proofErr w:type="spellEnd"/>
            <w:r>
              <w:rPr>
                <w:rFonts w:ascii="Arial" w:eastAsiaTheme="minorHAnsi" w:hAnsi="Arial" w:cs="Arial"/>
                <w:b/>
                <w:bCs/>
                <w:kern w:val="2"/>
                <w:sz w:val="20"/>
                <w:szCs w:val="20"/>
              </w:rPr>
              <w:t xml:space="preserve"> heart disease, stroke, pulmonary disease)</w:t>
            </w:r>
          </w:p>
        </w:tc>
        <w:tc>
          <w:tcPr>
            <w:tcW w:w="1560" w:type="dxa"/>
            <w:tcBorders>
              <w:left w:val="nil"/>
              <w:bottom w:val="nil"/>
              <w:right w:val="nil"/>
            </w:tcBorders>
          </w:tcPr>
          <w:p w14:paraId="45FBAC18"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6305F1DA" w14:textId="77777777" w:rsidR="00AE324A" w:rsidRDefault="00AE324A">
            <w:pPr>
              <w:rPr>
                <w:rFonts w:ascii="Arial" w:eastAsiaTheme="minorHAnsi" w:hAnsi="Arial" w:cs="Arial"/>
                <w:kern w:val="2"/>
                <w:sz w:val="20"/>
                <w:szCs w:val="20"/>
              </w:rPr>
            </w:pPr>
          </w:p>
        </w:tc>
      </w:tr>
      <w:tr w:rsidR="00AE324A" w14:paraId="3916BD2B" w14:textId="77777777">
        <w:tc>
          <w:tcPr>
            <w:tcW w:w="5103" w:type="dxa"/>
            <w:tcBorders>
              <w:top w:val="nil"/>
              <w:bottom w:val="nil"/>
              <w:right w:val="nil"/>
            </w:tcBorders>
          </w:tcPr>
          <w:p w14:paraId="3267A15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4CA5656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212</w:t>
            </w:r>
          </w:p>
        </w:tc>
        <w:tc>
          <w:tcPr>
            <w:tcW w:w="1701" w:type="dxa"/>
            <w:tcBorders>
              <w:top w:val="nil"/>
              <w:left w:val="nil"/>
              <w:bottom w:val="nil"/>
            </w:tcBorders>
          </w:tcPr>
          <w:p w14:paraId="002F7E8E"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41.3</w:t>
            </w:r>
          </w:p>
        </w:tc>
      </w:tr>
      <w:tr w:rsidR="00AE324A" w14:paraId="69B90894" w14:textId="77777777">
        <w:tc>
          <w:tcPr>
            <w:tcW w:w="5103" w:type="dxa"/>
            <w:tcBorders>
              <w:top w:val="nil"/>
              <w:bottom w:val="single" w:sz="4" w:space="0" w:color="auto"/>
              <w:right w:val="nil"/>
            </w:tcBorders>
          </w:tcPr>
          <w:p w14:paraId="3863DB3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Yes</w:t>
            </w:r>
          </w:p>
        </w:tc>
        <w:tc>
          <w:tcPr>
            <w:tcW w:w="1560" w:type="dxa"/>
            <w:tcBorders>
              <w:top w:val="nil"/>
              <w:left w:val="nil"/>
              <w:bottom w:val="single" w:sz="4" w:space="0" w:color="auto"/>
              <w:right w:val="nil"/>
            </w:tcBorders>
          </w:tcPr>
          <w:p w14:paraId="69DD7E8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149</w:t>
            </w:r>
          </w:p>
        </w:tc>
        <w:tc>
          <w:tcPr>
            <w:tcW w:w="1701" w:type="dxa"/>
            <w:tcBorders>
              <w:top w:val="nil"/>
              <w:left w:val="nil"/>
              <w:bottom w:val="single" w:sz="4" w:space="0" w:color="auto"/>
            </w:tcBorders>
          </w:tcPr>
          <w:p w14:paraId="714B1D8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58.7</w:t>
            </w:r>
          </w:p>
        </w:tc>
      </w:tr>
      <w:tr w:rsidR="00AE324A" w14:paraId="76D32F99" w14:textId="77777777">
        <w:tc>
          <w:tcPr>
            <w:tcW w:w="5103" w:type="dxa"/>
            <w:tcBorders>
              <w:bottom w:val="nil"/>
              <w:right w:val="nil"/>
            </w:tcBorders>
          </w:tcPr>
          <w:p w14:paraId="7A8B00AF"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Had a urogenital procedure or surgery</w:t>
            </w:r>
          </w:p>
        </w:tc>
        <w:tc>
          <w:tcPr>
            <w:tcW w:w="1560" w:type="dxa"/>
            <w:tcBorders>
              <w:left w:val="nil"/>
              <w:bottom w:val="nil"/>
              <w:right w:val="nil"/>
            </w:tcBorders>
          </w:tcPr>
          <w:p w14:paraId="41A6417F"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222B6BCC" w14:textId="77777777" w:rsidR="00AE324A" w:rsidRDefault="00AE324A">
            <w:pPr>
              <w:rPr>
                <w:rFonts w:ascii="Arial" w:eastAsiaTheme="minorHAnsi" w:hAnsi="Arial" w:cs="Arial"/>
                <w:kern w:val="2"/>
                <w:sz w:val="20"/>
                <w:szCs w:val="20"/>
              </w:rPr>
            </w:pPr>
          </w:p>
        </w:tc>
      </w:tr>
      <w:tr w:rsidR="00AE324A" w14:paraId="40CF9C4B" w14:textId="77777777">
        <w:tc>
          <w:tcPr>
            <w:tcW w:w="5103" w:type="dxa"/>
            <w:tcBorders>
              <w:top w:val="nil"/>
              <w:bottom w:val="nil"/>
              <w:right w:val="nil"/>
            </w:tcBorders>
          </w:tcPr>
          <w:p w14:paraId="1ED5ED2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0FF7D2A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335</w:t>
            </w:r>
          </w:p>
        </w:tc>
        <w:tc>
          <w:tcPr>
            <w:tcW w:w="1701" w:type="dxa"/>
            <w:tcBorders>
              <w:top w:val="nil"/>
              <w:left w:val="nil"/>
              <w:bottom w:val="nil"/>
            </w:tcBorders>
          </w:tcPr>
          <w:p w14:paraId="31591035"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92.8</w:t>
            </w:r>
          </w:p>
        </w:tc>
      </w:tr>
      <w:tr w:rsidR="00AE324A" w14:paraId="2A48EB11" w14:textId="77777777">
        <w:tc>
          <w:tcPr>
            <w:tcW w:w="5103" w:type="dxa"/>
            <w:tcBorders>
              <w:top w:val="nil"/>
              <w:bottom w:val="single" w:sz="4" w:space="0" w:color="auto"/>
              <w:right w:val="nil"/>
            </w:tcBorders>
          </w:tcPr>
          <w:p w14:paraId="77ABB75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Yes</w:t>
            </w:r>
          </w:p>
        </w:tc>
        <w:tc>
          <w:tcPr>
            <w:tcW w:w="1560" w:type="dxa"/>
            <w:tcBorders>
              <w:top w:val="nil"/>
              <w:left w:val="nil"/>
              <w:bottom w:val="single" w:sz="4" w:space="0" w:color="auto"/>
              <w:right w:val="nil"/>
            </w:tcBorders>
          </w:tcPr>
          <w:p w14:paraId="11A4A8F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26</w:t>
            </w:r>
          </w:p>
        </w:tc>
        <w:tc>
          <w:tcPr>
            <w:tcW w:w="1701" w:type="dxa"/>
            <w:tcBorders>
              <w:top w:val="nil"/>
              <w:left w:val="nil"/>
              <w:bottom w:val="single" w:sz="4" w:space="0" w:color="auto"/>
            </w:tcBorders>
          </w:tcPr>
          <w:p w14:paraId="74F30663"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7.2</w:t>
            </w:r>
          </w:p>
        </w:tc>
      </w:tr>
      <w:tr w:rsidR="00AE324A" w14:paraId="246CD728" w14:textId="77777777">
        <w:tc>
          <w:tcPr>
            <w:tcW w:w="5103" w:type="dxa"/>
            <w:tcBorders>
              <w:bottom w:val="nil"/>
              <w:right w:val="nil"/>
            </w:tcBorders>
          </w:tcPr>
          <w:p w14:paraId="4A6EC29E"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lastRenderedPageBreak/>
              <w:t xml:space="preserve">Presence of urogenital symptoms </w:t>
            </w:r>
          </w:p>
          <w:p w14:paraId="162D0044" w14:textId="77777777" w:rsidR="00AE324A" w:rsidRDefault="004A746B">
            <w:pPr>
              <w:rPr>
                <w:rFonts w:ascii="Arial" w:eastAsiaTheme="minorHAnsi" w:hAnsi="Arial" w:cs="Arial"/>
                <w:kern w:val="2"/>
                <w:sz w:val="20"/>
                <w:szCs w:val="20"/>
              </w:rPr>
            </w:pPr>
            <w:r>
              <w:rPr>
                <w:rFonts w:ascii="Arial" w:eastAsiaTheme="minorHAnsi" w:hAnsi="Arial" w:cs="Arial"/>
                <w:b/>
                <w:bCs/>
                <w:kern w:val="2"/>
                <w:sz w:val="20"/>
                <w:szCs w:val="20"/>
              </w:rPr>
              <w:t>(lower urinary tract symptoms, vaginal dryness, dyspareunia)</w:t>
            </w:r>
          </w:p>
        </w:tc>
        <w:tc>
          <w:tcPr>
            <w:tcW w:w="1560" w:type="dxa"/>
            <w:tcBorders>
              <w:left w:val="nil"/>
              <w:bottom w:val="nil"/>
              <w:right w:val="nil"/>
            </w:tcBorders>
          </w:tcPr>
          <w:p w14:paraId="576FF483"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7D042E30" w14:textId="77777777" w:rsidR="00AE324A" w:rsidRDefault="00AE324A">
            <w:pPr>
              <w:rPr>
                <w:rFonts w:ascii="Arial" w:eastAsiaTheme="minorHAnsi" w:hAnsi="Arial" w:cs="Arial"/>
                <w:kern w:val="2"/>
                <w:sz w:val="20"/>
                <w:szCs w:val="20"/>
              </w:rPr>
            </w:pPr>
          </w:p>
        </w:tc>
      </w:tr>
      <w:tr w:rsidR="00AE324A" w14:paraId="2609625B" w14:textId="77777777">
        <w:tc>
          <w:tcPr>
            <w:tcW w:w="5103" w:type="dxa"/>
            <w:tcBorders>
              <w:top w:val="nil"/>
              <w:bottom w:val="nil"/>
              <w:right w:val="nil"/>
            </w:tcBorders>
          </w:tcPr>
          <w:p w14:paraId="7E86ECC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1936609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318</w:t>
            </w:r>
          </w:p>
        </w:tc>
        <w:tc>
          <w:tcPr>
            <w:tcW w:w="1701" w:type="dxa"/>
            <w:tcBorders>
              <w:top w:val="nil"/>
              <w:left w:val="nil"/>
              <w:bottom w:val="nil"/>
            </w:tcBorders>
          </w:tcPr>
          <w:p w14:paraId="56235F3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88.1</w:t>
            </w:r>
          </w:p>
        </w:tc>
      </w:tr>
      <w:tr w:rsidR="00AE324A" w14:paraId="0A0589C8" w14:textId="77777777">
        <w:tc>
          <w:tcPr>
            <w:tcW w:w="5103" w:type="dxa"/>
            <w:tcBorders>
              <w:top w:val="nil"/>
              <w:bottom w:val="single" w:sz="4" w:space="0" w:color="auto"/>
              <w:right w:val="nil"/>
            </w:tcBorders>
          </w:tcPr>
          <w:p w14:paraId="510F039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Yes</w:t>
            </w:r>
          </w:p>
        </w:tc>
        <w:tc>
          <w:tcPr>
            <w:tcW w:w="1560" w:type="dxa"/>
            <w:tcBorders>
              <w:top w:val="nil"/>
              <w:left w:val="nil"/>
              <w:bottom w:val="single" w:sz="4" w:space="0" w:color="auto"/>
              <w:right w:val="nil"/>
            </w:tcBorders>
          </w:tcPr>
          <w:p w14:paraId="4808A89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43</w:t>
            </w:r>
          </w:p>
        </w:tc>
        <w:tc>
          <w:tcPr>
            <w:tcW w:w="1701" w:type="dxa"/>
            <w:tcBorders>
              <w:top w:val="nil"/>
              <w:left w:val="nil"/>
              <w:bottom w:val="single" w:sz="4" w:space="0" w:color="auto"/>
            </w:tcBorders>
          </w:tcPr>
          <w:p w14:paraId="0F389DA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11.9</w:t>
            </w:r>
          </w:p>
        </w:tc>
      </w:tr>
      <w:tr w:rsidR="00AE324A" w14:paraId="4B71C230" w14:textId="77777777">
        <w:tc>
          <w:tcPr>
            <w:tcW w:w="5103" w:type="dxa"/>
            <w:tcBorders>
              <w:bottom w:val="nil"/>
              <w:right w:val="nil"/>
            </w:tcBorders>
          </w:tcPr>
          <w:p w14:paraId="11837D46"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 xml:space="preserve">Spouse with sexual dysfunction </w:t>
            </w:r>
          </w:p>
        </w:tc>
        <w:tc>
          <w:tcPr>
            <w:tcW w:w="1560" w:type="dxa"/>
            <w:tcBorders>
              <w:left w:val="nil"/>
              <w:bottom w:val="nil"/>
              <w:right w:val="nil"/>
            </w:tcBorders>
          </w:tcPr>
          <w:p w14:paraId="7C69A212"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7B7B7CDA" w14:textId="77777777" w:rsidR="00AE324A" w:rsidRDefault="00AE324A">
            <w:pPr>
              <w:rPr>
                <w:rFonts w:ascii="Arial" w:eastAsiaTheme="minorHAnsi" w:hAnsi="Arial" w:cs="Arial"/>
                <w:kern w:val="2"/>
                <w:sz w:val="20"/>
                <w:szCs w:val="20"/>
              </w:rPr>
            </w:pPr>
          </w:p>
        </w:tc>
      </w:tr>
      <w:tr w:rsidR="00AE324A" w14:paraId="667A884F" w14:textId="77777777">
        <w:tc>
          <w:tcPr>
            <w:tcW w:w="5103" w:type="dxa"/>
            <w:tcBorders>
              <w:top w:val="nil"/>
              <w:bottom w:val="nil"/>
              <w:right w:val="nil"/>
            </w:tcBorders>
          </w:tcPr>
          <w:p w14:paraId="6633832D"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613C4A1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295</w:t>
            </w:r>
          </w:p>
        </w:tc>
        <w:tc>
          <w:tcPr>
            <w:tcW w:w="1701" w:type="dxa"/>
            <w:tcBorders>
              <w:top w:val="nil"/>
              <w:left w:val="nil"/>
              <w:bottom w:val="nil"/>
            </w:tcBorders>
          </w:tcPr>
          <w:p w14:paraId="60F307AE"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81.7</w:t>
            </w:r>
          </w:p>
        </w:tc>
      </w:tr>
      <w:tr w:rsidR="00AE324A" w14:paraId="6F141B62" w14:textId="77777777">
        <w:tc>
          <w:tcPr>
            <w:tcW w:w="5103" w:type="dxa"/>
            <w:tcBorders>
              <w:top w:val="nil"/>
              <w:bottom w:val="single" w:sz="4" w:space="0" w:color="auto"/>
              <w:right w:val="nil"/>
            </w:tcBorders>
          </w:tcPr>
          <w:p w14:paraId="05CC205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Yes</w:t>
            </w:r>
          </w:p>
        </w:tc>
        <w:tc>
          <w:tcPr>
            <w:tcW w:w="1560" w:type="dxa"/>
            <w:tcBorders>
              <w:top w:val="nil"/>
              <w:left w:val="nil"/>
              <w:bottom w:val="single" w:sz="4" w:space="0" w:color="auto"/>
              <w:right w:val="nil"/>
            </w:tcBorders>
          </w:tcPr>
          <w:p w14:paraId="03012A5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66</w:t>
            </w:r>
          </w:p>
        </w:tc>
        <w:tc>
          <w:tcPr>
            <w:tcW w:w="1701" w:type="dxa"/>
            <w:tcBorders>
              <w:top w:val="nil"/>
              <w:left w:val="nil"/>
              <w:bottom w:val="single" w:sz="4" w:space="0" w:color="auto"/>
            </w:tcBorders>
          </w:tcPr>
          <w:p w14:paraId="5EC2B7D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18.3</w:t>
            </w:r>
          </w:p>
        </w:tc>
      </w:tr>
      <w:tr w:rsidR="00AE324A" w14:paraId="53934EC4" w14:textId="77777777">
        <w:tc>
          <w:tcPr>
            <w:tcW w:w="5103" w:type="dxa"/>
            <w:tcBorders>
              <w:bottom w:val="nil"/>
              <w:right w:val="nil"/>
            </w:tcBorders>
          </w:tcPr>
          <w:p w14:paraId="716B72BD" w14:textId="77777777" w:rsidR="00AE324A" w:rsidRDefault="004A746B">
            <w:pPr>
              <w:rPr>
                <w:rFonts w:ascii="Arial" w:eastAsiaTheme="minorHAnsi" w:hAnsi="Arial" w:cs="Arial"/>
                <w:b/>
                <w:bCs/>
                <w:kern w:val="2"/>
                <w:sz w:val="20"/>
                <w:szCs w:val="20"/>
              </w:rPr>
            </w:pPr>
            <w:r>
              <w:rPr>
                <w:rFonts w:ascii="Arial" w:eastAsiaTheme="minorHAnsi" w:hAnsi="Arial" w:cs="Arial"/>
                <w:b/>
                <w:bCs/>
                <w:kern w:val="2"/>
                <w:sz w:val="20"/>
                <w:szCs w:val="20"/>
              </w:rPr>
              <w:t xml:space="preserve">Presence of depression </w:t>
            </w:r>
          </w:p>
          <w:p w14:paraId="421DAB7B"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(Patient Health Questionnaire)</w:t>
            </w:r>
          </w:p>
        </w:tc>
        <w:tc>
          <w:tcPr>
            <w:tcW w:w="1560" w:type="dxa"/>
            <w:tcBorders>
              <w:left w:val="nil"/>
              <w:bottom w:val="nil"/>
              <w:right w:val="nil"/>
            </w:tcBorders>
          </w:tcPr>
          <w:p w14:paraId="07485A0A"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7DB2E8A0" w14:textId="77777777" w:rsidR="00AE324A" w:rsidRDefault="00AE324A">
            <w:pPr>
              <w:rPr>
                <w:rFonts w:ascii="Arial" w:eastAsiaTheme="minorHAnsi" w:hAnsi="Arial" w:cs="Arial"/>
                <w:kern w:val="2"/>
                <w:sz w:val="20"/>
                <w:szCs w:val="20"/>
              </w:rPr>
            </w:pPr>
          </w:p>
        </w:tc>
      </w:tr>
      <w:tr w:rsidR="00AE324A" w14:paraId="3F5538BB" w14:textId="77777777">
        <w:tc>
          <w:tcPr>
            <w:tcW w:w="5103" w:type="dxa"/>
            <w:tcBorders>
              <w:top w:val="nil"/>
              <w:bottom w:val="nil"/>
              <w:right w:val="nil"/>
            </w:tcBorders>
          </w:tcPr>
          <w:p w14:paraId="55418CC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4EC32E8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316</w:t>
            </w:r>
          </w:p>
        </w:tc>
        <w:tc>
          <w:tcPr>
            <w:tcW w:w="1701" w:type="dxa"/>
            <w:tcBorders>
              <w:top w:val="nil"/>
              <w:left w:val="nil"/>
              <w:bottom w:val="nil"/>
            </w:tcBorders>
          </w:tcPr>
          <w:p w14:paraId="30DD92C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87.5</w:t>
            </w:r>
          </w:p>
        </w:tc>
      </w:tr>
      <w:tr w:rsidR="00AE324A" w14:paraId="101F0AB1" w14:textId="77777777">
        <w:tc>
          <w:tcPr>
            <w:tcW w:w="5103" w:type="dxa"/>
            <w:tcBorders>
              <w:top w:val="nil"/>
              <w:bottom w:val="single" w:sz="4" w:space="0" w:color="auto"/>
              <w:right w:val="nil"/>
            </w:tcBorders>
          </w:tcPr>
          <w:p w14:paraId="436E469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Yes</w:t>
            </w:r>
          </w:p>
        </w:tc>
        <w:tc>
          <w:tcPr>
            <w:tcW w:w="1560" w:type="dxa"/>
            <w:tcBorders>
              <w:top w:val="nil"/>
              <w:left w:val="nil"/>
              <w:bottom w:val="single" w:sz="4" w:space="0" w:color="auto"/>
              <w:right w:val="nil"/>
            </w:tcBorders>
          </w:tcPr>
          <w:p w14:paraId="78979EFE"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45</w:t>
            </w:r>
          </w:p>
        </w:tc>
        <w:tc>
          <w:tcPr>
            <w:tcW w:w="1701" w:type="dxa"/>
            <w:tcBorders>
              <w:top w:val="nil"/>
              <w:left w:val="nil"/>
              <w:bottom w:val="single" w:sz="4" w:space="0" w:color="auto"/>
            </w:tcBorders>
          </w:tcPr>
          <w:p w14:paraId="6BBB6BAF"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12.5</w:t>
            </w:r>
          </w:p>
        </w:tc>
      </w:tr>
      <w:tr w:rsidR="00AE324A" w14:paraId="5A21BE31" w14:textId="77777777">
        <w:tc>
          <w:tcPr>
            <w:tcW w:w="5103" w:type="dxa"/>
            <w:tcBorders>
              <w:bottom w:val="nil"/>
              <w:right w:val="nil"/>
            </w:tcBorders>
          </w:tcPr>
          <w:p w14:paraId="11E9F45B" w14:textId="77777777" w:rsidR="00AE324A" w:rsidRDefault="004A746B">
            <w:pPr>
              <w:rPr>
                <w:rFonts w:ascii="Arial" w:eastAsiaTheme="minorHAnsi" w:hAnsi="Arial" w:cs="Arial"/>
                <w:b/>
                <w:bCs/>
                <w:kern w:val="2"/>
                <w:sz w:val="20"/>
                <w:szCs w:val="20"/>
              </w:rPr>
            </w:pPr>
            <w:r>
              <w:rPr>
                <w:rFonts w:ascii="Arial" w:eastAsiaTheme="minorHAnsi" w:hAnsi="Arial" w:cs="Arial"/>
                <w:b/>
                <w:bCs/>
                <w:kern w:val="2"/>
                <w:sz w:val="20"/>
                <w:szCs w:val="20"/>
              </w:rPr>
              <w:t xml:space="preserve">Presence of anxiety </w:t>
            </w:r>
          </w:p>
          <w:p w14:paraId="5750088B"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w:t>
            </w:r>
            <w:proofErr w:type="spellStart"/>
            <w:r>
              <w:rPr>
                <w:rFonts w:ascii="Arial" w:eastAsiaTheme="minorHAnsi" w:hAnsi="Arial" w:cs="Arial"/>
                <w:b/>
                <w:bCs/>
                <w:kern w:val="2"/>
                <w:sz w:val="20"/>
                <w:szCs w:val="20"/>
              </w:rPr>
              <w:t>Generalised</w:t>
            </w:r>
            <w:proofErr w:type="spellEnd"/>
            <w:r>
              <w:rPr>
                <w:rFonts w:ascii="Arial" w:eastAsiaTheme="minorHAnsi" w:hAnsi="Arial" w:cs="Arial"/>
                <w:b/>
                <w:bCs/>
                <w:kern w:val="2"/>
                <w:sz w:val="20"/>
                <w:szCs w:val="20"/>
              </w:rPr>
              <w:t xml:space="preserve"> Anxiety Disorder Questionnaire)</w:t>
            </w:r>
          </w:p>
        </w:tc>
        <w:tc>
          <w:tcPr>
            <w:tcW w:w="1560" w:type="dxa"/>
            <w:tcBorders>
              <w:left w:val="nil"/>
              <w:bottom w:val="nil"/>
              <w:right w:val="nil"/>
            </w:tcBorders>
          </w:tcPr>
          <w:p w14:paraId="3464B342"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163DC0FF" w14:textId="77777777" w:rsidR="00AE324A" w:rsidRDefault="00AE324A">
            <w:pPr>
              <w:rPr>
                <w:rFonts w:ascii="Arial" w:eastAsiaTheme="minorHAnsi" w:hAnsi="Arial" w:cs="Arial"/>
                <w:kern w:val="2"/>
                <w:sz w:val="20"/>
                <w:szCs w:val="20"/>
              </w:rPr>
            </w:pPr>
          </w:p>
        </w:tc>
      </w:tr>
      <w:tr w:rsidR="00AE324A" w14:paraId="3BC35244" w14:textId="77777777">
        <w:tc>
          <w:tcPr>
            <w:tcW w:w="5103" w:type="dxa"/>
            <w:tcBorders>
              <w:top w:val="nil"/>
              <w:bottom w:val="nil"/>
              <w:right w:val="nil"/>
            </w:tcBorders>
          </w:tcPr>
          <w:p w14:paraId="5B8A498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6334615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326</w:t>
            </w:r>
          </w:p>
        </w:tc>
        <w:tc>
          <w:tcPr>
            <w:tcW w:w="1701" w:type="dxa"/>
            <w:tcBorders>
              <w:top w:val="nil"/>
              <w:left w:val="nil"/>
              <w:bottom w:val="nil"/>
            </w:tcBorders>
          </w:tcPr>
          <w:p w14:paraId="6B872C8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90.3</w:t>
            </w:r>
          </w:p>
        </w:tc>
      </w:tr>
      <w:tr w:rsidR="00AE324A" w14:paraId="30611AAF" w14:textId="77777777">
        <w:tc>
          <w:tcPr>
            <w:tcW w:w="5103" w:type="dxa"/>
            <w:tcBorders>
              <w:top w:val="nil"/>
              <w:bottom w:val="nil"/>
              <w:right w:val="nil"/>
            </w:tcBorders>
          </w:tcPr>
          <w:p w14:paraId="4F37C8D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Yes</w:t>
            </w:r>
          </w:p>
        </w:tc>
        <w:tc>
          <w:tcPr>
            <w:tcW w:w="1560" w:type="dxa"/>
            <w:tcBorders>
              <w:top w:val="nil"/>
              <w:left w:val="nil"/>
              <w:bottom w:val="nil"/>
              <w:right w:val="nil"/>
            </w:tcBorders>
          </w:tcPr>
          <w:p w14:paraId="2A213E5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35</w:t>
            </w:r>
          </w:p>
        </w:tc>
        <w:tc>
          <w:tcPr>
            <w:tcW w:w="1701" w:type="dxa"/>
            <w:tcBorders>
              <w:top w:val="nil"/>
              <w:left w:val="nil"/>
              <w:bottom w:val="nil"/>
            </w:tcBorders>
          </w:tcPr>
          <w:p w14:paraId="5861861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9.7</w:t>
            </w:r>
          </w:p>
        </w:tc>
      </w:tr>
      <w:tr w:rsidR="00AE324A" w14:paraId="5F0E21CD" w14:textId="77777777">
        <w:tc>
          <w:tcPr>
            <w:tcW w:w="5103" w:type="dxa"/>
            <w:tcBorders>
              <w:bottom w:val="single" w:sz="4" w:space="0" w:color="auto"/>
              <w:right w:val="nil"/>
            </w:tcBorders>
          </w:tcPr>
          <w:p w14:paraId="1849839E"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 xml:space="preserve">Sexual </w:t>
            </w:r>
            <w:r>
              <w:rPr>
                <w:rFonts w:ascii="Arial" w:eastAsiaTheme="minorHAnsi" w:hAnsi="Arial" w:cs="Arial"/>
                <w:b/>
                <w:bCs/>
                <w:kern w:val="2"/>
                <w:sz w:val="20"/>
                <w:szCs w:val="20"/>
              </w:rPr>
              <w:t>dysfunction</w:t>
            </w:r>
          </w:p>
        </w:tc>
        <w:tc>
          <w:tcPr>
            <w:tcW w:w="1560" w:type="dxa"/>
            <w:tcBorders>
              <w:left w:val="nil"/>
              <w:bottom w:val="single" w:sz="4" w:space="0" w:color="auto"/>
              <w:right w:val="nil"/>
            </w:tcBorders>
          </w:tcPr>
          <w:p w14:paraId="574B0848" w14:textId="77777777" w:rsidR="00AE324A" w:rsidRDefault="00AE324A">
            <w:pPr>
              <w:rPr>
                <w:rFonts w:ascii="Arial" w:eastAsiaTheme="minorHAnsi" w:hAnsi="Arial" w:cs="Arial"/>
                <w:kern w:val="2"/>
                <w:sz w:val="20"/>
                <w:szCs w:val="20"/>
              </w:rPr>
            </w:pPr>
          </w:p>
        </w:tc>
        <w:tc>
          <w:tcPr>
            <w:tcW w:w="1701" w:type="dxa"/>
            <w:tcBorders>
              <w:left w:val="nil"/>
              <w:bottom w:val="single" w:sz="4" w:space="0" w:color="auto"/>
            </w:tcBorders>
          </w:tcPr>
          <w:p w14:paraId="7489A1B9" w14:textId="77777777" w:rsidR="00AE324A" w:rsidRDefault="00AE324A">
            <w:pPr>
              <w:rPr>
                <w:rFonts w:ascii="Arial" w:eastAsiaTheme="minorHAnsi" w:hAnsi="Arial" w:cs="Arial"/>
                <w:kern w:val="2"/>
                <w:sz w:val="20"/>
                <w:szCs w:val="20"/>
              </w:rPr>
            </w:pPr>
          </w:p>
        </w:tc>
      </w:tr>
      <w:tr w:rsidR="00AE324A" w14:paraId="2DAB9EF3" w14:textId="77777777">
        <w:tc>
          <w:tcPr>
            <w:tcW w:w="5103" w:type="dxa"/>
            <w:tcBorders>
              <w:bottom w:val="nil"/>
              <w:right w:val="nil"/>
            </w:tcBorders>
          </w:tcPr>
          <w:p w14:paraId="3C33AF62" w14:textId="77777777" w:rsidR="00AE324A" w:rsidRDefault="004A746B">
            <w:pPr>
              <w:rPr>
                <w:rFonts w:ascii="Arial" w:eastAsiaTheme="minorHAnsi" w:hAnsi="Arial" w:cs="Arial"/>
                <w:b/>
                <w:bCs/>
                <w:kern w:val="2"/>
                <w:sz w:val="20"/>
                <w:szCs w:val="20"/>
              </w:rPr>
            </w:pPr>
            <w:r>
              <w:rPr>
                <w:rFonts w:ascii="Arial" w:eastAsiaTheme="minorHAnsi" w:hAnsi="Arial" w:cs="Arial"/>
                <w:b/>
                <w:bCs/>
                <w:kern w:val="2"/>
                <w:sz w:val="20"/>
                <w:szCs w:val="20"/>
              </w:rPr>
              <w:t xml:space="preserve">Presence of sexual dysfunction </w:t>
            </w:r>
            <w:r>
              <w:rPr>
                <w:rFonts w:ascii="Arial" w:eastAsiaTheme="minorHAnsi" w:hAnsi="Arial" w:cs="Arial"/>
                <w:b/>
                <w:kern w:val="2"/>
                <w:sz w:val="20"/>
                <w:szCs w:val="20"/>
              </w:rPr>
              <w:t>(MVFSFI)</w:t>
            </w:r>
          </w:p>
        </w:tc>
        <w:tc>
          <w:tcPr>
            <w:tcW w:w="1560" w:type="dxa"/>
            <w:tcBorders>
              <w:left w:val="nil"/>
              <w:bottom w:val="nil"/>
              <w:right w:val="nil"/>
            </w:tcBorders>
          </w:tcPr>
          <w:p w14:paraId="25DC0A63"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05872BE5" w14:textId="77777777" w:rsidR="00AE324A" w:rsidRDefault="00AE324A">
            <w:pPr>
              <w:rPr>
                <w:rFonts w:ascii="Arial" w:eastAsiaTheme="minorHAnsi" w:hAnsi="Arial" w:cs="Arial"/>
                <w:kern w:val="2"/>
                <w:sz w:val="20"/>
                <w:szCs w:val="20"/>
              </w:rPr>
            </w:pPr>
          </w:p>
        </w:tc>
      </w:tr>
      <w:tr w:rsidR="00AE324A" w14:paraId="2999BA0F" w14:textId="77777777">
        <w:tc>
          <w:tcPr>
            <w:tcW w:w="5103" w:type="dxa"/>
            <w:tcBorders>
              <w:top w:val="nil"/>
              <w:bottom w:val="nil"/>
              <w:right w:val="nil"/>
            </w:tcBorders>
          </w:tcPr>
          <w:p w14:paraId="2BFD90F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No (Total Score &gt;55)</w:t>
            </w:r>
          </w:p>
        </w:tc>
        <w:tc>
          <w:tcPr>
            <w:tcW w:w="1560" w:type="dxa"/>
            <w:tcBorders>
              <w:top w:val="nil"/>
              <w:left w:val="nil"/>
              <w:bottom w:val="nil"/>
              <w:right w:val="nil"/>
            </w:tcBorders>
          </w:tcPr>
          <w:p w14:paraId="39AE3E0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197</w:t>
            </w:r>
          </w:p>
        </w:tc>
        <w:tc>
          <w:tcPr>
            <w:tcW w:w="1701" w:type="dxa"/>
            <w:tcBorders>
              <w:top w:val="nil"/>
              <w:left w:val="nil"/>
              <w:bottom w:val="nil"/>
            </w:tcBorders>
          </w:tcPr>
          <w:p w14:paraId="6C8E492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45.4</w:t>
            </w:r>
          </w:p>
        </w:tc>
      </w:tr>
      <w:tr w:rsidR="00AE324A" w14:paraId="15AB6DB5" w14:textId="77777777">
        <w:tc>
          <w:tcPr>
            <w:tcW w:w="5103" w:type="dxa"/>
            <w:tcBorders>
              <w:top w:val="nil"/>
              <w:bottom w:val="single" w:sz="4" w:space="0" w:color="auto"/>
              <w:right w:val="nil"/>
            </w:tcBorders>
          </w:tcPr>
          <w:p w14:paraId="0983973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 xml:space="preserve">Yes (Total Score </w:t>
            </w:r>
            <w:r>
              <w:rPr>
                <w:rFonts w:ascii="Arial" w:eastAsiaTheme="minorHAnsi" w:hAnsi="Arial" w:cs="Arial"/>
                <w:kern w:val="2"/>
                <w:sz w:val="20"/>
                <w:szCs w:val="20"/>
                <w:lang w:val="en-MY"/>
              </w:rPr>
              <w:t>≤ 55)</w:t>
            </w:r>
          </w:p>
        </w:tc>
        <w:tc>
          <w:tcPr>
            <w:tcW w:w="1560" w:type="dxa"/>
            <w:tcBorders>
              <w:top w:val="nil"/>
              <w:left w:val="nil"/>
              <w:bottom w:val="single" w:sz="4" w:space="0" w:color="auto"/>
              <w:right w:val="nil"/>
            </w:tcBorders>
          </w:tcPr>
          <w:p w14:paraId="184CAA3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167</w:t>
            </w:r>
          </w:p>
        </w:tc>
        <w:tc>
          <w:tcPr>
            <w:tcW w:w="1701" w:type="dxa"/>
            <w:tcBorders>
              <w:top w:val="nil"/>
              <w:left w:val="nil"/>
              <w:bottom w:val="single" w:sz="4" w:space="0" w:color="auto"/>
            </w:tcBorders>
          </w:tcPr>
          <w:p w14:paraId="502AD14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54.6</w:t>
            </w:r>
          </w:p>
        </w:tc>
      </w:tr>
    </w:tbl>
    <w:p w14:paraId="6C9C7538" w14:textId="77777777" w:rsidR="00AE324A" w:rsidRDefault="00AE324A">
      <w:pPr>
        <w:spacing w:after="160" w:line="259" w:lineRule="auto"/>
        <w:rPr>
          <w:rFonts w:ascii="Arial" w:eastAsiaTheme="minorHAnsi" w:hAnsi="Arial" w:cs="Arial"/>
          <w:kern w:val="2"/>
          <w:lang w:val="en-MY"/>
        </w:rPr>
      </w:pPr>
    </w:p>
    <w:p w14:paraId="4949D596" w14:textId="77777777" w:rsidR="00AE324A" w:rsidRDefault="004A746B">
      <w:pPr>
        <w:spacing w:after="160" w:line="480" w:lineRule="auto"/>
        <w:jc w:val="both"/>
        <w:rPr>
          <w:rFonts w:ascii="Arial" w:eastAsiaTheme="minorHAnsi" w:hAnsi="Arial" w:cs="Arial"/>
          <w:kern w:val="2"/>
          <w:lang w:val="en-MY"/>
        </w:rPr>
      </w:pPr>
      <w:bookmarkStart w:id="0" w:name="_Hlk203940498"/>
      <w:r>
        <w:rPr>
          <w:rFonts w:ascii="Arial" w:eastAsiaTheme="minorHAnsi" w:hAnsi="Arial" w:cs="Arial"/>
          <w:kern w:val="2"/>
          <w:lang w:val="en-MY"/>
        </w:rPr>
        <w:t>In the final model, ten factors</w:t>
      </w:r>
      <w:r>
        <w:rPr>
          <w:rFonts w:ascii="Arial" w:eastAsiaTheme="minorHAnsi" w:hAnsi="Arial" w:cs="Arial"/>
          <w:kern w:val="2"/>
        </w:rPr>
        <w:t xml:space="preserve"> </w:t>
      </w:r>
      <w:r w:rsidRPr="004446E7">
        <w:rPr>
          <w:rFonts w:ascii="Arial" w:eastAsiaTheme="minorHAnsi" w:hAnsi="Arial" w:cs="Arial"/>
          <w:kern w:val="2"/>
          <w:lang w:val="en-MY"/>
        </w:rPr>
        <w:t xml:space="preserve">were significantly associated with sexual dysfunction among female adults. </w:t>
      </w:r>
      <w:r>
        <w:rPr>
          <w:rFonts w:ascii="Arial" w:eastAsiaTheme="minorHAnsi" w:hAnsi="Arial" w:cs="Arial"/>
          <w:kern w:val="2"/>
          <w:lang w:val="en-MY"/>
        </w:rPr>
        <w:t>: (1) age: 40 to 59 years; 60 years and above (2) partner’s age: 40 to 59 years; 60 years and above (3) Chinese ethnicity (4) education level: post-secondary, tertiary (5) frequency of sexual intercourse more than twice a week (6) perimenopause reproductiv</w:t>
      </w:r>
      <w:r>
        <w:rPr>
          <w:rFonts w:ascii="Arial" w:eastAsiaTheme="minorHAnsi" w:hAnsi="Arial" w:cs="Arial"/>
          <w:kern w:val="2"/>
          <w:lang w:val="en-MY"/>
        </w:rPr>
        <w:t xml:space="preserve">e phase (7) presence of urogenital symptoms (8) spouse with sexual dysfunction (9) depression and (10) anxiety (Refer Table 2) </w:t>
      </w:r>
    </w:p>
    <w:p w14:paraId="3093B93B" w14:textId="77777777" w:rsidR="00AE324A" w:rsidRDefault="004A746B">
      <w:pPr>
        <w:spacing w:after="160" w:line="480" w:lineRule="auto"/>
        <w:jc w:val="both"/>
        <w:rPr>
          <w:rFonts w:ascii="Arial" w:eastAsia="Calibri" w:hAnsi="Arial" w:cs="Arial"/>
          <w:kern w:val="2"/>
          <w:lang w:val="en-MY"/>
        </w:rPr>
      </w:pPr>
      <w:r w:rsidRPr="004446E7">
        <w:rPr>
          <w:rFonts w:ascii="Arial" w:eastAsia="Calibri" w:hAnsi="Arial" w:cs="Arial"/>
          <w:kern w:val="2"/>
        </w:rPr>
        <w:t xml:space="preserve">When </w:t>
      </w:r>
      <w:r w:rsidRPr="004446E7">
        <w:rPr>
          <w:rFonts w:ascii="Arial" w:eastAsia="Calibri" w:hAnsi="Arial" w:cs="Arial"/>
          <w:kern w:val="2"/>
          <w:lang w:val="en-MY"/>
        </w:rPr>
        <w:t>compared to those aged below 40 years</w:t>
      </w:r>
      <w:r w:rsidRPr="004446E7">
        <w:rPr>
          <w:rFonts w:ascii="Arial" w:eastAsia="Calibri" w:hAnsi="Arial" w:cs="Arial"/>
          <w:kern w:val="2"/>
        </w:rPr>
        <w:t>, w</w:t>
      </w:r>
      <w:r w:rsidRPr="004446E7">
        <w:rPr>
          <w:rFonts w:ascii="Arial" w:eastAsia="Calibri" w:hAnsi="Arial" w:cs="Arial"/>
          <w:kern w:val="2"/>
          <w:lang w:val="en-MY"/>
        </w:rPr>
        <w:t xml:space="preserve">omen </w:t>
      </w:r>
      <w:r>
        <w:rPr>
          <w:rFonts w:ascii="Arial" w:eastAsia="Calibri" w:hAnsi="Arial" w:cs="Arial"/>
          <w:kern w:val="2"/>
          <w:lang w:val="en-MY"/>
        </w:rPr>
        <w:t>aged 40 to 59 years had 5.03 times higher odds of sexual dysfunction (AOR=5.03</w:t>
      </w:r>
      <w:r>
        <w:rPr>
          <w:rFonts w:ascii="Arial" w:eastAsia="Calibri" w:hAnsi="Arial" w:cs="Arial"/>
          <w:kern w:val="2"/>
          <w:lang w:val="en-MY"/>
        </w:rPr>
        <w:t>, 95% CI 1.01, 7.84, p=0.031</w:t>
      </w:r>
      <w:proofErr w:type="gramStart"/>
      <w:r>
        <w:rPr>
          <w:rFonts w:ascii="Arial" w:eastAsia="Calibri" w:hAnsi="Arial" w:cs="Arial"/>
          <w:kern w:val="2"/>
          <w:lang w:val="en-MY"/>
        </w:rPr>
        <w:t xml:space="preserve">)  </w:t>
      </w:r>
      <w:r w:rsidRPr="004446E7">
        <w:rPr>
          <w:rFonts w:ascii="Arial" w:eastAsia="Calibri" w:hAnsi="Arial" w:cs="Arial"/>
          <w:kern w:val="2"/>
        </w:rPr>
        <w:t>whereas</w:t>
      </w:r>
      <w:proofErr w:type="gramEnd"/>
      <w:r w:rsidRPr="004446E7">
        <w:rPr>
          <w:rFonts w:ascii="Arial" w:eastAsia="Calibri" w:hAnsi="Arial" w:cs="Arial"/>
          <w:kern w:val="2"/>
        </w:rPr>
        <w:t xml:space="preserve"> w</w:t>
      </w:r>
      <w:r w:rsidRPr="004446E7">
        <w:rPr>
          <w:rFonts w:ascii="Arial" w:eastAsia="Calibri" w:hAnsi="Arial" w:cs="Arial"/>
          <w:kern w:val="2"/>
          <w:lang w:val="en-MY"/>
        </w:rPr>
        <w:t xml:space="preserve">omen </w:t>
      </w:r>
      <w:r>
        <w:rPr>
          <w:rFonts w:ascii="Arial" w:eastAsia="Calibri" w:hAnsi="Arial" w:cs="Arial"/>
          <w:kern w:val="2"/>
          <w:lang w:val="en-MY"/>
        </w:rPr>
        <w:t xml:space="preserve">aged 60 years and above had 11.01 times higher odds of sexual dysfunction (AOR=11.01, 95% CI 8.02, 18.21, p=0.042). </w:t>
      </w:r>
      <w:r w:rsidRPr="004446E7">
        <w:rPr>
          <w:rFonts w:ascii="Arial" w:eastAsia="Calibri" w:hAnsi="Arial" w:cs="Arial"/>
          <w:kern w:val="2"/>
        </w:rPr>
        <w:t xml:space="preserve">When </w:t>
      </w:r>
      <w:r w:rsidRPr="004446E7">
        <w:rPr>
          <w:rFonts w:ascii="Arial" w:eastAsia="Calibri" w:hAnsi="Arial" w:cs="Arial"/>
          <w:kern w:val="2"/>
          <w:lang w:val="en-MY"/>
        </w:rPr>
        <w:t>compared to those with a partner aged below 40 years</w:t>
      </w:r>
      <w:r w:rsidRPr="004446E7">
        <w:rPr>
          <w:rFonts w:ascii="Arial" w:eastAsia="Calibri" w:hAnsi="Arial" w:cs="Arial"/>
          <w:kern w:val="2"/>
        </w:rPr>
        <w:t xml:space="preserve">, </w:t>
      </w:r>
      <w:r>
        <w:rPr>
          <w:rFonts w:ascii="Arial" w:eastAsia="Calibri" w:hAnsi="Arial" w:cs="Arial"/>
          <w:kern w:val="2"/>
          <w:lang w:val="en-MY"/>
        </w:rPr>
        <w:t>women with a partner aged 40 to 59 y</w:t>
      </w:r>
      <w:r>
        <w:rPr>
          <w:rFonts w:ascii="Arial" w:eastAsia="Calibri" w:hAnsi="Arial" w:cs="Arial"/>
          <w:kern w:val="2"/>
          <w:lang w:val="en-MY"/>
        </w:rPr>
        <w:t>ears had 4.01 times higher odds of sexual dysfunction (AOR=4.01, 95% CI 2.22, 7.72, p&lt;0.001)</w:t>
      </w:r>
      <w:r>
        <w:rPr>
          <w:rFonts w:ascii="Arial" w:eastAsia="Calibri" w:hAnsi="Arial" w:cs="Arial"/>
          <w:kern w:val="2"/>
        </w:rPr>
        <w:t xml:space="preserve">, </w:t>
      </w:r>
      <w:r w:rsidRPr="004446E7">
        <w:rPr>
          <w:rFonts w:ascii="Arial" w:eastAsia="Calibri" w:hAnsi="Arial" w:cs="Arial"/>
          <w:kern w:val="2"/>
        </w:rPr>
        <w:t>whereas w</w:t>
      </w:r>
      <w:r w:rsidRPr="004446E7">
        <w:rPr>
          <w:rFonts w:ascii="Arial" w:eastAsia="Calibri" w:hAnsi="Arial" w:cs="Arial"/>
          <w:kern w:val="2"/>
          <w:lang w:val="en-MY"/>
        </w:rPr>
        <w:t xml:space="preserve">omen </w:t>
      </w:r>
      <w:r>
        <w:rPr>
          <w:rFonts w:ascii="Arial" w:eastAsia="Calibri" w:hAnsi="Arial" w:cs="Arial"/>
          <w:kern w:val="2"/>
          <w:lang w:val="en-MY"/>
        </w:rPr>
        <w:t>with a partner aged 60 years and above had 10.03 times higher odds of sexual dysfunction (AOR=10.03, 95% CI 8.14, 19.01, p&lt;0.001)</w:t>
      </w:r>
      <w:r>
        <w:rPr>
          <w:rFonts w:ascii="Arial" w:eastAsia="Calibri" w:hAnsi="Arial" w:cs="Arial"/>
          <w:kern w:val="2"/>
        </w:rPr>
        <w:t>.</w:t>
      </w:r>
      <w:r>
        <w:rPr>
          <w:rFonts w:ascii="Arial" w:eastAsia="Calibri" w:hAnsi="Arial" w:cs="Arial"/>
          <w:kern w:val="2"/>
          <w:lang w:val="en-MY"/>
        </w:rPr>
        <w:t xml:space="preserve"> Chinese ethnicity had 5.79 times higher odds of sexual dysfunction (AOR=5.79, 95% CI 2.04, 8.02, p=0.012) compared to Malay ethnicity. </w:t>
      </w:r>
      <w:r w:rsidRPr="004446E7">
        <w:rPr>
          <w:rFonts w:ascii="Arial" w:eastAsia="Calibri" w:hAnsi="Arial" w:cs="Arial"/>
          <w:kern w:val="2"/>
        </w:rPr>
        <w:t xml:space="preserve">When </w:t>
      </w:r>
      <w:r w:rsidRPr="004446E7">
        <w:rPr>
          <w:rFonts w:ascii="Arial" w:eastAsia="Calibri" w:hAnsi="Arial" w:cs="Arial"/>
          <w:kern w:val="2"/>
          <w:lang w:val="en-MY"/>
        </w:rPr>
        <w:t xml:space="preserve">compared to </w:t>
      </w:r>
      <w:r w:rsidRPr="004446E7">
        <w:rPr>
          <w:rFonts w:ascii="Arial" w:eastAsia="Calibri" w:hAnsi="Arial" w:cs="Arial"/>
          <w:kern w:val="2"/>
        </w:rPr>
        <w:t>women</w:t>
      </w:r>
      <w:r w:rsidRPr="004446E7">
        <w:rPr>
          <w:rFonts w:ascii="Arial" w:eastAsia="Calibri" w:hAnsi="Arial" w:cs="Arial"/>
          <w:kern w:val="2"/>
          <w:lang w:val="en-MY"/>
        </w:rPr>
        <w:t xml:space="preserve"> with primary education, </w:t>
      </w:r>
      <w:r w:rsidRPr="004446E7">
        <w:rPr>
          <w:rFonts w:ascii="Arial" w:eastAsia="Calibri" w:hAnsi="Arial" w:cs="Arial"/>
          <w:kern w:val="2"/>
        </w:rPr>
        <w:t>w</w:t>
      </w:r>
      <w:r w:rsidRPr="004446E7">
        <w:rPr>
          <w:rFonts w:ascii="Arial" w:eastAsia="Calibri" w:hAnsi="Arial" w:cs="Arial"/>
          <w:kern w:val="2"/>
          <w:lang w:val="en-MY"/>
        </w:rPr>
        <w:t>omen with a post-seco</w:t>
      </w:r>
      <w:r>
        <w:rPr>
          <w:rFonts w:ascii="Arial" w:eastAsia="Calibri" w:hAnsi="Arial" w:cs="Arial"/>
          <w:kern w:val="2"/>
          <w:lang w:val="en-MY"/>
        </w:rPr>
        <w:t xml:space="preserve">ndary education level had 9.08 times higher odds </w:t>
      </w:r>
      <w:r>
        <w:rPr>
          <w:rFonts w:ascii="Arial" w:eastAsia="Calibri" w:hAnsi="Arial" w:cs="Arial"/>
          <w:kern w:val="2"/>
          <w:lang w:val="en-MY"/>
        </w:rPr>
        <w:lastRenderedPageBreak/>
        <w:t>of</w:t>
      </w:r>
      <w:r>
        <w:rPr>
          <w:rFonts w:ascii="Arial" w:eastAsia="Calibri" w:hAnsi="Arial" w:cs="Arial"/>
          <w:kern w:val="2"/>
          <w:lang w:val="en-MY"/>
        </w:rPr>
        <w:t xml:space="preserve"> sexual dysfunction (AOR=9.08, 95% CI 4.36, 8.60, p&lt;0.001) </w:t>
      </w:r>
      <w:r w:rsidRPr="004446E7">
        <w:rPr>
          <w:rFonts w:ascii="Arial" w:eastAsia="Calibri" w:hAnsi="Arial" w:cs="Arial"/>
          <w:kern w:val="2"/>
        </w:rPr>
        <w:t>whereas</w:t>
      </w:r>
      <w:r w:rsidRPr="004446E7">
        <w:rPr>
          <w:rFonts w:ascii="Arial" w:eastAsia="Calibri" w:hAnsi="Arial" w:cs="Arial"/>
          <w:kern w:val="2"/>
          <w:lang w:val="en-MY"/>
        </w:rPr>
        <w:t xml:space="preserve"> t</w:t>
      </w:r>
      <w:r>
        <w:rPr>
          <w:rFonts w:ascii="Arial" w:eastAsia="Calibri" w:hAnsi="Arial" w:cs="Arial"/>
          <w:kern w:val="2"/>
          <w:lang w:val="en-MY"/>
        </w:rPr>
        <w:t>hose with a tertiary education level had 10.63 times higher odds of sexual dysfunction (AOR=10.63, 95% CI 4.31, 18.35, p=0.023)</w:t>
      </w:r>
      <w:r>
        <w:rPr>
          <w:rFonts w:ascii="Arial" w:eastAsia="Calibri" w:hAnsi="Arial" w:cs="Arial"/>
          <w:kern w:val="2"/>
        </w:rPr>
        <w:t xml:space="preserve">. </w:t>
      </w:r>
      <w:r>
        <w:rPr>
          <w:rFonts w:ascii="Arial" w:eastAsia="Calibri" w:hAnsi="Arial" w:cs="Arial"/>
          <w:kern w:val="2"/>
          <w:lang w:val="en-MY"/>
        </w:rPr>
        <w:t>Women with more than twice weekly sexual intercourse had 84</w:t>
      </w:r>
      <w:r>
        <w:rPr>
          <w:rFonts w:ascii="Arial" w:eastAsia="Calibri" w:hAnsi="Arial" w:cs="Arial"/>
          <w:kern w:val="2"/>
          <w:lang w:val="en-MY"/>
        </w:rPr>
        <w:t>% lower odds of sexual dysfunction (AOR=0.16, 95% CI 0.30, 0.92, p=0.043) compared to those with once to twice weekly sexual intercourse. Perimenopausal women had 12.83 times higher odds of sexual dysfunction (AOR=12.83, 95% CI 7.23, 19.02, p=0.041) compar</w:t>
      </w:r>
      <w:r>
        <w:rPr>
          <w:rFonts w:ascii="Arial" w:eastAsia="Calibri" w:hAnsi="Arial" w:cs="Arial"/>
          <w:kern w:val="2"/>
          <w:lang w:val="en-MY"/>
        </w:rPr>
        <w:t>ed to premenopausal women. Women with urogenital symptoms had 4.02 times higher odds of sexual dysfunction (AOR=4.02, 95% CI 8.87, 37.14, p=0.023) compared to those without urogenital symptoms. Women who reported a spouse with sexual dysfunction had 4.62 t</w:t>
      </w:r>
      <w:r>
        <w:rPr>
          <w:rFonts w:ascii="Arial" w:eastAsia="Calibri" w:hAnsi="Arial" w:cs="Arial"/>
          <w:kern w:val="2"/>
          <w:lang w:val="en-MY"/>
        </w:rPr>
        <w:t>imes higher odds of sexual dysfunction (AOR=4.62, 95% CI 2.02, 6.99, p=0.037) compared to those with a spouse without sexual dysfunction. Women with depression had 7.01 times higher odds of sexual dysfunction (AOR=7.01, 95% CI 10.98, 34.93, p=0.014) compar</w:t>
      </w:r>
      <w:r>
        <w:rPr>
          <w:rFonts w:ascii="Arial" w:eastAsia="Calibri" w:hAnsi="Arial" w:cs="Arial"/>
          <w:kern w:val="2"/>
          <w:lang w:val="en-MY"/>
        </w:rPr>
        <w:t xml:space="preserve">ed to those without depression. Women with anxiety had 8.18 times higher odds of sexual dysfunction (AOR=8.18, 95% CI 7.71, 35.14, p=0.032) compared to those without anxiety.  </w:t>
      </w:r>
      <w:r>
        <w:rPr>
          <w:rFonts w:ascii="Arial" w:eastAsia="Calibri" w:hAnsi="Arial" w:cs="Arial"/>
          <w:kern w:val="2"/>
          <w:lang w:val="en-MY"/>
        </w:rPr>
        <w:tab/>
      </w:r>
    </w:p>
    <w:bookmarkEnd w:id="0"/>
    <w:p w14:paraId="2E35C8D4" w14:textId="77777777" w:rsidR="00AE324A" w:rsidRDefault="004A746B">
      <w:pPr>
        <w:spacing w:after="160" w:line="259" w:lineRule="auto"/>
        <w:rPr>
          <w:rFonts w:ascii="Arial" w:eastAsiaTheme="minorHAnsi" w:hAnsi="Arial" w:cs="Arial"/>
          <w:b/>
          <w:bCs/>
          <w:kern w:val="2"/>
          <w:lang w:val="en-MY"/>
        </w:rPr>
      </w:pPr>
      <w:r>
        <w:rPr>
          <w:rFonts w:ascii="Arial" w:eastAsiaTheme="minorHAnsi" w:hAnsi="Arial" w:cs="Arial"/>
          <w:b/>
          <w:bCs/>
          <w:kern w:val="2"/>
          <w:lang w:val="en-MY"/>
        </w:rPr>
        <w:t>Table 2: Binary logistic regression of the factors associated with sexual dysf</w:t>
      </w:r>
      <w:r>
        <w:rPr>
          <w:rFonts w:ascii="Arial" w:eastAsiaTheme="minorHAnsi" w:hAnsi="Arial" w:cs="Arial"/>
          <w:b/>
          <w:bCs/>
          <w:kern w:val="2"/>
          <w:lang w:val="en-MY"/>
        </w:rPr>
        <w:t>unction among female adults attending government primary healthcare clinics in the Kuala Langat district</w:t>
      </w:r>
    </w:p>
    <w:tbl>
      <w:tblPr>
        <w:tblStyle w:val="TableGrid"/>
        <w:tblW w:w="0" w:type="auto"/>
        <w:tblLook w:val="04A0" w:firstRow="1" w:lastRow="0" w:firstColumn="1" w:lastColumn="0" w:noHBand="0" w:noVBand="1"/>
      </w:tblPr>
      <w:tblGrid>
        <w:gridCol w:w="1764"/>
        <w:gridCol w:w="764"/>
        <w:gridCol w:w="815"/>
        <w:gridCol w:w="807"/>
        <w:gridCol w:w="838"/>
        <w:gridCol w:w="764"/>
        <w:gridCol w:w="815"/>
        <w:gridCol w:w="807"/>
        <w:gridCol w:w="834"/>
      </w:tblGrid>
      <w:tr w:rsidR="00AE324A" w14:paraId="58D0D7D4" w14:textId="77777777">
        <w:tc>
          <w:tcPr>
            <w:tcW w:w="2268" w:type="dxa"/>
            <w:tcBorders>
              <w:left w:val="nil"/>
              <w:bottom w:val="nil"/>
              <w:right w:val="nil"/>
            </w:tcBorders>
          </w:tcPr>
          <w:p w14:paraId="60662FED" w14:textId="77777777" w:rsidR="00AE324A" w:rsidRDefault="00AE324A">
            <w:pPr>
              <w:rPr>
                <w:rFonts w:ascii="Arial" w:eastAsiaTheme="minorHAnsi" w:hAnsi="Arial" w:cs="Arial"/>
                <w:kern w:val="2"/>
                <w:sz w:val="20"/>
                <w:szCs w:val="20"/>
                <w:lang w:val="en-MY"/>
              </w:rPr>
            </w:pPr>
          </w:p>
        </w:tc>
        <w:tc>
          <w:tcPr>
            <w:tcW w:w="3402" w:type="dxa"/>
            <w:gridSpan w:val="4"/>
            <w:tcBorders>
              <w:left w:val="nil"/>
              <w:bottom w:val="nil"/>
            </w:tcBorders>
          </w:tcPr>
          <w:p w14:paraId="4B4978CE"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Preliminary model</w:t>
            </w:r>
          </w:p>
        </w:tc>
        <w:tc>
          <w:tcPr>
            <w:tcW w:w="3356" w:type="dxa"/>
            <w:gridSpan w:val="4"/>
            <w:tcBorders>
              <w:bottom w:val="nil"/>
              <w:right w:val="nil"/>
            </w:tcBorders>
          </w:tcPr>
          <w:p w14:paraId="5CAC4B47"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Final model</w:t>
            </w:r>
          </w:p>
        </w:tc>
      </w:tr>
      <w:tr w:rsidR="00AE324A" w14:paraId="19F4DFFB" w14:textId="77777777">
        <w:tc>
          <w:tcPr>
            <w:tcW w:w="2268" w:type="dxa"/>
            <w:tcBorders>
              <w:top w:val="nil"/>
              <w:left w:val="nil"/>
              <w:bottom w:val="nil"/>
              <w:right w:val="nil"/>
            </w:tcBorders>
          </w:tcPr>
          <w:p w14:paraId="5EF4D594" w14:textId="77777777" w:rsidR="00AE324A" w:rsidRDefault="00AE324A">
            <w:pPr>
              <w:rPr>
                <w:rFonts w:ascii="Arial" w:eastAsiaTheme="minorHAnsi" w:hAnsi="Arial" w:cs="Arial"/>
                <w:kern w:val="2"/>
                <w:sz w:val="20"/>
                <w:szCs w:val="20"/>
                <w:lang w:val="en-MY"/>
              </w:rPr>
            </w:pPr>
          </w:p>
        </w:tc>
        <w:tc>
          <w:tcPr>
            <w:tcW w:w="3402" w:type="dxa"/>
            <w:gridSpan w:val="4"/>
            <w:tcBorders>
              <w:top w:val="nil"/>
              <w:left w:val="nil"/>
              <w:bottom w:val="nil"/>
              <w:right w:val="single" w:sz="4" w:space="0" w:color="auto"/>
            </w:tcBorders>
          </w:tcPr>
          <w:p w14:paraId="71B26861"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Single Logistic Regression</w:t>
            </w:r>
          </w:p>
        </w:tc>
        <w:tc>
          <w:tcPr>
            <w:tcW w:w="3356" w:type="dxa"/>
            <w:gridSpan w:val="4"/>
            <w:tcBorders>
              <w:top w:val="nil"/>
              <w:left w:val="single" w:sz="4" w:space="0" w:color="auto"/>
              <w:bottom w:val="nil"/>
              <w:right w:val="nil"/>
            </w:tcBorders>
          </w:tcPr>
          <w:p w14:paraId="645B345E"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Multiple Logistic Regression</w:t>
            </w:r>
          </w:p>
        </w:tc>
      </w:tr>
      <w:tr w:rsidR="00AE324A" w14:paraId="63E62E30" w14:textId="77777777">
        <w:tc>
          <w:tcPr>
            <w:tcW w:w="2268" w:type="dxa"/>
            <w:tcBorders>
              <w:top w:val="nil"/>
              <w:left w:val="nil"/>
              <w:bottom w:val="single" w:sz="4" w:space="0" w:color="auto"/>
              <w:right w:val="nil"/>
            </w:tcBorders>
          </w:tcPr>
          <w:p w14:paraId="62414DE3"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7E55F605"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*COR</w:t>
            </w:r>
          </w:p>
        </w:tc>
        <w:tc>
          <w:tcPr>
            <w:tcW w:w="1701" w:type="dxa"/>
            <w:gridSpan w:val="2"/>
            <w:tcBorders>
              <w:top w:val="nil"/>
              <w:left w:val="nil"/>
              <w:bottom w:val="single" w:sz="4" w:space="0" w:color="auto"/>
              <w:right w:val="nil"/>
            </w:tcBorders>
          </w:tcPr>
          <w:p w14:paraId="42CC27FC"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95% CI</w:t>
            </w:r>
          </w:p>
        </w:tc>
        <w:tc>
          <w:tcPr>
            <w:tcW w:w="850" w:type="dxa"/>
            <w:tcBorders>
              <w:top w:val="nil"/>
              <w:left w:val="nil"/>
              <w:bottom w:val="single" w:sz="4" w:space="0" w:color="auto"/>
            </w:tcBorders>
          </w:tcPr>
          <w:p w14:paraId="2D26C64A"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¶p-value</w:t>
            </w:r>
          </w:p>
        </w:tc>
        <w:tc>
          <w:tcPr>
            <w:tcW w:w="851" w:type="dxa"/>
            <w:tcBorders>
              <w:top w:val="nil"/>
              <w:bottom w:val="single" w:sz="4" w:space="0" w:color="auto"/>
              <w:right w:val="nil"/>
            </w:tcBorders>
          </w:tcPr>
          <w:p w14:paraId="4391D342"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*AOR</w:t>
            </w:r>
          </w:p>
        </w:tc>
        <w:tc>
          <w:tcPr>
            <w:tcW w:w="1701" w:type="dxa"/>
            <w:gridSpan w:val="2"/>
            <w:tcBorders>
              <w:top w:val="nil"/>
              <w:left w:val="nil"/>
              <w:bottom w:val="single" w:sz="4" w:space="0" w:color="auto"/>
              <w:right w:val="nil"/>
            </w:tcBorders>
          </w:tcPr>
          <w:p w14:paraId="4C6264AA"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95% CI</w:t>
            </w:r>
          </w:p>
        </w:tc>
        <w:tc>
          <w:tcPr>
            <w:tcW w:w="804" w:type="dxa"/>
            <w:tcBorders>
              <w:top w:val="nil"/>
              <w:left w:val="nil"/>
              <w:bottom w:val="single" w:sz="4" w:space="0" w:color="auto"/>
              <w:right w:val="nil"/>
            </w:tcBorders>
          </w:tcPr>
          <w:p w14:paraId="75BCB7DA"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¶p-value</w:t>
            </w:r>
          </w:p>
        </w:tc>
      </w:tr>
      <w:tr w:rsidR="00AE324A" w14:paraId="020A3BAE" w14:textId="77777777">
        <w:tc>
          <w:tcPr>
            <w:tcW w:w="2268" w:type="dxa"/>
            <w:tcBorders>
              <w:top w:val="single" w:sz="4" w:space="0" w:color="auto"/>
              <w:left w:val="nil"/>
              <w:bottom w:val="single" w:sz="4" w:space="0" w:color="auto"/>
              <w:right w:val="nil"/>
            </w:tcBorders>
          </w:tcPr>
          <w:p w14:paraId="1086DB5B" w14:textId="77777777" w:rsidR="00AE324A" w:rsidRDefault="00AE324A">
            <w:pPr>
              <w:rPr>
                <w:rFonts w:ascii="Arial" w:eastAsiaTheme="minorHAnsi" w:hAnsi="Arial" w:cs="Arial"/>
                <w:kern w:val="2"/>
                <w:sz w:val="20"/>
                <w:szCs w:val="20"/>
                <w:lang w:val="en-MY"/>
              </w:rPr>
            </w:pPr>
          </w:p>
        </w:tc>
        <w:tc>
          <w:tcPr>
            <w:tcW w:w="851" w:type="dxa"/>
            <w:tcBorders>
              <w:top w:val="single" w:sz="4" w:space="0" w:color="auto"/>
              <w:left w:val="nil"/>
              <w:bottom w:val="single" w:sz="4" w:space="0" w:color="auto"/>
              <w:right w:val="nil"/>
            </w:tcBorders>
          </w:tcPr>
          <w:p w14:paraId="2099E576" w14:textId="77777777" w:rsidR="00AE324A" w:rsidRDefault="00AE324A">
            <w:pPr>
              <w:rPr>
                <w:rFonts w:ascii="Arial" w:eastAsiaTheme="minorHAnsi" w:hAnsi="Arial" w:cs="Arial"/>
                <w:kern w:val="2"/>
                <w:sz w:val="20"/>
                <w:szCs w:val="20"/>
                <w:lang w:val="en-MY"/>
              </w:rPr>
            </w:pPr>
          </w:p>
        </w:tc>
        <w:tc>
          <w:tcPr>
            <w:tcW w:w="850" w:type="dxa"/>
            <w:tcBorders>
              <w:top w:val="single" w:sz="4" w:space="0" w:color="auto"/>
              <w:left w:val="nil"/>
              <w:bottom w:val="single" w:sz="4" w:space="0" w:color="auto"/>
              <w:right w:val="single" w:sz="4" w:space="0" w:color="auto"/>
            </w:tcBorders>
          </w:tcPr>
          <w:p w14:paraId="4B04AA92"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Lower</w:t>
            </w:r>
          </w:p>
        </w:tc>
        <w:tc>
          <w:tcPr>
            <w:tcW w:w="851" w:type="dxa"/>
            <w:tcBorders>
              <w:top w:val="single" w:sz="4" w:space="0" w:color="auto"/>
              <w:left w:val="single" w:sz="4" w:space="0" w:color="auto"/>
              <w:bottom w:val="single" w:sz="4" w:space="0" w:color="auto"/>
              <w:right w:val="nil"/>
            </w:tcBorders>
          </w:tcPr>
          <w:p w14:paraId="0D10808E"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Upper</w:t>
            </w:r>
          </w:p>
        </w:tc>
        <w:tc>
          <w:tcPr>
            <w:tcW w:w="850" w:type="dxa"/>
            <w:tcBorders>
              <w:top w:val="single" w:sz="4" w:space="0" w:color="auto"/>
              <w:left w:val="nil"/>
              <w:bottom w:val="single" w:sz="4" w:space="0" w:color="auto"/>
            </w:tcBorders>
          </w:tcPr>
          <w:p w14:paraId="4D206F13" w14:textId="77777777" w:rsidR="00AE324A" w:rsidRDefault="00AE324A">
            <w:pPr>
              <w:rPr>
                <w:rFonts w:ascii="Arial" w:eastAsiaTheme="minorHAnsi" w:hAnsi="Arial" w:cs="Arial"/>
                <w:bCs/>
                <w:kern w:val="2"/>
                <w:sz w:val="20"/>
                <w:szCs w:val="20"/>
                <w:lang w:val="en-MY"/>
              </w:rPr>
            </w:pPr>
          </w:p>
        </w:tc>
        <w:tc>
          <w:tcPr>
            <w:tcW w:w="851" w:type="dxa"/>
            <w:tcBorders>
              <w:top w:val="single" w:sz="4" w:space="0" w:color="auto"/>
              <w:bottom w:val="single" w:sz="4" w:space="0" w:color="auto"/>
              <w:right w:val="nil"/>
            </w:tcBorders>
          </w:tcPr>
          <w:p w14:paraId="7051FB2D" w14:textId="77777777" w:rsidR="00AE324A" w:rsidRDefault="00AE324A">
            <w:pPr>
              <w:rPr>
                <w:rFonts w:ascii="Arial" w:eastAsiaTheme="minorHAnsi" w:hAnsi="Arial" w:cs="Arial"/>
                <w:bCs/>
                <w:kern w:val="2"/>
                <w:sz w:val="20"/>
                <w:szCs w:val="20"/>
                <w:lang w:val="en-MY"/>
              </w:rPr>
            </w:pPr>
          </w:p>
        </w:tc>
        <w:tc>
          <w:tcPr>
            <w:tcW w:w="850" w:type="dxa"/>
            <w:tcBorders>
              <w:top w:val="single" w:sz="4" w:space="0" w:color="auto"/>
              <w:left w:val="nil"/>
              <w:bottom w:val="single" w:sz="4" w:space="0" w:color="auto"/>
              <w:right w:val="single" w:sz="4" w:space="0" w:color="auto"/>
            </w:tcBorders>
          </w:tcPr>
          <w:p w14:paraId="141DCDEF"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Lower</w:t>
            </w:r>
          </w:p>
        </w:tc>
        <w:tc>
          <w:tcPr>
            <w:tcW w:w="851" w:type="dxa"/>
            <w:tcBorders>
              <w:top w:val="single" w:sz="4" w:space="0" w:color="auto"/>
              <w:left w:val="single" w:sz="4" w:space="0" w:color="auto"/>
              <w:bottom w:val="single" w:sz="4" w:space="0" w:color="auto"/>
              <w:right w:val="nil"/>
            </w:tcBorders>
          </w:tcPr>
          <w:p w14:paraId="5672028B"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Upper</w:t>
            </w:r>
          </w:p>
        </w:tc>
        <w:tc>
          <w:tcPr>
            <w:tcW w:w="804" w:type="dxa"/>
            <w:tcBorders>
              <w:top w:val="single" w:sz="4" w:space="0" w:color="auto"/>
              <w:left w:val="nil"/>
              <w:bottom w:val="single" w:sz="4" w:space="0" w:color="auto"/>
              <w:right w:val="nil"/>
            </w:tcBorders>
          </w:tcPr>
          <w:p w14:paraId="6ED87B97" w14:textId="77777777" w:rsidR="00AE324A" w:rsidRDefault="00AE324A">
            <w:pPr>
              <w:rPr>
                <w:rFonts w:ascii="Arial" w:eastAsiaTheme="minorHAnsi" w:hAnsi="Arial" w:cs="Arial"/>
                <w:kern w:val="2"/>
                <w:sz w:val="20"/>
                <w:szCs w:val="20"/>
                <w:lang w:val="en-MY"/>
              </w:rPr>
            </w:pPr>
          </w:p>
        </w:tc>
      </w:tr>
      <w:tr w:rsidR="00AE324A" w14:paraId="3FDDF830" w14:textId="77777777">
        <w:tc>
          <w:tcPr>
            <w:tcW w:w="2268" w:type="dxa"/>
            <w:tcBorders>
              <w:left w:val="nil"/>
              <w:bottom w:val="single" w:sz="4" w:space="0" w:color="auto"/>
              <w:right w:val="nil"/>
            </w:tcBorders>
          </w:tcPr>
          <w:p w14:paraId="5DA0445F"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Demographic</w:t>
            </w:r>
          </w:p>
        </w:tc>
        <w:tc>
          <w:tcPr>
            <w:tcW w:w="851" w:type="dxa"/>
            <w:tcBorders>
              <w:left w:val="nil"/>
              <w:bottom w:val="single" w:sz="4" w:space="0" w:color="auto"/>
              <w:right w:val="nil"/>
            </w:tcBorders>
          </w:tcPr>
          <w:p w14:paraId="686BD943" w14:textId="77777777" w:rsidR="00AE324A" w:rsidRDefault="00AE324A">
            <w:pPr>
              <w:rPr>
                <w:rFonts w:ascii="Arial" w:eastAsiaTheme="minorHAnsi" w:hAnsi="Arial" w:cs="Arial"/>
                <w:kern w:val="2"/>
                <w:sz w:val="20"/>
                <w:szCs w:val="20"/>
                <w:lang w:val="en-MY"/>
              </w:rPr>
            </w:pPr>
          </w:p>
        </w:tc>
        <w:tc>
          <w:tcPr>
            <w:tcW w:w="850" w:type="dxa"/>
            <w:tcBorders>
              <w:left w:val="nil"/>
              <w:bottom w:val="single" w:sz="4" w:space="0" w:color="auto"/>
            </w:tcBorders>
          </w:tcPr>
          <w:p w14:paraId="0C7ACDA3" w14:textId="77777777" w:rsidR="00AE324A" w:rsidRDefault="00AE324A">
            <w:pPr>
              <w:rPr>
                <w:rFonts w:ascii="Arial" w:eastAsiaTheme="minorHAnsi" w:hAnsi="Arial" w:cs="Arial"/>
                <w:kern w:val="2"/>
                <w:sz w:val="20"/>
                <w:szCs w:val="20"/>
                <w:lang w:val="en-MY"/>
              </w:rPr>
            </w:pPr>
          </w:p>
        </w:tc>
        <w:tc>
          <w:tcPr>
            <w:tcW w:w="851" w:type="dxa"/>
            <w:tcBorders>
              <w:bottom w:val="single" w:sz="4" w:space="0" w:color="auto"/>
              <w:right w:val="nil"/>
            </w:tcBorders>
          </w:tcPr>
          <w:p w14:paraId="5E2FA813" w14:textId="77777777" w:rsidR="00AE324A" w:rsidRDefault="00AE324A">
            <w:pPr>
              <w:rPr>
                <w:rFonts w:ascii="Arial" w:eastAsiaTheme="minorHAnsi" w:hAnsi="Arial" w:cs="Arial"/>
                <w:kern w:val="2"/>
                <w:sz w:val="20"/>
                <w:szCs w:val="20"/>
                <w:lang w:val="en-MY"/>
              </w:rPr>
            </w:pPr>
          </w:p>
        </w:tc>
        <w:tc>
          <w:tcPr>
            <w:tcW w:w="850" w:type="dxa"/>
            <w:tcBorders>
              <w:left w:val="nil"/>
              <w:bottom w:val="single" w:sz="4" w:space="0" w:color="auto"/>
            </w:tcBorders>
          </w:tcPr>
          <w:p w14:paraId="654FD424" w14:textId="77777777" w:rsidR="00AE324A" w:rsidRDefault="00AE324A">
            <w:pPr>
              <w:rPr>
                <w:rFonts w:ascii="Arial" w:eastAsiaTheme="minorHAnsi" w:hAnsi="Arial" w:cs="Arial"/>
                <w:kern w:val="2"/>
                <w:sz w:val="20"/>
                <w:szCs w:val="20"/>
                <w:lang w:val="en-MY"/>
              </w:rPr>
            </w:pPr>
          </w:p>
        </w:tc>
        <w:tc>
          <w:tcPr>
            <w:tcW w:w="851" w:type="dxa"/>
            <w:tcBorders>
              <w:bottom w:val="single" w:sz="4" w:space="0" w:color="auto"/>
              <w:right w:val="nil"/>
            </w:tcBorders>
          </w:tcPr>
          <w:p w14:paraId="428A50DB" w14:textId="77777777" w:rsidR="00AE324A" w:rsidRDefault="00AE324A">
            <w:pPr>
              <w:rPr>
                <w:rFonts w:ascii="Arial" w:eastAsiaTheme="minorHAnsi" w:hAnsi="Arial" w:cs="Arial"/>
                <w:kern w:val="2"/>
                <w:sz w:val="20"/>
                <w:szCs w:val="20"/>
                <w:lang w:val="en-MY"/>
              </w:rPr>
            </w:pPr>
          </w:p>
        </w:tc>
        <w:tc>
          <w:tcPr>
            <w:tcW w:w="850" w:type="dxa"/>
            <w:tcBorders>
              <w:left w:val="nil"/>
              <w:bottom w:val="single" w:sz="4" w:space="0" w:color="auto"/>
            </w:tcBorders>
          </w:tcPr>
          <w:p w14:paraId="4F4CAAFD" w14:textId="77777777" w:rsidR="00AE324A" w:rsidRDefault="00AE324A">
            <w:pPr>
              <w:rPr>
                <w:rFonts w:ascii="Arial" w:eastAsiaTheme="minorHAnsi" w:hAnsi="Arial" w:cs="Arial"/>
                <w:kern w:val="2"/>
                <w:sz w:val="20"/>
                <w:szCs w:val="20"/>
                <w:lang w:val="en-MY"/>
              </w:rPr>
            </w:pPr>
          </w:p>
        </w:tc>
        <w:tc>
          <w:tcPr>
            <w:tcW w:w="851" w:type="dxa"/>
            <w:tcBorders>
              <w:bottom w:val="single" w:sz="4" w:space="0" w:color="auto"/>
              <w:right w:val="nil"/>
            </w:tcBorders>
          </w:tcPr>
          <w:p w14:paraId="4B48860C" w14:textId="77777777" w:rsidR="00AE324A" w:rsidRDefault="00AE324A">
            <w:pPr>
              <w:rPr>
                <w:rFonts w:ascii="Arial" w:eastAsiaTheme="minorHAnsi" w:hAnsi="Arial" w:cs="Arial"/>
                <w:kern w:val="2"/>
                <w:sz w:val="20"/>
                <w:szCs w:val="20"/>
                <w:lang w:val="en-MY"/>
              </w:rPr>
            </w:pPr>
          </w:p>
        </w:tc>
        <w:tc>
          <w:tcPr>
            <w:tcW w:w="804" w:type="dxa"/>
            <w:tcBorders>
              <w:left w:val="nil"/>
              <w:bottom w:val="single" w:sz="4" w:space="0" w:color="auto"/>
              <w:right w:val="nil"/>
            </w:tcBorders>
          </w:tcPr>
          <w:p w14:paraId="384B67E8" w14:textId="77777777" w:rsidR="00AE324A" w:rsidRDefault="00AE324A">
            <w:pPr>
              <w:rPr>
                <w:rFonts w:ascii="Arial" w:eastAsiaTheme="minorHAnsi" w:hAnsi="Arial" w:cs="Arial"/>
                <w:kern w:val="2"/>
                <w:sz w:val="20"/>
                <w:szCs w:val="20"/>
                <w:lang w:val="en-MY"/>
              </w:rPr>
            </w:pPr>
          </w:p>
        </w:tc>
      </w:tr>
      <w:tr w:rsidR="00AE324A" w14:paraId="3F9A6279" w14:textId="77777777">
        <w:tc>
          <w:tcPr>
            <w:tcW w:w="2268" w:type="dxa"/>
            <w:tcBorders>
              <w:left w:val="nil"/>
              <w:bottom w:val="nil"/>
              <w:right w:val="nil"/>
            </w:tcBorders>
          </w:tcPr>
          <w:p w14:paraId="41871929"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Age</w:t>
            </w:r>
          </w:p>
        </w:tc>
        <w:tc>
          <w:tcPr>
            <w:tcW w:w="851" w:type="dxa"/>
            <w:tcBorders>
              <w:left w:val="nil"/>
              <w:bottom w:val="nil"/>
              <w:right w:val="nil"/>
            </w:tcBorders>
          </w:tcPr>
          <w:p w14:paraId="76DD1DEC"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BD1D362"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BA718C3"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346DD997"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5414D25"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653975BB"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68667959"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3E4A332F" w14:textId="77777777" w:rsidR="00AE324A" w:rsidRDefault="00AE324A">
            <w:pPr>
              <w:rPr>
                <w:rFonts w:ascii="Arial" w:eastAsiaTheme="minorHAnsi" w:hAnsi="Arial" w:cs="Arial"/>
                <w:kern w:val="2"/>
                <w:sz w:val="20"/>
                <w:szCs w:val="20"/>
                <w:lang w:val="en-MY"/>
              </w:rPr>
            </w:pPr>
          </w:p>
        </w:tc>
      </w:tr>
      <w:tr w:rsidR="00AE324A" w14:paraId="07F52353" w14:textId="77777777">
        <w:tc>
          <w:tcPr>
            <w:tcW w:w="2268" w:type="dxa"/>
            <w:tcBorders>
              <w:top w:val="nil"/>
              <w:left w:val="nil"/>
              <w:bottom w:val="nil"/>
              <w:right w:val="nil"/>
            </w:tcBorders>
          </w:tcPr>
          <w:p w14:paraId="20C091F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40 years</w:t>
            </w:r>
          </w:p>
        </w:tc>
        <w:tc>
          <w:tcPr>
            <w:tcW w:w="851" w:type="dxa"/>
            <w:tcBorders>
              <w:top w:val="nil"/>
              <w:left w:val="nil"/>
              <w:bottom w:val="nil"/>
              <w:right w:val="nil"/>
            </w:tcBorders>
          </w:tcPr>
          <w:p w14:paraId="16ACEB6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2CEADA0"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DE78E3E"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4748C66E"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DF135A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39A39996"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447F47F"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677B8047" w14:textId="77777777" w:rsidR="00AE324A" w:rsidRDefault="00AE324A">
            <w:pPr>
              <w:rPr>
                <w:rFonts w:ascii="Arial" w:eastAsiaTheme="minorHAnsi" w:hAnsi="Arial" w:cs="Arial"/>
                <w:kern w:val="2"/>
                <w:sz w:val="20"/>
                <w:szCs w:val="20"/>
                <w:lang w:val="en-MY"/>
              </w:rPr>
            </w:pPr>
          </w:p>
        </w:tc>
      </w:tr>
      <w:tr w:rsidR="00AE324A" w14:paraId="22E121F2" w14:textId="77777777">
        <w:tc>
          <w:tcPr>
            <w:tcW w:w="2268" w:type="dxa"/>
            <w:tcBorders>
              <w:top w:val="nil"/>
              <w:left w:val="nil"/>
              <w:bottom w:val="nil"/>
              <w:right w:val="nil"/>
            </w:tcBorders>
          </w:tcPr>
          <w:p w14:paraId="6258E07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40 – 59 years</w:t>
            </w:r>
          </w:p>
        </w:tc>
        <w:tc>
          <w:tcPr>
            <w:tcW w:w="851" w:type="dxa"/>
            <w:tcBorders>
              <w:top w:val="nil"/>
              <w:left w:val="nil"/>
              <w:bottom w:val="nil"/>
              <w:right w:val="nil"/>
            </w:tcBorders>
          </w:tcPr>
          <w:p w14:paraId="06A85A1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4.84</w:t>
            </w:r>
          </w:p>
        </w:tc>
        <w:tc>
          <w:tcPr>
            <w:tcW w:w="850" w:type="dxa"/>
            <w:tcBorders>
              <w:top w:val="nil"/>
              <w:left w:val="nil"/>
              <w:bottom w:val="nil"/>
            </w:tcBorders>
          </w:tcPr>
          <w:p w14:paraId="039455C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2.51</w:t>
            </w:r>
          </w:p>
        </w:tc>
        <w:tc>
          <w:tcPr>
            <w:tcW w:w="851" w:type="dxa"/>
            <w:tcBorders>
              <w:top w:val="nil"/>
              <w:bottom w:val="nil"/>
              <w:right w:val="nil"/>
            </w:tcBorders>
          </w:tcPr>
          <w:p w14:paraId="6CAAB88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9.35</w:t>
            </w:r>
          </w:p>
        </w:tc>
        <w:tc>
          <w:tcPr>
            <w:tcW w:w="850" w:type="dxa"/>
            <w:tcBorders>
              <w:top w:val="nil"/>
              <w:left w:val="nil"/>
              <w:bottom w:val="nil"/>
            </w:tcBorders>
          </w:tcPr>
          <w:p w14:paraId="6C7731EB"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33C2FAD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5.03</w:t>
            </w:r>
          </w:p>
        </w:tc>
        <w:tc>
          <w:tcPr>
            <w:tcW w:w="850" w:type="dxa"/>
            <w:tcBorders>
              <w:top w:val="nil"/>
              <w:left w:val="nil"/>
              <w:bottom w:val="nil"/>
            </w:tcBorders>
          </w:tcPr>
          <w:p w14:paraId="5A1D9DF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1.01</w:t>
            </w:r>
          </w:p>
        </w:tc>
        <w:tc>
          <w:tcPr>
            <w:tcW w:w="851" w:type="dxa"/>
            <w:tcBorders>
              <w:top w:val="nil"/>
              <w:bottom w:val="nil"/>
              <w:right w:val="nil"/>
            </w:tcBorders>
          </w:tcPr>
          <w:p w14:paraId="3D41C56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7.84</w:t>
            </w:r>
          </w:p>
        </w:tc>
        <w:tc>
          <w:tcPr>
            <w:tcW w:w="804" w:type="dxa"/>
            <w:tcBorders>
              <w:top w:val="nil"/>
              <w:left w:val="nil"/>
              <w:bottom w:val="nil"/>
              <w:right w:val="nil"/>
            </w:tcBorders>
          </w:tcPr>
          <w:p w14:paraId="1F3DDA01"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0.031</w:t>
            </w:r>
          </w:p>
        </w:tc>
      </w:tr>
      <w:tr w:rsidR="00AE324A" w14:paraId="781B2F0A" w14:textId="77777777">
        <w:tc>
          <w:tcPr>
            <w:tcW w:w="2268" w:type="dxa"/>
            <w:tcBorders>
              <w:top w:val="nil"/>
              <w:left w:val="nil"/>
              <w:bottom w:val="single" w:sz="4" w:space="0" w:color="auto"/>
              <w:right w:val="nil"/>
            </w:tcBorders>
          </w:tcPr>
          <w:p w14:paraId="31E002A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60 years</w:t>
            </w:r>
          </w:p>
        </w:tc>
        <w:tc>
          <w:tcPr>
            <w:tcW w:w="851" w:type="dxa"/>
            <w:tcBorders>
              <w:top w:val="nil"/>
              <w:left w:val="nil"/>
              <w:bottom w:val="single" w:sz="4" w:space="0" w:color="auto"/>
              <w:right w:val="nil"/>
            </w:tcBorders>
          </w:tcPr>
          <w:p w14:paraId="79D1996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10.38</w:t>
            </w:r>
          </w:p>
        </w:tc>
        <w:tc>
          <w:tcPr>
            <w:tcW w:w="850" w:type="dxa"/>
            <w:tcBorders>
              <w:top w:val="nil"/>
              <w:left w:val="nil"/>
              <w:bottom w:val="single" w:sz="4" w:space="0" w:color="auto"/>
            </w:tcBorders>
          </w:tcPr>
          <w:p w14:paraId="78F7DA9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7.48</w:t>
            </w:r>
          </w:p>
        </w:tc>
        <w:tc>
          <w:tcPr>
            <w:tcW w:w="851" w:type="dxa"/>
            <w:tcBorders>
              <w:top w:val="nil"/>
              <w:bottom w:val="single" w:sz="4" w:space="0" w:color="auto"/>
              <w:right w:val="nil"/>
            </w:tcBorders>
          </w:tcPr>
          <w:p w14:paraId="578AA82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17.65</w:t>
            </w:r>
          </w:p>
        </w:tc>
        <w:tc>
          <w:tcPr>
            <w:tcW w:w="850" w:type="dxa"/>
            <w:tcBorders>
              <w:top w:val="nil"/>
              <w:left w:val="nil"/>
              <w:bottom w:val="single" w:sz="4" w:space="0" w:color="auto"/>
            </w:tcBorders>
          </w:tcPr>
          <w:p w14:paraId="7D61C864"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2B51979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11.01</w:t>
            </w:r>
          </w:p>
        </w:tc>
        <w:tc>
          <w:tcPr>
            <w:tcW w:w="850" w:type="dxa"/>
            <w:tcBorders>
              <w:top w:val="nil"/>
              <w:left w:val="nil"/>
              <w:bottom w:val="single" w:sz="4" w:space="0" w:color="auto"/>
            </w:tcBorders>
          </w:tcPr>
          <w:p w14:paraId="74307D9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8.02</w:t>
            </w:r>
          </w:p>
        </w:tc>
        <w:tc>
          <w:tcPr>
            <w:tcW w:w="851" w:type="dxa"/>
            <w:tcBorders>
              <w:top w:val="nil"/>
              <w:bottom w:val="single" w:sz="4" w:space="0" w:color="auto"/>
              <w:right w:val="nil"/>
            </w:tcBorders>
          </w:tcPr>
          <w:p w14:paraId="034F545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18.21</w:t>
            </w:r>
          </w:p>
        </w:tc>
        <w:tc>
          <w:tcPr>
            <w:tcW w:w="804" w:type="dxa"/>
            <w:tcBorders>
              <w:top w:val="nil"/>
              <w:left w:val="nil"/>
              <w:bottom w:val="single" w:sz="4" w:space="0" w:color="auto"/>
              <w:right w:val="nil"/>
            </w:tcBorders>
          </w:tcPr>
          <w:p w14:paraId="1562531D"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0.042</w:t>
            </w:r>
          </w:p>
        </w:tc>
      </w:tr>
      <w:tr w:rsidR="00AE324A" w14:paraId="464028F8" w14:textId="77777777">
        <w:tc>
          <w:tcPr>
            <w:tcW w:w="2268" w:type="dxa"/>
            <w:tcBorders>
              <w:left w:val="nil"/>
              <w:bottom w:val="nil"/>
              <w:right w:val="nil"/>
            </w:tcBorders>
          </w:tcPr>
          <w:p w14:paraId="45E8899E"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Partner age</w:t>
            </w:r>
          </w:p>
        </w:tc>
        <w:tc>
          <w:tcPr>
            <w:tcW w:w="851" w:type="dxa"/>
            <w:tcBorders>
              <w:left w:val="nil"/>
              <w:bottom w:val="nil"/>
              <w:right w:val="nil"/>
            </w:tcBorders>
          </w:tcPr>
          <w:p w14:paraId="04F45D53"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2DACF459"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F26C0D7"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6CC0CF05"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3BD2E7A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250CEC39"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BCF0D49"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513DADC4" w14:textId="77777777" w:rsidR="00AE324A" w:rsidRDefault="00AE324A">
            <w:pPr>
              <w:rPr>
                <w:rFonts w:ascii="Arial" w:eastAsiaTheme="minorHAnsi" w:hAnsi="Arial" w:cs="Arial"/>
                <w:kern w:val="2"/>
                <w:sz w:val="20"/>
                <w:szCs w:val="20"/>
                <w:lang w:val="en-MY"/>
              </w:rPr>
            </w:pPr>
          </w:p>
        </w:tc>
      </w:tr>
      <w:tr w:rsidR="00AE324A" w14:paraId="6CF3863A" w14:textId="77777777">
        <w:tc>
          <w:tcPr>
            <w:tcW w:w="2268" w:type="dxa"/>
            <w:tcBorders>
              <w:top w:val="nil"/>
              <w:left w:val="nil"/>
              <w:bottom w:val="nil"/>
              <w:right w:val="nil"/>
            </w:tcBorders>
          </w:tcPr>
          <w:p w14:paraId="26709A1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40 years</w:t>
            </w:r>
          </w:p>
        </w:tc>
        <w:tc>
          <w:tcPr>
            <w:tcW w:w="851" w:type="dxa"/>
            <w:tcBorders>
              <w:top w:val="nil"/>
              <w:left w:val="nil"/>
              <w:bottom w:val="nil"/>
              <w:right w:val="nil"/>
            </w:tcBorders>
          </w:tcPr>
          <w:p w14:paraId="48D4690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17CF0BDD"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7D06E596"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0CA2B690"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9426A9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63FFBFC7"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656D137A"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24911586" w14:textId="77777777" w:rsidR="00AE324A" w:rsidRDefault="00AE324A">
            <w:pPr>
              <w:rPr>
                <w:rFonts w:ascii="Arial" w:eastAsiaTheme="minorHAnsi" w:hAnsi="Arial" w:cs="Arial"/>
                <w:kern w:val="2"/>
                <w:sz w:val="20"/>
                <w:szCs w:val="20"/>
                <w:lang w:val="en-MY"/>
              </w:rPr>
            </w:pPr>
          </w:p>
        </w:tc>
      </w:tr>
      <w:tr w:rsidR="00AE324A" w14:paraId="31C09688" w14:textId="77777777">
        <w:tc>
          <w:tcPr>
            <w:tcW w:w="2268" w:type="dxa"/>
            <w:tcBorders>
              <w:top w:val="nil"/>
              <w:left w:val="nil"/>
              <w:bottom w:val="nil"/>
              <w:right w:val="nil"/>
            </w:tcBorders>
          </w:tcPr>
          <w:p w14:paraId="5571430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40 – 59 years</w:t>
            </w:r>
          </w:p>
        </w:tc>
        <w:tc>
          <w:tcPr>
            <w:tcW w:w="851" w:type="dxa"/>
            <w:tcBorders>
              <w:top w:val="nil"/>
              <w:left w:val="nil"/>
              <w:bottom w:val="nil"/>
              <w:right w:val="nil"/>
            </w:tcBorders>
          </w:tcPr>
          <w:p w14:paraId="7525230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3.69</w:t>
            </w:r>
          </w:p>
        </w:tc>
        <w:tc>
          <w:tcPr>
            <w:tcW w:w="850" w:type="dxa"/>
            <w:tcBorders>
              <w:top w:val="nil"/>
              <w:left w:val="nil"/>
              <w:bottom w:val="nil"/>
            </w:tcBorders>
          </w:tcPr>
          <w:p w14:paraId="2CBCD7C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1.96</w:t>
            </w:r>
          </w:p>
        </w:tc>
        <w:tc>
          <w:tcPr>
            <w:tcW w:w="851" w:type="dxa"/>
            <w:tcBorders>
              <w:top w:val="nil"/>
              <w:bottom w:val="nil"/>
              <w:right w:val="nil"/>
            </w:tcBorders>
          </w:tcPr>
          <w:p w14:paraId="63AF7F7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6.95</w:t>
            </w:r>
          </w:p>
        </w:tc>
        <w:tc>
          <w:tcPr>
            <w:tcW w:w="850" w:type="dxa"/>
            <w:tcBorders>
              <w:top w:val="nil"/>
              <w:left w:val="nil"/>
              <w:bottom w:val="nil"/>
            </w:tcBorders>
          </w:tcPr>
          <w:p w14:paraId="5EB976E1"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0C128B9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4.01</w:t>
            </w:r>
          </w:p>
        </w:tc>
        <w:tc>
          <w:tcPr>
            <w:tcW w:w="850" w:type="dxa"/>
            <w:tcBorders>
              <w:top w:val="nil"/>
              <w:left w:val="nil"/>
              <w:bottom w:val="nil"/>
            </w:tcBorders>
          </w:tcPr>
          <w:p w14:paraId="3E82621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2.22</w:t>
            </w:r>
          </w:p>
        </w:tc>
        <w:tc>
          <w:tcPr>
            <w:tcW w:w="851" w:type="dxa"/>
            <w:tcBorders>
              <w:top w:val="nil"/>
              <w:bottom w:val="nil"/>
              <w:right w:val="nil"/>
            </w:tcBorders>
          </w:tcPr>
          <w:p w14:paraId="2AF91F3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7.72</w:t>
            </w:r>
          </w:p>
        </w:tc>
        <w:tc>
          <w:tcPr>
            <w:tcW w:w="804" w:type="dxa"/>
            <w:tcBorders>
              <w:top w:val="nil"/>
              <w:left w:val="nil"/>
              <w:bottom w:val="nil"/>
              <w:right w:val="nil"/>
            </w:tcBorders>
          </w:tcPr>
          <w:p w14:paraId="322E3554"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363EF1F7" w14:textId="77777777">
        <w:tc>
          <w:tcPr>
            <w:tcW w:w="2268" w:type="dxa"/>
            <w:tcBorders>
              <w:top w:val="nil"/>
              <w:left w:val="nil"/>
              <w:bottom w:val="single" w:sz="4" w:space="0" w:color="auto"/>
              <w:right w:val="nil"/>
            </w:tcBorders>
          </w:tcPr>
          <w:p w14:paraId="445BB00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60 years</w:t>
            </w:r>
          </w:p>
        </w:tc>
        <w:tc>
          <w:tcPr>
            <w:tcW w:w="851" w:type="dxa"/>
            <w:tcBorders>
              <w:top w:val="nil"/>
              <w:left w:val="nil"/>
              <w:bottom w:val="single" w:sz="4" w:space="0" w:color="auto"/>
              <w:right w:val="nil"/>
            </w:tcBorders>
          </w:tcPr>
          <w:p w14:paraId="0C7CE77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9.02</w:t>
            </w:r>
          </w:p>
        </w:tc>
        <w:tc>
          <w:tcPr>
            <w:tcW w:w="850" w:type="dxa"/>
            <w:tcBorders>
              <w:top w:val="nil"/>
              <w:left w:val="nil"/>
              <w:bottom w:val="single" w:sz="4" w:space="0" w:color="auto"/>
            </w:tcBorders>
          </w:tcPr>
          <w:p w14:paraId="2EC8A1C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7.28</w:t>
            </w:r>
          </w:p>
        </w:tc>
        <w:tc>
          <w:tcPr>
            <w:tcW w:w="851" w:type="dxa"/>
            <w:tcBorders>
              <w:top w:val="nil"/>
              <w:bottom w:val="single" w:sz="4" w:space="0" w:color="auto"/>
              <w:right w:val="nil"/>
            </w:tcBorders>
          </w:tcPr>
          <w:p w14:paraId="61F388E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18.94</w:t>
            </w:r>
          </w:p>
        </w:tc>
        <w:tc>
          <w:tcPr>
            <w:tcW w:w="850" w:type="dxa"/>
            <w:tcBorders>
              <w:top w:val="nil"/>
              <w:left w:val="nil"/>
              <w:bottom w:val="single" w:sz="4" w:space="0" w:color="auto"/>
            </w:tcBorders>
          </w:tcPr>
          <w:p w14:paraId="56D769BE"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shd w:val="clear" w:color="auto" w:fill="FFFFFF" w:themeFill="background1"/>
          </w:tcPr>
          <w:p w14:paraId="210092D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10.03</w:t>
            </w:r>
          </w:p>
        </w:tc>
        <w:tc>
          <w:tcPr>
            <w:tcW w:w="850" w:type="dxa"/>
            <w:tcBorders>
              <w:top w:val="nil"/>
              <w:left w:val="nil"/>
              <w:bottom w:val="single" w:sz="4" w:space="0" w:color="auto"/>
            </w:tcBorders>
          </w:tcPr>
          <w:p w14:paraId="2E0DFC6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8.14</w:t>
            </w:r>
          </w:p>
        </w:tc>
        <w:tc>
          <w:tcPr>
            <w:tcW w:w="851" w:type="dxa"/>
            <w:tcBorders>
              <w:top w:val="nil"/>
              <w:bottom w:val="single" w:sz="4" w:space="0" w:color="auto"/>
              <w:right w:val="nil"/>
            </w:tcBorders>
          </w:tcPr>
          <w:p w14:paraId="6998BB0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19.01</w:t>
            </w:r>
          </w:p>
        </w:tc>
        <w:tc>
          <w:tcPr>
            <w:tcW w:w="804" w:type="dxa"/>
            <w:tcBorders>
              <w:top w:val="nil"/>
              <w:left w:val="nil"/>
              <w:bottom w:val="single" w:sz="4" w:space="0" w:color="auto"/>
              <w:right w:val="nil"/>
            </w:tcBorders>
          </w:tcPr>
          <w:p w14:paraId="234C03EA"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2C8E52B1" w14:textId="77777777">
        <w:tc>
          <w:tcPr>
            <w:tcW w:w="2268" w:type="dxa"/>
            <w:tcBorders>
              <w:left w:val="nil"/>
              <w:bottom w:val="nil"/>
              <w:right w:val="nil"/>
            </w:tcBorders>
          </w:tcPr>
          <w:p w14:paraId="27D54EEC"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Ethnicity</w:t>
            </w:r>
          </w:p>
        </w:tc>
        <w:tc>
          <w:tcPr>
            <w:tcW w:w="851" w:type="dxa"/>
            <w:tcBorders>
              <w:left w:val="nil"/>
              <w:bottom w:val="nil"/>
              <w:right w:val="nil"/>
            </w:tcBorders>
          </w:tcPr>
          <w:p w14:paraId="3D41846F"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58261DB"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5F0C5A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0DA9EBC"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E0865B2"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3321782"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3BCB8C1"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2A08BED9" w14:textId="77777777" w:rsidR="00AE324A" w:rsidRDefault="00AE324A">
            <w:pPr>
              <w:rPr>
                <w:rFonts w:ascii="Arial" w:eastAsiaTheme="minorHAnsi" w:hAnsi="Arial" w:cs="Arial"/>
                <w:kern w:val="2"/>
                <w:sz w:val="20"/>
                <w:szCs w:val="20"/>
                <w:lang w:val="en-MY"/>
              </w:rPr>
            </w:pPr>
          </w:p>
        </w:tc>
      </w:tr>
      <w:tr w:rsidR="00AE324A" w14:paraId="11A614D6" w14:textId="77777777">
        <w:tc>
          <w:tcPr>
            <w:tcW w:w="2268" w:type="dxa"/>
            <w:tcBorders>
              <w:top w:val="nil"/>
              <w:left w:val="nil"/>
              <w:bottom w:val="nil"/>
              <w:right w:val="nil"/>
            </w:tcBorders>
          </w:tcPr>
          <w:p w14:paraId="6B070B3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Malay</w:t>
            </w:r>
          </w:p>
        </w:tc>
        <w:tc>
          <w:tcPr>
            <w:tcW w:w="851" w:type="dxa"/>
            <w:tcBorders>
              <w:top w:val="nil"/>
              <w:left w:val="nil"/>
              <w:bottom w:val="nil"/>
              <w:right w:val="nil"/>
            </w:tcBorders>
          </w:tcPr>
          <w:p w14:paraId="08454E2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65D4625E"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1FCEAA6F"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566D2895"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4BAC82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7C9E3D56"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DA40806"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78D4AAB7" w14:textId="77777777" w:rsidR="00AE324A" w:rsidRDefault="00AE324A">
            <w:pPr>
              <w:rPr>
                <w:rFonts w:ascii="Arial" w:eastAsiaTheme="minorHAnsi" w:hAnsi="Arial" w:cs="Arial"/>
                <w:kern w:val="2"/>
                <w:sz w:val="20"/>
                <w:szCs w:val="20"/>
                <w:lang w:val="en-MY"/>
              </w:rPr>
            </w:pPr>
          </w:p>
        </w:tc>
      </w:tr>
      <w:tr w:rsidR="00AE324A" w14:paraId="1C893386" w14:textId="77777777">
        <w:tc>
          <w:tcPr>
            <w:tcW w:w="2268" w:type="dxa"/>
            <w:tcBorders>
              <w:top w:val="nil"/>
              <w:left w:val="nil"/>
              <w:bottom w:val="nil"/>
              <w:right w:val="nil"/>
            </w:tcBorders>
          </w:tcPr>
          <w:p w14:paraId="2B7A0E0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Chinese</w:t>
            </w:r>
          </w:p>
        </w:tc>
        <w:tc>
          <w:tcPr>
            <w:tcW w:w="851" w:type="dxa"/>
            <w:tcBorders>
              <w:top w:val="nil"/>
              <w:left w:val="nil"/>
              <w:bottom w:val="nil"/>
              <w:right w:val="nil"/>
            </w:tcBorders>
          </w:tcPr>
          <w:p w14:paraId="047872B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3.99</w:t>
            </w:r>
          </w:p>
        </w:tc>
        <w:tc>
          <w:tcPr>
            <w:tcW w:w="850" w:type="dxa"/>
            <w:tcBorders>
              <w:top w:val="nil"/>
              <w:left w:val="nil"/>
              <w:bottom w:val="nil"/>
            </w:tcBorders>
          </w:tcPr>
          <w:p w14:paraId="1BD69AD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2.09</w:t>
            </w:r>
          </w:p>
        </w:tc>
        <w:tc>
          <w:tcPr>
            <w:tcW w:w="851" w:type="dxa"/>
            <w:tcBorders>
              <w:top w:val="nil"/>
              <w:bottom w:val="nil"/>
              <w:right w:val="nil"/>
            </w:tcBorders>
          </w:tcPr>
          <w:p w14:paraId="12FF36A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7.62</w:t>
            </w:r>
          </w:p>
        </w:tc>
        <w:tc>
          <w:tcPr>
            <w:tcW w:w="850" w:type="dxa"/>
            <w:tcBorders>
              <w:top w:val="nil"/>
              <w:left w:val="nil"/>
              <w:bottom w:val="nil"/>
            </w:tcBorders>
          </w:tcPr>
          <w:p w14:paraId="63E13508"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51BC57D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5.79</w:t>
            </w:r>
          </w:p>
        </w:tc>
        <w:tc>
          <w:tcPr>
            <w:tcW w:w="850" w:type="dxa"/>
            <w:tcBorders>
              <w:top w:val="nil"/>
              <w:left w:val="nil"/>
              <w:bottom w:val="nil"/>
            </w:tcBorders>
          </w:tcPr>
          <w:p w14:paraId="4183789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2.04</w:t>
            </w:r>
          </w:p>
        </w:tc>
        <w:tc>
          <w:tcPr>
            <w:tcW w:w="851" w:type="dxa"/>
            <w:tcBorders>
              <w:top w:val="nil"/>
              <w:bottom w:val="nil"/>
              <w:right w:val="nil"/>
            </w:tcBorders>
          </w:tcPr>
          <w:p w14:paraId="6BB6721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8.02</w:t>
            </w:r>
          </w:p>
        </w:tc>
        <w:tc>
          <w:tcPr>
            <w:tcW w:w="804" w:type="dxa"/>
            <w:tcBorders>
              <w:top w:val="nil"/>
              <w:left w:val="nil"/>
              <w:bottom w:val="nil"/>
              <w:right w:val="nil"/>
            </w:tcBorders>
          </w:tcPr>
          <w:p w14:paraId="514343B4"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0.012</w:t>
            </w:r>
          </w:p>
        </w:tc>
      </w:tr>
      <w:tr w:rsidR="00AE324A" w14:paraId="00E59AAC" w14:textId="77777777">
        <w:tc>
          <w:tcPr>
            <w:tcW w:w="2268" w:type="dxa"/>
            <w:tcBorders>
              <w:top w:val="nil"/>
              <w:left w:val="nil"/>
              <w:bottom w:val="single" w:sz="4" w:space="0" w:color="auto"/>
              <w:right w:val="nil"/>
            </w:tcBorders>
          </w:tcPr>
          <w:p w14:paraId="568A5B1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Indian</w:t>
            </w:r>
          </w:p>
        </w:tc>
        <w:tc>
          <w:tcPr>
            <w:tcW w:w="851" w:type="dxa"/>
            <w:tcBorders>
              <w:top w:val="nil"/>
              <w:left w:val="nil"/>
              <w:bottom w:val="single" w:sz="4" w:space="0" w:color="auto"/>
              <w:right w:val="nil"/>
            </w:tcBorders>
          </w:tcPr>
          <w:p w14:paraId="14D48EA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2.07</w:t>
            </w:r>
          </w:p>
        </w:tc>
        <w:tc>
          <w:tcPr>
            <w:tcW w:w="850" w:type="dxa"/>
            <w:tcBorders>
              <w:top w:val="nil"/>
              <w:left w:val="nil"/>
              <w:bottom w:val="single" w:sz="4" w:space="0" w:color="auto"/>
            </w:tcBorders>
          </w:tcPr>
          <w:p w14:paraId="3970FFE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0.87</w:t>
            </w:r>
          </w:p>
        </w:tc>
        <w:tc>
          <w:tcPr>
            <w:tcW w:w="851" w:type="dxa"/>
            <w:tcBorders>
              <w:top w:val="nil"/>
              <w:bottom w:val="single" w:sz="4" w:space="0" w:color="auto"/>
              <w:right w:val="nil"/>
            </w:tcBorders>
          </w:tcPr>
          <w:p w14:paraId="3F15D79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4.91</w:t>
            </w:r>
          </w:p>
        </w:tc>
        <w:tc>
          <w:tcPr>
            <w:tcW w:w="850" w:type="dxa"/>
            <w:tcBorders>
              <w:top w:val="nil"/>
              <w:left w:val="nil"/>
              <w:bottom w:val="single" w:sz="4" w:space="0" w:color="auto"/>
            </w:tcBorders>
          </w:tcPr>
          <w:p w14:paraId="43FDCA0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0.98</w:t>
            </w:r>
          </w:p>
        </w:tc>
        <w:tc>
          <w:tcPr>
            <w:tcW w:w="851" w:type="dxa"/>
            <w:tcBorders>
              <w:top w:val="nil"/>
              <w:bottom w:val="single" w:sz="4" w:space="0" w:color="auto"/>
              <w:right w:val="nil"/>
            </w:tcBorders>
          </w:tcPr>
          <w:p w14:paraId="7A3C2B2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5.69</w:t>
            </w:r>
          </w:p>
        </w:tc>
        <w:tc>
          <w:tcPr>
            <w:tcW w:w="850" w:type="dxa"/>
            <w:tcBorders>
              <w:top w:val="nil"/>
              <w:left w:val="nil"/>
              <w:bottom w:val="single" w:sz="4" w:space="0" w:color="auto"/>
            </w:tcBorders>
          </w:tcPr>
          <w:p w14:paraId="71509BB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0.38</w:t>
            </w:r>
          </w:p>
        </w:tc>
        <w:tc>
          <w:tcPr>
            <w:tcW w:w="851" w:type="dxa"/>
            <w:tcBorders>
              <w:top w:val="nil"/>
              <w:bottom w:val="single" w:sz="4" w:space="0" w:color="auto"/>
              <w:right w:val="nil"/>
            </w:tcBorders>
          </w:tcPr>
          <w:p w14:paraId="3C726A7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5.01</w:t>
            </w:r>
          </w:p>
        </w:tc>
        <w:tc>
          <w:tcPr>
            <w:tcW w:w="804" w:type="dxa"/>
            <w:tcBorders>
              <w:top w:val="nil"/>
              <w:left w:val="nil"/>
              <w:bottom w:val="single" w:sz="4" w:space="0" w:color="auto"/>
              <w:right w:val="nil"/>
            </w:tcBorders>
          </w:tcPr>
          <w:p w14:paraId="0C6B068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0.210</w:t>
            </w:r>
          </w:p>
        </w:tc>
      </w:tr>
      <w:tr w:rsidR="00AE324A" w14:paraId="172165AF" w14:textId="77777777">
        <w:tc>
          <w:tcPr>
            <w:tcW w:w="2268" w:type="dxa"/>
            <w:tcBorders>
              <w:left w:val="nil"/>
              <w:bottom w:val="nil"/>
              <w:right w:val="nil"/>
            </w:tcBorders>
          </w:tcPr>
          <w:p w14:paraId="036B6C1D"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Education</w:t>
            </w:r>
            <w:r>
              <w:rPr>
                <w:rFonts w:ascii="Arial" w:eastAsiaTheme="minorHAnsi" w:hAnsi="Arial" w:cs="Arial"/>
                <w:b/>
                <w:bCs/>
                <w:kern w:val="2"/>
                <w:sz w:val="20"/>
                <w:szCs w:val="20"/>
                <w:lang w:val="en-MY"/>
              </w:rPr>
              <w:t xml:space="preserve"> level</w:t>
            </w:r>
          </w:p>
        </w:tc>
        <w:tc>
          <w:tcPr>
            <w:tcW w:w="851" w:type="dxa"/>
            <w:tcBorders>
              <w:left w:val="nil"/>
              <w:bottom w:val="nil"/>
              <w:right w:val="nil"/>
            </w:tcBorders>
          </w:tcPr>
          <w:p w14:paraId="4B1F4DC8"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0AF7CE4E"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FB235F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52CE18D4"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79B68C3"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300EE253"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60D49B1"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06D0E658" w14:textId="77777777" w:rsidR="00AE324A" w:rsidRDefault="00AE324A">
            <w:pPr>
              <w:rPr>
                <w:rFonts w:ascii="Arial" w:eastAsiaTheme="minorHAnsi" w:hAnsi="Arial" w:cs="Arial"/>
                <w:kern w:val="2"/>
                <w:sz w:val="20"/>
                <w:szCs w:val="20"/>
                <w:lang w:val="en-MY"/>
              </w:rPr>
            </w:pPr>
          </w:p>
        </w:tc>
      </w:tr>
      <w:tr w:rsidR="00AE324A" w14:paraId="72DF31B9" w14:textId="77777777">
        <w:tc>
          <w:tcPr>
            <w:tcW w:w="2268" w:type="dxa"/>
            <w:tcBorders>
              <w:top w:val="nil"/>
              <w:left w:val="nil"/>
              <w:bottom w:val="nil"/>
              <w:right w:val="nil"/>
            </w:tcBorders>
          </w:tcPr>
          <w:p w14:paraId="7746A86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Primary</w:t>
            </w:r>
          </w:p>
        </w:tc>
        <w:tc>
          <w:tcPr>
            <w:tcW w:w="851" w:type="dxa"/>
            <w:tcBorders>
              <w:top w:val="nil"/>
              <w:left w:val="nil"/>
              <w:bottom w:val="nil"/>
              <w:right w:val="nil"/>
            </w:tcBorders>
          </w:tcPr>
          <w:p w14:paraId="6CB6D88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3D9E52FE"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7DE2B5E8"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7D698B1A"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50A4E2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765ACDA"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62A4E9E1"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6BAD4FE7" w14:textId="77777777" w:rsidR="00AE324A" w:rsidRDefault="00AE324A">
            <w:pPr>
              <w:rPr>
                <w:rFonts w:ascii="Arial" w:eastAsiaTheme="minorHAnsi" w:hAnsi="Arial" w:cs="Arial"/>
                <w:kern w:val="2"/>
                <w:sz w:val="20"/>
                <w:szCs w:val="20"/>
                <w:lang w:val="en-MY"/>
              </w:rPr>
            </w:pPr>
          </w:p>
        </w:tc>
      </w:tr>
      <w:tr w:rsidR="00AE324A" w14:paraId="19733FE2" w14:textId="77777777">
        <w:tc>
          <w:tcPr>
            <w:tcW w:w="2268" w:type="dxa"/>
            <w:tcBorders>
              <w:top w:val="nil"/>
              <w:left w:val="nil"/>
              <w:bottom w:val="nil"/>
              <w:right w:val="nil"/>
            </w:tcBorders>
          </w:tcPr>
          <w:p w14:paraId="77837A1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lastRenderedPageBreak/>
              <w:t>Secondary</w:t>
            </w:r>
          </w:p>
        </w:tc>
        <w:tc>
          <w:tcPr>
            <w:tcW w:w="851" w:type="dxa"/>
            <w:tcBorders>
              <w:top w:val="nil"/>
              <w:left w:val="nil"/>
              <w:bottom w:val="nil"/>
              <w:right w:val="nil"/>
            </w:tcBorders>
          </w:tcPr>
          <w:p w14:paraId="09F0D11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0.66</w:t>
            </w:r>
          </w:p>
        </w:tc>
        <w:tc>
          <w:tcPr>
            <w:tcW w:w="850" w:type="dxa"/>
            <w:tcBorders>
              <w:top w:val="nil"/>
              <w:left w:val="nil"/>
              <w:bottom w:val="nil"/>
            </w:tcBorders>
          </w:tcPr>
          <w:p w14:paraId="7692A43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0.31</w:t>
            </w:r>
          </w:p>
        </w:tc>
        <w:tc>
          <w:tcPr>
            <w:tcW w:w="851" w:type="dxa"/>
            <w:tcBorders>
              <w:top w:val="nil"/>
              <w:bottom w:val="nil"/>
              <w:right w:val="nil"/>
            </w:tcBorders>
          </w:tcPr>
          <w:p w14:paraId="72B1CC2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1.40</w:t>
            </w:r>
          </w:p>
        </w:tc>
        <w:tc>
          <w:tcPr>
            <w:tcW w:w="850" w:type="dxa"/>
            <w:tcBorders>
              <w:top w:val="nil"/>
              <w:left w:val="nil"/>
              <w:bottom w:val="nil"/>
            </w:tcBorders>
          </w:tcPr>
          <w:p w14:paraId="29F20B2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0.28</w:t>
            </w:r>
          </w:p>
        </w:tc>
        <w:tc>
          <w:tcPr>
            <w:tcW w:w="851" w:type="dxa"/>
            <w:tcBorders>
              <w:top w:val="nil"/>
              <w:bottom w:val="nil"/>
              <w:right w:val="nil"/>
            </w:tcBorders>
          </w:tcPr>
          <w:p w14:paraId="45A28AF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1.60</w:t>
            </w:r>
          </w:p>
        </w:tc>
        <w:tc>
          <w:tcPr>
            <w:tcW w:w="850" w:type="dxa"/>
            <w:tcBorders>
              <w:top w:val="nil"/>
              <w:left w:val="nil"/>
              <w:bottom w:val="nil"/>
            </w:tcBorders>
          </w:tcPr>
          <w:p w14:paraId="07B92D1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0.84</w:t>
            </w:r>
          </w:p>
        </w:tc>
        <w:tc>
          <w:tcPr>
            <w:tcW w:w="851" w:type="dxa"/>
            <w:tcBorders>
              <w:top w:val="nil"/>
              <w:bottom w:val="nil"/>
              <w:right w:val="nil"/>
            </w:tcBorders>
          </w:tcPr>
          <w:p w14:paraId="6603E0F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1.88</w:t>
            </w:r>
          </w:p>
        </w:tc>
        <w:tc>
          <w:tcPr>
            <w:tcW w:w="804" w:type="dxa"/>
            <w:tcBorders>
              <w:top w:val="nil"/>
              <w:left w:val="nil"/>
              <w:bottom w:val="nil"/>
              <w:right w:val="nil"/>
            </w:tcBorders>
          </w:tcPr>
          <w:p w14:paraId="3DDB19A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0.537</w:t>
            </w:r>
          </w:p>
        </w:tc>
      </w:tr>
      <w:tr w:rsidR="00AE324A" w14:paraId="2A5F0959" w14:textId="77777777">
        <w:tc>
          <w:tcPr>
            <w:tcW w:w="2268" w:type="dxa"/>
            <w:tcBorders>
              <w:top w:val="nil"/>
              <w:left w:val="nil"/>
              <w:bottom w:val="nil"/>
              <w:right w:val="nil"/>
            </w:tcBorders>
          </w:tcPr>
          <w:p w14:paraId="7566876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Post-secondary</w:t>
            </w:r>
          </w:p>
        </w:tc>
        <w:tc>
          <w:tcPr>
            <w:tcW w:w="851" w:type="dxa"/>
            <w:tcBorders>
              <w:top w:val="nil"/>
              <w:left w:val="nil"/>
              <w:bottom w:val="nil"/>
              <w:right w:val="nil"/>
            </w:tcBorders>
          </w:tcPr>
          <w:p w14:paraId="7964A2F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2.48</w:t>
            </w:r>
          </w:p>
        </w:tc>
        <w:tc>
          <w:tcPr>
            <w:tcW w:w="850" w:type="dxa"/>
            <w:tcBorders>
              <w:top w:val="nil"/>
              <w:left w:val="nil"/>
              <w:bottom w:val="nil"/>
            </w:tcBorders>
          </w:tcPr>
          <w:p w14:paraId="24CD2BB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1.45</w:t>
            </w:r>
          </w:p>
        </w:tc>
        <w:tc>
          <w:tcPr>
            <w:tcW w:w="851" w:type="dxa"/>
            <w:tcBorders>
              <w:top w:val="nil"/>
              <w:bottom w:val="nil"/>
              <w:right w:val="nil"/>
            </w:tcBorders>
          </w:tcPr>
          <w:p w14:paraId="6E12A55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4.27</w:t>
            </w:r>
          </w:p>
        </w:tc>
        <w:tc>
          <w:tcPr>
            <w:tcW w:w="850" w:type="dxa"/>
            <w:tcBorders>
              <w:top w:val="nil"/>
              <w:left w:val="nil"/>
              <w:bottom w:val="nil"/>
            </w:tcBorders>
          </w:tcPr>
          <w:p w14:paraId="5C5D7AE7"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0940E5A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9.08</w:t>
            </w:r>
          </w:p>
        </w:tc>
        <w:tc>
          <w:tcPr>
            <w:tcW w:w="850" w:type="dxa"/>
            <w:tcBorders>
              <w:top w:val="nil"/>
              <w:left w:val="nil"/>
              <w:bottom w:val="nil"/>
            </w:tcBorders>
          </w:tcPr>
          <w:p w14:paraId="19B6390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4.36</w:t>
            </w:r>
          </w:p>
        </w:tc>
        <w:tc>
          <w:tcPr>
            <w:tcW w:w="851" w:type="dxa"/>
            <w:tcBorders>
              <w:top w:val="nil"/>
              <w:bottom w:val="nil"/>
              <w:right w:val="nil"/>
            </w:tcBorders>
          </w:tcPr>
          <w:p w14:paraId="7EB70F8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8.60</w:t>
            </w:r>
          </w:p>
        </w:tc>
        <w:tc>
          <w:tcPr>
            <w:tcW w:w="804" w:type="dxa"/>
            <w:tcBorders>
              <w:top w:val="nil"/>
              <w:left w:val="nil"/>
              <w:bottom w:val="nil"/>
              <w:right w:val="nil"/>
            </w:tcBorders>
          </w:tcPr>
          <w:p w14:paraId="4FDB47D1"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0C7EC5B2" w14:textId="77777777">
        <w:tc>
          <w:tcPr>
            <w:tcW w:w="2268" w:type="dxa"/>
            <w:tcBorders>
              <w:top w:val="nil"/>
              <w:left w:val="nil"/>
              <w:bottom w:val="single" w:sz="4" w:space="0" w:color="auto"/>
              <w:right w:val="nil"/>
            </w:tcBorders>
          </w:tcPr>
          <w:p w14:paraId="1AF66EC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Tertiary</w:t>
            </w:r>
          </w:p>
        </w:tc>
        <w:tc>
          <w:tcPr>
            <w:tcW w:w="851" w:type="dxa"/>
            <w:tcBorders>
              <w:top w:val="nil"/>
              <w:left w:val="nil"/>
              <w:bottom w:val="single" w:sz="4" w:space="0" w:color="auto"/>
              <w:right w:val="nil"/>
            </w:tcBorders>
          </w:tcPr>
          <w:p w14:paraId="7B0595A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8.66</w:t>
            </w:r>
          </w:p>
        </w:tc>
        <w:tc>
          <w:tcPr>
            <w:tcW w:w="850" w:type="dxa"/>
            <w:tcBorders>
              <w:top w:val="nil"/>
              <w:left w:val="nil"/>
              <w:bottom w:val="single" w:sz="4" w:space="0" w:color="auto"/>
            </w:tcBorders>
          </w:tcPr>
          <w:p w14:paraId="204ADFB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4.17</w:t>
            </w:r>
          </w:p>
        </w:tc>
        <w:tc>
          <w:tcPr>
            <w:tcW w:w="851" w:type="dxa"/>
            <w:tcBorders>
              <w:top w:val="nil"/>
              <w:bottom w:val="single" w:sz="4" w:space="0" w:color="auto"/>
              <w:right w:val="nil"/>
            </w:tcBorders>
          </w:tcPr>
          <w:p w14:paraId="7375443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17.97</w:t>
            </w:r>
          </w:p>
        </w:tc>
        <w:tc>
          <w:tcPr>
            <w:tcW w:w="850" w:type="dxa"/>
            <w:tcBorders>
              <w:top w:val="nil"/>
              <w:left w:val="nil"/>
              <w:bottom w:val="single" w:sz="4" w:space="0" w:color="auto"/>
            </w:tcBorders>
          </w:tcPr>
          <w:p w14:paraId="74C72941"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178687D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10.63</w:t>
            </w:r>
          </w:p>
        </w:tc>
        <w:tc>
          <w:tcPr>
            <w:tcW w:w="850" w:type="dxa"/>
            <w:tcBorders>
              <w:top w:val="nil"/>
              <w:left w:val="nil"/>
              <w:bottom w:val="single" w:sz="4" w:space="0" w:color="auto"/>
            </w:tcBorders>
          </w:tcPr>
          <w:p w14:paraId="1F162C3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4.31</w:t>
            </w:r>
          </w:p>
        </w:tc>
        <w:tc>
          <w:tcPr>
            <w:tcW w:w="851" w:type="dxa"/>
            <w:tcBorders>
              <w:top w:val="nil"/>
              <w:bottom w:val="single" w:sz="4" w:space="0" w:color="auto"/>
              <w:right w:val="nil"/>
            </w:tcBorders>
          </w:tcPr>
          <w:p w14:paraId="30ABA73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18.35</w:t>
            </w:r>
          </w:p>
        </w:tc>
        <w:tc>
          <w:tcPr>
            <w:tcW w:w="804" w:type="dxa"/>
            <w:tcBorders>
              <w:top w:val="nil"/>
              <w:left w:val="nil"/>
              <w:bottom w:val="single" w:sz="4" w:space="0" w:color="auto"/>
              <w:right w:val="nil"/>
            </w:tcBorders>
          </w:tcPr>
          <w:p w14:paraId="443A5294"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0.023</w:t>
            </w:r>
          </w:p>
        </w:tc>
      </w:tr>
      <w:tr w:rsidR="00AE324A" w14:paraId="4A26E02C" w14:textId="77777777">
        <w:tc>
          <w:tcPr>
            <w:tcW w:w="2268" w:type="dxa"/>
            <w:tcBorders>
              <w:left w:val="nil"/>
              <w:bottom w:val="nil"/>
              <w:right w:val="nil"/>
            </w:tcBorders>
          </w:tcPr>
          <w:p w14:paraId="7672ED8A"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Occupation</w:t>
            </w:r>
          </w:p>
        </w:tc>
        <w:tc>
          <w:tcPr>
            <w:tcW w:w="851" w:type="dxa"/>
            <w:tcBorders>
              <w:left w:val="nil"/>
              <w:bottom w:val="nil"/>
              <w:right w:val="nil"/>
            </w:tcBorders>
          </w:tcPr>
          <w:p w14:paraId="320FC9F5"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22C39B8A"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532C750"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8151B28"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6CBFB83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20B7C17"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DA42AF0"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7E1015F2" w14:textId="77777777" w:rsidR="00AE324A" w:rsidRDefault="00AE324A">
            <w:pPr>
              <w:rPr>
                <w:rFonts w:ascii="Arial" w:eastAsiaTheme="minorHAnsi" w:hAnsi="Arial" w:cs="Arial"/>
                <w:kern w:val="2"/>
                <w:sz w:val="20"/>
                <w:szCs w:val="20"/>
                <w:lang w:val="en-MY"/>
              </w:rPr>
            </w:pPr>
          </w:p>
        </w:tc>
      </w:tr>
      <w:tr w:rsidR="00AE324A" w14:paraId="30DDCB25" w14:textId="77777777">
        <w:tc>
          <w:tcPr>
            <w:tcW w:w="2268" w:type="dxa"/>
            <w:tcBorders>
              <w:top w:val="nil"/>
              <w:left w:val="nil"/>
              <w:bottom w:val="nil"/>
              <w:right w:val="nil"/>
            </w:tcBorders>
          </w:tcPr>
          <w:p w14:paraId="5072CA2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Employed</w:t>
            </w:r>
          </w:p>
        </w:tc>
        <w:tc>
          <w:tcPr>
            <w:tcW w:w="851" w:type="dxa"/>
            <w:tcBorders>
              <w:top w:val="nil"/>
              <w:left w:val="nil"/>
              <w:bottom w:val="nil"/>
              <w:right w:val="nil"/>
            </w:tcBorders>
          </w:tcPr>
          <w:p w14:paraId="5EC32A8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042E1B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20D9380B"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4847B15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016A8F4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70074D4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632C0591"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2ADE6537" w14:textId="77777777" w:rsidR="00AE324A" w:rsidRDefault="00AE324A">
            <w:pPr>
              <w:rPr>
                <w:rFonts w:ascii="Arial" w:eastAsiaTheme="minorHAnsi" w:hAnsi="Arial" w:cs="Arial"/>
                <w:kern w:val="2"/>
                <w:sz w:val="20"/>
                <w:szCs w:val="20"/>
                <w:lang w:val="en-MY"/>
              </w:rPr>
            </w:pPr>
          </w:p>
        </w:tc>
      </w:tr>
      <w:tr w:rsidR="00AE324A" w14:paraId="072785FB" w14:textId="77777777">
        <w:tc>
          <w:tcPr>
            <w:tcW w:w="2268" w:type="dxa"/>
            <w:tcBorders>
              <w:top w:val="nil"/>
              <w:left w:val="nil"/>
              <w:bottom w:val="single" w:sz="4" w:space="0" w:color="auto"/>
              <w:right w:val="nil"/>
            </w:tcBorders>
          </w:tcPr>
          <w:p w14:paraId="47C70DF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Unemployed</w:t>
            </w:r>
          </w:p>
        </w:tc>
        <w:tc>
          <w:tcPr>
            <w:tcW w:w="851" w:type="dxa"/>
            <w:tcBorders>
              <w:top w:val="nil"/>
              <w:left w:val="nil"/>
              <w:bottom w:val="single" w:sz="4" w:space="0" w:color="auto"/>
              <w:right w:val="nil"/>
            </w:tcBorders>
          </w:tcPr>
          <w:p w14:paraId="3A6F165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0.71</w:t>
            </w:r>
          </w:p>
        </w:tc>
        <w:tc>
          <w:tcPr>
            <w:tcW w:w="850" w:type="dxa"/>
            <w:tcBorders>
              <w:top w:val="nil"/>
              <w:left w:val="nil"/>
              <w:bottom w:val="single" w:sz="4" w:space="0" w:color="auto"/>
            </w:tcBorders>
          </w:tcPr>
          <w:p w14:paraId="52B9EDF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0.46</w:t>
            </w:r>
          </w:p>
        </w:tc>
        <w:tc>
          <w:tcPr>
            <w:tcW w:w="851" w:type="dxa"/>
            <w:tcBorders>
              <w:top w:val="nil"/>
              <w:bottom w:val="single" w:sz="4" w:space="0" w:color="auto"/>
              <w:right w:val="nil"/>
            </w:tcBorders>
          </w:tcPr>
          <w:p w14:paraId="41EBD49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1.11</w:t>
            </w:r>
          </w:p>
        </w:tc>
        <w:tc>
          <w:tcPr>
            <w:tcW w:w="850" w:type="dxa"/>
            <w:tcBorders>
              <w:top w:val="nil"/>
              <w:left w:val="nil"/>
              <w:bottom w:val="single" w:sz="4" w:space="0" w:color="auto"/>
            </w:tcBorders>
          </w:tcPr>
          <w:p w14:paraId="0F473186"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0.131</w:t>
            </w:r>
          </w:p>
        </w:tc>
        <w:tc>
          <w:tcPr>
            <w:tcW w:w="851" w:type="dxa"/>
            <w:tcBorders>
              <w:top w:val="nil"/>
              <w:bottom w:val="single" w:sz="4" w:space="0" w:color="auto"/>
              <w:right w:val="nil"/>
            </w:tcBorders>
          </w:tcPr>
          <w:p w14:paraId="3943898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0.49</w:t>
            </w:r>
          </w:p>
        </w:tc>
        <w:tc>
          <w:tcPr>
            <w:tcW w:w="850" w:type="dxa"/>
            <w:tcBorders>
              <w:top w:val="nil"/>
              <w:left w:val="nil"/>
              <w:bottom w:val="single" w:sz="4" w:space="0" w:color="auto"/>
            </w:tcBorders>
          </w:tcPr>
          <w:p w14:paraId="6F00653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0.75</w:t>
            </w:r>
          </w:p>
        </w:tc>
        <w:tc>
          <w:tcPr>
            <w:tcW w:w="851" w:type="dxa"/>
            <w:tcBorders>
              <w:top w:val="nil"/>
              <w:bottom w:val="single" w:sz="4" w:space="0" w:color="auto"/>
              <w:right w:val="nil"/>
            </w:tcBorders>
          </w:tcPr>
          <w:p w14:paraId="7D39143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1.98</w:t>
            </w:r>
          </w:p>
        </w:tc>
        <w:tc>
          <w:tcPr>
            <w:tcW w:w="804" w:type="dxa"/>
            <w:tcBorders>
              <w:top w:val="nil"/>
              <w:left w:val="nil"/>
              <w:bottom w:val="single" w:sz="4" w:space="0" w:color="auto"/>
              <w:right w:val="nil"/>
            </w:tcBorders>
          </w:tcPr>
          <w:p w14:paraId="11C9D61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0.332</w:t>
            </w:r>
          </w:p>
        </w:tc>
      </w:tr>
      <w:tr w:rsidR="00AE324A" w14:paraId="523AB43E" w14:textId="77777777">
        <w:tc>
          <w:tcPr>
            <w:tcW w:w="2268" w:type="dxa"/>
            <w:tcBorders>
              <w:left w:val="nil"/>
              <w:bottom w:val="nil"/>
              <w:right w:val="nil"/>
            </w:tcBorders>
          </w:tcPr>
          <w:p w14:paraId="124B9C31"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Household income</w:t>
            </w:r>
          </w:p>
        </w:tc>
        <w:tc>
          <w:tcPr>
            <w:tcW w:w="851" w:type="dxa"/>
            <w:tcBorders>
              <w:left w:val="nil"/>
              <w:bottom w:val="nil"/>
              <w:right w:val="nil"/>
            </w:tcBorders>
          </w:tcPr>
          <w:p w14:paraId="79B3CB8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01930D8D"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017B8D1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BE0DEBB"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CCDB1C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A2A7BA7"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AD6BDD0"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2B3CB00D" w14:textId="77777777" w:rsidR="00AE324A" w:rsidRDefault="00AE324A">
            <w:pPr>
              <w:rPr>
                <w:rFonts w:ascii="Arial" w:eastAsiaTheme="minorHAnsi" w:hAnsi="Arial" w:cs="Arial"/>
                <w:kern w:val="2"/>
                <w:sz w:val="20"/>
                <w:szCs w:val="20"/>
                <w:lang w:val="en-MY"/>
              </w:rPr>
            </w:pPr>
          </w:p>
        </w:tc>
      </w:tr>
      <w:tr w:rsidR="00AE324A" w14:paraId="3C54CA93" w14:textId="77777777">
        <w:tc>
          <w:tcPr>
            <w:tcW w:w="2268" w:type="dxa"/>
            <w:tcBorders>
              <w:top w:val="nil"/>
              <w:left w:val="nil"/>
              <w:bottom w:val="nil"/>
              <w:right w:val="nil"/>
            </w:tcBorders>
          </w:tcPr>
          <w:p w14:paraId="3121A05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&lt; RM4,849 (B40)</w:t>
            </w:r>
          </w:p>
        </w:tc>
        <w:tc>
          <w:tcPr>
            <w:tcW w:w="851" w:type="dxa"/>
            <w:tcBorders>
              <w:top w:val="nil"/>
              <w:left w:val="nil"/>
              <w:bottom w:val="nil"/>
              <w:right w:val="nil"/>
            </w:tcBorders>
          </w:tcPr>
          <w:p w14:paraId="7211001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113CA3E9"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E68CE60"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75C22392"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3DB8B0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8726B09"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2880EEAB"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7550EB03" w14:textId="77777777" w:rsidR="00AE324A" w:rsidRDefault="00AE324A">
            <w:pPr>
              <w:rPr>
                <w:rFonts w:ascii="Arial" w:eastAsiaTheme="minorHAnsi" w:hAnsi="Arial" w:cs="Arial"/>
                <w:kern w:val="2"/>
                <w:sz w:val="20"/>
                <w:szCs w:val="20"/>
                <w:lang w:val="en-MY"/>
              </w:rPr>
            </w:pPr>
          </w:p>
        </w:tc>
      </w:tr>
      <w:tr w:rsidR="00AE324A" w14:paraId="413336BA" w14:textId="77777777">
        <w:tc>
          <w:tcPr>
            <w:tcW w:w="2268" w:type="dxa"/>
            <w:tcBorders>
              <w:top w:val="nil"/>
              <w:left w:val="nil"/>
              <w:bottom w:val="nil"/>
              <w:right w:val="nil"/>
            </w:tcBorders>
          </w:tcPr>
          <w:p w14:paraId="1BEC463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RM4850 -RM10,959 (M40)</w:t>
            </w:r>
          </w:p>
        </w:tc>
        <w:tc>
          <w:tcPr>
            <w:tcW w:w="851" w:type="dxa"/>
            <w:tcBorders>
              <w:top w:val="nil"/>
              <w:left w:val="nil"/>
              <w:bottom w:val="nil"/>
              <w:right w:val="nil"/>
            </w:tcBorders>
          </w:tcPr>
          <w:p w14:paraId="524F6E0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6.23</w:t>
            </w:r>
          </w:p>
        </w:tc>
        <w:tc>
          <w:tcPr>
            <w:tcW w:w="850" w:type="dxa"/>
            <w:tcBorders>
              <w:top w:val="nil"/>
              <w:left w:val="nil"/>
              <w:bottom w:val="nil"/>
            </w:tcBorders>
          </w:tcPr>
          <w:p w14:paraId="4C3CAA2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2.64</w:t>
            </w:r>
          </w:p>
        </w:tc>
        <w:tc>
          <w:tcPr>
            <w:tcW w:w="851" w:type="dxa"/>
            <w:tcBorders>
              <w:top w:val="nil"/>
              <w:bottom w:val="nil"/>
              <w:right w:val="nil"/>
            </w:tcBorders>
          </w:tcPr>
          <w:p w14:paraId="4E5983E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14.67</w:t>
            </w:r>
          </w:p>
        </w:tc>
        <w:tc>
          <w:tcPr>
            <w:tcW w:w="850" w:type="dxa"/>
            <w:tcBorders>
              <w:top w:val="nil"/>
              <w:left w:val="nil"/>
              <w:bottom w:val="nil"/>
            </w:tcBorders>
          </w:tcPr>
          <w:p w14:paraId="5B26CD13" w14:textId="77777777" w:rsidR="00AE324A" w:rsidRDefault="004A746B">
            <w:pPr>
              <w:rPr>
                <w:rFonts w:ascii="Arial" w:eastAsiaTheme="minorHAnsi" w:hAnsi="Arial" w:cs="Arial"/>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7A9631A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7.34</w:t>
            </w:r>
          </w:p>
        </w:tc>
        <w:tc>
          <w:tcPr>
            <w:tcW w:w="850" w:type="dxa"/>
            <w:tcBorders>
              <w:top w:val="nil"/>
              <w:left w:val="nil"/>
              <w:bottom w:val="nil"/>
            </w:tcBorders>
          </w:tcPr>
          <w:p w14:paraId="6EFBFF7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3.88</w:t>
            </w:r>
          </w:p>
        </w:tc>
        <w:tc>
          <w:tcPr>
            <w:tcW w:w="851" w:type="dxa"/>
            <w:tcBorders>
              <w:top w:val="nil"/>
              <w:bottom w:val="nil"/>
              <w:right w:val="nil"/>
            </w:tcBorders>
          </w:tcPr>
          <w:p w14:paraId="5484D87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16.90</w:t>
            </w:r>
          </w:p>
        </w:tc>
        <w:tc>
          <w:tcPr>
            <w:tcW w:w="804" w:type="dxa"/>
            <w:tcBorders>
              <w:top w:val="nil"/>
              <w:left w:val="nil"/>
              <w:bottom w:val="nil"/>
              <w:right w:val="nil"/>
            </w:tcBorders>
          </w:tcPr>
          <w:p w14:paraId="0772264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0.217</w:t>
            </w:r>
          </w:p>
        </w:tc>
      </w:tr>
      <w:tr w:rsidR="00AE324A" w14:paraId="36FB5F55" w14:textId="77777777">
        <w:tc>
          <w:tcPr>
            <w:tcW w:w="2268" w:type="dxa"/>
            <w:tcBorders>
              <w:top w:val="nil"/>
              <w:left w:val="nil"/>
              <w:bottom w:val="single" w:sz="4" w:space="0" w:color="auto"/>
              <w:right w:val="nil"/>
            </w:tcBorders>
          </w:tcPr>
          <w:p w14:paraId="64C75B9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RM 10,960 (T20)</w:t>
            </w:r>
          </w:p>
        </w:tc>
        <w:tc>
          <w:tcPr>
            <w:tcW w:w="851" w:type="dxa"/>
            <w:tcBorders>
              <w:top w:val="nil"/>
              <w:left w:val="nil"/>
              <w:bottom w:val="single" w:sz="4" w:space="0" w:color="auto"/>
              <w:right w:val="nil"/>
            </w:tcBorders>
          </w:tcPr>
          <w:p w14:paraId="4F12219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6.73</w:t>
            </w:r>
          </w:p>
        </w:tc>
        <w:tc>
          <w:tcPr>
            <w:tcW w:w="850" w:type="dxa"/>
            <w:tcBorders>
              <w:top w:val="nil"/>
              <w:left w:val="nil"/>
              <w:bottom w:val="single" w:sz="4" w:space="0" w:color="auto"/>
            </w:tcBorders>
          </w:tcPr>
          <w:p w14:paraId="059EDD3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2.59</w:t>
            </w:r>
          </w:p>
        </w:tc>
        <w:tc>
          <w:tcPr>
            <w:tcW w:w="851" w:type="dxa"/>
            <w:tcBorders>
              <w:top w:val="nil"/>
              <w:bottom w:val="single" w:sz="4" w:space="0" w:color="auto"/>
              <w:right w:val="nil"/>
            </w:tcBorders>
          </w:tcPr>
          <w:p w14:paraId="3A98840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17.45</w:t>
            </w:r>
          </w:p>
        </w:tc>
        <w:tc>
          <w:tcPr>
            <w:tcW w:w="850" w:type="dxa"/>
            <w:tcBorders>
              <w:top w:val="nil"/>
              <w:left w:val="nil"/>
              <w:bottom w:val="single" w:sz="4" w:space="0" w:color="auto"/>
            </w:tcBorders>
          </w:tcPr>
          <w:p w14:paraId="080D0717"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76D59FF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7.98</w:t>
            </w:r>
          </w:p>
        </w:tc>
        <w:tc>
          <w:tcPr>
            <w:tcW w:w="850" w:type="dxa"/>
            <w:tcBorders>
              <w:top w:val="nil"/>
              <w:left w:val="nil"/>
              <w:bottom w:val="single" w:sz="4" w:space="0" w:color="auto"/>
            </w:tcBorders>
          </w:tcPr>
          <w:p w14:paraId="7C66EA2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3.05</w:t>
            </w:r>
          </w:p>
        </w:tc>
        <w:tc>
          <w:tcPr>
            <w:tcW w:w="851" w:type="dxa"/>
            <w:tcBorders>
              <w:top w:val="nil"/>
              <w:bottom w:val="single" w:sz="4" w:space="0" w:color="auto"/>
              <w:right w:val="nil"/>
            </w:tcBorders>
          </w:tcPr>
          <w:p w14:paraId="133193C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15.87</w:t>
            </w:r>
          </w:p>
        </w:tc>
        <w:tc>
          <w:tcPr>
            <w:tcW w:w="804" w:type="dxa"/>
            <w:tcBorders>
              <w:top w:val="nil"/>
              <w:left w:val="nil"/>
              <w:bottom w:val="single" w:sz="4" w:space="0" w:color="auto"/>
              <w:right w:val="nil"/>
            </w:tcBorders>
          </w:tcPr>
          <w:p w14:paraId="6FFF7A1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0.855</w:t>
            </w:r>
          </w:p>
        </w:tc>
      </w:tr>
      <w:tr w:rsidR="00AE324A" w14:paraId="7A008F98" w14:textId="77777777">
        <w:tc>
          <w:tcPr>
            <w:tcW w:w="2268" w:type="dxa"/>
            <w:tcBorders>
              <w:left w:val="nil"/>
              <w:bottom w:val="nil"/>
              <w:right w:val="nil"/>
            </w:tcBorders>
          </w:tcPr>
          <w:p w14:paraId="64850257"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 xml:space="preserve">Mariage </w:t>
            </w:r>
            <w:r>
              <w:rPr>
                <w:rFonts w:ascii="Arial" w:eastAsiaTheme="minorHAnsi" w:hAnsi="Arial" w:cs="Arial"/>
                <w:b/>
                <w:bCs/>
                <w:kern w:val="2"/>
                <w:sz w:val="20"/>
                <w:szCs w:val="20"/>
                <w:lang w:val="en-MY"/>
              </w:rPr>
              <w:t>duration</w:t>
            </w:r>
          </w:p>
        </w:tc>
        <w:tc>
          <w:tcPr>
            <w:tcW w:w="851" w:type="dxa"/>
            <w:tcBorders>
              <w:left w:val="nil"/>
              <w:bottom w:val="nil"/>
              <w:right w:val="nil"/>
            </w:tcBorders>
          </w:tcPr>
          <w:p w14:paraId="5DB7A1D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68C98874"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684BCEF"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D50DAC9"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21E6598B"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D05DB2D"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04B6113D"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57BFF400" w14:textId="77777777" w:rsidR="00AE324A" w:rsidRDefault="00AE324A">
            <w:pPr>
              <w:rPr>
                <w:rFonts w:ascii="Arial" w:eastAsiaTheme="minorHAnsi" w:hAnsi="Arial" w:cs="Arial"/>
                <w:kern w:val="2"/>
                <w:sz w:val="20"/>
                <w:szCs w:val="20"/>
                <w:lang w:val="en-MY"/>
              </w:rPr>
            </w:pPr>
          </w:p>
        </w:tc>
      </w:tr>
      <w:tr w:rsidR="00AE324A" w14:paraId="43BAB8B1" w14:textId="77777777">
        <w:tc>
          <w:tcPr>
            <w:tcW w:w="2268" w:type="dxa"/>
            <w:tcBorders>
              <w:top w:val="nil"/>
              <w:left w:val="nil"/>
              <w:bottom w:val="nil"/>
              <w:right w:val="nil"/>
            </w:tcBorders>
          </w:tcPr>
          <w:p w14:paraId="0291B42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&lt; 15 years</w:t>
            </w:r>
          </w:p>
        </w:tc>
        <w:tc>
          <w:tcPr>
            <w:tcW w:w="851" w:type="dxa"/>
            <w:tcBorders>
              <w:top w:val="nil"/>
              <w:left w:val="nil"/>
              <w:bottom w:val="nil"/>
              <w:right w:val="nil"/>
            </w:tcBorders>
          </w:tcPr>
          <w:p w14:paraId="2AB81DD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745DC8BA"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CEA6F92"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58C7125F"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6818BAA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17BD60FA"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73E1529"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03BEA488" w14:textId="77777777" w:rsidR="00AE324A" w:rsidRDefault="00AE324A">
            <w:pPr>
              <w:rPr>
                <w:rFonts w:ascii="Arial" w:eastAsiaTheme="minorHAnsi" w:hAnsi="Arial" w:cs="Arial"/>
                <w:kern w:val="2"/>
                <w:sz w:val="20"/>
                <w:szCs w:val="20"/>
                <w:lang w:val="en-MY"/>
              </w:rPr>
            </w:pPr>
          </w:p>
        </w:tc>
      </w:tr>
      <w:tr w:rsidR="00AE324A" w14:paraId="0D68980D" w14:textId="77777777">
        <w:tc>
          <w:tcPr>
            <w:tcW w:w="2268" w:type="dxa"/>
            <w:tcBorders>
              <w:top w:val="nil"/>
              <w:left w:val="nil"/>
              <w:bottom w:val="single" w:sz="4" w:space="0" w:color="auto"/>
              <w:right w:val="nil"/>
            </w:tcBorders>
          </w:tcPr>
          <w:p w14:paraId="6D4C3C7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15 years</w:t>
            </w:r>
          </w:p>
        </w:tc>
        <w:tc>
          <w:tcPr>
            <w:tcW w:w="851" w:type="dxa"/>
            <w:tcBorders>
              <w:top w:val="nil"/>
              <w:left w:val="nil"/>
              <w:bottom w:val="single" w:sz="4" w:space="0" w:color="auto"/>
              <w:right w:val="nil"/>
            </w:tcBorders>
          </w:tcPr>
          <w:p w14:paraId="20B9474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6.30</w:t>
            </w:r>
          </w:p>
        </w:tc>
        <w:tc>
          <w:tcPr>
            <w:tcW w:w="850" w:type="dxa"/>
            <w:tcBorders>
              <w:top w:val="nil"/>
              <w:left w:val="nil"/>
              <w:bottom w:val="single" w:sz="4" w:space="0" w:color="auto"/>
            </w:tcBorders>
          </w:tcPr>
          <w:p w14:paraId="7EEF32C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3.96</w:t>
            </w:r>
          </w:p>
        </w:tc>
        <w:tc>
          <w:tcPr>
            <w:tcW w:w="851" w:type="dxa"/>
            <w:tcBorders>
              <w:top w:val="nil"/>
              <w:bottom w:val="single" w:sz="4" w:space="0" w:color="auto"/>
              <w:right w:val="nil"/>
            </w:tcBorders>
          </w:tcPr>
          <w:p w14:paraId="397CA01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10.01</w:t>
            </w:r>
          </w:p>
        </w:tc>
        <w:tc>
          <w:tcPr>
            <w:tcW w:w="850" w:type="dxa"/>
            <w:tcBorders>
              <w:top w:val="nil"/>
              <w:left w:val="nil"/>
              <w:bottom w:val="single" w:sz="4" w:space="0" w:color="auto"/>
            </w:tcBorders>
          </w:tcPr>
          <w:p w14:paraId="7D156BA3"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39CF46A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1.96</w:t>
            </w:r>
          </w:p>
        </w:tc>
        <w:tc>
          <w:tcPr>
            <w:tcW w:w="850" w:type="dxa"/>
            <w:tcBorders>
              <w:top w:val="nil"/>
              <w:left w:val="nil"/>
              <w:bottom w:val="single" w:sz="4" w:space="0" w:color="auto"/>
            </w:tcBorders>
          </w:tcPr>
          <w:p w14:paraId="5FD620A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0.43</w:t>
            </w:r>
          </w:p>
        </w:tc>
        <w:tc>
          <w:tcPr>
            <w:tcW w:w="851" w:type="dxa"/>
            <w:tcBorders>
              <w:top w:val="nil"/>
              <w:bottom w:val="single" w:sz="4" w:space="0" w:color="auto"/>
              <w:right w:val="nil"/>
            </w:tcBorders>
          </w:tcPr>
          <w:p w14:paraId="34AF720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15.01</w:t>
            </w:r>
          </w:p>
        </w:tc>
        <w:tc>
          <w:tcPr>
            <w:tcW w:w="804" w:type="dxa"/>
            <w:tcBorders>
              <w:top w:val="nil"/>
              <w:left w:val="nil"/>
              <w:bottom w:val="single" w:sz="4" w:space="0" w:color="auto"/>
              <w:right w:val="nil"/>
            </w:tcBorders>
          </w:tcPr>
          <w:p w14:paraId="49B705D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0.521</w:t>
            </w:r>
          </w:p>
        </w:tc>
      </w:tr>
      <w:tr w:rsidR="00AE324A" w14:paraId="618D4592" w14:textId="77777777">
        <w:tc>
          <w:tcPr>
            <w:tcW w:w="2268" w:type="dxa"/>
            <w:tcBorders>
              <w:left w:val="nil"/>
              <w:bottom w:val="nil"/>
              <w:right w:val="nil"/>
            </w:tcBorders>
          </w:tcPr>
          <w:p w14:paraId="009DD702"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Clinical parameters</w:t>
            </w:r>
          </w:p>
        </w:tc>
        <w:tc>
          <w:tcPr>
            <w:tcW w:w="851" w:type="dxa"/>
            <w:tcBorders>
              <w:left w:val="nil"/>
              <w:bottom w:val="nil"/>
              <w:right w:val="nil"/>
            </w:tcBorders>
          </w:tcPr>
          <w:p w14:paraId="424E289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B78F46A"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A456297"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52E44420"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A16507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651A0B6B"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3335036E"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13D15A98" w14:textId="77777777" w:rsidR="00AE324A" w:rsidRDefault="00AE324A">
            <w:pPr>
              <w:rPr>
                <w:rFonts w:ascii="Arial" w:eastAsiaTheme="minorHAnsi" w:hAnsi="Arial" w:cs="Arial"/>
                <w:kern w:val="2"/>
                <w:sz w:val="20"/>
                <w:szCs w:val="20"/>
                <w:lang w:val="en-MY"/>
              </w:rPr>
            </w:pPr>
          </w:p>
        </w:tc>
      </w:tr>
      <w:tr w:rsidR="00AE324A" w14:paraId="47A546CA" w14:textId="77777777">
        <w:tc>
          <w:tcPr>
            <w:tcW w:w="2268" w:type="dxa"/>
            <w:tcBorders>
              <w:top w:val="nil"/>
              <w:left w:val="nil"/>
              <w:bottom w:val="nil"/>
              <w:right w:val="nil"/>
            </w:tcBorders>
          </w:tcPr>
          <w:p w14:paraId="03B2CF67"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Sexual intercourse per week</w:t>
            </w:r>
          </w:p>
        </w:tc>
        <w:tc>
          <w:tcPr>
            <w:tcW w:w="851" w:type="dxa"/>
            <w:tcBorders>
              <w:top w:val="nil"/>
              <w:left w:val="nil"/>
              <w:bottom w:val="nil"/>
              <w:right w:val="nil"/>
            </w:tcBorders>
          </w:tcPr>
          <w:p w14:paraId="7DCB6254"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7E882E64"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968B886"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517BD2CE"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165318C8"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0CEA725F"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19326574"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3D6ADCCC" w14:textId="77777777" w:rsidR="00AE324A" w:rsidRDefault="00AE324A">
            <w:pPr>
              <w:rPr>
                <w:rFonts w:ascii="Arial" w:eastAsiaTheme="minorHAnsi" w:hAnsi="Arial" w:cs="Arial"/>
                <w:kern w:val="2"/>
                <w:sz w:val="20"/>
                <w:szCs w:val="20"/>
                <w:lang w:val="en-MY"/>
              </w:rPr>
            </w:pPr>
          </w:p>
        </w:tc>
      </w:tr>
      <w:tr w:rsidR="00AE324A" w14:paraId="14EA4DDB" w14:textId="77777777">
        <w:tc>
          <w:tcPr>
            <w:tcW w:w="2268" w:type="dxa"/>
            <w:tcBorders>
              <w:top w:val="nil"/>
              <w:left w:val="nil"/>
              <w:bottom w:val="nil"/>
              <w:right w:val="nil"/>
            </w:tcBorders>
          </w:tcPr>
          <w:p w14:paraId="2A99949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1-2 times </w:t>
            </w:r>
          </w:p>
        </w:tc>
        <w:tc>
          <w:tcPr>
            <w:tcW w:w="851" w:type="dxa"/>
            <w:tcBorders>
              <w:top w:val="nil"/>
              <w:left w:val="nil"/>
              <w:bottom w:val="nil"/>
              <w:right w:val="nil"/>
            </w:tcBorders>
          </w:tcPr>
          <w:p w14:paraId="60E548B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57230CE9"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76B33995"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54B4FB65"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E1D2BA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02191D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22E3F670"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1E71F5AA" w14:textId="77777777" w:rsidR="00AE324A" w:rsidRDefault="00AE324A">
            <w:pPr>
              <w:rPr>
                <w:rFonts w:ascii="Arial" w:eastAsiaTheme="minorHAnsi" w:hAnsi="Arial" w:cs="Arial"/>
                <w:kern w:val="2"/>
                <w:sz w:val="20"/>
                <w:szCs w:val="20"/>
                <w:lang w:val="en-MY"/>
              </w:rPr>
            </w:pPr>
          </w:p>
        </w:tc>
      </w:tr>
      <w:tr w:rsidR="00AE324A" w14:paraId="7BE79B08" w14:textId="77777777">
        <w:tc>
          <w:tcPr>
            <w:tcW w:w="2268" w:type="dxa"/>
            <w:tcBorders>
              <w:top w:val="nil"/>
              <w:left w:val="nil"/>
              <w:bottom w:val="single" w:sz="4" w:space="0" w:color="auto"/>
              <w:right w:val="nil"/>
            </w:tcBorders>
          </w:tcPr>
          <w:p w14:paraId="7BB98EE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&gt; 2 times </w:t>
            </w:r>
          </w:p>
        </w:tc>
        <w:tc>
          <w:tcPr>
            <w:tcW w:w="851" w:type="dxa"/>
            <w:tcBorders>
              <w:top w:val="nil"/>
              <w:left w:val="nil"/>
              <w:bottom w:val="single" w:sz="4" w:space="0" w:color="auto"/>
              <w:right w:val="nil"/>
            </w:tcBorders>
          </w:tcPr>
          <w:p w14:paraId="18ABB3D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0.28</w:t>
            </w:r>
          </w:p>
        </w:tc>
        <w:tc>
          <w:tcPr>
            <w:tcW w:w="850" w:type="dxa"/>
            <w:tcBorders>
              <w:top w:val="nil"/>
              <w:left w:val="nil"/>
              <w:bottom w:val="single" w:sz="4" w:space="0" w:color="auto"/>
            </w:tcBorders>
          </w:tcPr>
          <w:p w14:paraId="0E1F386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0.14</w:t>
            </w:r>
          </w:p>
        </w:tc>
        <w:tc>
          <w:tcPr>
            <w:tcW w:w="851" w:type="dxa"/>
            <w:tcBorders>
              <w:top w:val="nil"/>
              <w:bottom w:val="single" w:sz="4" w:space="0" w:color="auto"/>
              <w:right w:val="nil"/>
            </w:tcBorders>
          </w:tcPr>
          <w:p w14:paraId="5EC4174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0.56</w:t>
            </w:r>
          </w:p>
        </w:tc>
        <w:tc>
          <w:tcPr>
            <w:tcW w:w="850" w:type="dxa"/>
            <w:tcBorders>
              <w:top w:val="nil"/>
              <w:left w:val="nil"/>
              <w:bottom w:val="single" w:sz="4" w:space="0" w:color="auto"/>
            </w:tcBorders>
          </w:tcPr>
          <w:p w14:paraId="23BD86F6"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38EF5D7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0.16</w:t>
            </w:r>
          </w:p>
        </w:tc>
        <w:tc>
          <w:tcPr>
            <w:tcW w:w="850" w:type="dxa"/>
            <w:tcBorders>
              <w:top w:val="nil"/>
              <w:left w:val="nil"/>
              <w:bottom w:val="single" w:sz="4" w:space="0" w:color="auto"/>
            </w:tcBorders>
          </w:tcPr>
          <w:p w14:paraId="51E2613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0.30</w:t>
            </w:r>
          </w:p>
        </w:tc>
        <w:tc>
          <w:tcPr>
            <w:tcW w:w="851" w:type="dxa"/>
            <w:tcBorders>
              <w:top w:val="nil"/>
              <w:bottom w:val="single" w:sz="4" w:space="0" w:color="auto"/>
              <w:right w:val="nil"/>
            </w:tcBorders>
          </w:tcPr>
          <w:p w14:paraId="74B989B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0.92</w:t>
            </w:r>
          </w:p>
        </w:tc>
        <w:tc>
          <w:tcPr>
            <w:tcW w:w="804" w:type="dxa"/>
            <w:tcBorders>
              <w:top w:val="nil"/>
              <w:left w:val="nil"/>
              <w:bottom w:val="single" w:sz="4" w:space="0" w:color="auto"/>
              <w:right w:val="nil"/>
            </w:tcBorders>
          </w:tcPr>
          <w:p w14:paraId="0CE658C1"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0.043</w:t>
            </w:r>
          </w:p>
        </w:tc>
      </w:tr>
      <w:tr w:rsidR="00AE324A" w14:paraId="4AD78868" w14:textId="77777777">
        <w:tc>
          <w:tcPr>
            <w:tcW w:w="2268" w:type="dxa"/>
            <w:tcBorders>
              <w:left w:val="nil"/>
              <w:bottom w:val="nil"/>
              <w:right w:val="nil"/>
            </w:tcBorders>
          </w:tcPr>
          <w:p w14:paraId="7F338793"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Reproductive phase</w:t>
            </w:r>
          </w:p>
        </w:tc>
        <w:tc>
          <w:tcPr>
            <w:tcW w:w="851" w:type="dxa"/>
            <w:tcBorders>
              <w:left w:val="nil"/>
              <w:bottom w:val="nil"/>
              <w:right w:val="nil"/>
            </w:tcBorders>
          </w:tcPr>
          <w:p w14:paraId="76E51466"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D4C92F3"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0DAE64E6"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6617F41"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55BC73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CF56FE6"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6ED2C73C"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27322C3B" w14:textId="77777777" w:rsidR="00AE324A" w:rsidRDefault="00AE324A">
            <w:pPr>
              <w:rPr>
                <w:rFonts w:ascii="Arial" w:eastAsiaTheme="minorHAnsi" w:hAnsi="Arial" w:cs="Arial"/>
                <w:kern w:val="2"/>
                <w:sz w:val="20"/>
                <w:szCs w:val="20"/>
                <w:lang w:val="en-MY"/>
              </w:rPr>
            </w:pPr>
          </w:p>
        </w:tc>
      </w:tr>
      <w:tr w:rsidR="00AE324A" w14:paraId="4F06799E" w14:textId="77777777">
        <w:tc>
          <w:tcPr>
            <w:tcW w:w="2268" w:type="dxa"/>
            <w:tcBorders>
              <w:top w:val="nil"/>
              <w:left w:val="nil"/>
              <w:bottom w:val="nil"/>
              <w:right w:val="nil"/>
            </w:tcBorders>
          </w:tcPr>
          <w:p w14:paraId="4998E7B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Pre-menopause</w:t>
            </w:r>
          </w:p>
        </w:tc>
        <w:tc>
          <w:tcPr>
            <w:tcW w:w="851" w:type="dxa"/>
            <w:tcBorders>
              <w:top w:val="nil"/>
              <w:left w:val="nil"/>
              <w:bottom w:val="nil"/>
              <w:right w:val="nil"/>
            </w:tcBorders>
          </w:tcPr>
          <w:p w14:paraId="09FEC4A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DCA2A36"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1FC2054D"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715230D6"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7928881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22F9A80F"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EB108DC"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48ADCFB7" w14:textId="77777777" w:rsidR="00AE324A" w:rsidRDefault="00AE324A">
            <w:pPr>
              <w:rPr>
                <w:rFonts w:ascii="Arial" w:eastAsiaTheme="minorHAnsi" w:hAnsi="Arial" w:cs="Arial"/>
                <w:kern w:val="2"/>
                <w:sz w:val="20"/>
                <w:szCs w:val="20"/>
                <w:lang w:val="en-MY"/>
              </w:rPr>
            </w:pPr>
          </w:p>
        </w:tc>
      </w:tr>
      <w:tr w:rsidR="00AE324A" w14:paraId="6255AE11" w14:textId="77777777">
        <w:tc>
          <w:tcPr>
            <w:tcW w:w="2268" w:type="dxa"/>
            <w:tcBorders>
              <w:top w:val="nil"/>
              <w:left w:val="nil"/>
              <w:bottom w:val="nil"/>
              <w:right w:val="nil"/>
            </w:tcBorders>
          </w:tcPr>
          <w:p w14:paraId="46748FF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Perimenopause</w:t>
            </w:r>
          </w:p>
        </w:tc>
        <w:tc>
          <w:tcPr>
            <w:tcW w:w="851" w:type="dxa"/>
            <w:tcBorders>
              <w:top w:val="nil"/>
              <w:left w:val="nil"/>
              <w:bottom w:val="nil"/>
              <w:right w:val="nil"/>
            </w:tcBorders>
          </w:tcPr>
          <w:p w14:paraId="00C2FFD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11.13</w:t>
            </w:r>
          </w:p>
        </w:tc>
        <w:tc>
          <w:tcPr>
            <w:tcW w:w="850" w:type="dxa"/>
            <w:tcBorders>
              <w:top w:val="nil"/>
              <w:left w:val="nil"/>
              <w:bottom w:val="nil"/>
            </w:tcBorders>
          </w:tcPr>
          <w:p w14:paraId="53DCEB0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6.55</w:t>
            </w:r>
          </w:p>
        </w:tc>
        <w:tc>
          <w:tcPr>
            <w:tcW w:w="851" w:type="dxa"/>
            <w:tcBorders>
              <w:top w:val="nil"/>
              <w:bottom w:val="nil"/>
              <w:right w:val="nil"/>
            </w:tcBorders>
          </w:tcPr>
          <w:p w14:paraId="5D30B61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18.89</w:t>
            </w:r>
          </w:p>
        </w:tc>
        <w:tc>
          <w:tcPr>
            <w:tcW w:w="850" w:type="dxa"/>
            <w:tcBorders>
              <w:top w:val="nil"/>
              <w:left w:val="nil"/>
              <w:bottom w:val="nil"/>
            </w:tcBorders>
          </w:tcPr>
          <w:p w14:paraId="30C79502"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73AC4E1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12.83</w:t>
            </w:r>
          </w:p>
        </w:tc>
        <w:tc>
          <w:tcPr>
            <w:tcW w:w="850" w:type="dxa"/>
            <w:tcBorders>
              <w:top w:val="nil"/>
              <w:left w:val="nil"/>
              <w:bottom w:val="nil"/>
            </w:tcBorders>
          </w:tcPr>
          <w:p w14:paraId="343C6C1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7.23</w:t>
            </w:r>
          </w:p>
        </w:tc>
        <w:tc>
          <w:tcPr>
            <w:tcW w:w="851" w:type="dxa"/>
            <w:tcBorders>
              <w:top w:val="nil"/>
              <w:bottom w:val="nil"/>
              <w:right w:val="nil"/>
            </w:tcBorders>
          </w:tcPr>
          <w:p w14:paraId="0D0BC74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19.02</w:t>
            </w:r>
          </w:p>
        </w:tc>
        <w:tc>
          <w:tcPr>
            <w:tcW w:w="804" w:type="dxa"/>
            <w:tcBorders>
              <w:top w:val="nil"/>
              <w:left w:val="nil"/>
              <w:bottom w:val="nil"/>
              <w:right w:val="nil"/>
            </w:tcBorders>
          </w:tcPr>
          <w:p w14:paraId="17E90AF2"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0.041</w:t>
            </w:r>
          </w:p>
        </w:tc>
      </w:tr>
      <w:tr w:rsidR="00AE324A" w14:paraId="486166C0" w14:textId="77777777">
        <w:tc>
          <w:tcPr>
            <w:tcW w:w="2268" w:type="dxa"/>
            <w:tcBorders>
              <w:top w:val="nil"/>
              <w:left w:val="nil"/>
              <w:bottom w:val="single" w:sz="4" w:space="0" w:color="auto"/>
              <w:right w:val="nil"/>
            </w:tcBorders>
          </w:tcPr>
          <w:p w14:paraId="0C03BF4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Menopause</w:t>
            </w:r>
          </w:p>
        </w:tc>
        <w:tc>
          <w:tcPr>
            <w:tcW w:w="851" w:type="dxa"/>
            <w:tcBorders>
              <w:top w:val="nil"/>
              <w:left w:val="nil"/>
              <w:bottom w:val="single" w:sz="4" w:space="0" w:color="auto"/>
              <w:right w:val="nil"/>
            </w:tcBorders>
          </w:tcPr>
          <w:p w14:paraId="06CEFA3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0.08</w:t>
            </w:r>
          </w:p>
        </w:tc>
        <w:tc>
          <w:tcPr>
            <w:tcW w:w="850" w:type="dxa"/>
            <w:tcBorders>
              <w:top w:val="nil"/>
              <w:left w:val="nil"/>
              <w:bottom w:val="single" w:sz="4" w:space="0" w:color="auto"/>
            </w:tcBorders>
          </w:tcPr>
          <w:p w14:paraId="4D61D28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0.01</w:t>
            </w:r>
          </w:p>
        </w:tc>
        <w:tc>
          <w:tcPr>
            <w:tcW w:w="851" w:type="dxa"/>
            <w:tcBorders>
              <w:top w:val="nil"/>
              <w:bottom w:val="single" w:sz="4" w:space="0" w:color="auto"/>
              <w:right w:val="nil"/>
            </w:tcBorders>
          </w:tcPr>
          <w:p w14:paraId="3CD5F72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0.62</w:t>
            </w:r>
          </w:p>
        </w:tc>
        <w:tc>
          <w:tcPr>
            <w:tcW w:w="850" w:type="dxa"/>
            <w:tcBorders>
              <w:top w:val="nil"/>
              <w:left w:val="nil"/>
              <w:bottom w:val="single" w:sz="4" w:space="0" w:color="auto"/>
            </w:tcBorders>
          </w:tcPr>
          <w:p w14:paraId="777888C2"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0.021</w:t>
            </w:r>
          </w:p>
        </w:tc>
        <w:tc>
          <w:tcPr>
            <w:tcW w:w="851" w:type="dxa"/>
            <w:tcBorders>
              <w:top w:val="nil"/>
              <w:bottom w:val="single" w:sz="4" w:space="0" w:color="auto"/>
              <w:right w:val="nil"/>
            </w:tcBorders>
          </w:tcPr>
          <w:p w14:paraId="66236DA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0.92</w:t>
            </w:r>
          </w:p>
        </w:tc>
        <w:tc>
          <w:tcPr>
            <w:tcW w:w="850" w:type="dxa"/>
            <w:tcBorders>
              <w:top w:val="nil"/>
              <w:left w:val="nil"/>
              <w:bottom w:val="single" w:sz="4" w:space="0" w:color="auto"/>
            </w:tcBorders>
          </w:tcPr>
          <w:p w14:paraId="78320D7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0.04</w:t>
            </w:r>
          </w:p>
        </w:tc>
        <w:tc>
          <w:tcPr>
            <w:tcW w:w="851" w:type="dxa"/>
            <w:tcBorders>
              <w:top w:val="nil"/>
              <w:bottom w:val="single" w:sz="4" w:space="0" w:color="auto"/>
              <w:right w:val="nil"/>
            </w:tcBorders>
          </w:tcPr>
          <w:p w14:paraId="333B3C6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1.76</w:t>
            </w:r>
          </w:p>
        </w:tc>
        <w:tc>
          <w:tcPr>
            <w:tcW w:w="804" w:type="dxa"/>
            <w:tcBorders>
              <w:top w:val="nil"/>
              <w:left w:val="nil"/>
              <w:bottom w:val="single" w:sz="4" w:space="0" w:color="auto"/>
              <w:right w:val="nil"/>
            </w:tcBorders>
          </w:tcPr>
          <w:p w14:paraId="0288779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0.590</w:t>
            </w:r>
          </w:p>
        </w:tc>
      </w:tr>
      <w:tr w:rsidR="00AE324A" w14:paraId="7CFD6C99" w14:textId="77777777">
        <w:tc>
          <w:tcPr>
            <w:tcW w:w="2268" w:type="dxa"/>
            <w:tcBorders>
              <w:left w:val="nil"/>
              <w:bottom w:val="nil"/>
              <w:right w:val="nil"/>
            </w:tcBorders>
          </w:tcPr>
          <w:p w14:paraId="5BAFADBD"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Comorbidities</w:t>
            </w:r>
          </w:p>
        </w:tc>
        <w:tc>
          <w:tcPr>
            <w:tcW w:w="851" w:type="dxa"/>
            <w:tcBorders>
              <w:left w:val="nil"/>
              <w:bottom w:val="nil"/>
              <w:right w:val="nil"/>
            </w:tcBorders>
          </w:tcPr>
          <w:p w14:paraId="7DA92245"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5C949F82"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CB8348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51C464B4"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6582DAC"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2FDD08FC"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DAE7BCB"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39D00931" w14:textId="77777777" w:rsidR="00AE324A" w:rsidRDefault="00AE324A">
            <w:pPr>
              <w:rPr>
                <w:rFonts w:ascii="Arial" w:eastAsiaTheme="minorHAnsi" w:hAnsi="Arial" w:cs="Arial"/>
                <w:kern w:val="2"/>
                <w:sz w:val="20"/>
                <w:szCs w:val="20"/>
                <w:lang w:val="en-MY"/>
              </w:rPr>
            </w:pPr>
          </w:p>
        </w:tc>
      </w:tr>
      <w:tr w:rsidR="00AE324A" w14:paraId="60B60947" w14:textId="77777777">
        <w:tc>
          <w:tcPr>
            <w:tcW w:w="2268" w:type="dxa"/>
            <w:tcBorders>
              <w:top w:val="nil"/>
              <w:left w:val="nil"/>
              <w:bottom w:val="nil"/>
              <w:right w:val="nil"/>
            </w:tcBorders>
          </w:tcPr>
          <w:p w14:paraId="213C149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No</w:t>
            </w:r>
          </w:p>
        </w:tc>
        <w:tc>
          <w:tcPr>
            <w:tcW w:w="851" w:type="dxa"/>
            <w:tcBorders>
              <w:top w:val="nil"/>
              <w:left w:val="nil"/>
              <w:bottom w:val="nil"/>
              <w:right w:val="nil"/>
            </w:tcBorders>
          </w:tcPr>
          <w:p w14:paraId="18EE5A4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B0AB1A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44D6B25"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1914355F"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750499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1E23012A"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FF078A8"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07519B0D" w14:textId="77777777" w:rsidR="00AE324A" w:rsidRDefault="00AE324A">
            <w:pPr>
              <w:rPr>
                <w:rFonts w:ascii="Arial" w:eastAsiaTheme="minorHAnsi" w:hAnsi="Arial" w:cs="Arial"/>
                <w:kern w:val="2"/>
                <w:sz w:val="20"/>
                <w:szCs w:val="20"/>
                <w:lang w:val="en-MY"/>
              </w:rPr>
            </w:pPr>
          </w:p>
        </w:tc>
      </w:tr>
      <w:tr w:rsidR="00AE324A" w14:paraId="5759C39A" w14:textId="77777777">
        <w:tc>
          <w:tcPr>
            <w:tcW w:w="2268" w:type="dxa"/>
            <w:tcBorders>
              <w:top w:val="nil"/>
              <w:left w:val="nil"/>
              <w:bottom w:val="single" w:sz="4" w:space="0" w:color="auto"/>
              <w:right w:val="nil"/>
            </w:tcBorders>
          </w:tcPr>
          <w:p w14:paraId="428ED48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Yes</w:t>
            </w:r>
          </w:p>
        </w:tc>
        <w:tc>
          <w:tcPr>
            <w:tcW w:w="851" w:type="dxa"/>
            <w:tcBorders>
              <w:top w:val="nil"/>
              <w:left w:val="nil"/>
              <w:bottom w:val="single" w:sz="4" w:space="0" w:color="auto"/>
              <w:right w:val="nil"/>
            </w:tcBorders>
          </w:tcPr>
          <w:p w14:paraId="7C7C939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7.78</w:t>
            </w:r>
          </w:p>
        </w:tc>
        <w:tc>
          <w:tcPr>
            <w:tcW w:w="850" w:type="dxa"/>
            <w:tcBorders>
              <w:top w:val="nil"/>
              <w:left w:val="nil"/>
              <w:bottom w:val="single" w:sz="4" w:space="0" w:color="auto"/>
            </w:tcBorders>
          </w:tcPr>
          <w:p w14:paraId="5237D3F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4.84</w:t>
            </w:r>
          </w:p>
        </w:tc>
        <w:tc>
          <w:tcPr>
            <w:tcW w:w="851" w:type="dxa"/>
            <w:tcBorders>
              <w:top w:val="nil"/>
              <w:bottom w:val="single" w:sz="4" w:space="0" w:color="auto"/>
              <w:right w:val="nil"/>
            </w:tcBorders>
          </w:tcPr>
          <w:p w14:paraId="42CA793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12.51</w:t>
            </w:r>
          </w:p>
        </w:tc>
        <w:tc>
          <w:tcPr>
            <w:tcW w:w="850" w:type="dxa"/>
            <w:tcBorders>
              <w:top w:val="nil"/>
              <w:left w:val="nil"/>
              <w:bottom w:val="single" w:sz="4" w:space="0" w:color="auto"/>
            </w:tcBorders>
          </w:tcPr>
          <w:p w14:paraId="6C997425"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5609939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3.75</w:t>
            </w:r>
          </w:p>
        </w:tc>
        <w:tc>
          <w:tcPr>
            <w:tcW w:w="850" w:type="dxa"/>
            <w:tcBorders>
              <w:top w:val="nil"/>
              <w:left w:val="nil"/>
              <w:bottom w:val="single" w:sz="4" w:space="0" w:color="auto"/>
            </w:tcBorders>
          </w:tcPr>
          <w:p w14:paraId="48710F0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0.92</w:t>
            </w:r>
          </w:p>
        </w:tc>
        <w:tc>
          <w:tcPr>
            <w:tcW w:w="851" w:type="dxa"/>
            <w:tcBorders>
              <w:top w:val="nil"/>
              <w:bottom w:val="single" w:sz="4" w:space="0" w:color="auto"/>
              <w:right w:val="nil"/>
            </w:tcBorders>
          </w:tcPr>
          <w:p w14:paraId="345B733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13.96</w:t>
            </w:r>
          </w:p>
        </w:tc>
        <w:tc>
          <w:tcPr>
            <w:tcW w:w="804" w:type="dxa"/>
            <w:tcBorders>
              <w:top w:val="nil"/>
              <w:left w:val="nil"/>
              <w:bottom w:val="single" w:sz="4" w:space="0" w:color="auto"/>
              <w:right w:val="nil"/>
            </w:tcBorders>
          </w:tcPr>
          <w:p w14:paraId="335ECFE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0.076</w:t>
            </w:r>
          </w:p>
        </w:tc>
      </w:tr>
      <w:tr w:rsidR="00AE324A" w14:paraId="604C136C" w14:textId="77777777">
        <w:tc>
          <w:tcPr>
            <w:tcW w:w="2268" w:type="dxa"/>
            <w:tcBorders>
              <w:left w:val="nil"/>
              <w:bottom w:val="nil"/>
              <w:right w:val="nil"/>
            </w:tcBorders>
          </w:tcPr>
          <w:p w14:paraId="29B1D51F"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 xml:space="preserve">Urogenital symptoms </w:t>
            </w:r>
          </w:p>
        </w:tc>
        <w:tc>
          <w:tcPr>
            <w:tcW w:w="851" w:type="dxa"/>
            <w:tcBorders>
              <w:left w:val="nil"/>
              <w:bottom w:val="nil"/>
              <w:right w:val="nil"/>
            </w:tcBorders>
          </w:tcPr>
          <w:p w14:paraId="2649C880"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79D9FDA"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50A67B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2B3A3C63" w14:textId="77777777" w:rsidR="00AE324A" w:rsidRDefault="00AE324A">
            <w:pPr>
              <w:rPr>
                <w:rFonts w:ascii="Arial" w:eastAsiaTheme="minorHAnsi" w:hAnsi="Arial" w:cs="Arial"/>
                <w:bCs/>
                <w:kern w:val="2"/>
                <w:sz w:val="20"/>
                <w:szCs w:val="20"/>
                <w:lang w:val="en-MY"/>
              </w:rPr>
            </w:pPr>
          </w:p>
        </w:tc>
        <w:tc>
          <w:tcPr>
            <w:tcW w:w="851" w:type="dxa"/>
            <w:tcBorders>
              <w:bottom w:val="nil"/>
              <w:right w:val="nil"/>
            </w:tcBorders>
          </w:tcPr>
          <w:p w14:paraId="742B788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2BAE533"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6F7A494"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35718D72" w14:textId="77777777" w:rsidR="00AE324A" w:rsidRDefault="00AE324A">
            <w:pPr>
              <w:rPr>
                <w:rFonts w:ascii="Arial" w:eastAsiaTheme="minorHAnsi" w:hAnsi="Arial" w:cs="Arial"/>
                <w:kern w:val="2"/>
                <w:sz w:val="20"/>
                <w:szCs w:val="20"/>
                <w:lang w:val="en-MY"/>
              </w:rPr>
            </w:pPr>
          </w:p>
        </w:tc>
      </w:tr>
      <w:tr w:rsidR="00AE324A" w14:paraId="73A2A500" w14:textId="77777777">
        <w:tc>
          <w:tcPr>
            <w:tcW w:w="2268" w:type="dxa"/>
            <w:tcBorders>
              <w:top w:val="nil"/>
              <w:left w:val="nil"/>
              <w:bottom w:val="nil"/>
              <w:right w:val="nil"/>
            </w:tcBorders>
          </w:tcPr>
          <w:p w14:paraId="6191FB3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No</w:t>
            </w:r>
          </w:p>
        </w:tc>
        <w:tc>
          <w:tcPr>
            <w:tcW w:w="851" w:type="dxa"/>
            <w:tcBorders>
              <w:top w:val="nil"/>
              <w:left w:val="nil"/>
              <w:bottom w:val="nil"/>
              <w:right w:val="nil"/>
            </w:tcBorders>
          </w:tcPr>
          <w:p w14:paraId="3860274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5BD0B480"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70A9722E"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2F8E4D31" w14:textId="77777777" w:rsidR="00AE324A" w:rsidRDefault="00AE324A">
            <w:pPr>
              <w:rPr>
                <w:rFonts w:ascii="Arial" w:eastAsiaTheme="minorHAnsi" w:hAnsi="Arial" w:cs="Arial"/>
                <w:bCs/>
                <w:kern w:val="2"/>
                <w:sz w:val="20"/>
                <w:szCs w:val="20"/>
                <w:lang w:val="en-MY"/>
              </w:rPr>
            </w:pPr>
          </w:p>
        </w:tc>
        <w:tc>
          <w:tcPr>
            <w:tcW w:w="851" w:type="dxa"/>
            <w:tcBorders>
              <w:top w:val="nil"/>
              <w:bottom w:val="nil"/>
              <w:right w:val="nil"/>
            </w:tcBorders>
          </w:tcPr>
          <w:p w14:paraId="01341BA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4715C11D"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289E6182"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5F0F93B6" w14:textId="77777777" w:rsidR="00AE324A" w:rsidRDefault="00AE324A">
            <w:pPr>
              <w:rPr>
                <w:rFonts w:ascii="Arial" w:eastAsiaTheme="minorHAnsi" w:hAnsi="Arial" w:cs="Arial"/>
                <w:kern w:val="2"/>
                <w:sz w:val="20"/>
                <w:szCs w:val="20"/>
                <w:lang w:val="en-MY"/>
              </w:rPr>
            </w:pPr>
          </w:p>
        </w:tc>
      </w:tr>
      <w:tr w:rsidR="00AE324A" w14:paraId="1D16883C" w14:textId="77777777">
        <w:tc>
          <w:tcPr>
            <w:tcW w:w="2268" w:type="dxa"/>
            <w:tcBorders>
              <w:top w:val="nil"/>
              <w:left w:val="nil"/>
              <w:bottom w:val="single" w:sz="4" w:space="0" w:color="auto"/>
              <w:right w:val="nil"/>
            </w:tcBorders>
          </w:tcPr>
          <w:p w14:paraId="41A0E2D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Yes</w:t>
            </w:r>
          </w:p>
        </w:tc>
        <w:tc>
          <w:tcPr>
            <w:tcW w:w="851" w:type="dxa"/>
            <w:tcBorders>
              <w:top w:val="nil"/>
              <w:left w:val="nil"/>
              <w:bottom w:val="single" w:sz="4" w:space="0" w:color="auto"/>
              <w:right w:val="nil"/>
            </w:tcBorders>
          </w:tcPr>
          <w:p w14:paraId="542A427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3.52</w:t>
            </w:r>
          </w:p>
        </w:tc>
        <w:tc>
          <w:tcPr>
            <w:tcW w:w="850" w:type="dxa"/>
            <w:tcBorders>
              <w:top w:val="nil"/>
              <w:left w:val="nil"/>
              <w:bottom w:val="single" w:sz="4" w:space="0" w:color="auto"/>
            </w:tcBorders>
          </w:tcPr>
          <w:p w14:paraId="7444C79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7.72</w:t>
            </w:r>
          </w:p>
        </w:tc>
        <w:tc>
          <w:tcPr>
            <w:tcW w:w="851" w:type="dxa"/>
            <w:tcBorders>
              <w:top w:val="nil"/>
              <w:bottom w:val="single" w:sz="4" w:space="0" w:color="auto"/>
              <w:right w:val="nil"/>
            </w:tcBorders>
          </w:tcPr>
          <w:p w14:paraId="0DA8D49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36.78</w:t>
            </w:r>
          </w:p>
        </w:tc>
        <w:tc>
          <w:tcPr>
            <w:tcW w:w="850" w:type="dxa"/>
            <w:tcBorders>
              <w:top w:val="nil"/>
              <w:left w:val="nil"/>
              <w:bottom w:val="single" w:sz="4" w:space="0" w:color="auto"/>
            </w:tcBorders>
          </w:tcPr>
          <w:p w14:paraId="20EFEF95"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2FC6FB5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4.02</w:t>
            </w:r>
          </w:p>
        </w:tc>
        <w:tc>
          <w:tcPr>
            <w:tcW w:w="850" w:type="dxa"/>
            <w:tcBorders>
              <w:top w:val="nil"/>
              <w:left w:val="nil"/>
              <w:bottom w:val="single" w:sz="4" w:space="0" w:color="auto"/>
            </w:tcBorders>
          </w:tcPr>
          <w:p w14:paraId="7FA5657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8.87</w:t>
            </w:r>
          </w:p>
        </w:tc>
        <w:tc>
          <w:tcPr>
            <w:tcW w:w="851" w:type="dxa"/>
            <w:tcBorders>
              <w:top w:val="nil"/>
              <w:bottom w:val="single" w:sz="4" w:space="0" w:color="auto"/>
              <w:right w:val="nil"/>
            </w:tcBorders>
          </w:tcPr>
          <w:p w14:paraId="073261C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37.14</w:t>
            </w:r>
          </w:p>
        </w:tc>
        <w:tc>
          <w:tcPr>
            <w:tcW w:w="804" w:type="dxa"/>
            <w:tcBorders>
              <w:top w:val="nil"/>
              <w:left w:val="nil"/>
              <w:bottom w:val="single" w:sz="4" w:space="0" w:color="auto"/>
              <w:right w:val="nil"/>
            </w:tcBorders>
          </w:tcPr>
          <w:p w14:paraId="32DE8163"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0.023</w:t>
            </w:r>
          </w:p>
        </w:tc>
      </w:tr>
      <w:tr w:rsidR="00AE324A" w14:paraId="486AE5C4" w14:textId="77777777">
        <w:tc>
          <w:tcPr>
            <w:tcW w:w="2268" w:type="dxa"/>
            <w:tcBorders>
              <w:left w:val="nil"/>
              <w:bottom w:val="nil"/>
              <w:right w:val="nil"/>
            </w:tcBorders>
          </w:tcPr>
          <w:p w14:paraId="04753467"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 xml:space="preserve">Spouse with sexual dysfunction </w:t>
            </w:r>
          </w:p>
        </w:tc>
        <w:tc>
          <w:tcPr>
            <w:tcW w:w="851" w:type="dxa"/>
            <w:tcBorders>
              <w:left w:val="nil"/>
              <w:bottom w:val="nil"/>
              <w:right w:val="nil"/>
            </w:tcBorders>
          </w:tcPr>
          <w:p w14:paraId="1F67F54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239CF41"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2ED0D35F"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C49A693"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0881EAE"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10DEBC8"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E1B00B7"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4CF75B00" w14:textId="77777777" w:rsidR="00AE324A" w:rsidRDefault="00AE324A">
            <w:pPr>
              <w:rPr>
                <w:rFonts w:ascii="Arial" w:eastAsiaTheme="minorHAnsi" w:hAnsi="Arial" w:cs="Arial"/>
                <w:kern w:val="2"/>
                <w:sz w:val="20"/>
                <w:szCs w:val="20"/>
                <w:lang w:val="en-MY"/>
              </w:rPr>
            </w:pPr>
          </w:p>
        </w:tc>
      </w:tr>
      <w:tr w:rsidR="00AE324A" w14:paraId="34EF9EC5" w14:textId="77777777">
        <w:tc>
          <w:tcPr>
            <w:tcW w:w="2268" w:type="dxa"/>
            <w:tcBorders>
              <w:top w:val="nil"/>
              <w:left w:val="nil"/>
              <w:bottom w:val="nil"/>
              <w:right w:val="nil"/>
            </w:tcBorders>
          </w:tcPr>
          <w:p w14:paraId="47FD771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No</w:t>
            </w:r>
          </w:p>
        </w:tc>
        <w:tc>
          <w:tcPr>
            <w:tcW w:w="851" w:type="dxa"/>
            <w:tcBorders>
              <w:top w:val="nil"/>
              <w:left w:val="nil"/>
              <w:bottom w:val="nil"/>
              <w:right w:val="nil"/>
            </w:tcBorders>
          </w:tcPr>
          <w:p w14:paraId="61CE232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3C27E77D"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61E86918"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2C14B0E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0D2AEE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1D8CEE3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29ACDEE"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47DAEE2A" w14:textId="77777777" w:rsidR="00AE324A" w:rsidRDefault="00AE324A">
            <w:pPr>
              <w:rPr>
                <w:rFonts w:ascii="Arial" w:eastAsiaTheme="minorHAnsi" w:hAnsi="Arial" w:cs="Arial"/>
                <w:kern w:val="2"/>
                <w:sz w:val="20"/>
                <w:szCs w:val="20"/>
                <w:lang w:val="en-MY"/>
              </w:rPr>
            </w:pPr>
          </w:p>
        </w:tc>
      </w:tr>
      <w:tr w:rsidR="00AE324A" w14:paraId="00674CCD" w14:textId="77777777">
        <w:tc>
          <w:tcPr>
            <w:tcW w:w="2268" w:type="dxa"/>
            <w:tcBorders>
              <w:top w:val="nil"/>
              <w:left w:val="nil"/>
              <w:bottom w:val="single" w:sz="4" w:space="0" w:color="auto"/>
              <w:right w:val="nil"/>
            </w:tcBorders>
          </w:tcPr>
          <w:p w14:paraId="67AAB96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Yes</w:t>
            </w:r>
          </w:p>
        </w:tc>
        <w:tc>
          <w:tcPr>
            <w:tcW w:w="851" w:type="dxa"/>
            <w:tcBorders>
              <w:top w:val="nil"/>
              <w:left w:val="nil"/>
              <w:bottom w:val="single" w:sz="4" w:space="0" w:color="auto"/>
              <w:right w:val="nil"/>
            </w:tcBorders>
          </w:tcPr>
          <w:p w14:paraId="1B980D2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4.11</w:t>
            </w:r>
          </w:p>
        </w:tc>
        <w:tc>
          <w:tcPr>
            <w:tcW w:w="850" w:type="dxa"/>
            <w:tcBorders>
              <w:top w:val="nil"/>
              <w:left w:val="nil"/>
              <w:bottom w:val="single" w:sz="4" w:space="0" w:color="auto"/>
            </w:tcBorders>
          </w:tcPr>
          <w:p w14:paraId="333D250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2.28</w:t>
            </w:r>
          </w:p>
        </w:tc>
        <w:tc>
          <w:tcPr>
            <w:tcW w:w="851" w:type="dxa"/>
            <w:tcBorders>
              <w:top w:val="nil"/>
              <w:bottom w:val="single" w:sz="4" w:space="0" w:color="auto"/>
              <w:right w:val="nil"/>
            </w:tcBorders>
          </w:tcPr>
          <w:p w14:paraId="4BC2363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7.42</w:t>
            </w:r>
          </w:p>
        </w:tc>
        <w:tc>
          <w:tcPr>
            <w:tcW w:w="850" w:type="dxa"/>
            <w:tcBorders>
              <w:top w:val="nil"/>
              <w:left w:val="nil"/>
              <w:bottom w:val="single" w:sz="4" w:space="0" w:color="auto"/>
            </w:tcBorders>
          </w:tcPr>
          <w:p w14:paraId="74A5B590" w14:textId="77777777" w:rsidR="00AE324A" w:rsidRDefault="004A746B">
            <w:pPr>
              <w:rPr>
                <w:rFonts w:ascii="Arial" w:eastAsiaTheme="minorHAnsi" w:hAnsi="Arial" w:cs="Arial"/>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1433454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4.62</w:t>
            </w:r>
          </w:p>
        </w:tc>
        <w:tc>
          <w:tcPr>
            <w:tcW w:w="850" w:type="dxa"/>
            <w:tcBorders>
              <w:top w:val="nil"/>
              <w:left w:val="nil"/>
              <w:bottom w:val="single" w:sz="4" w:space="0" w:color="auto"/>
            </w:tcBorders>
          </w:tcPr>
          <w:p w14:paraId="0DF4B6D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2.02</w:t>
            </w:r>
          </w:p>
        </w:tc>
        <w:tc>
          <w:tcPr>
            <w:tcW w:w="851" w:type="dxa"/>
            <w:tcBorders>
              <w:top w:val="nil"/>
              <w:bottom w:val="single" w:sz="4" w:space="0" w:color="auto"/>
              <w:right w:val="nil"/>
            </w:tcBorders>
          </w:tcPr>
          <w:p w14:paraId="001722F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6.99</w:t>
            </w:r>
          </w:p>
        </w:tc>
        <w:tc>
          <w:tcPr>
            <w:tcW w:w="804" w:type="dxa"/>
            <w:tcBorders>
              <w:top w:val="nil"/>
              <w:left w:val="nil"/>
              <w:bottom w:val="single" w:sz="4" w:space="0" w:color="auto"/>
              <w:right w:val="nil"/>
            </w:tcBorders>
          </w:tcPr>
          <w:p w14:paraId="12A5DEF6"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0.037</w:t>
            </w:r>
          </w:p>
        </w:tc>
      </w:tr>
      <w:tr w:rsidR="00AE324A" w14:paraId="1644C7E2" w14:textId="77777777">
        <w:tc>
          <w:tcPr>
            <w:tcW w:w="2268" w:type="dxa"/>
            <w:tcBorders>
              <w:left w:val="nil"/>
              <w:bottom w:val="nil"/>
              <w:right w:val="nil"/>
            </w:tcBorders>
          </w:tcPr>
          <w:p w14:paraId="15FA15E8"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Depression</w:t>
            </w:r>
          </w:p>
        </w:tc>
        <w:tc>
          <w:tcPr>
            <w:tcW w:w="851" w:type="dxa"/>
            <w:tcBorders>
              <w:left w:val="nil"/>
              <w:bottom w:val="nil"/>
              <w:right w:val="nil"/>
            </w:tcBorders>
          </w:tcPr>
          <w:p w14:paraId="362726D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70ACA2C"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3FAC45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64A1219"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32A5052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FC45CBF"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2B26FD94"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11DAE9B7" w14:textId="77777777" w:rsidR="00AE324A" w:rsidRDefault="00AE324A">
            <w:pPr>
              <w:rPr>
                <w:rFonts w:ascii="Arial" w:eastAsiaTheme="minorHAnsi" w:hAnsi="Arial" w:cs="Arial"/>
                <w:kern w:val="2"/>
                <w:sz w:val="20"/>
                <w:szCs w:val="20"/>
                <w:lang w:val="en-MY"/>
              </w:rPr>
            </w:pPr>
          </w:p>
        </w:tc>
      </w:tr>
      <w:tr w:rsidR="00AE324A" w14:paraId="53173190" w14:textId="77777777">
        <w:tc>
          <w:tcPr>
            <w:tcW w:w="2268" w:type="dxa"/>
            <w:tcBorders>
              <w:top w:val="nil"/>
              <w:left w:val="nil"/>
              <w:bottom w:val="nil"/>
              <w:right w:val="nil"/>
            </w:tcBorders>
          </w:tcPr>
          <w:p w14:paraId="67B4D7A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No</w:t>
            </w:r>
          </w:p>
        </w:tc>
        <w:tc>
          <w:tcPr>
            <w:tcW w:w="851" w:type="dxa"/>
            <w:tcBorders>
              <w:top w:val="nil"/>
              <w:left w:val="nil"/>
              <w:bottom w:val="nil"/>
              <w:right w:val="nil"/>
            </w:tcBorders>
          </w:tcPr>
          <w:p w14:paraId="1FC133F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51F3B44B"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0D587D1D"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16C4692D"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08039A3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D3F4882"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FCD5C9F"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14671ED9" w14:textId="77777777" w:rsidR="00AE324A" w:rsidRDefault="00AE324A">
            <w:pPr>
              <w:rPr>
                <w:rFonts w:ascii="Arial" w:eastAsiaTheme="minorHAnsi" w:hAnsi="Arial" w:cs="Arial"/>
                <w:kern w:val="2"/>
                <w:sz w:val="20"/>
                <w:szCs w:val="20"/>
                <w:lang w:val="en-MY"/>
              </w:rPr>
            </w:pPr>
          </w:p>
        </w:tc>
      </w:tr>
      <w:tr w:rsidR="00AE324A" w14:paraId="3C350E14" w14:textId="77777777">
        <w:tc>
          <w:tcPr>
            <w:tcW w:w="2268" w:type="dxa"/>
            <w:tcBorders>
              <w:top w:val="nil"/>
              <w:left w:val="nil"/>
              <w:bottom w:val="single" w:sz="4" w:space="0" w:color="auto"/>
              <w:right w:val="nil"/>
            </w:tcBorders>
          </w:tcPr>
          <w:p w14:paraId="3BD54D2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Yes</w:t>
            </w:r>
          </w:p>
        </w:tc>
        <w:tc>
          <w:tcPr>
            <w:tcW w:w="851" w:type="dxa"/>
            <w:tcBorders>
              <w:top w:val="nil"/>
              <w:left w:val="nil"/>
              <w:bottom w:val="single" w:sz="4" w:space="0" w:color="auto"/>
              <w:right w:val="nil"/>
            </w:tcBorders>
          </w:tcPr>
          <w:p w14:paraId="00FCF9C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6.87</w:t>
            </w:r>
          </w:p>
        </w:tc>
        <w:tc>
          <w:tcPr>
            <w:tcW w:w="850" w:type="dxa"/>
            <w:tcBorders>
              <w:top w:val="nil"/>
              <w:left w:val="nil"/>
              <w:bottom w:val="single" w:sz="4" w:space="0" w:color="auto"/>
            </w:tcBorders>
          </w:tcPr>
          <w:p w14:paraId="04080F4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9.77</w:t>
            </w:r>
          </w:p>
        </w:tc>
        <w:tc>
          <w:tcPr>
            <w:tcW w:w="851" w:type="dxa"/>
            <w:tcBorders>
              <w:top w:val="nil"/>
              <w:bottom w:val="single" w:sz="4" w:space="0" w:color="auto"/>
              <w:right w:val="nil"/>
            </w:tcBorders>
          </w:tcPr>
          <w:p w14:paraId="443E0C0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32.42</w:t>
            </w:r>
          </w:p>
        </w:tc>
        <w:tc>
          <w:tcPr>
            <w:tcW w:w="850" w:type="dxa"/>
            <w:tcBorders>
              <w:top w:val="nil"/>
              <w:left w:val="nil"/>
              <w:bottom w:val="single" w:sz="4" w:space="0" w:color="auto"/>
            </w:tcBorders>
          </w:tcPr>
          <w:p w14:paraId="1B603E99"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564E23D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7.01</w:t>
            </w:r>
          </w:p>
        </w:tc>
        <w:tc>
          <w:tcPr>
            <w:tcW w:w="850" w:type="dxa"/>
            <w:tcBorders>
              <w:top w:val="nil"/>
              <w:left w:val="nil"/>
              <w:bottom w:val="single" w:sz="4" w:space="0" w:color="auto"/>
            </w:tcBorders>
          </w:tcPr>
          <w:p w14:paraId="0EC1A1A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10.98</w:t>
            </w:r>
          </w:p>
        </w:tc>
        <w:tc>
          <w:tcPr>
            <w:tcW w:w="851" w:type="dxa"/>
            <w:tcBorders>
              <w:top w:val="nil"/>
              <w:bottom w:val="single" w:sz="4" w:space="0" w:color="auto"/>
              <w:right w:val="nil"/>
            </w:tcBorders>
          </w:tcPr>
          <w:p w14:paraId="3564815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34.93</w:t>
            </w:r>
          </w:p>
        </w:tc>
        <w:tc>
          <w:tcPr>
            <w:tcW w:w="804" w:type="dxa"/>
            <w:tcBorders>
              <w:top w:val="nil"/>
              <w:left w:val="nil"/>
              <w:bottom w:val="single" w:sz="4" w:space="0" w:color="auto"/>
              <w:right w:val="nil"/>
            </w:tcBorders>
          </w:tcPr>
          <w:p w14:paraId="6BC33E2C"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0.014</w:t>
            </w:r>
          </w:p>
        </w:tc>
      </w:tr>
      <w:tr w:rsidR="00AE324A" w14:paraId="51183371" w14:textId="77777777">
        <w:tc>
          <w:tcPr>
            <w:tcW w:w="2268" w:type="dxa"/>
            <w:tcBorders>
              <w:left w:val="nil"/>
              <w:bottom w:val="nil"/>
              <w:right w:val="nil"/>
            </w:tcBorders>
          </w:tcPr>
          <w:p w14:paraId="5A69E4EA"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 xml:space="preserve">Anxiety </w:t>
            </w:r>
          </w:p>
        </w:tc>
        <w:tc>
          <w:tcPr>
            <w:tcW w:w="851" w:type="dxa"/>
            <w:tcBorders>
              <w:left w:val="nil"/>
              <w:bottom w:val="nil"/>
              <w:right w:val="nil"/>
            </w:tcBorders>
          </w:tcPr>
          <w:p w14:paraId="2B7FC212"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5F44F6F1"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3C2638C"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0371F690"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60C99C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6C751CBF"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63DCABF8"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23BE282E" w14:textId="77777777" w:rsidR="00AE324A" w:rsidRDefault="00AE324A">
            <w:pPr>
              <w:rPr>
                <w:rFonts w:ascii="Arial" w:eastAsiaTheme="minorHAnsi" w:hAnsi="Arial" w:cs="Arial"/>
                <w:kern w:val="2"/>
                <w:sz w:val="20"/>
                <w:szCs w:val="20"/>
                <w:lang w:val="en-MY"/>
              </w:rPr>
            </w:pPr>
          </w:p>
        </w:tc>
      </w:tr>
      <w:tr w:rsidR="00AE324A" w14:paraId="48372942" w14:textId="77777777">
        <w:tc>
          <w:tcPr>
            <w:tcW w:w="2268" w:type="dxa"/>
            <w:tcBorders>
              <w:top w:val="nil"/>
              <w:left w:val="nil"/>
              <w:bottom w:val="nil"/>
              <w:right w:val="nil"/>
            </w:tcBorders>
          </w:tcPr>
          <w:p w14:paraId="287A61E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No</w:t>
            </w:r>
          </w:p>
        </w:tc>
        <w:tc>
          <w:tcPr>
            <w:tcW w:w="851" w:type="dxa"/>
            <w:tcBorders>
              <w:top w:val="nil"/>
              <w:left w:val="nil"/>
              <w:bottom w:val="nil"/>
              <w:right w:val="nil"/>
            </w:tcBorders>
          </w:tcPr>
          <w:p w14:paraId="7A09907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5BF7E0A6"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F721BCB"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67A10C44"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28607E8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18E28AC9"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5F30C06"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18211534" w14:textId="77777777" w:rsidR="00AE324A" w:rsidRDefault="00AE324A">
            <w:pPr>
              <w:rPr>
                <w:rFonts w:ascii="Arial" w:eastAsiaTheme="minorHAnsi" w:hAnsi="Arial" w:cs="Arial"/>
                <w:kern w:val="2"/>
                <w:sz w:val="20"/>
                <w:szCs w:val="20"/>
                <w:lang w:val="en-MY"/>
              </w:rPr>
            </w:pPr>
          </w:p>
        </w:tc>
      </w:tr>
      <w:tr w:rsidR="00AE324A" w14:paraId="564F4733" w14:textId="77777777">
        <w:tc>
          <w:tcPr>
            <w:tcW w:w="2268" w:type="dxa"/>
            <w:tcBorders>
              <w:top w:val="nil"/>
              <w:left w:val="nil"/>
              <w:right w:val="nil"/>
            </w:tcBorders>
          </w:tcPr>
          <w:p w14:paraId="073699C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Yes</w:t>
            </w:r>
          </w:p>
        </w:tc>
        <w:tc>
          <w:tcPr>
            <w:tcW w:w="851" w:type="dxa"/>
            <w:tcBorders>
              <w:top w:val="nil"/>
              <w:left w:val="nil"/>
              <w:right w:val="nil"/>
            </w:tcBorders>
          </w:tcPr>
          <w:p w14:paraId="54B52D3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6.56</w:t>
            </w:r>
          </w:p>
        </w:tc>
        <w:tc>
          <w:tcPr>
            <w:tcW w:w="850" w:type="dxa"/>
            <w:tcBorders>
              <w:top w:val="nil"/>
              <w:left w:val="nil"/>
            </w:tcBorders>
          </w:tcPr>
          <w:p w14:paraId="4595A33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5.79</w:t>
            </w:r>
          </w:p>
        </w:tc>
        <w:tc>
          <w:tcPr>
            <w:tcW w:w="851" w:type="dxa"/>
            <w:tcBorders>
              <w:top w:val="nil"/>
              <w:right w:val="nil"/>
            </w:tcBorders>
          </w:tcPr>
          <w:p w14:paraId="18A2C92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34.12</w:t>
            </w:r>
          </w:p>
        </w:tc>
        <w:tc>
          <w:tcPr>
            <w:tcW w:w="850" w:type="dxa"/>
            <w:tcBorders>
              <w:top w:val="nil"/>
              <w:left w:val="nil"/>
            </w:tcBorders>
          </w:tcPr>
          <w:p w14:paraId="380B86AE" w14:textId="77777777" w:rsidR="00AE324A" w:rsidRDefault="004A746B">
            <w:pPr>
              <w:rPr>
                <w:rFonts w:ascii="Arial" w:eastAsiaTheme="minorHAnsi" w:hAnsi="Arial" w:cs="Arial"/>
                <w:kern w:val="2"/>
                <w:sz w:val="20"/>
                <w:szCs w:val="20"/>
                <w:lang w:val="en-MY"/>
              </w:rPr>
            </w:pPr>
            <w:r>
              <w:rPr>
                <w:rFonts w:ascii="Arial" w:eastAsiaTheme="minorHAnsi" w:hAnsi="Arial" w:cs="Arial"/>
                <w:b/>
                <w:bCs/>
                <w:kern w:val="2"/>
                <w:sz w:val="20"/>
                <w:szCs w:val="20"/>
                <w:lang w:val="en-MY"/>
              </w:rPr>
              <w:t>&lt;0.001</w:t>
            </w:r>
          </w:p>
        </w:tc>
        <w:tc>
          <w:tcPr>
            <w:tcW w:w="851" w:type="dxa"/>
            <w:tcBorders>
              <w:top w:val="nil"/>
              <w:right w:val="nil"/>
            </w:tcBorders>
          </w:tcPr>
          <w:p w14:paraId="2D3A8CD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8.18</w:t>
            </w:r>
          </w:p>
        </w:tc>
        <w:tc>
          <w:tcPr>
            <w:tcW w:w="850" w:type="dxa"/>
            <w:tcBorders>
              <w:top w:val="nil"/>
              <w:left w:val="nil"/>
            </w:tcBorders>
          </w:tcPr>
          <w:p w14:paraId="3A38EBF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7.71</w:t>
            </w:r>
          </w:p>
        </w:tc>
        <w:tc>
          <w:tcPr>
            <w:tcW w:w="851" w:type="dxa"/>
            <w:tcBorders>
              <w:top w:val="nil"/>
              <w:right w:val="nil"/>
            </w:tcBorders>
          </w:tcPr>
          <w:p w14:paraId="34C14BD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35.14</w:t>
            </w:r>
          </w:p>
        </w:tc>
        <w:tc>
          <w:tcPr>
            <w:tcW w:w="804" w:type="dxa"/>
            <w:tcBorders>
              <w:top w:val="nil"/>
              <w:left w:val="nil"/>
              <w:right w:val="nil"/>
            </w:tcBorders>
          </w:tcPr>
          <w:p w14:paraId="7687E453"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0.032</w:t>
            </w:r>
          </w:p>
        </w:tc>
      </w:tr>
    </w:tbl>
    <w:p w14:paraId="3A6B63E4" w14:textId="77777777" w:rsidR="00AE324A" w:rsidRDefault="004A746B">
      <w:pPr>
        <w:spacing w:line="259" w:lineRule="auto"/>
        <w:contextualSpacing/>
        <w:rPr>
          <w:rFonts w:ascii="Arial" w:eastAsiaTheme="minorHAnsi" w:hAnsi="Arial" w:cs="Arial"/>
          <w:kern w:val="2"/>
          <w:lang w:val="en-MY"/>
        </w:rPr>
      </w:pPr>
      <w:r>
        <w:rPr>
          <w:rFonts w:ascii="Arial" w:eastAsiaTheme="minorHAnsi" w:hAnsi="Arial" w:cs="Arial"/>
          <w:kern w:val="2"/>
          <w:lang w:val="en-MY"/>
        </w:rPr>
        <w:t>¶p-value &lt;0.05</w:t>
      </w:r>
    </w:p>
    <w:p w14:paraId="44E3FF0A" w14:textId="77777777" w:rsidR="00AE324A" w:rsidRDefault="004A746B">
      <w:pPr>
        <w:spacing w:line="259" w:lineRule="auto"/>
        <w:contextualSpacing/>
        <w:rPr>
          <w:rFonts w:ascii="Arial" w:eastAsiaTheme="minorHAnsi" w:hAnsi="Arial" w:cs="Arial"/>
          <w:kern w:val="2"/>
          <w:lang w:val="en-MY"/>
        </w:rPr>
      </w:pPr>
      <w:r>
        <w:rPr>
          <w:rFonts w:ascii="Arial" w:eastAsiaTheme="minorHAnsi" w:hAnsi="Arial" w:cs="Arial"/>
          <w:kern w:val="2"/>
          <w:lang w:val="en-MY"/>
        </w:rPr>
        <w:t>*COR crude odds ratio</w:t>
      </w:r>
    </w:p>
    <w:p w14:paraId="79BBFAF8" w14:textId="77777777" w:rsidR="00AE324A" w:rsidRDefault="004A746B">
      <w:pPr>
        <w:spacing w:line="259" w:lineRule="auto"/>
        <w:contextualSpacing/>
        <w:rPr>
          <w:rFonts w:ascii="Arial" w:eastAsiaTheme="minorHAnsi" w:hAnsi="Arial" w:cs="Arial"/>
          <w:kern w:val="2"/>
          <w:lang w:val="en-MY"/>
        </w:rPr>
      </w:pPr>
      <w:r>
        <w:rPr>
          <w:rFonts w:ascii="Arial" w:eastAsiaTheme="minorHAnsi" w:hAnsi="Arial" w:cs="Arial"/>
          <w:kern w:val="2"/>
          <w:lang w:val="en-MY"/>
        </w:rPr>
        <w:t>*AOR adjusted odds ratio</w:t>
      </w:r>
    </w:p>
    <w:p w14:paraId="3B980237" w14:textId="77777777" w:rsidR="00AE324A" w:rsidRDefault="00AE324A">
      <w:pPr>
        <w:pStyle w:val="Body"/>
        <w:spacing w:after="0"/>
        <w:rPr>
          <w:rFonts w:ascii="Arial" w:hAnsi="Arial" w:cs="Arial"/>
        </w:rPr>
      </w:pPr>
    </w:p>
    <w:p w14:paraId="5199D737" w14:textId="27D2FD73" w:rsidR="00AE324A" w:rsidRDefault="004A746B">
      <w:pPr>
        <w:pStyle w:val="Body"/>
        <w:spacing w:line="480" w:lineRule="auto"/>
        <w:rPr>
          <w:rFonts w:ascii="Arial" w:hAnsi="Arial" w:cs="Arial"/>
        </w:rPr>
      </w:pPr>
      <w:r>
        <w:rPr>
          <w:rFonts w:ascii="Arial" w:hAnsi="Arial" w:cs="Arial"/>
        </w:rPr>
        <w:lastRenderedPageBreak/>
        <w:t xml:space="preserve">Chi-square analysis revealed statistically </w:t>
      </w:r>
      <w:r>
        <w:rPr>
          <w:rFonts w:ascii="Arial" w:hAnsi="Arial" w:cs="Arial"/>
        </w:rPr>
        <w:t>significant differences in all sexual functioning domains between premenopausal, perimenopausal, and menopausal women (p &lt; 0.001)</w:t>
      </w:r>
      <w:r w:rsidR="004446E7">
        <w:rPr>
          <w:rFonts w:ascii="Arial" w:hAnsi="Arial" w:cs="Arial"/>
        </w:rPr>
        <w:t>,</w:t>
      </w:r>
      <w:r>
        <w:rPr>
          <w:rFonts w:ascii="Arial" w:hAnsi="Arial" w:cs="Arial"/>
        </w:rPr>
        <w:t xml:space="preserve"> </w:t>
      </w:r>
      <w:r w:rsidRPr="004446E7">
        <w:rPr>
          <w:rFonts w:ascii="Arial" w:hAnsi="Arial" w:cs="Arial"/>
        </w:rPr>
        <w:t>with</w:t>
      </w:r>
      <w:r>
        <w:rPr>
          <w:rFonts w:ascii="Arial" w:hAnsi="Arial" w:cs="Arial"/>
        </w:rPr>
        <w:t xml:space="preserve"> high sexual desire, arousal, lubrication, orgasm, and satisfaction </w:t>
      </w:r>
      <w:r w:rsidRPr="004446E7">
        <w:rPr>
          <w:rFonts w:ascii="Arial" w:hAnsi="Arial" w:cs="Arial"/>
        </w:rPr>
        <w:t xml:space="preserve">all being significantly </w:t>
      </w:r>
      <w:r>
        <w:rPr>
          <w:rFonts w:ascii="Arial" w:hAnsi="Arial" w:cs="Arial"/>
        </w:rPr>
        <w:t>more prevalent in the premeno</w:t>
      </w:r>
      <w:r>
        <w:rPr>
          <w:rFonts w:ascii="Arial" w:hAnsi="Arial" w:cs="Arial"/>
        </w:rPr>
        <w:t>pausal group. In contrast, women in perimenopause and menopause phases had higher rates of low desire, arousal difficulties, lubrication issues, orgasmic dysfunction, and lower satisfaction scores.</w:t>
      </w:r>
    </w:p>
    <w:p w14:paraId="15E22DA7" w14:textId="77777777" w:rsidR="00AE324A" w:rsidRDefault="004A746B">
      <w:pPr>
        <w:pStyle w:val="Body"/>
        <w:spacing w:line="480" w:lineRule="auto"/>
        <w:rPr>
          <w:rFonts w:ascii="Arial" w:hAnsi="Arial" w:cs="Arial"/>
        </w:rPr>
      </w:pPr>
      <w:r>
        <w:rPr>
          <w:rFonts w:ascii="Arial" w:hAnsi="Arial" w:cs="Arial"/>
        </w:rPr>
        <w:t>In the desire domain, high sexual desire was reported by 86.8% of premenopausal women, compared to only 20% in perimenopause and 55.4% in menopause (χ² = 81.33, p &lt; 0.001).  Similarly, in the sexual arousal domain, 85.9% of premenopausal women had high aro</w:t>
      </w:r>
      <w:r>
        <w:rPr>
          <w:rFonts w:ascii="Arial" w:hAnsi="Arial" w:cs="Arial"/>
        </w:rPr>
        <w:t>usal, significantly higher than 8.6% in perimenopausal and 25.6% in menopausal women (χ² = 152.64, p &lt; 0.001). The lubrication domain showed 86.8% of premenopausal women had adequate lubrication versus only 8.6% in perimenopausal and 28.1% in menopausal wo</w:t>
      </w:r>
      <w:r>
        <w:rPr>
          <w:rFonts w:ascii="Arial" w:hAnsi="Arial" w:cs="Arial"/>
        </w:rPr>
        <w:t>men (χ² = 150.79, p &lt; 0.001). In the orgasmic domain, the proportion of women experiencing orgasm was highest among premenopausal (78%) compared to 17.1% and 23.1% in perimenopausal and postmenopausal groups, respectively (χ² = 113.16, p &lt; 0.001). Sexual s</w:t>
      </w:r>
      <w:r>
        <w:rPr>
          <w:rFonts w:ascii="Arial" w:hAnsi="Arial" w:cs="Arial"/>
        </w:rPr>
        <w:t>atisfaction was also more common in premenopausal women (76.1%) than in perimenopausal (25.7%) and menopausal (23.1%) women (χ² = 97.76, p &lt; 0.001). In the sexual pain domain, absence of pain was reported by 92.2% of premenopausal women compared to 68.6% i</w:t>
      </w:r>
      <w:r>
        <w:rPr>
          <w:rFonts w:ascii="Arial" w:hAnsi="Arial" w:cs="Arial"/>
        </w:rPr>
        <w:t xml:space="preserve">n perimenopausal and 78.5% in menopausal women (χ² = 20.05, p &lt; 0.001). (Refer Table 3) </w:t>
      </w:r>
    </w:p>
    <w:p w14:paraId="20FE1CE3" w14:textId="77777777" w:rsidR="00AE324A" w:rsidRDefault="004A746B">
      <w:pPr>
        <w:rPr>
          <w:rFonts w:ascii="Arial" w:hAnsi="Arial" w:cs="Arial"/>
          <w:b/>
          <w:bCs/>
          <w:highlight w:val="yellow"/>
        </w:rPr>
      </w:pPr>
      <w:r>
        <w:rPr>
          <w:rFonts w:ascii="Arial" w:hAnsi="Arial" w:cs="Arial"/>
          <w:b/>
          <w:bCs/>
        </w:rPr>
        <w:t>Table 3: Domains of sexual functioning profiles and the reproductive phases</w:t>
      </w:r>
      <w:r>
        <w:rPr>
          <w:rFonts w:ascii="Arial" w:hAnsi="Arial" w:cs="Arial"/>
        </w:rPr>
        <w:t xml:space="preserve"> </w:t>
      </w:r>
      <w:r>
        <w:rPr>
          <w:rFonts w:ascii="Arial" w:hAnsi="Arial" w:cs="Arial"/>
          <w:b/>
          <w:bCs/>
        </w:rPr>
        <w:t>among female adults attending government primary healthcare clinics in the Kuala Langat dis</w:t>
      </w:r>
      <w:r>
        <w:rPr>
          <w:rFonts w:ascii="Arial" w:hAnsi="Arial" w:cs="Arial"/>
          <w:b/>
          <w:bCs/>
        </w:rPr>
        <w:t>trict</w:t>
      </w:r>
    </w:p>
    <w:tbl>
      <w:tblPr>
        <w:tblStyle w:val="TableGrid"/>
        <w:tblW w:w="8506" w:type="dxa"/>
        <w:tblInd w:w="-142" w:type="dxa"/>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8"/>
        <w:gridCol w:w="1417"/>
        <w:gridCol w:w="1418"/>
        <w:gridCol w:w="850"/>
        <w:gridCol w:w="851"/>
      </w:tblGrid>
      <w:tr w:rsidR="00AE324A" w14:paraId="2AB6D419" w14:textId="77777777">
        <w:tc>
          <w:tcPr>
            <w:tcW w:w="2552" w:type="dxa"/>
            <w:vMerge w:val="restart"/>
            <w:tcBorders>
              <w:right w:val="nil"/>
            </w:tcBorders>
          </w:tcPr>
          <w:p w14:paraId="4FA6F34D"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Sexual functioning profile</w:t>
            </w:r>
          </w:p>
        </w:tc>
        <w:tc>
          <w:tcPr>
            <w:tcW w:w="4253" w:type="dxa"/>
            <w:gridSpan w:val="3"/>
            <w:tcBorders>
              <w:left w:val="nil"/>
              <w:right w:val="nil"/>
            </w:tcBorders>
          </w:tcPr>
          <w:p w14:paraId="52D0ABB6"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Reproductive phase</w:t>
            </w:r>
          </w:p>
        </w:tc>
        <w:tc>
          <w:tcPr>
            <w:tcW w:w="850" w:type="dxa"/>
            <w:vMerge w:val="restart"/>
            <w:tcBorders>
              <w:left w:val="nil"/>
              <w:right w:val="nil"/>
            </w:tcBorders>
          </w:tcPr>
          <w:p w14:paraId="2A583DAF"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χ²</w:t>
            </w:r>
          </w:p>
        </w:tc>
        <w:tc>
          <w:tcPr>
            <w:tcW w:w="851" w:type="dxa"/>
            <w:vMerge w:val="restart"/>
            <w:tcBorders>
              <w:left w:val="nil"/>
              <w:right w:val="nil"/>
            </w:tcBorders>
          </w:tcPr>
          <w:p w14:paraId="164330E1"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p-value</w:t>
            </w:r>
          </w:p>
        </w:tc>
      </w:tr>
      <w:tr w:rsidR="00AE324A" w14:paraId="609F053C" w14:textId="77777777">
        <w:tc>
          <w:tcPr>
            <w:tcW w:w="2552" w:type="dxa"/>
            <w:vMerge/>
            <w:tcBorders>
              <w:bottom w:val="single" w:sz="4" w:space="0" w:color="auto"/>
              <w:right w:val="nil"/>
            </w:tcBorders>
          </w:tcPr>
          <w:p w14:paraId="42F38AF0" w14:textId="77777777" w:rsidR="00AE324A" w:rsidRDefault="00AE324A">
            <w:pPr>
              <w:rPr>
                <w:rFonts w:ascii="Arial" w:eastAsiaTheme="minorHAnsi" w:hAnsi="Arial" w:cs="Arial"/>
                <w:kern w:val="2"/>
                <w:sz w:val="20"/>
                <w:szCs w:val="20"/>
                <w:lang w:val="en-MY"/>
              </w:rPr>
            </w:pPr>
          </w:p>
        </w:tc>
        <w:tc>
          <w:tcPr>
            <w:tcW w:w="1418" w:type="dxa"/>
            <w:tcBorders>
              <w:left w:val="nil"/>
              <w:bottom w:val="single" w:sz="4" w:space="0" w:color="auto"/>
              <w:right w:val="nil"/>
            </w:tcBorders>
          </w:tcPr>
          <w:p w14:paraId="1425FA73"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Pre-</w:t>
            </w:r>
          </w:p>
          <w:p w14:paraId="1005B86A"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menopause</w:t>
            </w:r>
          </w:p>
        </w:tc>
        <w:tc>
          <w:tcPr>
            <w:tcW w:w="1417" w:type="dxa"/>
            <w:tcBorders>
              <w:left w:val="nil"/>
              <w:bottom w:val="single" w:sz="4" w:space="0" w:color="auto"/>
              <w:right w:val="nil"/>
            </w:tcBorders>
          </w:tcPr>
          <w:p w14:paraId="46807B8C"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Peri-</w:t>
            </w:r>
          </w:p>
          <w:p w14:paraId="4A1076CF"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menopause</w:t>
            </w:r>
          </w:p>
        </w:tc>
        <w:tc>
          <w:tcPr>
            <w:tcW w:w="1418" w:type="dxa"/>
            <w:tcBorders>
              <w:left w:val="nil"/>
              <w:bottom w:val="single" w:sz="4" w:space="0" w:color="auto"/>
              <w:right w:val="nil"/>
            </w:tcBorders>
          </w:tcPr>
          <w:p w14:paraId="74AAD1F1"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Menopause</w:t>
            </w:r>
          </w:p>
        </w:tc>
        <w:tc>
          <w:tcPr>
            <w:tcW w:w="850" w:type="dxa"/>
            <w:vMerge/>
            <w:tcBorders>
              <w:left w:val="nil"/>
              <w:bottom w:val="single" w:sz="4" w:space="0" w:color="auto"/>
              <w:right w:val="nil"/>
            </w:tcBorders>
          </w:tcPr>
          <w:p w14:paraId="5844F639" w14:textId="77777777" w:rsidR="00AE324A" w:rsidRDefault="00AE324A">
            <w:pPr>
              <w:rPr>
                <w:rFonts w:ascii="Arial" w:eastAsiaTheme="minorHAnsi" w:hAnsi="Arial" w:cs="Arial"/>
                <w:kern w:val="2"/>
                <w:sz w:val="20"/>
                <w:szCs w:val="20"/>
                <w:lang w:val="en-MY"/>
              </w:rPr>
            </w:pPr>
          </w:p>
        </w:tc>
        <w:tc>
          <w:tcPr>
            <w:tcW w:w="851" w:type="dxa"/>
            <w:vMerge/>
            <w:tcBorders>
              <w:left w:val="nil"/>
              <w:bottom w:val="single" w:sz="4" w:space="0" w:color="auto"/>
              <w:right w:val="nil"/>
            </w:tcBorders>
          </w:tcPr>
          <w:p w14:paraId="68A6C34B" w14:textId="77777777" w:rsidR="00AE324A" w:rsidRDefault="00AE324A">
            <w:pPr>
              <w:rPr>
                <w:rFonts w:ascii="Arial" w:eastAsiaTheme="minorHAnsi" w:hAnsi="Arial" w:cs="Arial"/>
                <w:kern w:val="2"/>
                <w:sz w:val="20"/>
                <w:szCs w:val="20"/>
                <w:lang w:val="en-MY"/>
              </w:rPr>
            </w:pPr>
          </w:p>
        </w:tc>
      </w:tr>
      <w:tr w:rsidR="00AE324A" w14:paraId="7D5E3872" w14:textId="77777777">
        <w:tc>
          <w:tcPr>
            <w:tcW w:w="2552" w:type="dxa"/>
            <w:tcBorders>
              <w:bottom w:val="nil"/>
              <w:right w:val="nil"/>
            </w:tcBorders>
          </w:tcPr>
          <w:p w14:paraId="4F98CBB4"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Desire domain</w:t>
            </w:r>
          </w:p>
        </w:tc>
        <w:tc>
          <w:tcPr>
            <w:tcW w:w="1418" w:type="dxa"/>
            <w:tcBorders>
              <w:left w:val="nil"/>
              <w:bottom w:val="nil"/>
              <w:right w:val="nil"/>
            </w:tcBorders>
          </w:tcPr>
          <w:p w14:paraId="33CB8A5D" w14:textId="77777777" w:rsidR="00AE324A" w:rsidRDefault="00AE324A">
            <w:pPr>
              <w:rPr>
                <w:rFonts w:ascii="Arial" w:eastAsiaTheme="minorHAnsi" w:hAnsi="Arial" w:cs="Arial"/>
                <w:kern w:val="2"/>
                <w:sz w:val="20"/>
                <w:szCs w:val="20"/>
                <w:lang w:val="en-MY"/>
              </w:rPr>
            </w:pPr>
          </w:p>
        </w:tc>
        <w:tc>
          <w:tcPr>
            <w:tcW w:w="1417" w:type="dxa"/>
            <w:tcBorders>
              <w:left w:val="nil"/>
              <w:bottom w:val="nil"/>
              <w:right w:val="nil"/>
            </w:tcBorders>
          </w:tcPr>
          <w:p w14:paraId="2287E0B0" w14:textId="77777777" w:rsidR="00AE324A" w:rsidRDefault="00AE324A">
            <w:pPr>
              <w:rPr>
                <w:rFonts w:ascii="Arial" w:eastAsiaTheme="minorHAnsi" w:hAnsi="Arial" w:cs="Arial"/>
                <w:kern w:val="2"/>
                <w:sz w:val="20"/>
                <w:szCs w:val="20"/>
                <w:lang w:val="en-MY"/>
              </w:rPr>
            </w:pPr>
          </w:p>
        </w:tc>
        <w:tc>
          <w:tcPr>
            <w:tcW w:w="1418" w:type="dxa"/>
            <w:tcBorders>
              <w:left w:val="nil"/>
              <w:bottom w:val="nil"/>
              <w:right w:val="nil"/>
            </w:tcBorders>
          </w:tcPr>
          <w:p w14:paraId="51C37DAD" w14:textId="77777777" w:rsidR="00AE324A" w:rsidRDefault="00AE324A">
            <w:pPr>
              <w:rPr>
                <w:rFonts w:ascii="Arial" w:eastAsiaTheme="minorHAnsi" w:hAnsi="Arial" w:cs="Arial"/>
                <w:kern w:val="2"/>
                <w:sz w:val="20"/>
                <w:szCs w:val="20"/>
                <w:lang w:val="en-MY"/>
              </w:rPr>
            </w:pPr>
          </w:p>
        </w:tc>
        <w:tc>
          <w:tcPr>
            <w:tcW w:w="850" w:type="dxa"/>
            <w:tcBorders>
              <w:left w:val="nil"/>
              <w:bottom w:val="nil"/>
              <w:right w:val="nil"/>
            </w:tcBorders>
          </w:tcPr>
          <w:p w14:paraId="53B94976" w14:textId="77777777" w:rsidR="00AE324A" w:rsidRDefault="00AE324A">
            <w:pPr>
              <w:rPr>
                <w:rFonts w:ascii="Arial" w:eastAsiaTheme="minorHAnsi" w:hAnsi="Arial" w:cs="Arial"/>
                <w:kern w:val="2"/>
                <w:sz w:val="20"/>
                <w:szCs w:val="20"/>
                <w:lang w:val="en-MY"/>
              </w:rPr>
            </w:pPr>
          </w:p>
        </w:tc>
        <w:tc>
          <w:tcPr>
            <w:tcW w:w="851" w:type="dxa"/>
            <w:tcBorders>
              <w:left w:val="nil"/>
              <w:bottom w:val="nil"/>
              <w:right w:val="nil"/>
            </w:tcBorders>
          </w:tcPr>
          <w:p w14:paraId="06441820" w14:textId="77777777" w:rsidR="00AE324A" w:rsidRDefault="00AE324A">
            <w:pPr>
              <w:rPr>
                <w:rFonts w:ascii="Arial" w:eastAsiaTheme="minorHAnsi" w:hAnsi="Arial" w:cs="Arial"/>
                <w:kern w:val="2"/>
                <w:sz w:val="20"/>
                <w:szCs w:val="20"/>
                <w:lang w:val="en-MY"/>
              </w:rPr>
            </w:pPr>
          </w:p>
        </w:tc>
      </w:tr>
      <w:tr w:rsidR="00AE324A" w14:paraId="495B8449" w14:textId="77777777">
        <w:tc>
          <w:tcPr>
            <w:tcW w:w="2552" w:type="dxa"/>
            <w:tcBorders>
              <w:top w:val="nil"/>
              <w:bottom w:val="nil"/>
              <w:right w:val="nil"/>
            </w:tcBorders>
          </w:tcPr>
          <w:p w14:paraId="22A86FC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High desire </w:t>
            </w:r>
          </w:p>
          <w:p w14:paraId="32D5745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(Score &gt;5)</w:t>
            </w:r>
          </w:p>
        </w:tc>
        <w:tc>
          <w:tcPr>
            <w:tcW w:w="1418" w:type="dxa"/>
            <w:tcBorders>
              <w:top w:val="nil"/>
              <w:left w:val="nil"/>
              <w:bottom w:val="nil"/>
              <w:right w:val="nil"/>
            </w:tcBorders>
          </w:tcPr>
          <w:p w14:paraId="41DC42C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178 (86.8%)</w:t>
            </w:r>
          </w:p>
        </w:tc>
        <w:tc>
          <w:tcPr>
            <w:tcW w:w="1417" w:type="dxa"/>
            <w:tcBorders>
              <w:top w:val="nil"/>
              <w:left w:val="nil"/>
              <w:bottom w:val="nil"/>
              <w:right w:val="nil"/>
            </w:tcBorders>
          </w:tcPr>
          <w:p w14:paraId="39F9E59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 (20%)</w:t>
            </w:r>
          </w:p>
        </w:tc>
        <w:tc>
          <w:tcPr>
            <w:tcW w:w="1418" w:type="dxa"/>
            <w:tcBorders>
              <w:top w:val="nil"/>
              <w:left w:val="nil"/>
              <w:bottom w:val="nil"/>
              <w:right w:val="nil"/>
            </w:tcBorders>
          </w:tcPr>
          <w:p w14:paraId="42E8C46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67 (55.4%)</w:t>
            </w:r>
          </w:p>
        </w:tc>
        <w:tc>
          <w:tcPr>
            <w:tcW w:w="850" w:type="dxa"/>
            <w:tcBorders>
              <w:top w:val="nil"/>
              <w:left w:val="nil"/>
              <w:bottom w:val="nil"/>
              <w:right w:val="nil"/>
            </w:tcBorders>
          </w:tcPr>
          <w:p w14:paraId="76C30C9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81.33</w:t>
            </w:r>
          </w:p>
        </w:tc>
        <w:tc>
          <w:tcPr>
            <w:tcW w:w="851" w:type="dxa"/>
            <w:tcBorders>
              <w:top w:val="nil"/>
              <w:left w:val="nil"/>
              <w:bottom w:val="nil"/>
              <w:right w:val="nil"/>
            </w:tcBorders>
          </w:tcPr>
          <w:p w14:paraId="33C5E128"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1642838C" w14:textId="77777777">
        <w:tc>
          <w:tcPr>
            <w:tcW w:w="2552" w:type="dxa"/>
            <w:tcBorders>
              <w:top w:val="nil"/>
              <w:bottom w:val="single" w:sz="4" w:space="0" w:color="auto"/>
              <w:right w:val="nil"/>
            </w:tcBorders>
          </w:tcPr>
          <w:p w14:paraId="56EECCA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Low desire </w:t>
            </w:r>
          </w:p>
          <w:p w14:paraId="222EA86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(Score ≤ 5)</w:t>
            </w:r>
          </w:p>
        </w:tc>
        <w:tc>
          <w:tcPr>
            <w:tcW w:w="1418" w:type="dxa"/>
            <w:tcBorders>
              <w:top w:val="nil"/>
              <w:left w:val="nil"/>
              <w:bottom w:val="single" w:sz="4" w:space="0" w:color="auto"/>
              <w:right w:val="nil"/>
            </w:tcBorders>
          </w:tcPr>
          <w:p w14:paraId="72FEF03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27 (13.2%)</w:t>
            </w:r>
          </w:p>
        </w:tc>
        <w:tc>
          <w:tcPr>
            <w:tcW w:w="1417" w:type="dxa"/>
            <w:tcBorders>
              <w:top w:val="nil"/>
              <w:left w:val="nil"/>
              <w:bottom w:val="single" w:sz="4" w:space="0" w:color="auto"/>
              <w:right w:val="nil"/>
            </w:tcBorders>
          </w:tcPr>
          <w:p w14:paraId="3952AA2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28 (80%)</w:t>
            </w:r>
          </w:p>
        </w:tc>
        <w:tc>
          <w:tcPr>
            <w:tcW w:w="1418" w:type="dxa"/>
            <w:tcBorders>
              <w:top w:val="nil"/>
              <w:left w:val="nil"/>
              <w:bottom w:val="single" w:sz="4" w:space="0" w:color="auto"/>
              <w:right w:val="nil"/>
            </w:tcBorders>
          </w:tcPr>
          <w:p w14:paraId="33556B5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54 (44.6%)</w:t>
            </w:r>
          </w:p>
        </w:tc>
        <w:tc>
          <w:tcPr>
            <w:tcW w:w="850" w:type="dxa"/>
            <w:tcBorders>
              <w:top w:val="nil"/>
              <w:left w:val="nil"/>
              <w:bottom w:val="single" w:sz="4" w:space="0" w:color="auto"/>
              <w:right w:val="nil"/>
            </w:tcBorders>
          </w:tcPr>
          <w:p w14:paraId="6F048B2D"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1C5C26A0" w14:textId="77777777" w:rsidR="00AE324A" w:rsidRDefault="00AE324A">
            <w:pPr>
              <w:rPr>
                <w:rFonts w:ascii="Arial" w:eastAsiaTheme="minorHAnsi" w:hAnsi="Arial" w:cs="Arial"/>
                <w:kern w:val="2"/>
                <w:sz w:val="20"/>
                <w:szCs w:val="20"/>
                <w:lang w:val="en-MY"/>
              </w:rPr>
            </w:pPr>
          </w:p>
        </w:tc>
      </w:tr>
      <w:tr w:rsidR="00AE324A" w14:paraId="3D0670E3" w14:textId="77777777">
        <w:tc>
          <w:tcPr>
            <w:tcW w:w="2552" w:type="dxa"/>
            <w:tcBorders>
              <w:bottom w:val="nil"/>
              <w:right w:val="nil"/>
            </w:tcBorders>
          </w:tcPr>
          <w:p w14:paraId="10BD46E9"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lastRenderedPageBreak/>
              <w:t>Sexual arousal domain</w:t>
            </w:r>
          </w:p>
        </w:tc>
        <w:tc>
          <w:tcPr>
            <w:tcW w:w="1418" w:type="dxa"/>
            <w:tcBorders>
              <w:left w:val="nil"/>
              <w:bottom w:val="nil"/>
              <w:right w:val="nil"/>
            </w:tcBorders>
          </w:tcPr>
          <w:p w14:paraId="48562333" w14:textId="77777777" w:rsidR="00AE324A" w:rsidRDefault="00AE324A">
            <w:pPr>
              <w:rPr>
                <w:rFonts w:ascii="Arial" w:eastAsiaTheme="minorHAnsi" w:hAnsi="Arial" w:cs="Arial"/>
                <w:kern w:val="2"/>
                <w:sz w:val="20"/>
                <w:szCs w:val="20"/>
                <w:lang w:val="en-MY"/>
              </w:rPr>
            </w:pPr>
          </w:p>
        </w:tc>
        <w:tc>
          <w:tcPr>
            <w:tcW w:w="1417" w:type="dxa"/>
            <w:tcBorders>
              <w:left w:val="nil"/>
              <w:bottom w:val="nil"/>
              <w:right w:val="nil"/>
            </w:tcBorders>
          </w:tcPr>
          <w:p w14:paraId="2B912B1A" w14:textId="77777777" w:rsidR="00AE324A" w:rsidRDefault="00AE324A">
            <w:pPr>
              <w:rPr>
                <w:rFonts w:ascii="Arial" w:eastAsiaTheme="minorHAnsi" w:hAnsi="Arial" w:cs="Arial"/>
                <w:kern w:val="2"/>
                <w:sz w:val="20"/>
                <w:szCs w:val="20"/>
                <w:lang w:val="en-MY"/>
              </w:rPr>
            </w:pPr>
          </w:p>
        </w:tc>
        <w:tc>
          <w:tcPr>
            <w:tcW w:w="1418" w:type="dxa"/>
            <w:tcBorders>
              <w:left w:val="nil"/>
              <w:bottom w:val="nil"/>
              <w:right w:val="nil"/>
            </w:tcBorders>
          </w:tcPr>
          <w:p w14:paraId="7B2F5A89" w14:textId="77777777" w:rsidR="00AE324A" w:rsidRDefault="00AE324A">
            <w:pPr>
              <w:rPr>
                <w:rFonts w:ascii="Arial" w:eastAsiaTheme="minorHAnsi" w:hAnsi="Arial" w:cs="Arial"/>
                <w:kern w:val="2"/>
                <w:sz w:val="20"/>
                <w:szCs w:val="20"/>
                <w:lang w:val="en-MY"/>
              </w:rPr>
            </w:pPr>
          </w:p>
        </w:tc>
        <w:tc>
          <w:tcPr>
            <w:tcW w:w="850" w:type="dxa"/>
            <w:tcBorders>
              <w:left w:val="nil"/>
              <w:bottom w:val="nil"/>
              <w:right w:val="nil"/>
            </w:tcBorders>
          </w:tcPr>
          <w:p w14:paraId="62B12EA8" w14:textId="77777777" w:rsidR="00AE324A" w:rsidRDefault="00AE324A">
            <w:pPr>
              <w:rPr>
                <w:rFonts w:ascii="Arial" w:eastAsiaTheme="minorHAnsi" w:hAnsi="Arial" w:cs="Arial"/>
                <w:kern w:val="2"/>
                <w:sz w:val="20"/>
                <w:szCs w:val="20"/>
                <w:lang w:val="en-MY"/>
              </w:rPr>
            </w:pPr>
          </w:p>
        </w:tc>
        <w:tc>
          <w:tcPr>
            <w:tcW w:w="851" w:type="dxa"/>
            <w:tcBorders>
              <w:left w:val="nil"/>
              <w:bottom w:val="nil"/>
              <w:right w:val="nil"/>
            </w:tcBorders>
          </w:tcPr>
          <w:p w14:paraId="4257CAA8" w14:textId="77777777" w:rsidR="00AE324A" w:rsidRDefault="00AE324A">
            <w:pPr>
              <w:rPr>
                <w:rFonts w:ascii="Arial" w:eastAsiaTheme="minorHAnsi" w:hAnsi="Arial" w:cs="Arial"/>
                <w:kern w:val="2"/>
                <w:sz w:val="20"/>
                <w:szCs w:val="20"/>
                <w:lang w:val="en-MY"/>
              </w:rPr>
            </w:pPr>
          </w:p>
        </w:tc>
      </w:tr>
      <w:tr w:rsidR="00AE324A" w14:paraId="5CE9ED1D" w14:textId="77777777">
        <w:tc>
          <w:tcPr>
            <w:tcW w:w="2552" w:type="dxa"/>
            <w:tcBorders>
              <w:top w:val="nil"/>
              <w:bottom w:val="nil"/>
              <w:right w:val="nil"/>
            </w:tcBorders>
          </w:tcPr>
          <w:p w14:paraId="3B2596D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High arousal </w:t>
            </w:r>
          </w:p>
          <w:p w14:paraId="2C18C94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(Score &gt;9)</w:t>
            </w:r>
          </w:p>
        </w:tc>
        <w:tc>
          <w:tcPr>
            <w:tcW w:w="1418" w:type="dxa"/>
            <w:tcBorders>
              <w:top w:val="nil"/>
              <w:left w:val="nil"/>
              <w:bottom w:val="nil"/>
              <w:right w:val="nil"/>
            </w:tcBorders>
          </w:tcPr>
          <w:p w14:paraId="4DEE05A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176 (85.9%)</w:t>
            </w:r>
          </w:p>
        </w:tc>
        <w:tc>
          <w:tcPr>
            <w:tcW w:w="1417" w:type="dxa"/>
            <w:tcBorders>
              <w:top w:val="nil"/>
              <w:left w:val="nil"/>
              <w:bottom w:val="nil"/>
              <w:right w:val="nil"/>
            </w:tcBorders>
          </w:tcPr>
          <w:p w14:paraId="3F5BAA3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 (8.6%)</w:t>
            </w:r>
          </w:p>
        </w:tc>
        <w:tc>
          <w:tcPr>
            <w:tcW w:w="1418" w:type="dxa"/>
            <w:tcBorders>
              <w:top w:val="nil"/>
              <w:left w:val="nil"/>
              <w:bottom w:val="nil"/>
              <w:right w:val="nil"/>
            </w:tcBorders>
          </w:tcPr>
          <w:p w14:paraId="3A9EC67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31 (25.6%)</w:t>
            </w:r>
          </w:p>
        </w:tc>
        <w:tc>
          <w:tcPr>
            <w:tcW w:w="850" w:type="dxa"/>
            <w:tcBorders>
              <w:top w:val="nil"/>
              <w:left w:val="nil"/>
              <w:bottom w:val="nil"/>
              <w:right w:val="nil"/>
            </w:tcBorders>
          </w:tcPr>
          <w:p w14:paraId="782FC68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152.64</w:t>
            </w:r>
          </w:p>
        </w:tc>
        <w:tc>
          <w:tcPr>
            <w:tcW w:w="851" w:type="dxa"/>
            <w:tcBorders>
              <w:top w:val="nil"/>
              <w:left w:val="nil"/>
              <w:bottom w:val="nil"/>
              <w:right w:val="nil"/>
            </w:tcBorders>
          </w:tcPr>
          <w:p w14:paraId="5BE0DF78"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22CA5A61" w14:textId="77777777">
        <w:tc>
          <w:tcPr>
            <w:tcW w:w="2552" w:type="dxa"/>
            <w:tcBorders>
              <w:top w:val="nil"/>
              <w:bottom w:val="single" w:sz="4" w:space="0" w:color="auto"/>
              <w:right w:val="nil"/>
            </w:tcBorders>
          </w:tcPr>
          <w:p w14:paraId="153A484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Low arousal </w:t>
            </w:r>
          </w:p>
          <w:p w14:paraId="77F498D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(Score ≤ 9)</w:t>
            </w:r>
          </w:p>
        </w:tc>
        <w:tc>
          <w:tcPr>
            <w:tcW w:w="1418" w:type="dxa"/>
            <w:tcBorders>
              <w:top w:val="nil"/>
              <w:left w:val="nil"/>
              <w:bottom w:val="single" w:sz="4" w:space="0" w:color="auto"/>
              <w:right w:val="nil"/>
            </w:tcBorders>
          </w:tcPr>
          <w:p w14:paraId="7D98A5B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29 (14.1%)</w:t>
            </w:r>
          </w:p>
        </w:tc>
        <w:tc>
          <w:tcPr>
            <w:tcW w:w="1417" w:type="dxa"/>
            <w:tcBorders>
              <w:top w:val="nil"/>
              <w:left w:val="nil"/>
              <w:bottom w:val="single" w:sz="4" w:space="0" w:color="auto"/>
              <w:right w:val="nil"/>
            </w:tcBorders>
          </w:tcPr>
          <w:p w14:paraId="641ADC2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32 (91.4%)</w:t>
            </w:r>
          </w:p>
        </w:tc>
        <w:tc>
          <w:tcPr>
            <w:tcW w:w="1418" w:type="dxa"/>
            <w:tcBorders>
              <w:top w:val="nil"/>
              <w:left w:val="nil"/>
              <w:bottom w:val="single" w:sz="4" w:space="0" w:color="auto"/>
              <w:right w:val="nil"/>
            </w:tcBorders>
          </w:tcPr>
          <w:p w14:paraId="757CFA0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90 (74.4%)</w:t>
            </w:r>
          </w:p>
        </w:tc>
        <w:tc>
          <w:tcPr>
            <w:tcW w:w="850" w:type="dxa"/>
            <w:tcBorders>
              <w:top w:val="nil"/>
              <w:left w:val="nil"/>
              <w:bottom w:val="single" w:sz="4" w:space="0" w:color="auto"/>
              <w:right w:val="nil"/>
            </w:tcBorders>
          </w:tcPr>
          <w:p w14:paraId="56906596"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7C960853" w14:textId="77777777" w:rsidR="00AE324A" w:rsidRDefault="00AE324A">
            <w:pPr>
              <w:rPr>
                <w:rFonts w:ascii="Arial" w:eastAsiaTheme="minorHAnsi" w:hAnsi="Arial" w:cs="Arial"/>
                <w:kern w:val="2"/>
                <w:sz w:val="20"/>
                <w:szCs w:val="20"/>
                <w:lang w:val="en-MY"/>
              </w:rPr>
            </w:pPr>
          </w:p>
        </w:tc>
      </w:tr>
      <w:tr w:rsidR="00AE324A" w14:paraId="47211EF9" w14:textId="77777777">
        <w:tc>
          <w:tcPr>
            <w:tcW w:w="2552" w:type="dxa"/>
            <w:tcBorders>
              <w:top w:val="single" w:sz="4" w:space="0" w:color="auto"/>
              <w:bottom w:val="nil"/>
              <w:right w:val="nil"/>
            </w:tcBorders>
          </w:tcPr>
          <w:p w14:paraId="47FA0963"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Lubrication domain</w:t>
            </w:r>
          </w:p>
        </w:tc>
        <w:tc>
          <w:tcPr>
            <w:tcW w:w="1418" w:type="dxa"/>
            <w:tcBorders>
              <w:top w:val="single" w:sz="4" w:space="0" w:color="auto"/>
              <w:left w:val="nil"/>
              <w:bottom w:val="nil"/>
              <w:right w:val="nil"/>
            </w:tcBorders>
          </w:tcPr>
          <w:p w14:paraId="5E47061C" w14:textId="77777777" w:rsidR="00AE324A" w:rsidRDefault="00AE324A">
            <w:pPr>
              <w:rPr>
                <w:rFonts w:ascii="Arial" w:eastAsiaTheme="minorHAnsi" w:hAnsi="Arial" w:cs="Arial"/>
                <w:kern w:val="2"/>
                <w:sz w:val="20"/>
                <w:szCs w:val="20"/>
                <w:lang w:val="en-MY"/>
              </w:rPr>
            </w:pPr>
          </w:p>
        </w:tc>
        <w:tc>
          <w:tcPr>
            <w:tcW w:w="1417" w:type="dxa"/>
            <w:tcBorders>
              <w:top w:val="single" w:sz="4" w:space="0" w:color="auto"/>
              <w:left w:val="nil"/>
              <w:bottom w:val="nil"/>
              <w:right w:val="nil"/>
            </w:tcBorders>
          </w:tcPr>
          <w:p w14:paraId="65C256A2" w14:textId="77777777" w:rsidR="00AE324A" w:rsidRDefault="00AE324A">
            <w:pPr>
              <w:rPr>
                <w:rFonts w:ascii="Arial" w:eastAsiaTheme="minorHAnsi" w:hAnsi="Arial" w:cs="Arial"/>
                <w:kern w:val="2"/>
                <w:sz w:val="20"/>
                <w:szCs w:val="20"/>
                <w:lang w:val="en-MY"/>
              </w:rPr>
            </w:pPr>
          </w:p>
        </w:tc>
        <w:tc>
          <w:tcPr>
            <w:tcW w:w="1418" w:type="dxa"/>
            <w:tcBorders>
              <w:top w:val="single" w:sz="4" w:space="0" w:color="auto"/>
              <w:left w:val="nil"/>
              <w:bottom w:val="nil"/>
              <w:right w:val="nil"/>
            </w:tcBorders>
          </w:tcPr>
          <w:p w14:paraId="6B82655B" w14:textId="77777777" w:rsidR="00AE324A" w:rsidRDefault="00AE324A">
            <w:pPr>
              <w:rPr>
                <w:rFonts w:ascii="Arial" w:eastAsiaTheme="minorHAnsi" w:hAnsi="Arial" w:cs="Arial"/>
                <w:kern w:val="2"/>
                <w:sz w:val="20"/>
                <w:szCs w:val="20"/>
                <w:lang w:val="en-MY"/>
              </w:rPr>
            </w:pPr>
          </w:p>
        </w:tc>
        <w:tc>
          <w:tcPr>
            <w:tcW w:w="850" w:type="dxa"/>
            <w:tcBorders>
              <w:top w:val="single" w:sz="4" w:space="0" w:color="auto"/>
              <w:left w:val="nil"/>
              <w:bottom w:val="nil"/>
              <w:right w:val="nil"/>
            </w:tcBorders>
          </w:tcPr>
          <w:p w14:paraId="04775277" w14:textId="77777777" w:rsidR="00AE324A" w:rsidRDefault="00AE324A">
            <w:pPr>
              <w:rPr>
                <w:rFonts w:ascii="Arial" w:eastAsiaTheme="minorHAnsi" w:hAnsi="Arial" w:cs="Arial"/>
                <w:kern w:val="2"/>
                <w:sz w:val="20"/>
                <w:szCs w:val="20"/>
                <w:lang w:val="en-MY"/>
              </w:rPr>
            </w:pPr>
          </w:p>
        </w:tc>
        <w:tc>
          <w:tcPr>
            <w:tcW w:w="851" w:type="dxa"/>
            <w:tcBorders>
              <w:top w:val="single" w:sz="4" w:space="0" w:color="auto"/>
              <w:left w:val="nil"/>
              <w:bottom w:val="nil"/>
              <w:right w:val="nil"/>
            </w:tcBorders>
          </w:tcPr>
          <w:p w14:paraId="70A36330" w14:textId="77777777" w:rsidR="00AE324A" w:rsidRDefault="00AE324A">
            <w:pPr>
              <w:rPr>
                <w:rFonts w:ascii="Arial" w:eastAsiaTheme="minorHAnsi" w:hAnsi="Arial" w:cs="Arial"/>
                <w:kern w:val="2"/>
                <w:sz w:val="20"/>
                <w:szCs w:val="20"/>
                <w:lang w:val="en-MY"/>
              </w:rPr>
            </w:pPr>
          </w:p>
        </w:tc>
      </w:tr>
      <w:tr w:rsidR="00AE324A" w14:paraId="24795BF6" w14:textId="77777777">
        <w:tc>
          <w:tcPr>
            <w:tcW w:w="2552" w:type="dxa"/>
            <w:tcBorders>
              <w:top w:val="nil"/>
              <w:bottom w:val="nil"/>
              <w:right w:val="nil"/>
            </w:tcBorders>
          </w:tcPr>
          <w:p w14:paraId="5CAE1E1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Adequate lubrication (Score&gt;10)</w:t>
            </w:r>
          </w:p>
        </w:tc>
        <w:tc>
          <w:tcPr>
            <w:tcW w:w="1418" w:type="dxa"/>
            <w:tcBorders>
              <w:top w:val="nil"/>
              <w:left w:val="nil"/>
              <w:bottom w:val="nil"/>
              <w:right w:val="nil"/>
            </w:tcBorders>
          </w:tcPr>
          <w:p w14:paraId="1EC4ED7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178 (86.8%)</w:t>
            </w:r>
          </w:p>
        </w:tc>
        <w:tc>
          <w:tcPr>
            <w:tcW w:w="1417" w:type="dxa"/>
            <w:tcBorders>
              <w:top w:val="nil"/>
              <w:left w:val="nil"/>
              <w:bottom w:val="nil"/>
              <w:right w:val="nil"/>
            </w:tcBorders>
          </w:tcPr>
          <w:p w14:paraId="03D7906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 (8.6%)</w:t>
            </w:r>
          </w:p>
        </w:tc>
        <w:tc>
          <w:tcPr>
            <w:tcW w:w="1418" w:type="dxa"/>
            <w:tcBorders>
              <w:top w:val="nil"/>
              <w:left w:val="nil"/>
              <w:bottom w:val="nil"/>
              <w:right w:val="nil"/>
            </w:tcBorders>
          </w:tcPr>
          <w:p w14:paraId="7FCC926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34 (28.1%)</w:t>
            </w:r>
          </w:p>
        </w:tc>
        <w:tc>
          <w:tcPr>
            <w:tcW w:w="850" w:type="dxa"/>
            <w:tcBorders>
              <w:top w:val="nil"/>
              <w:left w:val="nil"/>
              <w:bottom w:val="nil"/>
              <w:right w:val="nil"/>
            </w:tcBorders>
          </w:tcPr>
          <w:p w14:paraId="6618FCA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150.79</w:t>
            </w:r>
          </w:p>
        </w:tc>
        <w:tc>
          <w:tcPr>
            <w:tcW w:w="851" w:type="dxa"/>
            <w:tcBorders>
              <w:top w:val="nil"/>
              <w:left w:val="nil"/>
              <w:bottom w:val="nil"/>
              <w:right w:val="nil"/>
            </w:tcBorders>
          </w:tcPr>
          <w:p w14:paraId="67A0F239"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66A97638" w14:textId="77777777">
        <w:tc>
          <w:tcPr>
            <w:tcW w:w="2552" w:type="dxa"/>
            <w:tcBorders>
              <w:top w:val="nil"/>
              <w:bottom w:val="single" w:sz="4" w:space="0" w:color="auto"/>
              <w:right w:val="nil"/>
            </w:tcBorders>
          </w:tcPr>
          <w:p w14:paraId="5EC9AB6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Inadequate lubrication (Score ≤10)</w:t>
            </w:r>
          </w:p>
        </w:tc>
        <w:tc>
          <w:tcPr>
            <w:tcW w:w="1418" w:type="dxa"/>
            <w:tcBorders>
              <w:top w:val="nil"/>
              <w:left w:val="nil"/>
              <w:bottom w:val="single" w:sz="4" w:space="0" w:color="auto"/>
              <w:right w:val="nil"/>
            </w:tcBorders>
          </w:tcPr>
          <w:p w14:paraId="79C09F3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27 (13.2%)</w:t>
            </w:r>
          </w:p>
        </w:tc>
        <w:tc>
          <w:tcPr>
            <w:tcW w:w="1417" w:type="dxa"/>
            <w:tcBorders>
              <w:top w:val="nil"/>
              <w:left w:val="nil"/>
              <w:bottom w:val="single" w:sz="4" w:space="0" w:color="auto"/>
              <w:right w:val="nil"/>
            </w:tcBorders>
          </w:tcPr>
          <w:p w14:paraId="6DA938A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32 (91.4%)</w:t>
            </w:r>
          </w:p>
        </w:tc>
        <w:tc>
          <w:tcPr>
            <w:tcW w:w="1418" w:type="dxa"/>
            <w:tcBorders>
              <w:top w:val="nil"/>
              <w:left w:val="nil"/>
              <w:bottom w:val="single" w:sz="4" w:space="0" w:color="auto"/>
              <w:right w:val="nil"/>
            </w:tcBorders>
          </w:tcPr>
          <w:p w14:paraId="0FEE5A2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87 (71.9%)</w:t>
            </w:r>
          </w:p>
        </w:tc>
        <w:tc>
          <w:tcPr>
            <w:tcW w:w="850" w:type="dxa"/>
            <w:tcBorders>
              <w:top w:val="nil"/>
              <w:left w:val="nil"/>
              <w:bottom w:val="single" w:sz="4" w:space="0" w:color="auto"/>
              <w:right w:val="nil"/>
            </w:tcBorders>
          </w:tcPr>
          <w:p w14:paraId="460424D0"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28051954" w14:textId="77777777" w:rsidR="00AE324A" w:rsidRDefault="00AE324A">
            <w:pPr>
              <w:rPr>
                <w:rFonts w:ascii="Arial" w:eastAsiaTheme="minorHAnsi" w:hAnsi="Arial" w:cs="Arial"/>
                <w:kern w:val="2"/>
                <w:sz w:val="20"/>
                <w:szCs w:val="20"/>
                <w:lang w:val="en-MY"/>
              </w:rPr>
            </w:pPr>
          </w:p>
        </w:tc>
      </w:tr>
      <w:tr w:rsidR="00AE324A" w14:paraId="1C20C068" w14:textId="77777777">
        <w:tc>
          <w:tcPr>
            <w:tcW w:w="2552" w:type="dxa"/>
            <w:tcBorders>
              <w:bottom w:val="nil"/>
              <w:right w:val="nil"/>
            </w:tcBorders>
          </w:tcPr>
          <w:p w14:paraId="0E291FDC"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Orgasmic domain</w:t>
            </w:r>
          </w:p>
        </w:tc>
        <w:tc>
          <w:tcPr>
            <w:tcW w:w="1418" w:type="dxa"/>
            <w:tcBorders>
              <w:left w:val="nil"/>
              <w:bottom w:val="nil"/>
              <w:right w:val="nil"/>
            </w:tcBorders>
          </w:tcPr>
          <w:p w14:paraId="5AB7E268" w14:textId="77777777" w:rsidR="00AE324A" w:rsidRDefault="00AE324A">
            <w:pPr>
              <w:rPr>
                <w:rFonts w:ascii="Arial" w:eastAsiaTheme="minorHAnsi" w:hAnsi="Arial" w:cs="Arial"/>
                <w:kern w:val="2"/>
                <w:sz w:val="20"/>
                <w:szCs w:val="20"/>
                <w:lang w:val="en-MY"/>
              </w:rPr>
            </w:pPr>
          </w:p>
        </w:tc>
        <w:tc>
          <w:tcPr>
            <w:tcW w:w="1417" w:type="dxa"/>
            <w:tcBorders>
              <w:left w:val="nil"/>
              <w:bottom w:val="nil"/>
              <w:right w:val="nil"/>
            </w:tcBorders>
          </w:tcPr>
          <w:p w14:paraId="5B75A56B" w14:textId="77777777" w:rsidR="00AE324A" w:rsidRDefault="00AE324A">
            <w:pPr>
              <w:rPr>
                <w:rFonts w:ascii="Arial" w:eastAsiaTheme="minorHAnsi" w:hAnsi="Arial" w:cs="Arial"/>
                <w:kern w:val="2"/>
                <w:sz w:val="20"/>
                <w:szCs w:val="20"/>
                <w:lang w:val="en-MY"/>
              </w:rPr>
            </w:pPr>
          </w:p>
        </w:tc>
        <w:tc>
          <w:tcPr>
            <w:tcW w:w="1418" w:type="dxa"/>
            <w:tcBorders>
              <w:left w:val="nil"/>
              <w:bottom w:val="nil"/>
              <w:right w:val="nil"/>
            </w:tcBorders>
          </w:tcPr>
          <w:p w14:paraId="4B57DA74" w14:textId="77777777" w:rsidR="00AE324A" w:rsidRDefault="00AE324A">
            <w:pPr>
              <w:rPr>
                <w:rFonts w:ascii="Arial" w:eastAsiaTheme="minorHAnsi" w:hAnsi="Arial" w:cs="Arial"/>
                <w:kern w:val="2"/>
                <w:sz w:val="20"/>
                <w:szCs w:val="20"/>
                <w:lang w:val="en-MY"/>
              </w:rPr>
            </w:pPr>
          </w:p>
        </w:tc>
        <w:tc>
          <w:tcPr>
            <w:tcW w:w="850" w:type="dxa"/>
            <w:tcBorders>
              <w:left w:val="nil"/>
              <w:bottom w:val="nil"/>
              <w:right w:val="nil"/>
            </w:tcBorders>
          </w:tcPr>
          <w:p w14:paraId="04647327" w14:textId="77777777" w:rsidR="00AE324A" w:rsidRDefault="00AE324A">
            <w:pPr>
              <w:rPr>
                <w:rFonts w:ascii="Arial" w:eastAsiaTheme="minorHAnsi" w:hAnsi="Arial" w:cs="Arial"/>
                <w:kern w:val="2"/>
                <w:sz w:val="20"/>
                <w:szCs w:val="20"/>
                <w:lang w:val="en-MY"/>
              </w:rPr>
            </w:pPr>
          </w:p>
        </w:tc>
        <w:tc>
          <w:tcPr>
            <w:tcW w:w="851" w:type="dxa"/>
            <w:tcBorders>
              <w:left w:val="nil"/>
              <w:bottom w:val="nil"/>
              <w:right w:val="nil"/>
            </w:tcBorders>
          </w:tcPr>
          <w:p w14:paraId="1CA25EEF" w14:textId="77777777" w:rsidR="00AE324A" w:rsidRDefault="00AE324A">
            <w:pPr>
              <w:rPr>
                <w:rFonts w:ascii="Arial" w:eastAsiaTheme="minorHAnsi" w:hAnsi="Arial" w:cs="Arial"/>
                <w:kern w:val="2"/>
                <w:sz w:val="20"/>
                <w:szCs w:val="20"/>
                <w:lang w:val="en-MY"/>
              </w:rPr>
            </w:pPr>
          </w:p>
        </w:tc>
      </w:tr>
      <w:tr w:rsidR="00AE324A" w14:paraId="4918A536" w14:textId="77777777">
        <w:tc>
          <w:tcPr>
            <w:tcW w:w="2552" w:type="dxa"/>
            <w:tcBorders>
              <w:top w:val="nil"/>
              <w:bottom w:val="nil"/>
              <w:right w:val="nil"/>
            </w:tcBorders>
          </w:tcPr>
          <w:p w14:paraId="2F82177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With orgasm </w:t>
            </w:r>
          </w:p>
          <w:p w14:paraId="2CCC221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(Score &gt;4)</w:t>
            </w:r>
          </w:p>
        </w:tc>
        <w:tc>
          <w:tcPr>
            <w:tcW w:w="1418" w:type="dxa"/>
            <w:tcBorders>
              <w:top w:val="nil"/>
              <w:left w:val="nil"/>
              <w:bottom w:val="nil"/>
              <w:right w:val="nil"/>
            </w:tcBorders>
          </w:tcPr>
          <w:p w14:paraId="2E4422E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160 (78%)</w:t>
            </w:r>
          </w:p>
        </w:tc>
        <w:tc>
          <w:tcPr>
            <w:tcW w:w="1417" w:type="dxa"/>
            <w:tcBorders>
              <w:top w:val="nil"/>
              <w:left w:val="nil"/>
              <w:bottom w:val="nil"/>
              <w:right w:val="nil"/>
            </w:tcBorders>
          </w:tcPr>
          <w:p w14:paraId="06FC806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 (17.1%)</w:t>
            </w:r>
          </w:p>
        </w:tc>
        <w:tc>
          <w:tcPr>
            <w:tcW w:w="1418" w:type="dxa"/>
            <w:tcBorders>
              <w:top w:val="nil"/>
              <w:left w:val="nil"/>
              <w:bottom w:val="nil"/>
              <w:right w:val="nil"/>
            </w:tcBorders>
          </w:tcPr>
          <w:p w14:paraId="1FD743B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28 (23.1%)</w:t>
            </w:r>
          </w:p>
        </w:tc>
        <w:tc>
          <w:tcPr>
            <w:tcW w:w="850" w:type="dxa"/>
            <w:tcBorders>
              <w:top w:val="nil"/>
              <w:left w:val="nil"/>
              <w:bottom w:val="nil"/>
              <w:right w:val="nil"/>
            </w:tcBorders>
          </w:tcPr>
          <w:p w14:paraId="204CA75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113.16</w:t>
            </w:r>
          </w:p>
        </w:tc>
        <w:tc>
          <w:tcPr>
            <w:tcW w:w="851" w:type="dxa"/>
            <w:tcBorders>
              <w:top w:val="nil"/>
              <w:left w:val="nil"/>
              <w:bottom w:val="nil"/>
              <w:right w:val="nil"/>
            </w:tcBorders>
          </w:tcPr>
          <w:p w14:paraId="37BC2D0A"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17FF3862" w14:textId="77777777">
        <w:tc>
          <w:tcPr>
            <w:tcW w:w="2552" w:type="dxa"/>
            <w:tcBorders>
              <w:top w:val="nil"/>
              <w:bottom w:val="single" w:sz="4" w:space="0" w:color="auto"/>
              <w:right w:val="nil"/>
            </w:tcBorders>
          </w:tcPr>
          <w:p w14:paraId="5186D48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Without orgasm </w:t>
            </w:r>
          </w:p>
          <w:p w14:paraId="3C93CC3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(Score ≤4)</w:t>
            </w:r>
          </w:p>
        </w:tc>
        <w:tc>
          <w:tcPr>
            <w:tcW w:w="1418" w:type="dxa"/>
            <w:tcBorders>
              <w:top w:val="nil"/>
              <w:left w:val="nil"/>
              <w:bottom w:val="single" w:sz="4" w:space="0" w:color="auto"/>
              <w:right w:val="nil"/>
            </w:tcBorders>
          </w:tcPr>
          <w:p w14:paraId="0D0ECC1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45 (22%)</w:t>
            </w:r>
          </w:p>
        </w:tc>
        <w:tc>
          <w:tcPr>
            <w:tcW w:w="1417" w:type="dxa"/>
            <w:tcBorders>
              <w:top w:val="nil"/>
              <w:left w:val="nil"/>
              <w:bottom w:val="single" w:sz="4" w:space="0" w:color="auto"/>
              <w:right w:val="nil"/>
            </w:tcBorders>
          </w:tcPr>
          <w:p w14:paraId="0BB7CA2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29 (82.9%)</w:t>
            </w:r>
          </w:p>
        </w:tc>
        <w:tc>
          <w:tcPr>
            <w:tcW w:w="1418" w:type="dxa"/>
            <w:tcBorders>
              <w:top w:val="nil"/>
              <w:left w:val="nil"/>
              <w:bottom w:val="single" w:sz="4" w:space="0" w:color="auto"/>
              <w:right w:val="nil"/>
            </w:tcBorders>
          </w:tcPr>
          <w:p w14:paraId="24D3C89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93 (76.9%)</w:t>
            </w:r>
          </w:p>
        </w:tc>
        <w:tc>
          <w:tcPr>
            <w:tcW w:w="850" w:type="dxa"/>
            <w:tcBorders>
              <w:top w:val="nil"/>
              <w:left w:val="nil"/>
              <w:bottom w:val="single" w:sz="4" w:space="0" w:color="auto"/>
              <w:right w:val="nil"/>
            </w:tcBorders>
          </w:tcPr>
          <w:p w14:paraId="6BC2EAB9"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2FB398F2" w14:textId="77777777" w:rsidR="00AE324A" w:rsidRDefault="00AE324A">
            <w:pPr>
              <w:rPr>
                <w:rFonts w:ascii="Arial" w:eastAsiaTheme="minorHAnsi" w:hAnsi="Arial" w:cs="Arial"/>
                <w:kern w:val="2"/>
                <w:sz w:val="20"/>
                <w:szCs w:val="20"/>
                <w:lang w:val="en-MY"/>
              </w:rPr>
            </w:pPr>
          </w:p>
        </w:tc>
      </w:tr>
      <w:tr w:rsidR="00AE324A" w14:paraId="65214524" w14:textId="77777777">
        <w:tc>
          <w:tcPr>
            <w:tcW w:w="2552" w:type="dxa"/>
            <w:tcBorders>
              <w:bottom w:val="nil"/>
              <w:right w:val="nil"/>
            </w:tcBorders>
          </w:tcPr>
          <w:p w14:paraId="3522D17B"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 xml:space="preserve">Sexual satisfaction </w:t>
            </w:r>
            <w:r>
              <w:rPr>
                <w:rFonts w:ascii="Arial" w:eastAsiaTheme="minorHAnsi" w:hAnsi="Arial" w:cs="Arial"/>
                <w:b/>
                <w:bCs/>
                <w:kern w:val="2"/>
                <w:sz w:val="20"/>
                <w:szCs w:val="20"/>
                <w:lang w:val="en-MY"/>
              </w:rPr>
              <w:t>domain</w:t>
            </w:r>
          </w:p>
        </w:tc>
        <w:tc>
          <w:tcPr>
            <w:tcW w:w="1418" w:type="dxa"/>
            <w:tcBorders>
              <w:left w:val="nil"/>
              <w:bottom w:val="nil"/>
              <w:right w:val="nil"/>
            </w:tcBorders>
          </w:tcPr>
          <w:p w14:paraId="13CB3946" w14:textId="77777777" w:rsidR="00AE324A" w:rsidRDefault="00AE324A">
            <w:pPr>
              <w:rPr>
                <w:rFonts w:ascii="Arial" w:eastAsiaTheme="minorHAnsi" w:hAnsi="Arial" w:cs="Arial"/>
                <w:kern w:val="2"/>
                <w:sz w:val="20"/>
                <w:szCs w:val="20"/>
                <w:lang w:val="en-MY"/>
              </w:rPr>
            </w:pPr>
          </w:p>
        </w:tc>
        <w:tc>
          <w:tcPr>
            <w:tcW w:w="1417" w:type="dxa"/>
            <w:tcBorders>
              <w:left w:val="nil"/>
              <w:bottom w:val="nil"/>
              <w:right w:val="nil"/>
            </w:tcBorders>
          </w:tcPr>
          <w:p w14:paraId="7660E0E2" w14:textId="77777777" w:rsidR="00AE324A" w:rsidRDefault="00AE324A">
            <w:pPr>
              <w:rPr>
                <w:rFonts w:ascii="Arial" w:eastAsiaTheme="minorHAnsi" w:hAnsi="Arial" w:cs="Arial"/>
                <w:kern w:val="2"/>
                <w:sz w:val="20"/>
                <w:szCs w:val="20"/>
                <w:lang w:val="en-MY"/>
              </w:rPr>
            </w:pPr>
          </w:p>
        </w:tc>
        <w:tc>
          <w:tcPr>
            <w:tcW w:w="1418" w:type="dxa"/>
            <w:tcBorders>
              <w:left w:val="nil"/>
              <w:bottom w:val="nil"/>
              <w:right w:val="nil"/>
            </w:tcBorders>
          </w:tcPr>
          <w:p w14:paraId="7DA02F9D" w14:textId="77777777" w:rsidR="00AE324A" w:rsidRDefault="00AE324A">
            <w:pPr>
              <w:rPr>
                <w:rFonts w:ascii="Arial" w:eastAsiaTheme="minorHAnsi" w:hAnsi="Arial" w:cs="Arial"/>
                <w:kern w:val="2"/>
                <w:sz w:val="20"/>
                <w:szCs w:val="20"/>
                <w:lang w:val="en-MY"/>
              </w:rPr>
            </w:pPr>
          </w:p>
        </w:tc>
        <w:tc>
          <w:tcPr>
            <w:tcW w:w="850" w:type="dxa"/>
            <w:tcBorders>
              <w:left w:val="nil"/>
              <w:bottom w:val="nil"/>
              <w:right w:val="nil"/>
            </w:tcBorders>
          </w:tcPr>
          <w:p w14:paraId="054FA16F" w14:textId="77777777" w:rsidR="00AE324A" w:rsidRDefault="00AE324A">
            <w:pPr>
              <w:rPr>
                <w:rFonts w:ascii="Arial" w:eastAsiaTheme="minorHAnsi" w:hAnsi="Arial" w:cs="Arial"/>
                <w:kern w:val="2"/>
                <w:sz w:val="20"/>
                <w:szCs w:val="20"/>
                <w:lang w:val="en-MY"/>
              </w:rPr>
            </w:pPr>
          </w:p>
        </w:tc>
        <w:tc>
          <w:tcPr>
            <w:tcW w:w="851" w:type="dxa"/>
            <w:tcBorders>
              <w:left w:val="nil"/>
              <w:bottom w:val="nil"/>
              <w:right w:val="nil"/>
            </w:tcBorders>
          </w:tcPr>
          <w:p w14:paraId="5AF0DB7E" w14:textId="77777777" w:rsidR="00AE324A" w:rsidRDefault="00AE324A">
            <w:pPr>
              <w:rPr>
                <w:rFonts w:ascii="Arial" w:eastAsiaTheme="minorHAnsi" w:hAnsi="Arial" w:cs="Arial"/>
                <w:kern w:val="2"/>
                <w:sz w:val="20"/>
                <w:szCs w:val="20"/>
                <w:lang w:val="en-MY"/>
              </w:rPr>
            </w:pPr>
          </w:p>
        </w:tc>
      </w:tr>
      <w:tr w:rsidR="00AE324A" w14:paraId="2006A1EC" w14:textId="77777777">
        <w:tc>
          <w:tcPr>
            <w:tcW w:w="2552" w:type="dxa"/>
            <w:tcBorders>
              <w:top w:val="nil"/>
              <w:bottom w:val="nil"/>
              <w:right w:val="nil"/>
            </w:tcBorders>
          </w:tcPr>
          <w:p w14:paraId="4866642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With satisfaction </w:t>
            </w:r>
          </w:p>
          <w:p w14:paraId="1B1CD92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(Score &gt;11) </w:t>
            </w:r>
          </w:p>
        </w:tc>
        <w:tc>
          <w:tcPr>
            <w:tcW w:w="1418" w:type="dxa"/>
            <w:tcBorders>
              <w:top w:val="nil"/>
              <w:left w:val="nil"/>
              <w:bottom w:val="nil"/>
              <w:right w:val="nil"/>
            </w:tcBorders>
          </w:tcPr>
          <w:p w14:paraId="3CC279D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156 (76.1%)</w:t>
            </w:r>
          </w:p>
        </w:tc>
        <w:tc>
          <w:tcPr>
            <w:tcW w:w="1417" w:type="dxa"/>
            <w:tcBorders>
              <w:top w:val="nil"/>
              <w:left w:val="nil"/>
              <w:bottom w:val="nil"/>
              <w:right w:val="nil"/>
            </w:tcBorders>
          </w:tcPr>
          <w:p w14:paraId="0BC9F9F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 (25.7%)</w:t>
            </w:r>
          </w:p>
        </w:tc>
        <w:tc>
          <w:tcPr>
            <w:tcW w:w="1418" w:type="dxa"/>
            <w:tcBorders>
              <w:top w:val="nil"/>
              <w:left w:val="nil"/>
              <w:bottom w:val="nil"/>
              <w:right w:val="nil"/>
            </w:tcBorders>
          </w:tcPr>
          <w:p w14:paraId="5E86402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28 (23.1%)</w:t>
            </w:r>
          </w:p>
        </w:tc>
        <w:tc>
          <w:tcPr>
            <w:tcW w:w="850" w:type="dxa"/>
            <w:tcBorders>
              <w:top w:val="nil"/>
              <w:left w:val="nil"/>
              <w:bottom w:val="nil"/>
              <w:right w:val="nil"/>
            </w:tcBorders>
          </w:tcPr>
          <w:p w14:paraId="5F59164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97.76</w:t>
            </w:r>
          </w:p>
        </w:tc>
        <w:tc>
          <w:tcPr>
            <w:tcW w:w="851" w:type="dxa"/>
            <w:tcBorders>
              <w:top w:val="nil"/>
              <w:left w:val="nil"/>
              <w:bottom w:val="nil"/>
              <w:right w:val="nil"/>
            </w:tcBorders>
          </w:tcPr>
          <w:p w14:paraId="77B96FE5" w14:textId="77777777" w:rsidR="00AE324A" w:rsidRDefault="004A746B">
            <w:pPr>
              <w:rPr>
                <w:rFonts w:ascii="Arial" w:eastAsiaTheme="minorHAnsi" w:hAnsi="Arial" w:cs="Arial"/>
                <w:kern w:val="2"/>
                <w:sz w:val="20"/>
                <w:szCs w:val="20"/>
                <w:lang w:val="en-MY"/>
              </w:rPr>
            </w:pPr>
            <w:r>
              <w:rPr>
                <w:rFonts w:ascii="Arial" w:eastAsiaTheme="minorHAnsi" w:hAnsi="Arial" w:cs="Arial"/>
                <w:b/>
                <w:bCs/>
                <w:kern w:val="2"/>
                <w:sz w:val="20"/>
                <w:szCs w:val="20"/>
                <w:lang w:val="en-MY"/>
              </w:rPr>
              <w:t>&lt;0.001</w:t>
            </w:r>
          </w:p>
        </w:tc>
      </w:tr>
      <w:tr w:rsidR="00AE324A" w14:paraId="2FDB0AB0" w14:textId="77777777">
        <w:tc>
          <w:tcPr>
            <w:tcW w:w="2552" w:type="dxa"/>
            <w:tcBorders>
              <w:top w:val="nil"/>
              <w:bottom w:val="single" w:sz="4" w:space="0" w:color="auto"/>
              <w:right w:val="nil"/>
            </w:tcBorders>
          </w:tcPr>
          <w:p w14:paraId="397EACC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Without satisfaction (Score ≤ 11)</w:t>
            </w:r>
          </w:p>
        </w:tc>
        <w:tc>
          <w:tcPr>
            <w:tcW w:w="1418" w:type="dxa"/>
            <w:tcBorders>
              <w:top w:val="nil"/>
              <w:left w:val="nil"/>
              <w:bottom w:val="single" w:sz="4" w:space="0" w:color="auto"/>
              <w:right w:val="nil"/>
            </w:tcBorders>
          </w:tcPr>
          <w:p w14:paraId="4BB74A8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49 (23.9%)</w:t>
            </w:r>
          </w:p>
        </w:tc>
        <w:tc>
          <w:tcPr>
            <w:tcW w:w="1417" w:type="dxa"/>
            <w:tcBorders>
              <w:top w:val="nil"/>
              <w:left w:val="nil"/>
              <w:bottom w:val="single" w:sz="4" w:space="0" w:color="auto"/>
              <w:right w:val="nil"/>
            </w:tcBorders>
          </w:tcPr>
          <w:p w14:paraId="51B2D6A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26 (74.3%)</w:t>
            </w:r>
          </w:p>
        </w:tc>
        <w:tc>
          <w:tcPr>
            <w:tcW w:w="1418" w:type="dxa"/>
            <w:tcBorders>
              <w:top w:val="nil"/>
              <w:left w:val="nil"/>
              <w:bottom w:val="single" w:sz="4" w:space="0" w:color="auto"/>
              <w:right w:val="nil"/>
            </w:tcBorders>
          </w:tcPr>
          <w:p w14:paraId="54E2056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93 (76.9%)</w:t>
            </w:r>
          </w:p>
        </w:tc>
        <w:tc>
          <w:tcPr>
            <w:tcW w:w="850" w:type="dxa"/>
            <w:tcBorders>
              <w:top w:val="nil"/>
              <w:left w:val="nil"/>
              <w:bottom w:val="single" w:sz="4" w:space="0" w:color="auto"/>
              <w:right w:val="nil"/>
            </w:tcBorders>
          </w:tcPr>
          <w:p w14:paraId="7DF56155"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49A3E6D3" w14:textId="77777777" w:rsidR="00AE324A" w:rsidRDefault="00AE324A">
            <w:pPr>
              <w:rPr>
                <w:rFonts w:ascii="Arial" w:eastAsiaTheme="minorHAnsi" w:hAnsi="Arial" w:cs="Arial"/>
                <w:kern w:val="2"/>
                <w:sz w:val="20"/>
                <w:szCs w:val="20"/>
                <w:lang w:val="en-MY"/>
              </w:rPr>
            </w:pPr>
          </w:p>
        </w:tc>
      </w:tr>
      <w:tr w:rsidR="00AE324A" w14:paraId="27BBB782" w14:textId="77777777">
        <w:tc>
          <w:tcPr>
            <w:tcW w:w="2552" w:type="dxa"/>
            <w:tcBorders>
              <w:bottom w:val="nil"/>
              <w:right w:val="nil"/>
            </w:tcBorders>
          </w:tcPr>
          <w:p w14:paraId="0135DA35"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Sexual pain domain</w:t>
            </w:r>
          </w:p>
        </w:tc>
        <w:tc>
          <w:tcPr>
            <w:tcW w:w="1418" w:type="dxa"/>
            <w:tcBorders>
              <w:left w:val="nil"/>
              <w:bottom w:val="nil"/>
              <w:right w:val="nil"/>
            </w:tcBorders>
          </w:tcPr>
          <w:p w14:paraId="0A00D5AF" w14:textId="77777777" w:rsidR="00AE324A" w:rsidRDefault="00AE324A">
            <w:pPr>
              <w:rPr>
                <w:rFonts w:ascii="Arial" w:eastAsiaTheme="minorHAnsi" w:hAnsi="Arial" w:cs="Arial"/>
                <w:kern w:val="2"/>
                <w:sz w:val="20"/>
                <w:szCs w:val="20"/>
                <w:lang w:val="en-MY"/>
              </w:rPr>
            </w:pPr>
          </w:p>
        </w:tc>
        <w:tc>
          <w:tcPr>
            <w:tcW w:w="1417" w:type="dxa"/>
            <w:tcBorders>
              <w:left w:val="nil"/>
              <w:bottom w:val="nil"/>
              <w:right w:val="nil"/>
            </w:tcBorders>
          </w:tcPr>
          <w:p w14:paraId="5D12576A" w14:textId="77777777" w:rsidR="00AE324A" w:rsidRDefault="00AE324A">
            <w:pPr>
              <w:rPr>
                <w:rFonts w:ascii="Arial" w:eastAsiaTheme="minorHAnsi" w:hAnsi="Arial" w:cs="Arial"/>
                <w:kern w:val="2"/>
                <w:sz w:val="20"/>
                <w:szCs w:val="20"/>
                <w:lang w:val="en-MY"/>
              </w:rPr>
            </w:pPr>
          </w:p>
        </w:tc>
        <w:tc>
          <w:tcPr>
            <w:tcW w:w="1418" w:type="dxa"/>
            <w:tcBorders>
              <w:left w:val="nil"/>
              <w:bottom w:val="nil"/>
              <w:right w:val="nil"/>
            </w:tcBorders>
          </w:tcPr>
          <w:p w14:paraId="23B075BB" w14:textId="77777777" w:rsidR="00AE324A" w:rsidRDefault="00AE324A">
            <w:pPr>
              <w:rPr>
                <w:rFonts w:ascii="Arial" w:eastAsiaTheme="minorHAnsi" w:hAnsi="Arial" w:cs="Arial"/>
                <w:kern w:val="2"/>
                <w:sz w:val="20"/>
                <w:szCs w:val="20"/>
                <w:lang w:val="en-MY"/>
              </w:rPr>
            </w:pPr>
          </w:p>
        </w:tc>
        <w:tc>
          <w:tcPr>
            <w:tcW w:w="850" w:type="dxa"/>
            <w:tcBorders>
              <w:left w:val="nil"/>
              <w:bottom w:val="nil"/>
              <w:right w:val="nil"/>
            </w:tcBorders>
          </w:tcPr>
          <w:p w14:paraId="43A15E9A" w14:textId="77777777" w:rsidR="00AE324A" w:rsidRDefault="00AE324A">
            <w:pPr>
              <w:rPr>
                <w:rFonts w:ascii="Arial" w:eastAsiaTheme="minorHAnsi" w:hAnsi="Arial" w:cs="Arial"/>
                <w:kern w:val="2"/>
                <w:sz w:val="20"/>
                <w:szCs w:val="20"/>
                <w:lang w:val="en-MY"/>
              </w:rPr>
            </w:pPr>
          </w:p>
        </w:tc>
        <w:tc>
          <w:tcPr>
            <w:tcW w:w="851" w:type="dxa"/>
            <w:tcBorders>
              <w:left w:val="nil"/>
              <w:bottom w:val="nil"/>
              <w:right w:val="nil"/>
            </w:tcBorders>
          </w:tcPr>
          <w:p w14:paraId="20B7015B" w14:textId="77777777" w:rsidR="00AE324A" w:rsidRDefault="00AE324A">
            <w:pPr>
              <w:rPr>
                <w:rFonts w:ascii="Arial" w:eastAsiaTheme="minorHAnsi" w:hAnsi="Arial" w:cs="Arial"/>
                <w:kern w:val="2"/>
                <w:sz w:val="20"/>
                <w:szCs w:val="20"/>
                <w:lang w:val="en-MY"/>
              </w:rPr>
            </w:pPr>
          </w:p>
        </w:tc>
      </w:tr>
      <w:tr w:rsidR="00AE324A" w14:paraId="5AE1512A" w14:textId="77777777">
        <w:tc>
          <w:tcPr>
            <w:tcW w:w="2552" w:type="dxa"/>
            <w:tcBorders>
              <w:top w:val="nil"/>
              <w:bottom w:val="nil"/>
              <w:right w:val="nil"/>
            </w:tcBorders>
          </w:tcPr>
          <w:p w14:paraId="677BB99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No pain </w:t>
            </w:r>
          </w:p>
          <w:p w14:paraId="108B94A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(Score &gt;7) </w:t>
            </w:r>
          </w:p>
        </w:tc>
        <w:tc>
          <w:tcPr>
            <w:tcW w:w="1418" w:type="dxa"/>
            <w:tcBorders>
              <w:top w:val="nil"/>
              <w:left w:val="nil"/>
              <w:bottom w:val="nil"/>
              <w:right w:val="nil"/>
            </w:tcBorders>
          </w:tcPr>
          <w:p w14:paraId="55D2600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189 (92.2%)</w:t>
            </w:r>
          </w:p>
        </w:tc>
        <w:tc>
          <w:tcPr>
            <w:tcW w:w="1417" w:type="dxa"/>
            <w:tcBorders>
              <w:top w:val="nil"/>
              <w:left w:val="nil"/>
              <w:bottom w:val="nil"/>
              <w:right w:val="nil"/>
            </w:tcBorders>
          </w:tcPr>
          <w:p w14:paraId="02BA971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24 (68.6%)</w:t>
            </w:r>
          </w:p>
        </w:tc>
        <w:tc>
          <w:tcPr>
            <w:tcW w:w="1418" w:type="dxa"/>
            <w:tcBorders>
              <w:top w:val="nil"/>
              <w:left w:val="nil"/>
              <w:bottom w:val="nil"/>
              <w:right w:val="nil"/>
            </w:tcBorders>
          </w:tcPr>
          <w:p w14:paraId="4B43A0E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95 (78.5%)</w:t>
            </w:r>
          </w:p>
        </w:tc>
        <w:tc>
          <w:tcPr>
            <w:tcW w:w="850" w:type="dxa"/>
            <w:tcBorders>
              <w:top w:val="nil"/>
              <w:left w:val="nil"/>
              <w:bottom w:val="nil"/>
              <w:right w:val="nil"/>
            </w:tcBorders>
          </w:tcPr>
          <w:p w14:paraId="7C7FA8C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20.05</w:t>
            </w:r>
          </w:p>
        </w:tc>
        <w:tc>
          <w:tcPr>
            <w:tcW w:w="851" w:type="dxa"/>
            <w:tcBorders>
              <w:top w:val="nil"/>
              <w:left w:val="nil"/>
              <w:bottom w:val="nil"/>
              <w:right w:val="nil"/>
            </w:tcBorders>
          </w:tcPr>
          <w:p w14:paraId="487C1292" w14:textId="77777777" w:rsidR="00AE324A" w:rsidRDefault="004A746B">
            <w:pPr>
              <w:rPr>
                <w:rFonts w:ascii="Arial" w:eastAsiaTheme="minorHAnsi" w:hAnsi="Arial" w:cs="Arial"/>
                <w:kern w:val="2"/>
                <w:sz w:val="20"/>
                <w:szCs w:val="20"/>
                <w:lang w:val="en-MY"/>
              </w:rPr>
            </w:pPr>
            <w:r>
              <w:rPr>
                <w:rFonts w:ascii="Arial" w:eastAsiaTheme="minorHAnsi" w:hAnsi="Arial" w:cs="Arial"/>
                <w:b/>
                <w:bCs/>
                <w:kern w:val="2"/>
                <w:sz w:val="20"/>
                <w:szCs w:val="20"/>
                <w:lang w:val="en-MY"/>
              </w:rPr>
              <w:t>&lt;0.001</w:t>
            </w:r>
          </w:p>
        </w:tc>
      </w:tr>
      <w:tr w:rsidR="00AE324A" w14:paraId="749124C6" w14:textId="77777777">
        <w:tc>
          <w:tcPr>
            <w:tcW w:w="2552" w:type="dxa"/>
            <w:tcBorders>
              <w:top w:val="nil"/>
              <w:right w:val="nil"/>
            </w:tcBorders>
          </w:tcPr>
          <w:p w14:paraId="10F3A83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With sexual pain </w:t>
            </w:r>
          </w:p>
          <w:p w14:paraId="6E88949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(Score ≤ 7)</w:t>
            </w:r>
          </w:p>
        </w:tc>
        <w:tc>
          <w:tcPr>
            <w:tcW w:w="1418" w:type="dxa"/>
            <w:tcBorders>
              <w:top w:val="nil"/>
              <w:left w:val="nil"/>
              <w:right w:val="nil"/>
            </w:tcBorders>
          </w:tcPr>
          <w:p w14:paraId="08B9BD4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16 (7.8%)</w:t>
            </w:r>
          </w:p>
        </w:tc>
        <w:tc>
          <w:tcPr>
            <w:tcW w:w="1417" w:type="dxa"/>
            <w:tcBorders>
              <w:top w:val="nil"/>
              <w:left w:val="nil"/>
              <w:right w:val="nil"/>
            </w:tcBorders>
          </w:tcPr>
          <w:p w14:paraId="589E09E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11 (31.4%)</w:t>
            </w:r>
          </w:p>
        </w:tc>
        <w:tc>
          <w:tcPr>
            <w:tcW w:w="1418" w:type="dxa"/>
            <w:tcBorders>
              <w:top w:val="nil"/>
              <w:left w:val="nil"/>
              <w:right w:val="nil"/>
            </w:tcBorders>
          </w:tcPr>
          <w:p w14:paraId="41EED1F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26 (21.5%)</w:t>
            </w:r>
          </w:p>
        </w:tc>
        <w:tc>
          <w:tcPr>
            <w:tcW w:w="850" w:type="dxa"/>
            <w:tcBorders>
              <w:top w:val="nil"/>
              <w:left w:val="nil"/>
              <w:right w:val="nil"/>
            </w:tcBorders>
          </w:tcPr>
          <w:p w14:paraId="01F9AB8E" w14:textId="77777777" w:rsidR="00AE324A" w:rsidRDefault="00AE324A">
            <w:pPr>
              <w:rPr>
                <w:rFonts w:ascii="Arial" w:eastAsiaTheme="minorHAnsi" w:hAnsi="Arial" w:cs="Arial"/>
                <w:kern w:val="2"/>
                <w:sz w:val="20"/>
                <w:szCs w:val="20"/>
                <w:highlight w:val="yellow"/>
                <w:lang w:val="en-MY"/>
              </w:rPr>
            </w:pPr>
          </w:p>
        </w:tc>
        <w:tc>
          <w:tcPr>
            <w:tcW w:w="851" w:type="dxa"/>
            <w:tcBorders>
              <w:top w:val="nil"/>
              <w:left w:val="nil"/>
              <w:right w:val="nil"/>
            </w:tcBorders>
          </w:tcPr>
          <w:p w14:paraId="62370A40" w14:textId="77777777" w:rsidR="00AE324A" w:rsidRDefault="00AE324A">
            <w:pPr>
              <w:rPr>
                <w:rFonts w:ascii="Arial" w:eastAsiaTheme="minorHAnsi" w:hAnsi="Arial" w:cs="Arial"/>
                <w:kern w:val="2"/>
                <w:sz w:val="20"/>
                <w:szCs w:val="20"/>
                <w:lang w:val="en-MY"/>
              </w:rPr>
            </w:pPr>
          </w:p>
        </w:tc>
      </w:tr>
    </w:tbl>
    <w:p w14:paraId="7F3CA382" w14:textId="77777777" w:rsidR="00AE324A" w:rsidRDefault="00AE324A">
      <w:pPr>
        <w:spacing w:after="160" w:line="259" w:lineRule="auto"/>
        <w:rPr>
          <w:rFonts w:ascii="Arial" w:eastAsiaTheme="minorHAnsi" w:hAnsi="Arial" w:cs="Arial"/>
          <w:kern w:val="2"/>
          <w:lang w:val="en-MY"/>
        </w:rPr>
      </w:pPr>
    </w:p>
    <w:p w14:paraId="54599B80" w14:textId="77777777" w:rsidR="00AE324A" w:rsidRDefault="004A746B">
      <w:pPr>
        <w:spacing w:after="160" w:line="259" w:lineRule="auto"/>
        <w:rPr>
          <w:rFonts w:ascii="Arial" w:eastAsiaTheme="minorHAnsi" w:hAnsi="Arial" w:cs="Arial"/>
          <w:b/>
          <w:bCs/>
          <w:kern w:val="2"/>
          <w:sz w:val="22"/>
          <w:szCs w:val="22"/>
          <w:lang w:val="en-MY"/>
        </w:rPr>
      </w:pPr>
      <w:r>
        <w:rPr>
          <w:rFonts w:ascii="Arial" w:eastAsiaTheme="minorHAnsi" w:hAnsi="Arial" w:cs="Arial"/>
          <w:b/>
          <w:bCs/>
          <w:kern w:val="2"/>
          <w:sz w:val="22"/>
          <w:szCs w:val="22"/>
          <w:lang w:val="en-MY"/>
        </w:rPr>
        <w:t>3.2 DISCUSSIONS</w:t>
      </w:r>
    </w:p>
    <w:p w14:paraId="0CAF5F49" w14:textId="77777777" w:rsidR="00AE324A" w:rsidRDefault="004A746B">
      <w:pPr>
        <w:spacing w:line="480" w:lineRule="auto"/>
        <w:jc w:val="both"/>
        <w:rPr>
          <w:rFonts w:ascii="Arial" w:hAnsi="Arial" w:cs="Arial"/>
        </w:rPr>
      </w:pPr>
      <w:r>
        <w:rPr>
          <w:rFonts w:ascii="Arial" w:hAnsi="Arial" w:cs="Arial"/>
        </w:rPr>
        <w:t xml:space="preserve">Sexual activity plays a crucial role in enhancing overall well-being, supporting emotional health, and personal fulfilment, and has been shown to be significantly correlated </w:t>
      </w:r>
      <w:r>
        <w:rPr>
          <w:rFonts w:ascii="Arial" w:hAnsi="Arial" w:cs="Arial"/>
        </w:rPr>
        <w:t>with a better quality of life, especially in the perimenopausal and menopausal phases.</w:t>
      </w:r>
      <w:r>
        <w:rPr>
          <w:rFonts w:ascii="Arial" w:hAnsi="Arial" w:cs="Arial"/>
        </w:rPr>
        <w:fldChar w:fldCharType="begin"/>
      </w:r>
      <w:r>
        <w:rPr>
          <w:rFonts w:ascii="Arial" w:hAnsi="Arial" w:cs="Arial"/>
        </w:rPr>
        <w:instrText xml:space="preserve"> ADDIN ZOTERO_ITEM CSL_CITATION {"citationID":"mB7sxvLj","properties":{"formattedCitation":"(8,14)","plainCitation":"(8,14)","noteIndex":0},"citationItems":[{"id":2278,"u</w:instrText>
      </w:r>
      <w:r>
        <w:rPr>
          <w:rFonts w:ascii="Arial" w:hAnsi="Arial" w:cs="Arial"/>
        </w:rPr>
        <w:instrText>ris":["http://zotero.org/users/4073496/items/NJM2C8R6"],"itemData":{"id":2278,"type":"article-journal","abstract":"INTRODUCTION: Female sexual dysfunction (FSD) is a prevalent sexual health problem that does not spare the women in Malaysia, a nation with a</w:instrText>
      </w:r>
      <w:r>
        <w:rPr>
          <w:rFonts w:ascii="Arial" w:hAnsi="Arial" w:cs="Arial"/>
        </w:rPr>
        <w:instrText xml:space="preserve"> conservative multiethnic society.\nAIM: To investigate the prevalence of FSD and the potential risk factors that may impair sexual function among women at a primary care setting in Malaysia.\nMAIN OUTCOME MEASURE: The prevalence, the risk factors, and the</w:instrText>
      </w:r>
      <w:r>
        <w:rPr>
          <w:rFonts w:ascii="Arial" w:hAnsi="Arial" w:cs="Arial"/>
        </w:rPr>
        <w:instrText xml:space="preserve"> main predictors for FSD were measured among these women.\nMETHODS: A validated Malay version of the Female Sexual Function Index was used to assess FSD. A total of 230 married women aged 18-70 years participated in this study. The sociodemographic and mar</w:instrText>
      </w:r>
      <w:r>
        <w:rPr>
          <w:rFonts w:ascii="Arial" w:hAnsi="Arial" w:cs="Arial"/>
        </w:rPr>
        <w:instrText>ital profiles of women who had FSD and those who did not were compared; the risk factors for FSD were determined.\nRESULTS: The majority of the respondents were younger than 50 years old, predominantly Malays, and had a higher academic achievement. The pre</w:instrText>
      </w:r>
      <w:r>
        <w:rPr>
          <w:rFonts w:ascii="Arial" w:hAnsi="Arial" w:cs="Arial"/>
        </w:rPr>
        <w:instrText>valence of FSD in the primary care population was 29.6%. The prevalence of women with lack of orgasms, low sexual arousal, lack of lubrication, sexual dissatisfaction, and sexual pain were 59.1%, 60.9%, 50.4%, 52.2%, and 67.8%, respectively.\nCONCLUSION: T</w:instrText>
      </w:r>
      <w:r>
        <w:rPr>
          <w:rFonts w:ascii="Arial" w:hAnsi="Arial" w:cs="Arial"/>
        </w:rPr>
        <w:instrText>he risk factors for FSD are older age, Malays, married longer (more than 14 years), having less sexual intercourse (less than 1-2 times a week), having more children, married to an older husband (aged &gt;42 years), and having a higher academic status. Lack o</w:instrText>
      </w:r>
      <w:r>
        <w:rPr>
          <w:rFonts w:ascii="Arial" w:hAnsi="Arial" w:cs="Arial"/>
        </w:rPr>
        <w:instrText>f lubrication is found to be the main predictor for FSD in this study. Is lack of lubrication a cause or a complication of FSD? Prospective research is needed in the near future.","container-title":"The Journal of Sexual Medicine","DOI":"10.1111/j.1743-610</w:instrText>
      </w:r>
      <w:r>
        <w:rPr>
          <w:rFonts w:ascii="Arial" w:hAnsi="Arial" w:cs="Arial"/>
        </w:rPr>
        <w:instrText>9.2006.00319.x","ISSN":"1743-6095","issue":"2","journalAbbreviation":"J Sex Med","language":"eng","note":"PMID: 17040486","page":"311-321","source":"PubMed","title":"The prevalence of sexual dysfunction and potential risk factors that may impair sexual fun</w:instrText>
      </w:r>
      <w:r>
        <w:rPr>
          <w:rFonts w:ascii="Arial" w:hAnsi="Arial" w:cs="Arial"/>
        </w:rPr>
        <w:instrText>ction in Malaysian women","volume":"4","author":[{"family":"Sidi","given":"Hatta"},{"family":"Puteh","given":"Sharifah Ezat Wan"},{"family":"Abdullah","given":"Norni"},{"family":"Midin","given":"Marhani"}],"issued":{"date-parts":[["2007",3]]}},"label":"pag</w:instrText>
      </w:r>
      <w:r>
        <w:rPr>
          <w:rFonts w:ascii="Arial" w:hAnsi="Arial" w:cs="Arial"/>
        </w:rPr>
        <w:instrText>e"},{"id":2335,"uris":["http://zotero.org/users/4073496/items/FBAT7XFP"],"itemData":{"id":2335,"type":"article-journal","abstract":"This study aims to evaluate the relationship between the sexual functions and quality of life and the problems during menopa</w:instrText>
      </w:r>
      <w:r>
        <w:rPr>
          <w:rFonts w:ascii="Arial" w:hAnsi="Arial" w:cs="Arial"/>
        </w:rPr>
        <w:instrText>usal period. This descriptive, cross-sectional study included a total of 317 women. The mean total Female Sexual Function Index score was 18.8 ± 8.7, while the mean total Sexual Quality of Life Questionnaire-Female score was 72.7 ± 13.7. Sexual dysfunction</w:instrText>
      </w:r>
      <w:r>
        <w:rPr>
          <w:rFonts w:ascii="Arial" w:hAnsi="Arial" w:cs="Arial"/>
        </w:rPr>
        <w:instrText xml:space="preserve"> was found in 82 percent. There was a positive significant correlation between the total Female Sexual Function Index scores and total Sexual Quality of Life Questionnaire-Female scores ( p &lt; 0.05). Our study results suggest that women do not often experie</w:instrText>
      </w:r>
      <w:r>
        <w:rPr>
          <w:rFonts w:ascii="Arial" w:hAnsi="Arial" w:cs="Arial"/>
        </w:rPr>
        <w:instrText>nce serious menopausal symptoms, but have sexual dysfunction with a moderate sexual quality of life.","container-title":"Journal of Health Psychology","DOI":"10.1177/1359105317742194","ISSN":"1461-7277","issue":"14","journalAbbreviation":"J Health Psychol"</w:instrText>
      </w:r>
      <w:r>
        <w:rPr>
          <w:rFonts w:ascii="Arial" w:hAnsi="Arial" w:cs="Arial"/>
        </w:rPr>
        <w:instrText>,"language":"eng","note":"PMID: 29243521","page":"1769-1780","source":"PubMed","title":"Sexual function and quality-of-life-related problems during the menopausal period","volume":"23","author":[{"family":"Gozuyesil","given":"Ebru"},{"family":"Gokyildiz Su</w:instrText>
      </w:r>
      <w:r>
        <w:rPr>
          <w:rFonts w:ascii="Arial" w:hAnsi="Arial" w:cs="Arial"/>
        </w:rPr>
        <w:instrText xml:space="preserve">rucu","given":"Sule"},{"family":"Alan","given":"Sultan"}],"issued":{"date-parts":[["2018",12]]}},"label":"page"}],"schema":"https://github.com/citation-style-language/schema/raw/master/csl-citation.json"} </w:instrText>
      </w:r>
      <w:r>
        <w:rPr>
          <w:rFonts w:ascii="Arial" w:hAnsi="Arial" w:cs="Arial"/>
        </w:rPr>
        <w:fldChar w:fldCharType="separate"/>
      </w:r>
      <w:r>
        <w:rPr>
          <w:rFonts w:ascii="Arial" w:hAnsi="Arial" w:cs="Arial"/>
        </w:rPr>
        <w:t>(8,14)</w:t>
      </w:r>
      <w:r>
        <w:rPr>
          <w:rFonts w:ascii="Arial" w:hAnsi="Arial" w:cs="Arial"/>
        </w:rPr>
        <w:fldChar w:fldCharType="end"/>
      </w:r>
      <w:r>
        <w:rPr>
          <w:rFonts w:ascii="Arial" w:hAnsi="Arial" w:cs="Arial"/>
        </w:rPr>
        <w:t xml:space="preserve"> Our study generally showed more than half</w:t>
      </w:r>
      <w:r>
        <w:rPr>
          <w:rFonts w:ascii="Arial" w:hAnsi="Arial" w:cs="Arial"/>
        </w:rPr>
        <w:t xml:space="preserve"> (&gt;50%) of women reported sexual dysfunction, and highlights significant differences in sexual functioning profiles across the reproductive phases, with women in the perimenopausal and menopausal phases showing markedly higher prevalence of sexual dysfunct</w:t>
      </w:r>
      <w:r>
        <w:rPr>
          <w:rFonts w:ascii="Arial" w:hAnsi="Arial" w:cs="Arial"/>
        </w:rPr>
        <w:t>ion across multiple domains. Notably, perimenopausal women had higher odds of sexual dysfunction and more than 90% reported low sexual desire, arousal, and inadequate lubrication; these figures are significantly higher than their premenopausal counterparts</w:t>
      </w:r>
      <w:r>
        <w:rPr>
          <w:rFonts w:ascii="Arial" w:hAnsi="Arial" w:cs="Arial"/>
        </w:rPr>
        <w:t>. Similarly, menopausal women showed increased rates of sexual dissatisfaction, lack of orgasm, and pain during intercourse. This is consistent with local studies conducted in Malaysian public hospitals, whereby the majority (&gt;60%) of middle-aged women rep</w:t>
      </w:r>
      <w:r>
        <w:rPr>
          <w:rFonts w:ascii="Arial" w:hAnsi="Arial" w:cs="Arial"/>
        </w:rPr>
        <w:t xml:space="preserve">orted </w:t>
      </w:r>
      <w:r>
        <w:rPr>
          <w:rFonts w:ascii="Arial" w:hAnsi="Arial" w:cs="Arial"/>
        </w:rPr>
        <w:lastRenderedPageBreak/>
        <w:t>sexual dysfunction across most domains.</w:t>
      </w:r>
      <w:r>
        <w:rPr>
          <w:rFonts w:ascii="Arial" w:hAnsi="Arial" w:cs="Arial"/>
        </w:rPr>
        <w:fldChar w:fldCharType="begin"/>
      </w:r>
      <w:r>
        <w:rPr>
          <w:rFonts w:ascii="Arial" w:hAnsi="Arial" w:cs="Arial"/>
        </w:rPr>
        <w:instrText xml:space="preserve"> ADDIN ZOTERO_ITEM CSL_CITATION {"citationID":"6HE2uicx","properties":{"formattedCitation":"(6,7)","plainCitation":"(6,7)","noteIndex":0},"citationItems":[{"id":2290,"uris":["http://zotero.org/users/4073496/item</w:instrText>
      </w:r>
      <w:r>
        <w:rPr>
          <w:rFonts w:ascii="Arial" w:hAnsi="Arial" w:cs="Arial"/>
        </w:rPr>
        <w:instrText>s/NEKC5NGR"],"itemData":{"id":2290,"type":"article-journal","abstract":"Introduction:\nThis study aimed to determine the prevalence and factors associated with female sexual dysfunction in an outpatient clinic in Malaysia.\n\nMethods:\nThe study was conduc</w:instrText>
      </w:r>
      <w:r>
        <w:rPr>
          <w:rFonts w:ascii="Arial" w:hAnsi="Arial" w:cs="Arial"/>
        </w:rPr>
        <w:instrText>ted among female patients aged 50 years and older who attended the outpatient clinic of a public hospital in Malaysia. A self-administered questionnaire was used that was based on the Malay version of the Female Sexual Function Index questionnaire. The pre</w:instrText>
      </w:r>
      <w:r>
        <w:rPr>
          <w:rFonts w:ascii="Arial" w:hAnsi="Arial" w:cs="Arial"/>
        </w:rPr>
        <w:instrText>dictors of female sexual dysfunction were identified using multivariate logistic regression analysis.\n\nResults:\nA total of 263 females were recruited in this study, with a mean age of 60.6 ± 6.7 years. The distribution of the respondents’ ethnicities wa</w:instrText>
      </w:r>
      <w:r>
        <w:rPr>
          <w:rFonts w:ascii="Arial" w:hAnsi="Arial" w:cs="Arial"/>
        </w:rPr>
        <w:instrText>s mostly Malay (42.2%), followed by Chinese (41.8%) and Indian (16.0%). The prevalence of female sexual dysfunction among participants was 68.8%. The prevalence of the subscales of female sexual dysfunction was as follows: desire (85.2%), satisfaction (74.</w:instrText>
      </w:r>
      <w:r>
        <w:rPr>
          <w:rFonts w:ascii="Arial" w:hAnsi="Arial" w:cs="Arial"/>
        </w:rPr>
        <w:instrText>9%), arousal (71.1%), lubrication (66.9%), pain (61.2%), and orgasm (60.8%). According to multivariate logistic regression, patients of Indian ethnicity had an increased risk of female sexual dysfunction (0R=16.60, 95% CI=2.54-108.63), and a higher frequen</w:instrText>
      </w:r>
      <w:r>
        <w:rPr>
          <w:rFonts w:ascii="Arial" w:hAnsi="Arial" w:cs="Arial"/>
        </w:rPr>
        <w:instrText>cy of sexual intercourse was correlated with a lower risk of female sexual dysfunction (0R=0.13, 95% CI=0.08-0.24).\n\nConclusion:\nSeven-tenths of the middle-aged female patients attending the outpatient clinic suffered from female sexual dysfunction. Ind</w:instrText>
      </w:r>
      <w:r>
        <w:rPr>
          <w:rFonts w:ascii="Arial" w:hAnsi="Arial" w:cs="Arial"/>
        </w:rPr>
        <w:instrText>ian ethnicity and having a lower frequency of sexual intercourse were predictors of female sexual dysfunction. Future intervention studies are needed to address this problem.","container-title":"Malaysian Family Physician : the Official Journal of the Acad</w:instrText>
      </w:r>
      <w:r>
        <w:rPr>
          <w:rFonts w:ascii="Arial" w:hAnsi="Arial" w:cs="Arial"/>
        </w:rPr>
        <w:instrText>emy of Family Physicians of Malaysia","DOI":"10.51866/oa.86","ISSN":"1985-207X","issue":"2","journalAbbreviation":"Malays Fam Physician","note":"PMID: 35949996\nPMCID: PMC9357414","page":"56-63","source":"PubMed Central","title":"Prevalence and factors ass</w:instrText>
      </w:r>
      <w:r>
        <w:rPr>
          <w:rFonts w:ascii="Arial" w:hAnsi="Arial" w:cs="Arial"/>
        </w:rPr>
        <w:instrText>ociated with sexual dysfunction among middle-aged women in a multi-ethnic country: A cross sectional study in Malaysia","title-short":"Prevalence and factors associated with sexual dysfunction among middle-aged women in a multi-ethnic country","volume":"17</w:instrText>
      </w:r>
      <w:r>
        <w:rPr>
          <w:rFonts w:ascii="Arial" w:hAnsi="Arial" w:cs="Arial"/>
        </w:rPr>
        <w:instrText>","author":[{"family":"Tey","given":"Yin Yee"},{"family":"Ching","given":"Siew Mooi"},{"family":"Maharajan","given":"Mari Kannan"},{"family":"Lee","given":"Kai Wei"},{"family":"Chow","given":"Zhen Yee"},{"family":"Chua","given":"Pei Wen"},{"family":"Tan","</w:instrText>
      </w:r>
      <w:r>
        <w:rPr>
          <w:rFonts w:ascii="Arial" w:hAnsi="Arial" w:cs="Arial"/>
        </w:rPr>
        <w:instrText>given":"Chin Xuan"},{"family":"Lim","given":"Shi Nie"},{"family":"Tan","given":"Chun Han"},{"family":"Thew","given":"Hui Zhu"},{"family":"Ramachandran","given":"Vasudevan"},{"family":"Hoo","given":"Fan Kee"}],"issued":{"date-parts":[["2022",3,17]]}},"label</w:instrText>
      </w:r>
      <w:r>
        <w:rPr>
          <w:rFonts w:ascii="Arial" w:hAnsi="Arial" w:cs="Arial"/>
        </w:rPr>
        <w:instrText>":"page"},{"id":2310,"uris":["http://zotero.org/users/4073496/items/PCUFV83Q"],"itemData":{"id":2310,"type":"article-journal","abstract":"The prevalence of sexual dysfunction among post menopausal women was high. The most affected domains were satisfaction</w:instrText>
      </w:r>
      <w:r>
        <w:rPr>
          <w:rFonts w:ascii="Arial" w:hAnsi="Arial" w:cs="Arial"/>
        </w:rPr>
        <w:instrText>, desire and arousal. The associated factors were older age, lower education level, and type of menopause.","container-title":"La Clinica terapeutica","DOI":"10.7471/CT.2014.1681","ISSN":"1972-6007","issue":"2","language":"en","note":"publisher: Clin Ter\n</w:instrText>
      </w:r>
      <w:r>
        <w:rPr>
          <w:rFonts w:ascii="Arial" w:hAnsi="Arial" w:cs="Arial"/>
        </w:rPr>
        <w:instrText>PMID: 24770809","source":"pubmed.ncbi.nlm.nih.gov","title":"Sexual dysfunction among postmenopausal women","URL":"https://pubmed.ncbi.nlm.nih.gov/24770809/","volume":"165","author":[{"family":"W","given":"Masliza"},{"family":"W","given":"Daud"},{"family":"</w:instrText>
      </w:r>
      <w:r>
        <w:rPr>
          <w:rFonts w:ascii="Arial" w:hAnsi="Arial" w:cs="Arial"/>
        </w:rPr>
        <w:instrText>M","given":"Yazid Bajuri"},{"family":"A","given":"Shuhaila"},{"family":"S","given":"Hatta"},{"family":"M","given":"Rohaizat Hassan"},{"family":"Mn","given":"Norzilawati"}],"accessed":{"date-parts":[["2025",7,26]]},"issued":{"date-parts":[["2014"]]}},"label</w:instrText>
      </w:r>
      <w:r>
        <w:rPr>
          <w:rFonts w:ascii="Arial" w:hAnsi="Arial" w:cs="Arial"/>
        </w:rPr>
        <w:instrText xml:space="preserve">":"page"}],"schema":"https://github.com/citation-style-language/schema/raw/master/csl-citation.json"} </w:instrText>
      </w:r>
      <w:r>
        <w:rPr>
          <w:rFonts w:ascii="Arial" w:hAnsi="Arial" w:cs="Arial"/>
        </w:rPr>
        <w:fldChar w:fldCharType="separate"/>
      </w:r>
      <w:r>
        <w:rPr>
          <w:rFonts w:ascii="Arial" w:hAnsi="Arial" w:cs="Arial"/>
        </w:rPr>
        <w:t>(6,7)</w:t>
      </w:r>
      <w:r>
        <w:rPr>
          <w:rFonts w:ascii="Arial" w:hAnsi="Arial" w:cs="Arial"/>
        </w:rPr>
        <w:fldChar w:fldCharType="end"/>
      </w:r>
      <w:r>
        <w:rPr>
          <w:rFonts w:ascii="Arial" w:hAnsi="Arial" w:cs="Arial"/>
        </w:rPr>
        <w:t xml:space="preserve"> Similarly, in Singapore and Thailand, significantly higher odds of sexual dysfunction were shown in these reproductive phases.</w:t>
      </w:r>
      <w:r>
        <w:rPr>
          <w:rFonts w:ascii="Arial" w:hAnsi="Arial" w:cs="Arial"/>
        </w:rPr>
        <w:fldChar w:fldCharType="begin"/>
      </w:r>
      <w:r>
        <w:rPr>
          <w:rFonts w:ascii="Arial" w:hAnsi="Arial" w:cs="Arial"/>
        </w:rPr>
        <w:instrText xml:space="preserve"> ADDIN ZOTERO_ITEM </w:instrText>
      </w:r>
      <w:r>
        <w:rPr>
          <w:rFonts w:ascii="Arial" w:hAnsi="Arial" w:cs="Arial"/>
        </w:rPr>
        <w:instrText>CSL_CITATION {"citationID":"gpVKEsq4","properties":{"formattedCitation":"(15,16)","plainCitation":"(15,16)","noteIndex":0},"citationItems":[{"id":2325,"uris":["http://zotero.org/users/4073496/items/L23K2JU9"],"itemData":{"id":2325,"type":"article-journal",</w:instrText>
      </w:r>
      <w:r>
        <w:rPr>
          <w:rFonts w:ascii="Arial" w:hAnsi="Arial" w:cs="Arial"/>
        </w:rPr>
        <w:instrText>"abstract":"Background: Sexual function and attitudes towards sexuality among postmenopausal women have been investigated in many ethnicities, Nonetheless, a limited number of studies have been conduected among Thai postmenopausal women.\nObjective: The st</w:instrText>
      </w:r>
      <w:r>
        <w:rPr>
          <w:rFonts w:ascii="Arial" w:hAnsi="Arial" w:cs="Arial"/>
        </w:rPr>
        <w:instrText>udy aimed to determine the prevalence of sexual dysfunction and sexual attitudes among Thai postmenopausal women.\nMethods: Adescriptive cross-sextional study was conducted from 1st, 2018 to 31 July 31st, 2018 at the Gynecologic Outpatient Department, Phar</w:instrText>
      </w:r>
      <w:r>
        <w:rPr>
          <w:rFonts w:ascii="Arial" w:hAnsi="Arial" w:cs="Arial"/>
        </w:rPr>
        <w:instrText>mingkutklao Hospital. In all, 293 postmenopausal women. aged 45 years or over were recruited in the study. The Thai version Female Sexual Function Index (Thai-FSFI) questionnaire was used to evaluate the sexual function for which scores les than 26.5 const</w:instrText>
      </w:r>
      <w:r>
        <w:rPr>
          <w:rFonts w:ascii="Arial" w:hAnsi="Arial" w:cs="Arial"/>
        </w:rPr>
        <w:instrText>ituted sexual dysfunction. To assess attitudes, validated questionnaires were used to evaluate using scores 0-8, 9-16 and 17-24 as negative, neutral and positive, respectively.&amp;nbsp;\nResults: The participant mean age was 55.53 ± 5.07 years. The pravalence</w:instrText>
      </w:r>
      <w:r>
        <w:rPr>
          <w:rFonts w:ascii="Arial" w:hAnsi="Arial" w:cs="Arial"/>
        </w:rPr>
        <w:instrText xml:space="preserve"> of sexual dysfunction was 96.59% (282/293), which was significantly higher compared with those with those with normal sexual function. Postmenopausal women with sexual dysfunction were significantly order (p&amp;lt;0.001), had a longer menopause period (p=0.0</w:instrText>
      </w:r>
      <w:r>
        <w:rPr>
          <w:rFonts w:ascii="Arial" w:hAnsi="Arial" w:cs="Arial"/>
        </w:rPr>
        <w:instrText>01), had spouses at old age (p&amp;lt;0.001) and had underlying diseases (p=0.034) significantly more than those with normal sexual function. Regarding sexual attitudes. 52.56% had positive attitudes while 4.44% had negative attitudes.\nConclusion: Sexual dysf</w:instrText>
      </w:r>
      <w:r>
        <w:rPr>
          <w:rFonts w:ascii="Arial" w:hAnsi="Arial" w:cs="Arial"/>
        </w:rPr>
        <w:instrText>unction is a common problem among Thai postmenopausal women. However, most had positive sexual attitudes.","container-title":"Journal of Southeast Asian Medical Research","DOI":"10.55374/jseamed.v3i2.52","ISSN":"2697-5424","issue":"2","language":"en","lice</w:instrText>
      </w:r>
      <w:r>
        <w:rPr>
          <w:rFonts w:ascii="Arial" w:hAnsi="Arial" w:cs="Arial"/>
        </w:rPr>
        <w:instrText>nse":"Copyright (c) 2019 Journal of Southeast Asian Medical Research","note":"number: 2","page":"82-87","source":"www.jseamed.org","title":"Prevalence Of Sexual Dysfunction And Sexual Attitudes Among Postmenopausal Females Patients In Phramongkutklao Hospi</w:instrText>
      </w:r>
      <w:r>
        <w:rPr>
          <w:rFonts w:ascii="Arial" w:hAnsi="Arial" w:cs="Arial"/>
        </w:rPr>
        <w:instrText>tal","volume":"3","author":[{"family":"Srithanaphakarangkul","given":"Kritsada"}],"issued":{"date-parts":[["2019",12,1]]}},"label":"page"},{"id":2332,"uris":["http://zotero.org/users/4073496/items/9GIZZHAC"],"itemData":{"id":2332,"type":"article-journal","</w:instrText>
      </w:r>
      <w:r>
        <w:rPr>
          <w:rFonts w:ascii="Arial" w:hAnsi="Arial" w:cs="Arial"/>
        </w:rPr>
        <w:instrText>abstract":"This, the largest Singaporean sexual function study, is the first to include physical performance in a healthy population. Most were sexually active but reported dysfunction. Novel associations included underweight BMI with sexual inactivity and</w:instrText>
      </w:r>
      <w:r>
        <w:rPr>
          <w:rFonts w:ascii="Arial" w:hAnsi="Arial" w:cs="Arial"/>
        </w:rPr>
        <w:instrText xml:space="preserve"> weaker HGS and Malay ethnicity with greater and less s …","container-title":"Maturitas","DOI":"10.1016/j.maturitas.2021.07.002","ISSN":"1873-4111","language":"en","note":"publisher: Maturitas\nPMID: 34674802","source":"pubmed.ncbi.nlm.nih.gov","title":"Se</w:instrText>
      </w:r>
      <w:r>
        <w:rPr>
          <w:rFonts w:ascii="Arial" w:hAnsi="Arial" w:cs="Arial"/>
        </w:rPr>
        <w:instrText>xual inactivity and sexual dysfunction in midlife Singaporean women: A prospective cross-sectional study of prevalence and risk factors","title-short":"Sexual inactivity and sexual dysfunction in midlife Singaporean women","URL":"https://pubmed.ncbi.nlm.ni</w:instrText>
      </w:r>
      <w:r>
        <w:rPr>
          <w:rFonts w:ascii="Arial" w:hAnsi="Arial" w:cs="Arial"/>
        </w:rPr>
        <w:instrText>h.gov/34674802/","volume":"152","author":[{"family":"S","given":"Logan"},{"family":"Wpp","given":"Thu"},{"family":"K","given":"Ho"},{"family":"Ja","given":"Cauley"},{"family":"Ms","given":"Kramer"},{"family":"El","given":"Yong"}],"accessed":{"date-parts":[</w:instrText>
      </w:r>
      <w:r>
        <w:rPr>
          <w:rFonts w:ascii="Arial" w:hAnsi="Arial" w:cs="Arial"/>
        </w:rPr>
        <w:instrText xml:space="preserve">["2025",7,26]]},"issued":{"date-parts":[["2021",10]]}},"label":"page"}],"schema":"https://github.com/citation-style-language/schema/raw/master/csl-citation.json"} </w:instrText>
      </w:r>
      <w:r>
        <w:rPr>
          <w:rFonts w:ascii="Arial" w:hAnsi="Arial" w:cs="Arial"/>
        </w:rPr>
        <w:fldChar w:fldCharType="separate"/>
      </w:r>
      <w:r>
        <w:rPr>
          <w:rFonts w:ascii="Arial" w:hAnsi="Arial" w:cs="Arial"/>
        </w:rPr>
        <w:t>(15,16)</w:t>
      </w:r>
      <w:r>
        <w:rPr>
          <w:rFonts w:ascii="Arial" w:hAnsi="Arial" w:cs="Arial"/>
        </w:rPr>
        <w:fldChar w:fldCharType="end"/>
      </w:r>
      <w:r>
        <w:rPr>
          <w:rFonts w:ascii="Arial" w:hAnsi="Arial" w:cs="Arial"/>
        </w:rPr>
        <w:t xml:space="preserve"> </w:t>
      </w:r>
    </w:p>
    <w:p w14:paraId="3EE72892" w14:textId="77777777" w:rsidR="00AE324A" w:rsidRDefault="004A746B">
      <w:pPr>
        <w:spacing w:line="480" w:lineRule="auto"/>
        <w:jc w:val="both"/>
        <w:rPr>
          <w:rFonts w:ascii="Arial" w:hAnsi="Arial" w:cs="Arial"/>
        </w:rPr>
      </w:pPr>
      <w:r>
        <w:rPr>
          <w:rFonts w:ascii="Arial" w:hAnsi="Arial" w:cs="Arial"/>
        </w:rPr>
        <w:t>Therefore, the high proportion of women reporting dissatisfaction, lack of orgasm</w:t>
      </w:r>
      <w:r>
        <w:rPr>
          <w:rFonts w:ascii="Arial" w:hAnsi="Arial" w:cs="Arial"/>
        </w:rPr>
        <w:t>, and dyspareunia in these phases mirrors data from regional studies in Malaysia, Singapore, and Thailand, reinforcing the notion that sexual health in midlife is a widespread concern in Southeast Asia, which underscores the need for more proactive strateg</w:t>
      </w:r>
      <w:r>
        <w:rPr>
          <w:rFonts w:ascii="Arial" w:hAnsi="Arial" w:cs="Arial"/>
        </w:rPr>
        <w:t>ies at the policy and clinical levels.</w:t>
      </w:r>
      <w:r>
        <w:rPr>
          <w:rFonts w:ascii="Arial" w:hAnsi="Arial" w:cs="Arial"/>
        </w:rPr>
        <w:fldChar w:fldCharType="begin"/>
      </w:r>
      <w:r>
        <w:rPr>
          <w:rFonts w:ascii="Arial" w:hAnsi="Arial" w:cs="Arial"/>
        </w:rPr>
        <w:instrText xml:space="preserve"> ADDIN ZOTERO_ITEM CSL_CITATION {"citationID":"ApUfVW8o","properties":{"formattedCitation":"(17,18)","plainCitation":"(17,18)","noteIndex":0},"citationItems":[{"id":2343,"uris":["http://zotero.org/users/4073496/items/X</w:instrText>
      </w:r>
      <w:r>
        <w:rPr>
          <w:rFonts w:ascii="Arial" w:hAnsi="Arial" w:cs="Arial"/>
        </w:rPr>
        <w:instrText>DPIG9LK"],"itemData":{"id":2343,"type":"article-journal","abstract":"Menopause is one the most crucial stages in a female's life. Identifying the education gaps regarding menopause is important, thus this study aims to explain the health-related needs of f</w:instrText>
      </w:r>
      <w:r>
        <w:rPr>
          <w:rFonts w:ascii="Arial" w:hAnsi="Arial" w:cs="Arial"/>
        </w:rPr>
        <w:instrText>emales during menopause. Scopus, PubMed, Scientific Information Database, and Web of Science databases were searched for the available observational (cohort, case-control, and cross-sectional), systematic review, meta-analysis, and clinical trial studies (</w:instrText>
      </w:r>
      <w:r>
        <w:rPr>
          <w:rFonts w:ascii="Arial" w:hAnsi="Arial" w:cs="Arial"/>
        </w:rPr>
        <w:instrText>2007-2021) using keywords, such as 'Educational Needs Assessment,' 'Assessment of Healthcare Needs,' 'menopause,' 'climacteric,' 'premenopause,' and 'postmenopause.' A total of 180 out of 5,705 papers were evaluated after considering the inclusion and excl</w:instrText>
      </w:r>
      <w:r>
        <w:rPr>
          <w:rFonts w:ascii="Arial" w:hAnsi="Arial" w:cs="Arial"/>
        </w:rPr>
        <w:instrText>usion criteria. The educational needs of females during menopause in the reviewed studies include osteoporosis, oral and dental problems, metabolic disorders, cardiovascular diseases, hypertension, lung diseases, infectious diseases, musculoskeletal proble</w:instrText>
      </w:r>
      <w:r>
        <w:rPr>
          <w:rFonts w:ascii="Arial" w:hAnsi="Arial" w:cs="Arial"/>
        </w:rPr>
        <w:instrText>ms, urinary problems, breast cancer, defecation problems, genital disorders, special diseases such as eye diseases and hypothyroidism and hormone therapy, mental disorders, cognitive function, sleep disorders, sexual disorders, physical activity, supplemen</w:instrText>
      </w:r>
      <w:r>
        <w:rPr>
          <w:rFonts w:ascii="Arial" w:hAnsi="Arial" w:cs="Arial"/>
        </w:rPr>
        <w:instrText>t consumption, public health issues, health education, fall, and nutrition. The study results reveal that females during postmenopause require training, counseling, and support in all aspects to get through this challenging time, and providing these servic</w:instrText>
      </w:r>
      <w:r>
        <w:rPr>
          <w:rFonts w:ascii="Arial" w:hAnsi="Arial" w:cs="Arial"/>
        </w:rPr>
        <w:instrText>es, infrastructure, appropriate policy, and the use and support of the medical team's capacity are all required.","container-title":"Journal of Menopausal Medicine","DOI":"10.6118/jmm.22033","ISSN":"2288-6478","issue":"1","journalAbbreviation":"J Menopausa</w:instrText>
      </w:r>
      <w:r>
        <w:rPr>
          <w:rFonts w:ascii="Arial" w:hAnsi="Arial" w:cs="Arial"/>
        </w:rPr>
        <w:instrText>l Med","language":"eng","note":"PMID: 37160298\nPMCID: PMC10183767","page":"1-20","source":"PubMed","title":"Examining the Health-Related Needs of Females during Menopause: A Systematic Review Study","title-short":"Examining the Health-Related Needs of Fem</w:instrText>
      </w:r>
      <w:r>
        <w:rPr>
          <w:rFonts w:ascii="Arial" w:hAnsi="Arial" w:cs="Arial"/>
        </w:rPr>
        <w:instrText>ales during Menopause","volume":"29","author":[{"family":"Rostami-Moez","given":"Masoumeh"},{"family":"Masoumi","given":"Seyedeh Zahra"},{"family":"Otogara","given":"Marzieh"},{"family":"Farahani","given":"Farhad"},{"family":"Alimohammadi","given":"Shohreh</w:instrText>
      </w:r>
      <w:r>
        <w:rPr>
          <w:rFonts w:ascii="Arial" w:hAnsi="Arial" w:cs="Arial"/>
        </w:rPr>
        <w:instrText xml:space="preserve">"},{"family":"Oshvandi","given":"Khodayar"}],"issued":{"date-parts":[["2023",4]]}},"label":"page"},{"id":2341,"uris":["http://zotero.org/users/4073496/items/TWQ7F55V"],"itemData":{"id":2341,"type":"article-journal","abstract":"Sexual well-being frequently </w:instrText>
      </w:r>
      <w:r>
        <w:rPr>
          <w:rFonts w:ascii="Arial" w:hAnsi="Arial" w:cs="Arial"/>
        </w:rPr>
        <w:instrText>declines following the menopause transition and can be associated with significant personal and relationship distress. This distress is the hallmark of female sexual dysfunction (FSD). FSD is highly prevalent in postmenopausal women. The prevalence of sexu</w:instrText>
      </w:r>
      <w:r>
        <w:rPr>
          <w:rFonts w:ascii="Arial" w:hAnsi="Arial" w:cs="Arial"/>
        </w:rPr>
        <w:instrText>al problems increases with age, but conversely this is associated with decreasing distress with advancing age. This pattern has been seen across multiple international populations with varied cultural norms. While the etiology of FSD is multifactorial, the</w:instrText>
      </w:r>
      <w:r>
        <w:rPr>
          <w:rFonts w:ascii="Arial" w:hAnsi="Arial" w:cs="Arial"/>
        </w:rPr>
        <w:instrText xml:space="preserve"> physiological changes of sex hormone insufficiency and postmenopausal symptoms, such as dyspareunia, are primary factors contributing to FSD at midlife. The International Menopause Society is working to increase awareness of FSD and to provide a framework</w:instrText>
      </w:r>
      <w:r>
        <w:rPr>
          <w:rFonts w:ascii="Arial" w:hAnsi="Arial" w:cs="Arial"/>
        </w:rPr>
        <w:instrText xml:space="preserve"> for practitioners to address sexual medicine concerns. This White Paper aims to review the process of care for female sexual well-being following menopause, from initially approaching the discussion of FSD, to identifying clinical signs and symptoms, and </w:instrText>
      </w:r>
      <w:r>
        <w:rPr>
          <w:rFonts w:ascii="Arial" w:hAnsi="Arial" w:cs="Arial"/>
        </w:rPr>
        <w:instrText>ultimately determining the best available biopsychosocial therapies. As with most processes of care, the first step is often the most difficult. Health-care practitioners need to broach the topic of sexuality in the clinical setting. Lack of information on</w:instrText>
      </w:r>
      <w:r>
        <w:rPr>
          <w:rFonts w:ascii="Arial" w:hAnsi="Arial" w:cs="Arial"/>
        </w:rPr>
        <w:instrText>, comfort with, and biases about the topic of sexuality after menopause are significant hurdles that the International Menopause Society addresses in this document. Each member of the Writing Group remains committed to continued advocacy for the validity o</w:instrText>
      </w:r>
      <w:r>
        <w:rPr>
          <w:rFonts w:ascii="Arial" w:hAnsi="Arial" w:cs="Arial"/>
        </w:rPr>
        <w:instrText>f FSD as a diagnosis, the need for therapies for women to be both available and included in health insurance coverage, and continued therapeutic research to provide evidence-based solutions.","container-title":"Climacteric: The Journal of the International</w:instrText>
      </w:r>
      <w:r>
        <w:rPr>
          <w:rFonts w:ascii="Arial" w:hAnsi="Arial" w:cs="Arial"/>
        </w:rPr>
        <w:instrText xml:space="preserve"> Menopause Society","DOI":"10.1080/13697137.2018.1482647","ISSN":"1473-0804","issue":"5","journalAbbreviation":"Climacteric","language":"eng","note":"PMID: 29987939","page":"415-427","source":"PubMed","title":"Sexual well-being after menopause: An Internat</w:instrText>
      </w:r>
      <w:r>
        <w:rPr>
          <w:rFonts w:ascii="Arial" w:hAnsi="Arial" w:cs="Arial"/>
        </w:rPr>
        <w:instrText>ional Menopause Society White Paper","title-short":"Sexual well-being after menopause","volume":"21","author":[{"family":"Simon","given":"J. A."},{"family":"Davis","given":"S. R."},{"family":"Althof","given":"S. E."},{"family":"Chedraui","given":"P."},{"fa</w:instrText>
      </w:r>
      <w:r>
        <w:rPr>
          <w:rFonts w:ascii="Arial" w:hAnsi="Arial" w:cs="Arial"/>
        </w:rPr>
        <w:instrText>mily":"Clayton","given":"A. H."},{"family":"Kingsberg","given":"S. A."},{"family":"Nappi","given":"R. E."},{"family":"Parish","given":"S. J."},{"family":"Wolfman","given":"W."}],"issued":{"date-parts":[["2018",10]]}},"label":"page"}],"schema":"https://gith</w:instrText>
      </w:r>
      <w:r>
        <w:rPr>
          <w:rFonts w:ascii="Arial" w:hAnsi="Arial" w:cs="Arial"/>
        </w:rPr>
        <w:instrText xml:space="preserve">ub.com/citation-style-language/schema/raw/master/csl-citation.json"} </w:instrText>
      </w:r>
      <w:r>
        <w:rPr>
          <w:rFonts w:ascii="Arial" w:hAnsi="Arial" w:cs="Arial"/>
        </w:rPr>
        <w:fldChar w:fldCharType="separate"/>
      </w:r>
      <w:r>
        <w:rPr>
          <w:rFonts w:ascii="Arial" w:hAnsi="Arial" w:cs="Arial"/>
        </w:rPr>
        <w:t>(17,18)</w:t>
      </w:r>
      <w:r>
        <w:rPr>
          <w:rFonts w:ascii="Arial" w:hAnsi="Arial" w:cs="Arial"/>
        </w:rPr>
        <w:fldChar w:fldCharType="end"/>
      </w:r>
      <w:r>
        <w:rPr>
          <w:rFonts w:ascii="Arial" w:hAnsi="Arial" w:cs="Arial"/>
        </w:rPr>
        <w:t xml:space="preserve"> At the policy level, sexual and reproductive health services should explicitly include sexual well-being in perimenopausal and menopausal women as part of national women’s heal</w:t>
      </w:r>
      <w:r>
        <w:rPr>
          <w:rFonts w:ascii="Arial" w:hAnsi="Arial" w:cs="Arial"/>
        </w:rPr>
        <w:t xml:space="preserve">th strategies. In addition, educational campaigns aimed at reducing stigma and promoting healthy sexual ageing may encourage more women to seek help. Furthermore, collaboration between </w:t>
      </w:r>
      <w:proofErr w:type="spellStart"/>
      <w:r>
        <w:rPr>
          <w:rFonts w:ascii="Arial" w:hAnsi="Arial" w:cs="Arial"/>
        </w:rPr>
        <w:t>gynaecology</w:t>
      </w:r>
      <w:proofErr w:type="spellEnd"/>
      <w:r>
        <w:rPr>
          <w:rFonts w:ascii="Arial" w:hAnsi="Arial" w:cs="Arial"/>
        </w:rPr>
        <w:t>, family medicine, psychology, and allied health services ca</w:t>
      </w:r>
      <w:r>
        <w:rPr>
          <w:rFonts w:ascii="Arial" w:hAnsi="Arial" w:cs="Arial"/>
        </w:rPr>
        <w:t>n ensure comprehensive, multidisciplinary support. Ensuring access to treatment options, ranging from hormonal therapy to couples counselling, will be key to improving the quality of life for ageing women in Malaysia and the region.</w:t>
      </w:r>
      <w:r>
        <w:rPr>
          <w:rFonts w:ascii="Arial" w:hAnsi="Arial" w:cs="Arial"/>
        </w:rPr>
        <w:fldChar w:fldCharType="begin"/>
      </w:r>
      <w:r>
        <w:rPr>
          <w:rFonts w:ascii="Arial" w:hAnsi="Arial" w:cs="Arial"/>
        </w:rPr>
        <w:instrText xml:space="preserve"> ADDIN ZOTERO_ITEM CSL_C</w:instrText>
      </w:r>
      <w:r>
        <w:rPr>
          <w:rFonts w:ascii="Arial" w:hAnsi="Arial" w:cs="Arial"/>
        </w:rPr>
        <w:instrText>ITATION {"citationID":"zZVQcSVL","properties":{"formattedCitation":"(17,18)","plainCitation":"(17,18)","noteIndex":0},"citationItems":[{"id":2343,"uris":["http://zotero.org/users/4073496/items/XDPIG9LK"],"itemData":{"id":2343,"type":"article-journal","abst</w:instrText>
      </w:r>
      <w:r>
        <w:rPr>
          <w:rFonts w:ascii="Arial" w:hAnsi="Arial" w:cs="Arial"/>
        </w:rPr>
        <w:instrText>ract":"Menopause is one the most crucial stages in a female's life. Identifying the education gaps regarding menopause is important, thus this study aims to explain the health-related needs of females during menopause. Scopus, PubMed, Scientific Informatio</w:instrText>
      </w:r>
      <w:r>
        <w:rPr>
          <w:rFonts w:ascii="Arial" w:hAnsi="Arial" w:cs="Arial"/>
        </w:rPr>
        <w:instrText>n Database, and Web of Science databases were searched for the available observational (cohort, case-control, and cross-sectional), systematic review, meta-analysis, and clinical trial studies (2007-2021) using keywords, such as 'Educational Needs Assessme</w:instrText>
      </w:r>
      <w:r>
        <w:rPr>
          <w:rFonts w:ascii="Arial" w:hAnsi="Arial" w:cs="Arial"/>
        </w:rPr>
        <w:instrText>nt,' 'Assessment of Healthcare Needs,' 'menopause,' 'climacteric,' 'premenopause,' and 'postmenopause.' A total of 180 out of 5,705 papers were evaluated after considering the inclusion and exclusion criteria. The educational needs of females during menopa</w:instrText>
      </w:r>
      <w:r>
        <w:rPr>
          <w:rFonts w:ascii="Arial" w:hAnsi="Arial" w:cs="Arial"/>
        </w:rPr>
        <w:instrText>use in the reviewed studies include osteoporosis, oral and dental problems, metabolic disorders, cardiovascular diseases, hypertension, lung diseases, infectious diseases, musculoskeletal problems, urinary problems, breast cancer, defecation problems, geni</w:instrText>
      </w:r>
      <w:r>
        <w:rPr>
          <w:rFonts w:ascii="Arial" w:hAnsi="Arial" w:cs="Arial"/>
        </w:rPr>
        <w:instrText>tal disorders, special diseases such as eye diseases and hypothyroidism and hormone therapy, mental disorders, cognitive function, sleep disorders, sexual disorders, physical activity, supplement consumption, public health issues, health education, fall, a</w:instrText>
      </w:r>
      <w:r>
        <w:rPr>
          <w:rFonts w:ascii="Arial" w:hAnsi="Arial" w:cs="Arial"/>
        </w:rPr>
        <w:instrText>nd nutrition. The study results reveal that females during postmenopause require training, counseling, and support in all aspects to get through this challenging time, and providing these services, infrastructure, appropriate policy, and the use and suppor</w:instrText>
      </w:r>
      <w:r>
        <w:rPr>
          <w:rFonts w:ascii="Arial" w:hAnsi="Arial" w:cs="Arial"/>
        </w:rPr>
        <w:instrText>t of the medical team's capacity are all required.","container-title":"Journal of Menopausal Medicine","DOI":"10.6118/jmm.22033","ISSN":"2288-6478","issue":"1","journalAbbreviation":"J Menopausal Med","language":"eng","note":"PMID: 37160298\nPMCID: PMC1018</w:instrText>
      </w:r>
      <w:r>
        <w:rPr>
          <w:rFonts w:ascii="Arial" w:hAnsi="Arial" w:cs="Arial"/>
        </w:rPr>
        <w:instrText>3767","page":"1-20","source":"PubMed","title":"Examining the Health-Related Needs of Females during Menopause: A Systematic Review Study","title-short":"Examining the Health-Related Needs of Females during Menopause","volume":"29","author":[{"family":"Rost</w:instrText>
      </w:r>
      <w:r>
        <w:rPr>
          <w:rFonts w:ascii="Arial" w:hAnsi="Arial" w:cs="Arial"/>
        </w:rPr>
        <w:instrText>ami-Moez","given":"Masoumeh"},{"family":"Masoumi","given":"Seyedeh Zahra"},{"family":"Otogara","given":"Marzieh"},{"family":"Farahani","given":"Farhad"},{"family":"Alimohammadi","given":"Shohreh"},{"family":"Oshvandi","given":"Khodayar"}],"issued":{"date-p</w:instrText>
      </w:r>
      <w:r>
        <w:rPr>
          <w:rFonts w:ascii="Arial" w:hAnsi="Arial" w:cs="Arial"/>
        </w:rPr>
        <w:instrText>arts":[["2023",4]]}},"label":"page"},{"id":2341,"uris":["http://zotero.org/users/4073496/items/TWQ7F55V"],"itemData":{"id":2341,"type":"article-journal","abstract":"Sexual well-being frequently declines following the menopause transition and can be associa</w:instrText>
      </w:r>
      <w:r>
        <w:rPr>
          <w:rFonts w:ascii="Arial" w:hAnsi="Arial" w:cs="Arial"/>
        </w:rPr>
        <w:instrText>ted with significant personal and relationship distress. This distress is the hallmark of female sexual dysfunction (FSD). FSD is highly prevalent in postmenopausal women. The prevalence of sexual problems increases with age, but conversely this is associa</w:instrText>
      </w:r>
      <w:r>
        <w:rPr>
          <w:rFonts w:ascii="Arial" w:hAnsi="Arial" w:cs="Arial"/>
        </w:rPr>
        <w:instrText>ted with decreasing distress with advancing age. This pattern has been seen across multiple international populations with varied cultural norms. While the etiology of FSD is multifactorial, the physiological changes of sex hormone insufficiency and postme</w:instrText>
      </w:r>
      <w:r>
        <w:rPr>
          <w:rFonts w:ascii="Arial" w:hAnsi="Arial" w:cs="Arial"/>
        </w:rPr>
        <w:instrText>nopausal symptoms, such as dyspareunia, are primary factors contributing to FSD at midlife. The International Menopause Society is working to increase awareness of FSD and to provide a framework for practitioners to address sexual medicine concerns. This W</w:instrText>
      </w:r>
      <w:r>
        <w:rPr>
          <w:rFonts w:ascii="Arial" w:hAnsi="Arial" w:cs="Arial"/>
        </w:rPr>
        <w:instrText>hite Paper aims to review the process of care for female sexual well-being following menopause, from initially approaching the discussion of FSD, to identifying clinical signs and symptoms, and ultimately determining the best available biopsychosocial ther</w:instrText>
      </w:r>
      <w:r>
        <w:rPr>
          <w:rFonts w:ascii="Arial" w:hAnsi="Arial" w:cs="Arial"/>
        </w:rPr>
        <w:instrText xml:space="preserve">apies. As with most processes of care, the first step is often the most difficult. Health-care practitioners need to broach the topic of sexuality in the clinical setting. Lack of information on, comfort with, and biases about the topic of sexuality after </w:instrText>
      </w:r>
      <w:r>
        <w:rPr>
          <w:rFonts w:ascii="Arial" w:hAnsi="Arial" w:cs="Arial"/>
        </w:rPr>
        <w:instrText>menopause are significant hurdles that the International Menopause Society addresses in this document. Each member of the Writing Group remains committed to continued advocacy for the validity of FSD as a diagnosis, the need for therapies for women to be b</w:instrText>
      </w:r>
      <w:r>
        <w:rPr>
          <w:rFonts w:ascii="Arial" w:hAnsi="Arial" w:cs="Arial"/>
        </w:rPr>
        <w:instrText>oth available and included in health insurance coverage, and continued therapeutic research to provide evidence-based solutions.","container-title":"Climacteric: The Journal of the International Menopause Society","DOI":"10.1080/13697137.2018.1482647","ISS</w:instrText>
      </w:r>
      <w:r>
        <w:rPr>
          <w:rFonts w:ascii="Arial" w:hAnsi="Arial" w:cs="Arial"/>
        </w:rPr>
        <w:instrText>N":"1473-0804","issue":"5","journalAbbreviation":"Climacteric","language":"eng","note":"PMID: 29987939","page":"415-427","source":"PubMed","title":"Sexual well-being after menopause: An International Menopause Society White Paper","title-short":"Sexual wel</w:instrText>
      </w:r>
      <w:r>
        <w:rPr>
          <w:rFonts w:ascii="Arial" w:hAnsi="Arial" w:cs="Arial"/>
        </w:rPr>
        <w:instrText>l-being after menopause","volume":"21","author":[{"family":"Simon","given":"J. A."},{"family":"Davis","given":"S. R."},{"family":"Althof","given":"S. E."},{"family":"Chedraui","given":"P."},{"family":"Clayton","given":"A. H."},{"family":"Kingsberg","given"</w:instrText>
      </w:r>
      <w:r>
        <w:rPr>
          <w:rFonts w:ascii="Arial" w:hAnsi="Arial" w:cs="Arial"/>
        </w:rPr>
        <w:instrText>:"S. A."},{"family":"Nappi","given":"R. E."},{"family":"Parish","given":"S. J."},{"family":"Wolfman","given":"W."}],"issued":{"date-parts":[["2018",10]]}},"label":"page"}],"schema":"https://github.com/citation-style-language/schema/raw/master/csl-citation.</w:instrText>
      </w:r>
      <w:r>
        <w:rPr>
          <w:rFonts w:ascii="Arial" w:hAnsi="Arial" w:cs="Arial"/>
        </w:rPr>
        <w:instrText xml:space="preserve">json"} </w:instrText>
      </w:r>
      <w:r>
        <w:rPr>
          <w:rFonts w:ascii="Arial" w:hAnsi="Arial" w:cs="Arial"/>
        </w:rPr>
        <w:fldChar w:fldCharType="separate"/>
      </w:r>
      <w:r>
        <w:rPr>
          <w:rFonts w:ascii="Arial" w:hAnsi="Arial" w:cs="Arial"/>
        </w:rPr>
        <w:t>(17,18)</w:t>
      </w:r>
      <w:r>
        <w:rPr>
          <w:rFonts w:ascii="Arial" w:hAnsi="Arial" w:cs="Arial"/>
        </w:rPr>
        <w:fldChar w:fldCharType="end"/>
      </w:r>
      <w:r>
        <w:rPr>
          <w:rFonts w:ascii="Arial" w:hAnsi="Arial" w:cs="Arial"/>
        </w:rPr>
        <w:t xml:space="preserve"> Meanwhile, at the primary care level, clinicians should be better equipped to initiate conversations about sexual health, particularly during midlife health reviews or menopausal counselling sessions. Routine screening for sexual dysfunct</w:t>
      </w:r>
      <w:r>
        <w:rPr>
          <w:rFonts w:ascii="Arial" w:hAnsi="Arial" w:cs="Arial"/>
        </w:rPr>
        <w:t xml:space="preserve">ion should be </w:t>
      </w:r>
      <w:proofErr w:type="spellStart"/>
      <w:r>
        <w:rPr>
          <w:rFonts w:ascii="Arial" w:hAnsi="Arial" w:cs="Arial"/>
        </w:rPr>
        <w:t>normalised</w:t>
      </w:r>
      <w:proofErr w:type="spellEnd"/>
      <w:r>
        <w:rPr>
          <w:rFonts w:ascii="Arial" w:hAnsi="Arial" w:cs="Arial"/>
        </w:rPr>
        <w:t>, and training programs should empower primary healthcare providers to address these issues sensitively and competently.</w:t>
      </w:r>
    </w:p>
    <w:p w14:paraId="450C3398" w14:textId="77777777" w:rsidR="00AE324A" w:rsidRDefault="004A746B">
      <w:pPr>
        <w:spacing w:line="480" w:lineRule="auto"/>
        <w:jc w:val="both"/>
        <w:rPr>
          <w:rFonts w:ascii="Arial" w:hAnsi="Arial" w:cs="Arial"/>
        </w:rPr>
      </w:pPr>
      <w:r>
        <w:rPr>
          <w:rFonts w:ascii="Arial" w:hAnsi="Arial" w:cs="Arial"/>
        </w:rPr>
        <w:t>Our findings identified that Chinese ethnicity is associated with higher odds of FSD compared to Malay ethnicit</w:t>
      </w:r>
      <w:r>
        <w:rPr>
          <w:rFonts w:ascii="Arial" w:hAnsi="Arial" w:cs="Arial"/>
        </w:rPr>
        <w:t xml:space="preserve">y. While previous local studies have shown mixed findings, with some identifying higher odds among Malay or Indian women, these discrepancies likely reflect the complex interplay of sociocultural norms, sexual communication practices, and help-seeking </w:t>
      </w:r>
      <w:proofErr w:type="spellStart"/>
      <w:r>
        <w:rPr>
          <w:rFonts w:ascii="Arial" w:hAnsi="Arial" w:cs="Arial"/>
        </w:rPr>
        <w:t>beha</w:t>
      </w:r>
      <w:r>
        <w:rPr>
          <w:rFonts w:ascii="Arial" w:hAnsi="Arial" w:cs="Arial"/>
        </w:rPr>
        <w:t>viours</w:t>
      </w:r>
      <w:proofErr w:type="spellEnd"/>
      <w:r>
        <w:rPr>
          <w:rFonts w:ascii="Arial" w:hAnsi="Arial" w:cs="Arial"/>
        </w:rPr>
        <w:t>.</w:t>
      </w:r>
      <w:r>
        <w:rPr>
          <w:rFonts w:ascii="Arial" w:hAnsi="Arial" w:cs="Arial"/>
        </w:rPr>
        <w:fldChar w:fldCharType="begin"/>
      </w:r>
      <w:r>
        <w:rPr>
          <w:rFonts w:ascii="Arial" w:hAnsi="Arial" w:cs="Arial"/>
        </w:rPr>
        <w:instrText xml:space="preserve"> ADDIN ZOTERO_ITEM CSL_CITATION {"citationID":"NBkaC6d6","properties":{"formattedCitation":"(5,7,8)","plainCitation":"(5,7,8)","noteIndex":0},"citationItems":[{"id":2305,"uris":["http://zotero.org/users/4073496/items/LIETRDED"],"itemData":{"id":2305</w:instrText>
      </w:r>
      <w:r>
        <w:rPr>
          <w:rFonts w:ascii="Arial" w:hAnsi="Arial" w:cs="Arial"/>
        </w:rPr>
        <w:instrText>,"type":"webpage","title":"Sexual Dysfunction Among Women At Four To Six Months Postpartum: A Study In A Primary Care Setting. Malaysian Journal of Public Health Medicine","URL":"https://mjphm.org/index.php/mjphm/article/view/569","author":[{"literal":"Nor</w:instrText>
      </w:r>
      <w:r>
        <w:rPr>
          <w:rFonts w:ascii="Arial" w:hAnsi="Arial" w:cs="Arial"/>
        </w:rPr>
        <w:instrText>afini Salamon"}],"accessed":{"date-parts":[["2025",7,26]]}},"label":"page"},{"id":2290,"uris":["http://zotero.org/users/4073496/items/NEKC5NGR"],"itemData":{"id":2290,"type":"article-journal","abstract":"Introduction:\nThis study aimed to determine the pre</w:instrText>
      </w:r>
      <w:r>
        <w:rPr>
          <w:rFonts w:ascii="Arial" w:hAnsi="Arial" w:cs="Arial"/>
        </w:rPr>
        <w:instrText>valence and factors associated with female sexual dysfunction in an outpatient clinic in Malaysia.\n\nMethods:\nThe study was conducted among female patients aged 50 years and older who attended the outpatient clinic of a public hospital in Malaysia. A sel</w:instrText>
      </w:r>
      <w:r>
        <w:rPr>
          <w:rFonts w:ascii="Arial" w:hAnsi="Arial" w:cs="Arial"/>
        </w:rPr>
        <w:instrText>f-administered questionnaire was used that was based on the Malay version of the Female Sexual Function Index questionnaire. The predictors of female sexual dysfunction were identified using multivariate logistic regression analysis.\n\nResults:\nA total o</w:instrText>
      </w:r>
      <w:r>
        <w:rPr>
          <w:rFonts w:ascii="Arial" w:hAnsi="Arial" w:cs="Arial"/>
        </w:rPr>
        <w:instrText>f 263 females were recruited in this study, with a mean age of 60.6 ± 6.7 years. The distribution of the respondents’ ethnicities was mostly Malay (42.2%), followed by Chinese (41.8%) and Indian (16.0%). The prevalence of female sexual dysfunction among pa</w:instrText>
      </w:r>
      <w:r>
        <w:rPr>
          <w:rFonts w:ascii="Arial" w:hAnsi="Arial" w:cs="Arial"/>
        </w:rPr>
        <w:instrText xml:space="preserve">rticipants was 68.8%. The prevalence of the subscales of female sexual dysfunction was as follows: desire (85.2%), satisfaction (74.9%), arousal (71.1%), lubrication (66.9%), pain (61.2%), and orgasm (60.8%). According to multivariate logistic regression, </w:instrText>
      </w:r>
      <w:r>
        <w:rPr>
          <w:rFonts w:ascii="Arial" w:hAnsi="Arial" w:cs="Arial"/>
        </w:rPr>
        <w:instrText>patients of Indian ethnicity had an increased risk of female sexual dysfunction (0R=16.60, 95% CI=2.54-108.63), and a higher frequency of sexual intercourse was correlated with a lower risk of female sexual dysfunction (0R=0.13, 95% CI=0.08-0.24).\n\nConcl</w:instrText>
      </w:r>
      <w:r>
        <w:rPr>
          <w:rFonts w:ascii="Arial" w:hAnsi="Arial" w:cs="Arial"/>
        </w:rPr>
        <w:instrText>usion:\nSeven-tenths of the middle-aged female patients attending the outpatient clinic suffered from female sexual dysfunction. Indian ethnicity and having a lower frequency of sexual intercourse were predictors of female sexual dysfunction. Future interv</w:instrText>
      </w:r>
      <w:r>
        <w:rPr>
          <w:rFonts w:ascii="Arial" w:hAnsi="Arial" w:cs="Arial"/>
        </w:rPr>
        <w:instrText>ention studies are needed to address this problem.","container-title":"Malaysian Family Physician : the Official Journal of the Academy of Family Physicians of Malaysia","DOI":"10.51866/oa.86","ISSN":"1985-207X","issue":"2","journalAbbreviation":"Malays Fa</w:instrText>
      </w:r>
      <w:r>
        <w:rPr>
          <w:rFonts w:ascii="Arial" w:hAnsi="Arial" w:cs="Arial"/>
        </w:rPr>
        <w:instrText>m Physician","note":"PMID: 35949996\nPMCID: PMC9357414","page":"56-63","source":"PubMed Central","title":"Prevalence and factors associated with sexual dysfunction among middle-aged women in a multi-ethnic country: A cross sectional study in Malaysia","tit</w:instrText>
      </w:r>
      <w:r>
        <w:rPr>
          <w:rFonts w:ascii="Arial" w:hAnsi="Arial" w:cs="Arial"/>
        </w:rPr>
        <w:instrText>le-short":"Prevalence and factors associated with sexual dysfunction among middle-aged women in a multi-ethnic country","volume":"17","author":[{"family":"Tey","given":"Yin Yee"},{"family":"Ching","given":"Siew Mooi"},{"family":"Maharajan","given":"Mari Ka</w:instrText>
      </w:r>
      <w:r>
        <w:rPr>
          <w:rFonts w:ascii="Arial" w:hAnsi="Arial" w:cs="Arial"/>
        </w:rPr>
        <w:instrText>nnan"},{"family":"Lee","given":"Kai Wei"},{"family":"Chow","given":"Zhen Yee"},{"family":"Chua","given":"Pei Wen"},{"family":"Tan","given":"Chin Xuan"},{"family":"Lim","given":"Shi Nie"},{"family":"Tan","given":"Chun Han"},{"family":"Thew","given":"Hui Zhu</w:instrText>
      </w:r>
      <w:r>
        <w:rPr>
          <w:rFonts w:ascii="Arial" w:hAnsi="Arial" w:cs="Arial"/>
        </w:rPr>
        <w:instrText>"},{"family":"Ramachandran","given":"Vasudevan"},{"family":"Hoo","given":"Fan Kee"}],"issued":{"date-parts":[["2022",3,17]]}},"label":"page"},{"id":2278,"uris":["http://zotero.org/users/4073496/items/NJM2C8R6"],"itemData":{"id":2278,"type":"article-journal</w:instrText>
      </w:r>
      <w:r>
        <w:rPr>
          <w:rFonts w:ascii="Arial" w:hAnsi="Arial" w:cs="Arial"/>
        </w:rPr>
        <w:instrText xml:space="preserve">","abstract":"INTRODUCTION: Female sexual dysfunction (FSD) is a prevalent sexual health problem that does not spare the women in Malaysia, a nation with a conservative multiethnic society.\nAIM: To investigate the prevalence of FSD and the potential risk </w:instrText>
      </w:r>
      <w:r>
        <w:rPr>
          <w:rFonts w:ascii="Arial" w:hAnsi="Arial" w:cs="Arial"/>
        </w:rPr>
        <w:instrText xml:space="preserve">factors that may impair sexual function among women at a primary care setting in Malaysia.\nMAIN OUTCOME MEASURE: The prevalence, the risk factors, and the main predictors for FSD were measured among these women.\nMETHODS: A validated Malay version of the </w:instrText>
      </w:r>
      <w:r>
        <w:rPr>
          <w:rFonts w:ascii="Arial" w:hAnsi="Arial" w:cs="Arial"/>
        </w:rPr>
        <w:instrText>Female Sexual Function Index was used to assess FSD. A total of 230 married women aged 18-70 years participated in this study. The sociodemographic and marital profiles of women who had FSD and those who did not were compared; the risk factors for FSD were</w:instrText>
      </w:r>
      <w:r>
        <w:rPr>
          <w:rFonts w:ascii="Arial" w:hAnsi="Arial" w:cs="Arial"/>
        </w:rPr>
        <w:instrText xml:space="preserve"> determined.\nRESULTS: The majority of the respondents were younger than 50 years old, predominantly Malays, and had a higher academic achievement. The prevalence of FSD in the primary care population was 29.6%. The prevalence of women with lack of orgasms</w:instrText>
      </w:r>
      <w:r>
        <w:rPr>
          <w:rFonts w:ascii="Arial" w:hAnsi="Arial" w:cs="Arial"/>
        </w:rPr>
        <w:instrText>, low sexual arousal, lack of lubrication, sexual dissatisfaction, and sexual pain were 59.1%, 60.9%, 50.4%, 52.2%, and 67.8%, respectively.\nCONCLUSION: The risk factors for FSD are older age, Malays, married longer (more than 14 years), having less sexua</w:instrText>
      </w:r>
      <w:r>
        <w:rPr>
          <w:rFonts w:ascii="Arial" w:hAnsi="Arial" w:cs="Arial"/>
        </w:rPr>
        <w:instrText>l intercourse (less than 1-2 times a week), having more children, married to an older husband (aged &gt;42 years), and having a higher academic status. Lack of lubrication is found to be the main predictor for FSD in this study. Is lack of lubrication a cause</w:instrText>
      </w:r>
      <w:r>
        <w:rPr>
          <w:rFonts w:ascii="Arial" w:hAnsi="Arial" w:cs="Arial"/>
        </w:rPr>
        <w:instrText xml:space="preserve"> or a complication of FSD? Prospective research is needed in the near future.","container-title":"The Journal of Sexual Medicine","DOI":"10.1111/j.1743-6109.2006.00319.x","ISSN":"1743-6095","issue":"2","journalAbbreviation":"J Sex Med","language":"eng","no</w:instrText>
      </w:r>
      <w:r>
        <w:rPr>
          <w:rFonts w:ascii="Arial" w:hAnsi="Arial" w:cs="Arial"/>
        </w:rPr>
        <w:instrText>te":"PMID: 17040486","page":"311-321","source":"PubMed","title":"The prevalence of sexual dysfunction and potential risk factors that may impair sexual function in Malaysian women","volume":"4","author":[{"family":"Sidi","given":"Hatta"},{"family":"Puteh",</w:instrText>
      </w:r>
      <w:r>
        <w:rPr>
          <w:rFonts w:ascii="Arial" w:hAnsi="Arial" w:cs="Arial"/>
        </w:rPr>
        <w:instrText xml:space="preserve">"given":"Sharifah Ezat Wan"},{"family":"Abdullah","given":"Norni"},{"family":"Midin","given":"Marhani"}],"issued":{"date-parts":[["2007",3]]}},"label":"page"}],"schema":"https://github.com/citation-style-language/schema/raw/master/csl-citation.json"} </w:instrText>
      </w:r>
      <w:r>
        <w:rPr>
          <w:rFonts w:ascii="Arial" w:hAnsi="Arial" w:cs="Arial"/>
        </w:rPr>
        <w:fldChar w:fldCharType="separate"/>
      </w:r>
      <w:r>
        <w:rPr>
          <w:rFonts w:ascii="Arial" w:hAnsi="Arial" w:cs="Arial"/>
        </w:rPr>
        <w:t>(5,7,</w:t>
      </w:r>
      <w:r>
        <w:rPr>
          <w:rFonts w:ascii="Arial" w:hAnsi="Arial" w:cs="Arial"/>
        </w:rPr>
        <w:t>8)</w:t>
      </w:r>
      <w:r>
        <w:rPr>
          <w:rFonts w:ascii="Arial" w:hAnsi="Arial" w:cs="Arial"/>
        </w:rPr>
        <w:fldChar w:fldCharType="end"/>
      </w:r>
      <w:r>
        <w:rPr>
          <w:rFonts w:ascii="Arial" w:hAnsi="Arial" w:cs="Arial"/>
        </w:rPr>
        <w:t xml:space="preserve"> Cultural differences in openness, sexual role expectations, and stigma surrounding sexual health may influence both the experience and reporting of dysfunction, thereby affecting prevalence rates across ethnic groups. In addition, women with higher e</w:t>
      </w:r>
      <w:r>
        <w:rPr>
          <w:rFonts w:ascii="Arial" w:hAnsi="Arial" w:cs="Arial"/>
        </w:rPr>
        <w:t xml:space="preserve">ducation levels (post-secondary and tertiary) were found to have increased odds of FSD </w:t>
      </w:r>
      <w:r>
        <w:rPr>
          <w:rFonts w:ascii="Arial" w:hAnsi="Arial" w:cs="Arial"/>
        </w:rPr>
        <w:lastRenderedPageBreak/>
        <w:t>compared to those with primary education. This trend is consistent with findings from other local studies and may be attributed to greater awareness, more critical self-</w:t>
      </w:r>
      <w:r>
        <w:rPr>
          <w:rFonts w:ascii="Arial" w:hAnsi="Arial" w:cs="Arial"/>
        </w:rPr>
        <w:t>evaluation, and higher expectations regarding sexual satisfaction among more educated women.</w:t>
      </w:r>
      <w:r>
        <w:rPr>
          <w:rFonts w:ascii="Arial" w:hAnsi="Arial" w:cs="Arial"/>
        </w:rPr>
        <w:fldChar w:fldCharType="begin"/>
      </w:r>
      <w:r>
        <w:rPr>
          <w:rFonts w:ascii="Arial" w:hAnsi="Arial" w:cs="Arial"/>
        </w:rPr>
        <w:instrText xml:space="preserve"> ADDIN ZOTERO_ITEM CSL_CITATION {"citationID":"yljmIcde","properties":{"formattedCitation":"(8)","plainCitation":"(8)","noteIndex":0},"citationItems":[{"id":2278,"u</w:instrText>
      </w:r>
      <w:r>
        <w:rPr>
          <w:rFonts w:ascii="Arial" w:hAnsi="Arial" w:cs="Arial"/>
        </w:rPr>
        <w:instrText>ris":["http://zotero.org/users/4073496/items/NJM2C8R6"],"itemData":{"id":2278,"type":"article-journal","abstract":"INTRODUCTION: Female sexual dysfunction (FSD) is a prevalent sexual health problem that does not spare the women in Malaysia, a nation with a</w:instrText>
      </w:r>
      <w:r>
        <w:rPr>
          <w:rFonts w:ascii="Arial" w:hAnsi="Arial" w:cs="Arial"/>
        </w:rPr>
        <w:instrText xml:space="preserve"> conservative multiethnic society.\nAIM: To investigate the prevalence of FSD and the potential risk factors that may impair sexual function among women at a primary care setting in Malaysia.\nMAIN OUTCOME MEASURE: The prevalence, the risk factors, and the</w:instrText>
      </w:r>
      <w:r>
        <w:rPr>
          <w:rFonts w:ascii="Arial" w:hAnsi="Arial" w:cs="Arial"/>
        </w:rPr>
        <w:instrText xml:space="preserve"> main predictors for FSD were measured among these women.\nMETHODS: A validated Malay version of the Female Sexual Function Index was used to assess FSD. A total of 230 married women aged 18-70 years participated in this study. The sociodemographic and mar</w:instrText>
      </w:r>
      <w:r>
        <w:rPr>
          <w:rFonts w:ascii="Arial" w:hAnsi="Arial" w:cs="Arial"/>
        </w:rPr>
        <w:instrText>ital profiles of women who had FSD and those who did not were compared; the risk factors for FSD were determined.\nRESULTS: The majority of the respondents were younger than 50 years old, predominantly Malays, and had a higher academic achievement. The pre</w:instrText>
      </w:r>
      <w:r>
        <w:rPr>
          <w:rFonts w:ascii="Arial" w:hAnsi="Arial" w:cs="Arial"/>
        </w:rPr>
        <w:instrText>valence of FSD in the primary care population was 29.6%. The prevalence of women with lack of orgasms, low sexual arousal, lack of lubrication, sexual dissatisfaction, and sexual pain were 59.1%, 60.9%, 50.4%, 52.2%, and 67.8%, respectively.\nCONCLUSION: T</w:instrText>
      </w:r>
      <w:r>
        <w:rPr>
          <w:rFonts w:ascii="Arial" w:hAnsi="Arial" w:cs="Arial"/>
        </w:rPr>
        <w:instrText>he risk factors for FSD are older age, Malays, married longer (more than 14 years), having less sexual intercourse (less than 1-2 times a week), having more children, married to an older husband (aged &gt;42 years), and having a higher academic status. Lack o</w:instrText>
      </w:r>
      <w:r>
        <w:rPr>
          <w:rFonts w:ascii="Arial" w:hAnsi="Arial" w:cs="Arial"/>
        </w:rPr>
        <w:instrText>f lubrication is found to be the main predictor for FSD in this study. Is lack of lubrication a cause or a complication of FSD? Prospective research is needed in the near future.","container-title":"The Journal of Sexual Medicine","DOI":"10.1111/j.1743-610</w:instrText>
      </w:r>
      <w:r>
        <w:rPr>
          <w:rFonts w:ascii="Arial" w:hAnsi="Arial" w:cs="Arial"/>
        </w:rPr>
        <w:instrText>9.2006.00319.x","ISSN":"1743-6095","issue":"2","journalAbbreviation":"J Sex Med","language":"eng","note":"PMID: 17040486","page":"311-321","source":"PubMed","title":"The prevalence of sexual dysfunction and potential risk factors that may impair sexual fun</w:instrText>
      </w:r>
      <w:r>
        <w:rPr>
          <w:rFonts w:ascii="Arial" w:hAnsi="Arial" w:cs="Arial"/>
        </w:rPr>
        <w:instrText>ction in Malaysian women","volume":"4","author":[{"family":"Sidi","given":"Hatta"},{"family":"Puteh","given":"Sharifah Ezat Wan"},{"family":"Abdullah","given":"Norni"},{"family":"Midin","given":"Marhani"}],"issued":{"date-parts":[["2007",3]]}}}],"schema":"</w:instrText>
      </w:r>
      <w:r>
        <w:rPr>
          <w:rFonts w:ascii="Arial" w:hAnsi="Arial" w:cs="Arial"/>
        </w:rPr>
        <w:instrText xml:space="preserve">https://github.com/citation-style-language/schema/raw/master/csl-citation.json"}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t xml:space="preserve"> These women may also be more likely to </w:t>
      </w:r>
      <w:proofErr w:type="spellStart"/>
      <w:r>
        <w:rPr>
          <w:rFonts w:ascii="Arial" w:hAnsi="Arial" w:cs="Arial"/>
        </w:rPr>
        <w:t>recognise</w:t>
      </w:r>
      <w:proofErr w:type="spellEnd"/>
      <w:r>
        <w:rPr>
          <w:rFonts w:ascii="Arial" w:hAnsi="Arial" w:cs="Arial"/>
        </w:rPr>
        <w:t xml:space="preserve"> and report sexual concerns, contributing to the observed association.</w:t>
      </w:r>
      <w:r>
        <w:t xml:space="preserve"> </w:t>
      </w:r>
      <w:r>
        <w:rPr>
          <w:rFonts w:ascii="Arial" w:hAnsi="Arial" w:cs="Arial"/>
        </w:rPr>
        <w:t xml:space="preserve">These findings highlight the need for culturally </w:t>
      </w:r>
      <w:r>
        <w:rPr>
          <w:rFonts w:ascii="Arial" w:hAnsi="Arial" w:cs="Arial"/>
        </w:rPr>
        <w:t>sensitive and tailored sexual health interventions. Healthcare providers should be mindful of how cultural and educational backgrounds influence patients’ perceptions, communication, and willingness to discuss sexual health issues. Incorporating culturally</w:t>
      </w:r>
      <w:r>
        <w:rPr>
          <w:rFonts w:ascii="Arial" w:hAnsi="Arial" w:cs="Arial"/>
        </w:rPr>
        <w:t xml:space="preserve"> competent approaches and ensuring privacy and trust in the clinical setting may improve disclosure and management of FSD, particularly in diverse multiethnic primary care populations like Malaysia.</w:t>
      </w:r>
    </w:p>
    <w:p w14:paraId="00241DCC" w14:textId="45629F1A" w:rsidR="00AE324A" w:rsidRDefault="004446E7">
      <w:pPr>
        <w:spacing w:line="480" w:lineRule="auto"/>
        <w:jc w:val="both"/>
        <w:rPr>
          <w:rFonts w:ascii="Arial" w:hAnsi="Arial" w:cs="Arial"/>
        </w:rPr>
      </w:pPr>
      <w:r>
        <w:rPr>
          <w:rFonts w:ascii="Arial" w:hAnsi="Arial" w:cs="Arial"/>
        </w:rPr>
        <w:t>Psychological distress, specifically depression and anxiety, emerged as strong and significant predictors of FSD. These findings are consistent with global literature, including in systematic review, which identified poor mental health as one of the most robust and consistent determinants of FSD across diverse populations.</w:t>
      </w:r>
      <w:r>
        <w:rPr>
          <w:rFonts w:ascii="Arial" w:hAnsi="Arial" w:cs="Arial"/>
        </w:rPr>
        <w:fldChar w:fldCharType="begin"/>
      </w:r>
      <w:r>
        <w:rPr>
          <w:rFonts w:ascii="Arial" w:hAnsi="Arial" w:cs="Arial"/>
        </w:rPr>
        <w:instrText xml:space="preserve"> ADDIN ZOTERO_ITEM CSL_CITATION {"citationID":"8qXLzSnb","properties":{"formattedCitation":"(3)","plainCitation":"(3)","noteIndex":0},"citationItems":[{"id":2349,"uris":["http://zotero.org/users/4073496/items/IEYN95D9"],"itemData":{"id":2349,"type":"article-journal","abstract":"BACKGROUND: Female sexual dysfunction affects 41% of reproductive-age women worldwide, making it a highly prevalent medical issue. Predictors of female sexual dysfunction are multifaceted and vary from country to country. A synthesis of potential risk factors and protective factors may aid healthcare practitioners in identifying populations at risk, in addition to revealing modifiable factors to prevent sexual dysfunction among reproductive-age women.\nMETHODS: Observational studies which assessed the prevalence and predictors of female sexual dysfunction in reproductive-age women were systematically sought in relevant databases (2000-2014). Significant predictors were extracted from each included publication. A qualitative analysis of predictors was performed with a focus on types of sexual regimes and level of human development.\nRESULTS: One hundred thirty-five studies from 41 countries were included in the systematic review. The types of predictors varied according to the location of the study, the type of sexual regime and the level of gender inequality in that country/region. Consistently significant risk factors of female sexual dysfunction were: poor physical health, poor mental health, stress, abortion, genitourinary problems, female genital mutilation, relationship dissatisfaction, sexual abuse, and being religious. Consistently significant protective factors included: older age at marriage, exercising, daily affection, intimate communication, having a positive body image, and sex education. Some factors however had an unclear effect: age, education, employment, parity, being in a relationship, frequency of sexual intercourse, race, alcohol consumption, smoking and masturbation.\nCONCLUSIONS: The sexual and reproductive lives of women are highly impacted by female sexual dysfunction, and a number of biological, psychological and social factors play a role in the prevalence of sexual dysfunction. Healthcare professionals who work with women should be aware of the many risk factors for reproductive-age women. Future prevention strategies should aim to address modifiable factors, e.g. physical activity and access to sex education; international efforts in empowering women should continue.","container-title":"BMC women's health","DOI":"10.1186/s12905-018-0602-4","ISSN":"1472-6874","issue":"1","journalAbbreviation":"BMC Womens Health","language":"eng","note":"PMID: 29929499\nPMCID: PMC6013982","page":"108","source":"PubMed","title":"Predictors of female sexual dysfunction: a systematic review and qualitative analysis through gender inequality paradigms","title-short":"Predictors of female sexual dysfunction","volume":"18","author":[{"family":"McCool-Myers","given":"Megan"},{"family":"Theurich","given":"Melissa"},{"family":"Zuelke","given":"Andrea"},{"family":"Knuettel","given":"Helge"},{"family":"Apfelbacher","given":"Christian"}],"issued":{"date-parts":[["2018",6,22]]}}}],"schema":"https://github.com/citation-style-language/schema/raw/master/csl-citation.json"}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Depression and anxiety can adversely affect multiple dimensions of sexual function, including libido, arousal, and satisfaction.</w:t>
      </w:r>
      <w:r>
        <w:rPr>
          <w:rFonts w:ascii="Arial" w:hAnsi="Arial" w:cs="Arial"/>
        </w:rPr>
        <w:fldChar w:fldCharType="begin"/>
      </w:r>
      <w:r>
        <w:rPr>
          <w:rFonts w:ascii="Arial" w:hAnsi="Arial" w:cs="Arial"/>
        </w:rPr>
        <w:instrText xml:space="preserve"> ADDIN ZOTERO_ITEM CSL_CITATION {"citationID":"mvLQZvXu","properties":{"formattedCitation":"(3)","plainCitation":"(3)","noteIndex":0},"citationItems":[{"id":2349,"uris":["http://zotero.org/users/4073496/items/IEYN95D9"],"itemData":{"id":2349,"type":"article-journal","abstract":"BACKGROUND: Female sexual dysfunction affects 41% of reproductive-age women worldwide, making it a highly prevalent medical issue. Predictors of female sexual dysfunction are multifaceted and vary from country to country. A synthesis of potential risk factors and protective factors may aid healthcare practitioners in identifying populations at risk, in addition to revealing modifiable factors to prevent sexual dysfunction among reproductive-age women.\nMETHODS: Observational studies which assessed the prevalence and predictors of female sexual dysfunction in reproductive-age women were systematically sought in relevant databases (2000-2014). Significant predictors were extracted from each included publication. A qualitative analysis of predictors was performed with a focus on types of sexual regimes and level of human development.\nRESULTS: One hundred thirty-five studies from 41 countries were included in the systematic review. The types of predictors varied according to the location of the study, the type of sexual regime and the level of gender inequality in that country/region. Consistently significant risk factors of female sexual dysfunction were: poor physical health, poor mental health, stress, abortion, genitourinary problems, female genital mutilation, relationship dissatisfaction, sexual abuse, and being religious. Consistently significant protective factors included: older age at marriage, exercising, daily affection, intimate communication, having a positive body image, and sex education. Some factors however had an unclear effect: age, education, employment, parity, being in a relationship, frequency of sexual intercourse, race, alcohol consumption, smoking and masturbation.\nCONCLUSIONS: The sexual and reproductive lives of women are highly impacted by female sexual dysfunction, and a number of biological, psychological and social factors play a role in the prevalence of sexual dysfunction. Healthcare professionals who work with women should be aware of the many risk factors for reproductive-age women. Future prevention strategies should aim to address modifiable factors, e.g. physical activity and access to sex education; international efforts in empowering women should continue.","container-title":"BMC women's health","DOI":"10.1186/s12905-018-0602-4","ISSN":"1472-6874","issue":"1","journalAbbreviation":"BMC Womens Health","language":"eng","note":"PMID: 29929499\nPMCID: PMC6013982","page":"108","source":"PubMed","title":"Predictors of female sexual dysfunction: a systematic review and qualitative analysis through gender inequality paradigms","title-short":"Predictors of female sexual dysfunction","volume":"18","author":[{"family":"McCool-Myers","given":"Megan"},{"family":"Theurich","given":"Melissa"},{"family":"Zuelke","given":"Andrea"},{"family":"Knuettel","given":"Helge"},{"family":"Apfelbacher","given":"Christian"}],"issued":{"date-parts":[["2018",6,22]]}}}],"schema":"https://github.com/citation-style-language/schema/raw/master/csl-citation.json"}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The underlying mechanisms may involve dysregulation of neurotransmitters, reduced self-esteem, negative body image, emotional detachment, and impaired relational dynamics, all of which contribute to diminished sexual interest and responsiveness.</w:t>
      </w:r>
      <w:r>
        <w:rPr>
          <w:rFonts w:ascii="Arial" w:hAnsi="Arial" w:cs="Arial"/>
        </w:rPr>
        <w:fldChar w:fldCharType="begin"/>
      </w:r>
      <w:r>
        <w:rPr>
          <w:rFonts w:ascii="Arial" w:hAnsi="Arial" w:cs="Arial"/>
        </w:rPr>
        <w:instrText xml:space="preserve"> ADDIN ZOTERO_ITEM CSL_CITATION {"citationID":"kh97rqaQ","properties":{"formattedCitation":"(3)","plainCitation":"(3)","noteIndex":0},"citationItems":[{"id":2349,"uris":["http://zotero.org/users/4073496/items/IEYN95D9"],"itemData":{"id":2349,"type":"article-journal","abstract":"BACKGROUND: Female sexual dysfunction affects 41% of reproductive-age women worldwide, making it a highly prevalent medical issue. Predictors of female sexual dysfunction are multifaceted and vary from country to country. A synthesis of potential risk factors and protective factors may aid healthcare practitioners in identifying populations at risk, in addition to revealing modifiable factors to prevent sexual dysfunction among reproductive-age women.\nMETHODS: Observational studies which assessed the prevalence and predictors of female sexual dysfunction in reproductive-age women were systematically sought in relevant databases (2000-2014). Significant predictors were extracted from each included publication. A qualitative analysis of predictors was performed with a focus on types of sexual regimes and level of human development.\nRESULTS: One hundred thirty-five studies from 41 countries were included in the systematic review. The types of predictors varied according to the location of the study, the type of sexual regime and the level of gender inequality in that country/region. Consistently significant risk factors of female sexual dysfunction were: poor physical health, poor mental health, stress, abortion, genitourinary problems, female genital mutilation, relationship dissatisfaction, sexual abuse, and being religious. Consistently significant protective factors included: older age at marriage, exercising, daily affection, intimate communication, having a positive body image, and sex education. Some factors however had an unclear effect: age, education, employment, parity, being in a relationship, frequency of sexual intercourse, race, alcohol consumption, smoking and masturbation.\nCONCLUSIONS: The sexual and reproductive lives of women are highly impacted by female sexual dysfunction, and a number of biological, psychological and social factors play a role in the prevalence of sexual dysfunction. Healthcare professionals who work with women should be aware of the many risk factors for reproductive-age women. Future prevention strategies should aim to address modifiable factors, e.g. physical activity and access to sex education; international efforts in empowering women should continue.","container-title":"BMC women's health","DOI":"10.1186/s12905-018-0602-4","ISSN":"1472-6874","issue":"1","journalAbbreviation":"BMC Womens Health","language":"eng","note":"PMID: 29929499\nPMCID: PMC6013982","page":"108","source":"PubMed","title":"Predictors of female sexual dysfunction: a systematic review and qualitative analysis through gender inequality paradigms","title-short":"Predictors of female sexual dysfunction","volume":"18","author":[{"family":"McCool-Myers","given":"Megan"},{"family":"Theurich","given":"Melissa"},{"family":"Zuelke","given":"Andrea"},{"family":"Knuettel","given":"Helge"},{"family":"Apfelbacher","given":"Christian"}],"issued":{"date-parts":[["2018",6,22]]}}}],"schema":"https://github.com/citation-style-language/schema/raw/master/csl-citation.json"}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Furthermore, the bidirectional relationship between FSD and psychological disorders may suggest that untreated sexual dysfunction may further exacerbate emotional distress, creating a cyclical pattern.</w:t>
      </w:r>
      <w:r>
        <w:rPr>
          <w:rFonts w:ascii="Arial" w:hAnsi="Arial" w:cs="Arial"/>
        </w:rPr>
        <w:fldChar w:fldCharType="begin"/>
      </w:r>
      <w:r>
        <w:rPr>
          <w:rFonts w:ascii="Arial" w:hAnsi="Arial" w:cs="Arial"/>
        </w:rPr>
        <w:instrText xml:space="preserve"> ADDIN ZOTERO_ITEM CSL_CITATION {"citationID":"Il4Rh3IW","properties":{"formattedCitation":"(3)","plainCitation":"(3)","noteIndex":0},"citationItems":[{"id":2349,"uris":["http://zotero.org/users/4073496/items/IEYN95D9"],"itemData":{"id":2349,"type":"article-journal","abstract":"BACKGROUND: Female sexual dysfunction affects 41% of reproductive-age women worldwide, making it a highly prevalent medical issue. Predictors of female sexual dysfunction are multifaceted and vary from country to country. A synthesis of potential risk factors and protective factors may aid healthcare practitioners in identifying populations at risk, in addition to revealing modifiable factors to prevent sexual dysfunction among reproductive-age women.\nMETHODS: Observational studies which assessed the prevalence and predictors of female sexual dysfunction in reproductive-age women were systematically sought in relevant databases (2000-2014). Significant predictors were extracted from each included publication. A qualitative analysis of predictors was performed with a focus on types of sexual regimes and level of human development.\nRESULTS: One hundred thirty-five studies from 41 countries were included in the systematic review. The types of predictors varied according to the location of the study, the type of sexual regime and the level of gender inequality in that country/region. Consistently significant risk factors of female sexual dysfunction were: poor physical health, poor mental health, stress, abortion, genitourinary problems, female genital mutilation, relationship dissatisfaction, sexual abuse, and being religious. Consistently significant protective factors included: older age at marriage, exercising, daily affection, intimate communication, having a positive body image, and sex education. Some factors however had an unclear effect: age, education, employment, parity, being in a relationship, frequency of sexual intercourse, race, alcohol consumption, smoking and masturbation.\nCONCLUSIONS: The sexual and reproductive lives of women are highly impacted by female sexual dysfunction, and a number of biological, psychological and social factors play a role in the prevalence of sexual dysfunction. Healthcare professionals who work with women should be aware of the many risk factors for reproductive-age women. Future prevention strategies should aim to address modifiable factors, e.g. physical activity and access to sex education; international efforts in empowering women should continue.","container-title":"BMC women's health","DOI":"10.1186/s12905-018-0602-4","ISSN":"1472-6874","issue":"1","journalAbbreviation":"BMC Womens Health","language":"eng","note":"PMID: 29929499\nPMCID: PMC6013982","page":"108","source":"PubMed","title":"Predictors of female sexual dysfunction: a systematic review and qualitative analysis through gender inequality paradigms","title-short":"Predictors of female sexual dysfunction","volume":"18","author":[{"family":"McCool-Myers","given":"Megan"},{"family":"Theurich","given":"Melissa"},{"family":"Zuelke","given":"Andrea"},{"family":"Knuettel","given":"Helge"},{"family":"Apfelbacher","given":"Christian"}],"issued":{"date-parts":[["2018",6,22]]}}}],"schema":"https://github.com/citation-style-language/schema/raw/master/csl-citation.json"}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These findings underscore the need for routine screening of mental health symptoms in women presenting with sexual dysfunction in primary care. Integrated, biopsychosocial approaches to assessment and management are essential, where sexual health is not treated in isolation but as part of a broader mental and emotional well-being framework. Collaborative care involving mental health professionals, where needed, may improve outcomes and provide more holistic, patient-</w:t>
      </w:r>
      <w:proofErr w:type="spellStart"/>
      <w:r>
        <w:rPr>
          <w:rFonts w:ascii="Arial" w:hAnsi="Arial" w:cs="Arial"/>
        </w:rPr>
        <w:t>centred</w:t>
      </w:r>
      <w:proofErr w:type="spellEnd"/>
      <w:r>
        <w:rPr>
          <w:rFonts w:ascii="Arial" w:hAnsi="Arial" w:cs="Arial"/>
        </w:rPr>
        <w:t> care.</w:t>
      </w:r>
    </w:p>
    <w:p w14:paraId="0497CAD8" w14:textId="77777777" w:rsidR="00AE324A" w:rsidRDefault="004A746B">
      <w:pPr>
        <w:spacing w:line="480" w:lineRule="auto"/>
        <w:jc w:val="both"/>
        <w:rPr>
          <w:rFonts w:ascii="Arial" w:hAnsi="Arial" w:cs="Arial"/>
        </w:rPr>
      </w:pPr>
      <w:r>
        <w:rPr>
          <w:rFonts w:ascii="Arial" w:hAnsi="Arial" w:cs="Arial"/>
        </w:rPr>
        <w:lastRenderedPageBreak/>
        <w:t>In this study, women who engaged i</w:t>
      </w:r>
      <w:r>
        <w:rPr>
          <w:rFonts w:ascii="Arial" w:hAnsi="Arial" w:cs="Arial"/>
        </w:rPr>
        <w:t xml:space="preserve">n sexual intercourse more than twice a week had 84% lower odds of developing FSD, suggesting that regular sexual activity may serve as a protective factor. This finding aligns with earlier local studies, which demonstrated a strong association between low </w:t>
      </w:r>
      <w:r>
        <w:rPr>
          <w:rFonts w:ascii="Arial" w:hAnsi="Arial" w:cs="Arial"/>
        </w:rPr>
        <w:t>sexual intercourse frequency and higher prevalence of FSD.</w:t>
      </w:r>
      <w:r>
        <w:rPr>
          <w:rFonts w:ascii="Arial" w:hAnsi="Arial" w:cs="Arial"/>
        </w:rPr>
        <w:fldChar w:fldCharType="begin"/>
      </w:r>
      <w:r>
        <w:rPr>
          <w:rFonts w:ascii="Arial" w:hAnsi="Arial" w:cs="Arial"/>
        </w:rPr>
        <w:instrText xml:space="preserve"> ADDIN ZOTERO_ITEM CSL_CITATION {"citationID":"W6gy1J7H","properties":{"formattedCitation":"(8,19)","plainCitation":"(8,19)","noteIndex":0},"citationItems":[{"id":2278,"uris":["http://zotero.org/use</w:instrText>
      </w:r>
      <w:r>
        <w:rPr>
          <w:rFonts w:ascii="Arial" w:hAnsi="Arial" w:cs="Arial"/>
        </w:rPr>
        <w:instrText>rs/4073496/items/NJM2C8R6"],"itemData":{"id":2278,"type":"article-journal","abstract":"INTRODUCTION: Female sexual dysfunction (FSD) is a prevalent sexual health problem that does not spare the women in Malaysia, a nation with a conservative multiethnic so</w:instrText>
      </w:r>
      <w:r>
        <w:rPr>
          <w:rFonts w:ascii="Arial" w:hAnsi="Arial" w:cs="Arial"/>
        </w:rPr>
        <w:instrText>ciety.\nAIM: To investigate the prevalence of FSD and the potential risk factors that may impair sexual function among women at a primary care setting in Malaysia.\nMAIN OUTCOME MEASURE: The prevalence, the risk factors, and the main predictors for FSD wer</w:instrText>
      </w:r>
      <w:r>
        <w:rPr>
          <w:rFonts w:ascii="Arial" w:hAnsi="Arial" w:cs="Arial"/>
        </w:rPr>
        <w:instrText>e measured among these women.\nMETHODS: A validated Malay version of the Female Sexual Function Index was used to assess FSD. A total of 230 married women aged 18-70 years participated in this study. The sociodemographic and marital profiles of women who h</w:instrText>
      </w:r>
      <w:r>
        <w:rPr>
          <w:rFonts w:ascii="Arial" w:hAnsi="Arial" w:cs="Arial"/>
        </w:rPr>
        <w:instrText>ad FSD and those who did not were compared; the risk factors for FSD were determined.\nRESULTS: The majority of the respondents were younger than 50 years old, predominantly Malays, and had a higher academic achievement. The prevalence of FSD in the primar</w:instrText>
      </w:r>
      <w:r>
        <w:rPr>
          <w:rFonts w:ascii="Arial" w:hAnsi="Arial" w:cs="Arial"/>
        </w:rPr>
        <w:instrText xml:space="preserve">y care population was 29.6%. The prevalence of women with lack of orgasms, low sexual arousal, lack of lubrication, sexual dissatisfaction, and sexual pain were 59.1%, 60.9%, 50.4%, 52.2%, and 67.8%, respectively.\nCONCLUSION: The risk factors for FSD are </w:instrText>
      </w:r>
      <w:r>
        <w:rPr>
          <w:rFonts w:ascii="Arial" w:hAnsi="Arial" w:cs="Arial"/>
        </w:rPr>
        <w:instrText>older age, Malays, married longer (more than 14 years), having less sexual intercourse (less than 1-2 times a week), having more children, married to an older husband (aged &gt;42 years), and having a higher academic status. Lack of lubrication is found to be</w:instrText>
      </w:r>
      <w:r>
        <w:rPr>
          <w:rFonts w:ascii="Arial" w:hAnsi="Arial" w:cs="Arial"/>
        </w:rPr>
        <w:instrText xml:space="preserve"> the main predictor for FSD in this study. Is lack of lubrication a cause or a complication of FSD? Prospective research is needed in the near future.","container-title":"The Journal of Sexual Medicine","DOI":"10.1111/j.1743-6109.2006.00319.x","ISSN":"1743</w:instrText>
      </w:r>
      <w:r>
        <w:rPr>
          <w:rFonts w:ascii="Arial" w:hAnsi="Arial" w:cs="Arial"/>
        </w:rPr>
        <w:instrText>-6095","issue":"2","journalAbbreviation":"J Sex Med","language":"eng","note":"PMID: 17040486","page":"311-321","source":"PubMed","title":"The prevalence of sexual dysfunction and potential risk factors that may impair sexual function in Malaysian women","v</w:instrText>
      </w:r>
      <w:r>
        <w:rPr>
          <w:rFonts w:ascii="Arial" w:hAnsi="Arial" w:cs="Arial"/>
        </w:rPr>
        <w:instrText>olume":"4","author":[{"family":"Sidi","given":"Hatta"},{"family":"Puteh","given":"Sharifah Ezat Wan"},{"family":"Abdullah","given":"Norni"},{"family":"Midin","given":"Marhani"}],"issued":{"date-parts":[["2007",3]]}},"label":"page"},{"id":2355,"uris":["http</w:instrText>
      </w:r>
      <w:r>
        <w:rPr>
          <w:rFonts w:ascii="Arial" w:hAnsi="Arial" w:cs="Arial"/>
        </w:rPr>
        <w:instrText>://zotero.org/users/4073496/items/F29RFFGN"],"itemData":{"id":2355,"type":"webpage","title":"Sexual desire disorder in female healthcare personnel in Malaysia - Grewal - 2013 - Asia-Pacific Psychiatry - Wiley Online Library","URL":"https://onlinelibrary.wi</w:instrText>
      </w:r>
      <w:r>
        <w:rPr>
          <w:rFonts w:ascii="Arial" w:hAnsi="Arial" w:cs="Arial"/>
        </w:rPr>
        <w:instrText xml:space="preserve">ley.com/doi/10.1111/appy.12037?msockid=2efb6982d7d3631504db7f91d6446257","accessed":{"date-parts":[["2025",8,8]]}},"label":"page"}],"schema":"https://github.com/citation-style-language/schema/raw/master/csl-citation.json"} </w:instrText>
      </w:r>
      <w:r>
        <w:rPr>
          <w:rFonts w:ascii="Arial" w:hAnsi="Arial" w:cs="Arial"/>
        </w:rPr>
        <w:fldChar w:fldCharType="separate"/>
      </w:r>
      <w:r>
        <w:rPr>
          <w:rFonts w:ascii="Arial" w:hAnsi="Arial" w:cs="Arial"/>
        </w:rPr>
        <w:t>(8,19)</w:t>
      </w:r>
      <w:r>
        <w:rPr>
          <w:rFonts w:ascii="Arial" w:hAnsi="Arial" w:cs="Arial"/>
        </w:rPr>
        <w:fldChar w:fldCharType="end"/>
      </w:r>
      <w:r>
        <w:rPr>
          <w:rFonts w:ascii="Arial" w:hAnsi="Arial" w:cs="Arial"/>
        </w:rPr>
        <w:t xml:space="preserve"> More recently, a local </w:t>
      </w:r>
      <w:r>
        <w:rPr>
          <w:rFonts w:ascii="Arial" w:hAnsi="Arial" w:cs="Arial"/>
        </w:rPr>
        <w:t>study also reported that higher sexual frequency was correlated with better FSFI scores across all domains, including desire, arousal, lubrication, orgasm, satisfaction, and pain.</w:t>
      </w:r>
      <w:r>
        <w:rPr>
          <w:rFonts w:ascii="Arial" w:hAnsi="Arial" w:cs="Arial"/>
        </w:rPr>
        <w:fldChar w:fldCharType="begin"/>
      </w:r>
      <w:r>
        <w:rPr>
          <w:rFonts w:ascii="Arial" w:hAnsi="Arial" w:cs="Arial"/>
        </w:rPr>
        <w:instrText xml:space="preserve"> ADDIN ZOTERO_ITEM CSL_CITATION {"citationID":"ECl5lWiL","properties":{"forma</w:instrText>
      </w:r>
      <w:r>
        <w:rPr>
          <w:rFonts w:ascii="Arial" w:hAnsi="Arial" w:cs="Arial"/>
        </w:rPr>
        <w:instrText>ttedCitation":"(7)","plainCitation":"(7)","noteIndex":0},"citationItems":[{"id":2290,"uris":["http://zotero.org/users/4073496/items/NEKC5NGR"],"itemData":{"id":2290,"type":"article-journal","abstract":"Introduction:\nThis study aimed to determine the preva</w:instrText>
      </w:r>
      <w:r>
        <w:rPr>
          <w:rFonts w:ascii="Arial" w:hAnsi="Arial" w:cs="Arial"/>
        </w:rPr>
        <w:instrText>lence and factors associated with female sexual dysfunction in an outpatient clinic in Malaysia.\n\nMethods:\nThe study was conducted among female patients aged 50 years and older who attended the outpatient clinic of a public hospital in Malaysia. A self-</w:instrText>
      </w:r>
      <w:r>
        <w:rPr>
          <w:rFonts w:ascii="Arial" w:hAnsi="Arial" w:cs="Arial"/>
        </w:rPr>
        <w:instrText xml:space="preserve">administered questionnaire was used that was based on the Malay version of the Female Sexual Function Index questionnaire. The predictors of female sexual dysfunction were identified using multivariate logistic regression analysis.\n\nResults:\nA total of </w:instrText>
      </w:r>
      <w:r>
        <w:rPr>
          <w:rFonts w:ascii="Arial" w:hAnsi="Arial" w:cs="Arial"/>
        </w:rPr>
        <w:instrText>263 females were recruited in this study, with a mean age of 60.6 ± 6.7 years. The distribution of the respondents’ ethnicities was mostly Malay (42.2%), followed by Chinese (41.8%) and Indian (16.0%). The prevalence of female sexual dysfunction among part</w:instrText>
      </w:r>
      <w:r>
        <w:rPr>
          <w:rFonts w:ascii="Arial" w:hAnsi="Arial" w:cs="Arial"/>
        </w:rPr>
        <w:instrText>icipants was 68.8%. The prevalence of the subscales of female sexual dysfunction was as follows: desire (85.2%), satisfaction (74.9%), arousal (71.1%), lubrication (66.9%), pain (61.2%), and orgasm (60.8%). According to multivariate logistic regression, pa</w:instrText>
      </w:r>
      <w:r>
        <w:rPr>
          <w:rFonts w:ascii="Arial" w:hAnsi="Arial" w:cs="Arial"/>
        </w:rPr>
        <w:instrText>tients of Indian ethnicity had an increased risk of female sexual dysfunction (0R=16.60, 95% CI=2.54-108.63), and a higher frequency of sexual intercourse was correlated with a lower risk of female sexual dysfunction (0R=0.13, 95% CI=0.08-0.24).\n\nConclus</w:instrText>
      </w:r>
      <w:r>
        <w:rPr>
          <w:rFonts w:ascii="Arial" w:hAnsi="Arial" w:cs="Arial"/>
        </w:rPr>
        <w:instrText>ion:\nSeven-tenths of the middle-aged female patients attending the outpatient clinic suffered from female sexual dysfunction. Indian ethnicity and having a lower frequency of sexual intercourse were predictors of female sexual dysfunction. Future interven</w:instrText>
      </w:r>
      <w:r>
        <w:rPr>
          <w:rFonts w:ascii="Arial" w:hAnsi="Arial" w:cs="Arial"/>
        </w:rPr>
        <w:instrText xml:space="preserve">tion studies are needed to address this problem.","container-title":"Malaysian Family Physician : the Official Journal of the Academy of Family Physicians of Malaysia","DOI":"10.51866/oa.86","ISSN":"1985-207X","issue":"2","journalAbbreviation":"Malays Fam </w:instrText>
      </w:r>
      <w:r>
        <w:rPr>
          <w:rFonts w:ascii="Arial" w:hAnsi="Arial" w:cs="Arial"/>
        </w:rPr>
        <w:instrText>Physician","note":"PMID: 35949996\nPMCID: PMC9357414","page":"56-63","source":"PubMed Central","title":"Prevalence and factors associated with sexual dysfunction among middle-aged women in a multi-ethnic country: A cross sectional study in Malaysia","title</w:instrText>
      </w:r>
      <w:r>
        <w:rPr>
          <w:rFonts w:ascii="Arial" w:hAnsi="Arial" w:cs="Arial"/>
        </w:rPr>
        <w:instrText>-short":"Prevalence and factors associated with sexual dysfunction among middle-aged women in a multi-ethnic country","volume":"17","author":[{"family":"Tey","given":"Yin Yee"},{"family":"Ching","given":"Siew Mooi"},{"family":"Maharajan","given":"Mari Kann</w:instrText>
      </w:r>
      <w:r>
        <w:rPr>
          <w:rFonts w:ascii="Arial" w:hAnsi="Arial" w:cs="Arial"/>
        </w:rPr>
        <w:instrText>an"},{"family":"Lee","given":"Kai Wei"},{"family":"Chow","given":"Zhen Yee"},{"family":"Chua","given":"Pei Wen"},{"family":"Tan","given":"Chin Xuan"},{"family":"Lim","given":"Shi Nie"},{"family":"Tan","given":"Chun Han"},{"family":"Thew","given":"Hui Zhu"}</w:instrText>
      </w:r>
      <w:r>
        <w:rPr>
          <w:rFonts w:ascii="Arial" w:hAnsi="Arial" w:cs="Arial"/>
        </w:rPr>
        <w:instrText xml:space="preserve">,{"family":"Ramachandran","given":"Vasudevan"},{"family":"Hoo","given":"Fan Kee"}],"issued":{"date-parts":[["2022",3,17]]}}}],"schema":"https://github.com/citation-style-language/schema/raw/master/csl-citation.json"}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xml:space="preserve"> The protective effect of frequen</w:t>
      </w:r>
      <w:r>
        <w:rPr>
          <w:rFonts w:ascii="Arial" w:hAnsi="Arial" w:cs="Arial"/>
        </w:rPr>
        <w:t>t sexual activity may be attributed to both physiological and psychosocial mechanisms.</w:t>
      </w:r>
      <w:r>
        <w:rPr>
          <w:rFonts w:ascii="Arial" w:hAnsi="Arial" w:cs="Arial"/>
        </w:rPr>
        <w:fldChar w:fldCharType="begin"/>
      </w:r>
      <w:r>
        <w:rPr>
          <w:rFonts w:ascii="Arial" w:hAnsi="Arial" w:cs="Arial"/>
        </w:rPr>
        <w:instrText xml:space="preserve"> ADDIN ZOTERO_ITEM CSL_CITATION {"citationID":"yh4nObR4","properties":{"formattedCitation":"(20)","plainCitation":"(20)","noteIndex":0},"citationItems":[{"id":2357,"uris"</w:instrText>
      </w:r>
      <w:r>
        <w:rPr>
          <w:rFonts w:ascii="Arial" w:hAnsi="Arial" w:cs="Arial"/>
        </w:rPr>
        <w:instrText>:["http://zotero.org/users/4073496/items/DNRSW3XJ"],"itemData":{"id":2357,"type":"article-journal","abstract":"OBJECTIVE: Sexual activity is a fundamental human function with short-term and long-term emotional, social, and physical benefits. Yet within hea</w:instrText>
      </w:r>
      <w:r>
        <w:rPr>
          <w:rFonts w:ascii="Arial" w:hAnsi="Arial" w:cs="Arial"/>
        </w:rPr>
        <w:instrText>lthcare, sexuality has been marginalized and many HCPs are unaware of its beneficial implications for immediate and long-term health.\nMETHODS: To challenge this assumption we combined the data that already had been collected by the authors with an extensi</w:instrText>
      </w:r>
      <w:r>
        <w:rPr>
          <w:rFonts w:ascii="Arial" w:hAnsi="Arial" w:cs="Arial"/>
        </w:rPr>
        <w:instrText xml:space="preserve">ve search of articles on the various health benefits of sexual activity. The results of this process are displayed according to short-term, intermediate-term, and long-term benefits with some explanation about potential causal relationships.\nRESULTS: For </w:instrText>
      </w:r>
      <w:r>
        <w:rPr>
          <w:rFonts w:ascii="Arial" w:hAnsi="Arial" w:cs="Arial"/>
        </w:rPr>
        <w:instrText>the time being, it cannot yet be proved that \"good sex promotes good health\" since good health also favors good sex.\nCONCLUSIONS: Despite lacking such convincing evidence, the article concludes with recommendations for the relevant professions. The bala</w:instrText>
      </w:r>
      <w:r>
        <w:rPr>
          <w:rFonts w:ascii="Arial" w:hAnsi="Arial" w:cs="Arial"/>
        </w:rPr>
        <w:instrText>nce of research supports that sexuality anyhow deserves greater attention among HCPs and that sexuality research needs better integration within health research.","container-title":"International Journal of Sexual Health: Official Journal of the World Asso</w:instrText>
      </w:r>
      <w:r>
        <w:rPr>
          <w:rFonts w:ascii="Arial" w:hAnsi="Arial" w:cs="Arial"/>
        </w:rPr>
        <w:instrText>ciation for Sexual Health","DOI":"10.1080/19317611.2021.1966564","ISSN":"1931-762X","issue":"4","journalAbbreviation":"Int J Sex Health","language":"eng","note":"PMID: 38595776\nPMCID: PMC10903655","page":"478-493","source":"PubMed","title":"The Health Ben</w:instrText>
      </w:r>
      <w:r>
        <w:rPr>
          <w:rFonts w:ascii="Arial" w:hAnsi="Arial" w:cs="Arial"/>
        </w:rPr>
        <w:instrText>efits of Sexual Expression","volume":"33","author":[{"family":"Gianotten","given":"Woet L."},{"family":"Alley","given":"Jenna C."},{"family":"Diamond","given":"Lisa M."}],"issued":{"date-parts":[["2021"]]}}}],"schema":"https://github.com/citation-style-lan</w:instrText>
      </w:r>
      <w:r>
        <w:rPr>
          <w:rFonts w:ascii="Arial" w:hAnsi="Arial" w:cs="Arial"/>
        </w:rPr>
        <w:instrText xml:space="preserve">guage/schema/raw/master/csl-citation.json"} </w:instrText>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xml:space="preserve"> Psychologically, it fosters intimacy, enhances relational satisfaction, and reinforces positive sexual self-perception, all of which can buffer against sexual dysfunction.</w:t>
      </w:r>
      <w:r>
        <w:rPr>
          <w:rFonts w:ascii="Arial" w:hAnsi="Arial" w:cs="Arial"/>
        </w:rPr>
        <w:fldChar w:fldCharType="begin"/>
      </w:r>
      <w:r>
        <w:rPr>
          <w:rFonts w:ascii="Arial" w:hAnsi="Arial" w:cs="Arial"/>
        </w:rPr>
        <w:instrText xml:space="preserve"> ADDIN ZOTERO_ITEM CSL_CITATION {</w:instrText>
      </w:r>
      <w:r>
        <w:rPr>
          <w:rFonts w:ascii="Arial" w:hAnsi="Arial" w:cs="Arial"/>
        </w:rPr>
        <w:instrText>"citationID":"BkHqC8GJ","properties":{"formattedCitation":"(20)","plainCitation":"(20)","noteIndex":0},"citationItems":[{"id":2357,"uris":["http://zotero.org/users/4073496/items/DNRSW3XJ"],"itemData":{"id":2357,"type":"article-journal","abstract":"OBJECTIV</w:instrText>
      </w:r>
      <w:r>
        <w:rPr>
          <w:rFonts w:ascii="Arial" w:hAnsi="Arial" w:cs="Arial"/>
        </w:rPr>
        <w:instrText>E: Sexual activity is a fundamental human function with short-term and long-term emotional, social, and physical benefits. Yet within healthcare, sexuality has been marginalized and many HCPs are unaware of its beneficial implications for immediate and lon</w:instrText>
      </w:r>
      <w:r>
        <w:rPr>
          <w:rFonts w:ascii="Arial" w:hAnsi="Arial" w:cs="Arial"/>
        </w:rPr>
        <w:instrText>g-term health.\nMETHODS: To challenge this assumption we combined the data that already had been collected by the authors with an extensive search of articles on the various health benefits of sexual activity. The results of this process are displayed acco</w:instrText>
      </w:r>
      <w:r>
        <w:rPr>
          <w:rFonts w:ascii="Arial" w:hAnsi="Arial" w:cs="Arial"/>
        </w:rPr>
        <w:instrText>rding to short-term, intermediate-term, and long-term benefits with some explanation about potential causal relationships.\nRESULTS: For the time being, it cannot yet be proved that \"good sex promotes good health\" since good health also favors good sex.\</w:instrText>
      </w:r>
      <w:r>
        <w:rPr>
          <w:rFonts w:ascii="Arial" w:hAnsi="Arial" w:cs="Arial"/>
        </w:rPr>
        <w:instrText xml:space="preserve">nCONCLUSIONS: Despite lacking such convincing evidence, the article concludes with recommendations for the relevant professions. The balance of research supports that sexuality anyhow deserves greater attention among HCPs and that sexuality research needs </w:instrText>
      </w:r>
      <w:r>
        <w:rPr>
          <w:rFonts w:ascii="Arial" w:hAnsi="Arial" w:cs="Arial"/>
        </w:rPr>
        <w:instrText>better integration within health research.","container-title":"International Journal of Sexual Health: Official Journal of the World Association for Sexual Health","DOI":"10.1080/19317611.2021.1966564","ISSN":"1931-762X","issue":"4","journalAbbreviation":"</w:instrText>
      </w:r>
      <w:r>
        <w:rPr>
          <w:rFonts w:ascii="Arial" w:hAnsi="Arial" w:cs="Arial"/>
        </w:rPr>
        <w:instrText>Int J Sex Health","language":"eng","note":"PMID: 38595776\nPMCID: PMC10903655","page":"478-493","source":"PubMed","title":"The Health Benefits of Sexual Expression","volume":"33","author":[{"family":"Gianotten","given":"Woet L."},{"family":"Alley","given":</w:instrText>
      </w:r>
      <w:r>
        <w:rPr>
          <w:rFonts w:ascii="Arial" w:hAnsi="Arial" w:cs="Arial"/>
        </w:rPr>
        <w:instrText xml:space="preserve">"Jenna C."},{"family":"Diamond","given":"Lisa M."}],"issued":{"date-parts":[["2021"]]}}}],"schema":"https://github.com/citation-style-language/schema/raw/master/csl-citation.json"} </w:instrText>
      </w:r>
      <w:r>
        <w:rPr>
          <w:rFonts w:ascii="Arial" w:hAnsi="Arial" w:cs="Arial"/>
        </w:rPr>
        <w:fldChar w:fldCharType="separate"/>
      </w:r>
      <w:r>
        <w:rPr>
          <w:rFonts w:ascii="Arial" w:hAnsi="Arial" w:cs="Arial"/>
        </w:rPr>
        <w:t>(20)</w:t>
      </w:r>
      <w:r>
        <w:rPr>
          <w:rFonts w:ascii="Arial" w:hAnsi="Arial" w:cs="Arial"/>
        </w:rPr>
        <w:fldChar w:fldCharType="end"/>
      </w:r>
      <w:r>
        <w:t xml:space="preserve"> </w:t>
      </w:r>
      <w:r>
        <w:rPr>
          <w:rFonts w:ascii="Arial" w:hAnsi="Arial" w:cs="Arial"/>
        </w:rPr>
        <w:t>Importantly, while lower sexual intercourse frequency may be a cons</w:t>
      </w:r>
      <w:r>
        <w:rPr>
          <w:rFonts w:ascii="Arial" w:hAnsi="Arial" w:cs="Arial"/>
        </w:rPr>
        <w:t>equence of FSD, it may also contribute to its development, suggesting a bidirectional relationship. This highlights the importance of assessing sexual activity patterns as part of a comprehensive sexual health evaluation in clinical settings. Interventions</w:t>
      </w:r>
      <w:r>
        <w:rPr>
          <w:rFonts w:ascii="Arial" w:hAnsi="Arial" w:cs="Arial"/>
        </w:rPr>
        <w:t xml:space="preserve"> aimed at restoring sexual intimacy and encouraging healthy sexual expression could therefore play a valuable role in both the prevention and management of FSD.</w:t>
      </w:r>
    </w:p>
    <w:p w14:paraId="4E4D68A2" w14:textId="07B7E02B" w:rsidR="00AE324A" w:rsidRDefault="004446E7">
      <w:pPr>
        <w:spacing w:line="480" w:lineRule="auto"/>
        <w:jc w:val="both"/>
        <w:rPr>
          <w:rFonts w:ascii="Arial" w:hAnsi="Arial" w:cs="Arial"/>
        </w:rPr>
      </w:pPr>
      <w:r>
        <w:rPr>
          <w:rFonts w:ascii="Arial" w:hAnsi="Arial" w:cs="Arial"/>
        </w:rPr>
        <w:t>This study found that the partner’s age and the presence of partner sexual dysfunction were significant predictors of FSD. Women with partners aged 60 years and above had a tenfold increased odds of experiencing FSD, consistent with findings from a local study that highlighted a higher prevalence of sexual dysfunction among women married to older spouses.</w:t>
      </w:r>
      <w:r>
        <w:rPr>
          <w:rFonts w:ascii="Arial" w:hAnsi="Arial" w:cs="Arial"/>
        </w:rPr>
        <w:fldChar w:fldCharType="begin"/>
      </w:r>
      <w:r>
        <w:rPr>
          <w:rFonts w:ascii="Arial" w:hAnsi="Arial" w:cs="Arial"/>
        </w:rPr>
        <w:instrText xml:space="preserve"> ADDIN ZOTERO_ITEM CSL_CITATION {"citationID":"K6i48hz8","properties":{"formattedCitation":"(8)","plainCitation":"(8)","noteIndex":0},"citationItems":[{"id":2278,"uris":["http://zotero.org/users/4073496/items/NJM2C8R6"],"itemData":{"id":2278,"type":"article-journal","abstract":"INTRODUCTION: Female sexual dysfunction (FSD) is a prevalent sexual health problem that does not spare the women in Malaysia, a nation with a conservative multiethnic society.\nAIM: To investigate the prevalence of FSD and the potential risk factors that may impair sexual function among women at a primary care setting in Malaysia.\nMAIN OUTCOME MEASURE: The prevalence, the risk factors, and the main predictors for FSD were measured among these women.\nMETHODS: A validated Malay version of the Female Sexual Function Index was used to assess FSD. A total of 230 married women aged 18-70 years participated in this study. The sociodemographic and marital profiles of women who had FSD and those who did not were compared; the risk factors for FSD were determined.\nRESULTS: The majority of the respondents were younger than 50 years old, predominantly Malays, and had a higher academic achievement. The prevalence of FSD in the primary care population was 29.6%. The prevalence of women with lack of orgasms, low sexual arousal, lack of lubrication, sexual dissatisfaction, and sexual pain were 59.1%, 60.9%, 50.4%, 52.2%, and 67.8%, respectively.\nCONCLUSION: The risk factors for FSD are older age, Malays, married longer (more than 14 years), having less sexual intercourse (less than 1-2 times a week), having more children, married to an older husband (aged &gt;42 years), and having a higher academic status. Lack of lubrication is found to be the main predictor for FSD in this study. Is lack of lubrication a cause or a complication of FSD? Prospective research is needed in the near future.","container-title":"The Journal of Sexual Medicine","DOI":"10.1111/j.1743-6109.2006.00319.x","ISSN":"1743-6095","issue":"2","journalAbbreviation":"J Sex Med","language":"eng","note":"PMID: 17040486","page":"311-321","source":"PubMed","title":"The prevalence of sexual dysfunction and potential risk factors that may impair sexual function in Malaysian women","volume":"4","author":[{"family":"Sidi","given":"Hatta"},{"family":"Puteh","given":"Sharifah Ezat Wan"},{"family":"Abdullah","given":"Norni"},{"family":"Midin","given":"Marhani"}],"issued":{"date-parts":[["2007",3]]}}}],"schema":"https://github.com/citation-style-language/schema/raw/master/csl-citation.json"}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t xml:space="preserve"> The association may reflect age-related declines in male sexual performance, reduced intimacy, or unmet sexual expectations, which in turn affect the woman’s sexual satisfaction. On the contrary, partner sexual dysfunction emerged as a strong independent predictor, reinforcing the concept of sexual functioning as a dyadic process, which aligns with a local study in a tertiary hospital, which identified partner dysfunction as the most significant predictor of FSD.</w:t>
      </w:r>
      <w:r>
        <w:rPr>
          <w:rFonts w:ascii="Arial" w:hAnsi="Arial" w:cs="Arial"/>
        </w:rPr>
        <w:fldChar w:fldCharType="begin"/>
      </w:r>
      <w:r>
        <w:rPr>
          <w:rFonts w:ascii="Arial" w:hAnsi="Arial" w:cs="Arial"/>
        </w:rPr>
        <w:instrText xml:space="preserve"> ADDIN ZOTERO_ITEM CSL_CITATION {"citationID":"9pqadBsT","properties":{"formattedCitation":"(19)","plainCitation":"(19)","noteIndex":0},"citationItems":[{"id":2355,"uris":["http://zotero.org/users/4073496/items/F29RFFGN"],"itemData":{"id":2355,"type":"webpage","title":"Sexual desire disorder in female healthcare personnel in Malaysia - Grewal - 2013 - Asia-Pacific Psychiatry - Wiley Online Library","URL":"https://onlinelibrary.wiley.com/doi/10.1111/appy.12037?msockid=2efb6982d7d3631504db7f91d6446257","accessed":{"date-parts":[["2025",8,8]]}}}],"schema":"https://github.com/citation-style-language/schema/raw/master/csl-citation.json"}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t xml:space="preserve"> These findings </w:t>
      </w:r>
      <w:proofErr w:type="spellStart"/>
      <w:r>
        <w:rPr>
          <w:rFonts w:ascii="Arial" w:hAnsi="Arial" w:cs="Arial"/>
        </w:rPr>
        <w:t>emphasise</w:t>
      </w:r>
      <w:proofErr w:type="spellEnd"/>
      <w:r>
        <w:rPr>
          <w:rFonts w:ascii="Arial" w:hAnsi="Arial" w:cs="Arial"/>
        </w:rPr>
        <w:t xml:space="preserve"> the interdependence of partners’ sexual health and the necessity for clinicians to assess and manage sexual concerns as a couple’s issue, rather than in isolation. Relationship satisfaction, mutual communication, and shared </w:t>
      </w:r>
      <w:r>
        <w:rPr>
          <w:rFonts w:ascii="Arial" w:hAnsi="Arial" w:cs="Arial"/>
        </w:rPr>
        <w:lastRenderedPageBreak/>
        <w:t>intimacy are essential elements influencing sexual health and in long-term relationships, these dynamics become even more critical.</w:t>
      </w:r>
      <w:r>
        <w:rPr>
          <w:rFonts w:ascii="Arial" w:hAnsi="Arial" w:cs="Arial"/>
        </w:rPr>
        <w:fldChar w:fldCharType="begin"/>
      </w:r>
      <w:r>
        <w:rPr>
          <w:rFonts w:ascii="Arial" w:hAnsi="Arial" w:cs="Arial"/>
        </w:rPr>
        <w:instrText xml:space="preserve"> ADDIN ZOTERO_ITEM CSL_CITATION {"citationID":"JqqFPoGF","properties":{"formattedCitation":"(19)","plainCitation":"(19)","noteIndex":0},"citationItems":[{"id":2355,"uris":["http://zotero.org/users/4073496/items/F29RFFGN"],"itemData":{"id":2355,"type":"webpage","title":"Sexual desire disorder in female healthcare personnel in Malaysia - Grewal - 2013 - Asia-Pacific Psychiatry - Wiley Online Library","URL":"https://onlinelibrary.wiley.com/doi/10.1111/appy.12037?msockid=2efb6982d7d3631504db7f91d6446257","accessed":{"date-parts":[["2025",8,8]]}}}],"schema":"https://github.com/citation-style-language/schema/raw/master/csl-citation.json"}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t xml:space="preserve"> Therefore, incorporating couple-based counselling and partner involvement into sexual health management, especially in primary care, may improve outcomes and foster more supportive, holistic care strategies.</w:t>
      </w:r>
    </w:p>
    <w:p w14:paraId="0AB3DE7D" w14:textId="77777777" w:rsidR="00AE324A" w:rsidRDefault="00AE324A">
      <w:pPr>
        <w:pStyle w:val="Body"/>
        <w:spacing w:after="0"/>
        <w:rPr>
          <w:rFonts w:ascii="Arial" w:hAnsi="Arial" w:cs="Arial"/>
        </w:rPr>
      </w:pPr>
    </w:p>
    <w:p w14:paraId="316B279F" w14:textId="77777777" w:rsidR="00AE324A" w:rsidRDefault="004A746B">
      <w:pPr>
        <w:pStyle w:val="ConcHead"/>
        <w:spacing w:after="0"/>
        <w:jc w:val="both"/>
        <w:rPr>
          <w:rFonts w:ascii="Arial" w:hAnsi="Arial" w:cs="Arial"/>
        </w:rPr>
      </w:pPr>
      <w:r>
        <w:rPr>
          <w:rFonts w:ascii="Arial" w:hAnsi="Arial" w:cs="Arial"/>
        </w:rPr>
        <w:t>4. Conclusion</w:t>
      </w:r>
    </w:p>
    <w:p w14:paraId="76DBB9CD" w14:textId="77777777" w:rsidR="00AE324A" w:rsidRDefault="00AE324A">
      <w:pPr>
        <w:pStyle w:val="ConcHead"/>
        <w:spacing w:after="0"/>
        <w:jc w:val="both"/>
        <w:rPr>
          <w:rFonts w:ascii="Arial" w:hAnsi="Arial" w:cs="Arial"/>
        </w:rPr>
      </w:pPr>
    </w:p>
    <w:p w14:paraId="6673F2C5" w14:textId="77777777" w:rsidR="00AE324A" w:rsidRDefault="004A746B">
      <w:pPr>
        <w:pStyle w:val="Body"/>
        <w:spacing w:after="0" w:line="480" w:lineRule="auto"/>
        <w:rPr>
          <w:rFonts w:ascii="Arial" w:hAnsi="Arial" w:cs="Arial"/>
        </w:rPr>
      </w:pPr>
      <w:r>
        <w:rPr>
          <w:rFonts w:ascii="Arial" w:hAnsi="Arial" w:cs="Arial"/>
        </w:rPr>
        <w:t>This study confirms that FSD is prevalent among adult women in Malaysia and is influenced by complex multiple biopsychosocial factors, including age, reproductive status, partner-related factors, education, frequency of sexual intercourse, and psychologica</w:t>
      </w:r>
      <w:r>
        <w:rPr>
          <w:rFonts w:ascii="Arial" w:hAnsi="Arial" w:cs="Arial"/>
        </w:rPr>
        <w:t xml:space="preserve">l well-being. The reproductive transition, partner dysfunction, and psychological distress are particularly strong predictors. These findings underscore the need to incorporate routine sexual health screening, especially among midlife and older women, and </w:t>
      </w:r>
      <w:r>
        <w:rPr>
          <w:rFonts w:ascii="Arial" w:hAnsi="Arial" w:cs="Arial"/>
        </w:rPr>
        <w:t>highlight the importance of couple-based interventions in primary care. Further longitudinal and interventional studies are needed to explore causal relationships and test targeted interventions. A major strength of this study lies in its high response rat</w:t>
      </w:r>
      <w:r>
        <w:rPr>
          <w:rFonts w:ascii="Arial" w:hAnsi="Arial" w:cs="Arial"/>
        </w:rPr>
        <w:t>e (90%) and large sample size, which enhances generalizability within the local context. The use of a Malay language version validated tool (MVFSFI) adds robustness to the findings. However, the cross-sectional nature limits causal inference. Social desira</w:t>
      </w:r>
      <w:r>
        <w:rPr>
          <w:rFonts w:ascii="Arial" w:hAnsi="Arial" w:cs="Arial"/>
        </w:rPr>
        <w:t>bility bias may have led to underreporting of sexual health issues. The study was also limited to women attending government primary healthcare clinics, potentially excluding women from higher socioeconomic backgrounds or those seeking care in private sett</w:t>
      </w:r>
      <w:r>
        <w:rPr>
          <w:rFonts w:ascii="Arial" w:hAnsi="Arial" w:cs="Arial"/>
        </w:rPr>
        <w:t>ings.</w:t>
      </w:r>
    </w:p>
    <w:p w14:paraId="497C84A9" w14:textId="77777777" w:rsidR="002D6BC1" w:rsidRDefault="002D6BC1">
      <w:pPr>
        <w:pStyle w:val="ReferHead"/>
        <w:spacing w:after="0"/>
        <w:jc w:val="both"/>
        <w:rPr>
          <w:rFonts w:ascii="Arial" w:hAnsi="Arial" w:cs="Arial"/>
          <w:bCs/>
        </w:rPr>
      </w:pPr>
    </w:p>
    <w:p w14:paraId="00460085" w14:textId="002C95D4" w:rsidR="00AE324A" w:rsidRDefault="004A746B">
      <w:pPr>
        <w:pStyle w:val="ReferHead"/>
        <w:spacing w:after="0"/>
        <w:jc w:val="both"/>
        <w:rPr>
          <w:rFonts w:ascii="Arial" w:hAnsi="Arial" w:cs="Arial"/>
          <w:bCs/>
        </w:rPr>
      </w:pPr>
      <w:bookmarkStart w:id="1" w:name="_GoBack"/>
      <w:bookmarkEnd w:id="1"/>
      <w:r>
        <w:rPr>
          <w:rFonts w:ascii="Arial" w:hAnsi="Arial" w:cs="Arial"/>
          <w:bCs/>
        </w:rPr>
        <w:t>Ethical approval</w:t>
      </w:r>
    </w:p>
    <w:p w14:paraId="188EAAC9" w14:textId="77777777" w:rsidR="00AE324A" w:rsidRDefault="00AE324A">
      <w:pPr>
        <w:pStyle w:val="ReferHead"/>
        <w:spacing w:after="0"/>
        <w:jc w:val="both"/>
        <w:rPr>
          <w:rFonts w:ascii="Arial" w:hAnsi="Arial" w:cs="Arial"/>
          <w:bCs/>
        </w:rPr>
      </w:pPr>
    </w:p>
    <w:p w14:paraId="343AAAE7" w14:textId="77777777" w:rsidR="00AE324A" w:rsidRDefault="004A746B">
      <w:pPr>
        <w:spacing w:line="480" w:lineRule="auto"/>
        <w:rPr>
          <w:rFonts w:ascii="Arial" w:hAnsi="Arial" w:cs="Arial"/>
        </w:rPr>
      </w:pPr>
      <w:r>
        <w:rPr>
          <w:rFonts w:ascii="Arial" w:hAnsi="Arial" w:cs="Arial"/>
        </w:rPr>
        <w:t>This study obtained ethical approval fro</w:t>
      </w:r>
      <w:r>
        <w:rPr>
          <w:rFonts w:ascii="Arial" w:hAnsi="Arial" w:cs="Arial"/>
        </w:rPr>
        <w:t>m the medical research ethics committee of Malaysia (</w:t>
      </w:r>
      <w:r>
        <w:rPr>
          <w:rFonts w:ascii="Segoe UI" w:hAnsi="Segoe UI" w:cs="Segoe UI"/>
          <w:shd w:val="clear" w:color="auto" w:fill="FFFFFF"/>
        </w:rPr>
        <w:t>RSCH ID-24-06154-PLU</w:t>
      </w:r>
      <w:r>
        <w:rPr>
          <w:rFonts w:ascii="Arial" w:hAnsi="Arial" w:cs="Arial"/>
        </w:rPr>
        <w:t>) and followed current regulations on the protection of personal data.</w:t>
      </w:r>
    </w:p>
    <w:p w14:paraId="60A82EC3" w14:textId="77777777" w:rsidR="008B4BEC" w:rsidRDefault="008B4BEC">
      <w:pPr>
        <w:spacing w:line="480" w:lineRule="auto"/>
        <w:rPr>
          <w:rFonts w:ascii="Arial" w:hAnsi="Arial" w:cs="Arial"/>
        </w:rPr>
      </w:pPr>
    </w:p>
    <w:p w14:paraId="527CB636" w14:textId="77777777" w:rsidR="008B4BEC" w:rsidRPr="008B4BEC" w:rsidRDefault="008B4BEC" w:rsidP="008B4BEC">
      <w:pPr>
        <w:spacing w:line="480" w:lineRule="auto"/>
        <w:rPr>
          <w:rFonts w:ascii="Arial" w:hAnsi="Arial" w:cs="Arial"/>
        </w:rPr>
      </w:pPr>
      <w:r w:rsidRPr="008B4BEC">
        <w:rPr>
          <w:rFonts w:ascii="Arial" w:hAnsi="Arial" w:cs="Arial"/>
        </w:rPr>
        <w:t>COMPETING INTERESTS DISCLAIMER:</w:t>
      </w:r>
    </w:p>
    <w:p w14:paraId="45B91937" w14:textId="15671A8C" w:rsidR="008B4BEC" w:rsidRDefault="008B4BEC" w:rsidP="008B4BEC">
      <w:pPr>
        <w:spacing w:line="480" w:lineRule="auto"/>
        <w:rPr>
          <w:rFonts w:ascii="Arial" w:hAnsi="Arial" w:cs="Arial"/>
        </w:rPr>
      </w:pPr>
      <w:r w:rsidRPr="008B4BEC">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14:paraId="49BB2582" w14:textId="77777777" w:rsidR="00AE324A" w:rsidRDefault="00AE324A">
      <w:pPr>
        <w:pStyle w:val="ReferHead"/>
        <w:spacing w:after="0"/>
        <w:jc w:val="both"/>
        <w:rPr>
          <w:rFonts w:ascii="Arial" w:hAnsi="Arial" w:cs="Arial"/>
          <w:b w:val="0"/>
          <w:bCs/>
        </w:rPr>
      </w:pPr>
    </w:p>
    <w:p w14:paraId="2B9AC41E" w14:textId="77777777" w:rsidR="00AE324A" w:rsidRDefault="004A746B">
      <w:pPr>
        <w:pStyle w:val="ReferHead"/>
        <w:spacing w:after="0"/>
        <w:jc w:val="both"/>
        <w:rPr>
          <w:rFonts w:ascii="Arial" w:hAnsi="Arial" w:cs="Arial"/>
        </w:rPr>
      </w:pPr>
      <w:r>
        <w:rPr>
          <w:rFonts w:ascii="Arial" w:hAnsi="Arial" w:cs="Arial"/>
        </w:rPr>
        <w:t>References</w:t>
      </w:r>
    </w:p>
    <w:p w14:paraId="6B628F35" w14:textId="77777777" w:rsidR="00AE324A" w:rsidRDefault="00AE324A">
      <w:pPr>
        <w:pStyle w:val="ReferHead"/>
        <w:spacing w:after="0"/>
        <w:jc w:val="both"/>
        <w:rPr>
          <w:rFonts w:ascii="Arial" w:hAnsi="Arial" w:cs="Arial"/>
        </w:rPr>
      </w:pPr>
    </w:p>
    <w:p w14:paraId="3F1CDC11" w14:textId="77777777" w:rsidR="00AE324A" w:rsidRDefault="004A746B">
      <w:pPr>
        <w:pStyle w:val="Bibliography1"/>
        <w:rPr>
          <w:rFonts w:ascii="Arial" w:hAnsi="Arial" w:cs="Arial"/>
        </w:rPr>
      </w:pPr>
      <w:r>
        <w:rPr>
          <w:rFonts w:ascii="Arial" w:hAnsi="Arial" w:cs="Arial"/>
          <w:b/>
          <w:bCs/>
        </w:rPr>
        <w:fldChar w:fldCharType="begin"/>
      </w:r>
      <w:r>
        <w:rPr>
          <w:rFonts w:ascii="Arial" w:hAnsi="Arial" w:cs="Arial"/>
          <w:b/>
          <w:bCs/>
        </w:rPr>
        <w:instrText xml:space="preserve"> ADDIN ZOTERO_BIBL {"uncited":[],"omitted":[],"custom":[]} CSL_BIBLIOGRAPHY </w:instrText>
      </w:r>
      <w:r>
        <w:rPr>
          <w:rFonts w:ascii="Arial" w:hAnsi="Arial" w:cs="Arial"/>
          <w:b/>
          <w:bCs/>
        </w:rPr>
        <w:fldChar w:fldCharType="separate"/>
      </w:r>
      <w:r>
        <w:rPr>
          <w:rFonts w:ascii="Arial" w:hAnsi="Arial" w:cs="Arial"/>
        </w:rPr>
        <w:t xml:space="preserve">1.Chen CH, Lin YC, Chiu LH, Chu YH, Ruan FF, Liu WM, et al. Female sexual dysfunction: definition, classification, and debates. Taiwan J Obstet Gynecol. 2013 Mar;52(1):3–7. </w:t>
      </w:r>
    </w:p>
    <w:p w14:paraId="51333CBC" w14:textId="77777777" w:rsidR="00AE324A" w:rsidRDefault="00AE324A"/>
    <w:p w14:paraId="35ADD9DB" w14:textId="77777777" w:rsidR="00AE324A" w:rsidRDefault="004A746B">
      <w:pPr>
        <w:pStyle w:val="Bibliography1"/>
        <w:rPr>
          <w:rFonts w:ascii="Arial" w:hAnsi="Arial" w:cs="Arial"/>
        </w:rPr>
      </w:pPr>
      <w:r>
        <w:rPr>
          <w:rFonts w:ascii="Arial" w:hAnsi="Arial" w:cs="Arial"/>
        </w:rPr>
        <w:t>2.Diagnostic and Statistical Manual of Mental Disorders (DSM) | Psychiatry Online</w:t>
      </w:r>
      <w:r>
        <w:rPr>
          <w:rFonts w:ascii="Arial" w:hAnsi="Arial" w:cs="Arial"/>
        </w:rPr>
        <w:t xml:space="preserve"> [Internet]. [cited 2025 Aug 8]. Available from: https://www.psychiatryonline.org/dsm</w:t>
      </w:r>
    </w:p>
    <w:p w14:paraId="698B6D10" w14:textId="77777777" w:rsidR="00AE324A" w:rsidRDefault="00AE324A"/>
    <w:p w14:paraId="24E3FC18" w14:textId="77777777" w:rsidR="00AE324A" w:rsidRDefault="004A746B">
      <w:pPr>
        <w:pStyle w:val="Bibliography1"/>
        <w:rPr>
          <w:rFonts w:ascii="Arial" w:hAnsi="Arial" w:cs="Arial"/>
        </w:rPr>
      </w:pPr>
      <w:r>
        <w:rPr>
          <w:rFonts w:ascii="Arial" w:hAnsi="Arial" w:cs="Arial"/>
        </w:rPr>
        <w:t>3.McCool-Myers M, Theurich M, Zuelke A, Knuettel H, Apfelbacher C. Predictors of female sexual dysfunction: a systematic review and qualitative analysis through gender i</w:t>
      </w:r>
      <w:r>
        <w:rPr>
          <w:rFonts w:ascii="Arial" w:hAnsi="Arial" w:cs="Arial"/>
        </w:rPr>
        <w:t xml:space="preserve">nequality paradigms. BMC Womens Health. 2018 Jun 22;18(1):108. </w:t>
      </w:r>
    </w:p>
    <w:p w14:paraId="594AF32B" w14:textId="77777777" w:rsidR="00AE324A" w:rsidRDefault="00AE324A"/>
    <w:p w14:paraId="2B5F9948" w14:textId="77777777" w:rsidR="00AE324A" w:rsidRDefault="004A746B">
      <w:pPr>
        <w:pStyle w:val="Bibliography1"/>
        <w:rPr>
          <w:rFonts w:ascii="Arial" w:hAnsi="Arial" w:cs="Arial"/>
        </w:rPr>
      </w:pPr>
      <w:r>
        <w:rPr>
          <w:rFonts w:ascii="Arial" w:hAnsi="Arial" w:cs="Arial"/>
        </w:rPr>
        <w:t xml:space="preserve">4.Alidost F, Pakzad R, Dolatian M, Abdi F. Sexual dysfunction among women of reproductive age: A systematic review and meta-analysis. Int J Reprod Biomed. 2021 May;19(5):421–32. </w:t>
      </w:r>
    </w:p>
    <w:p w14:paraId="0D881EC6" w14:textId="77777777" w:rsidR="00AE324A" w:rsidRDefault="00AE324A"/>
    <w:p w14:paraId="3A114D93" w14:textId="77777777" w:rsidR="00AE324A" w:rsidRDefault="004A746B">
      <w:pPr>
        <w:pStyle w:val="Bibliography1"/>
        <w:rPr>
          <w:rFonts w:ascii="Arial" w:hAnsi="Arial" w:cs="Arial"/>
        </w:rPr>
      </w:pPr>
      <w:r>
        <w:rPr>
          <w:rFonts w:ascii="Arial" w:hAnsi="Arial" w:cs="Arial"/>
        </w:rPr>
        <w:t xml:space="preserve">5.Norafini </w:t>
      </w:r>
      <w:r>
        <w:rPr>
          <w:rFonts w:ascii="Arial" w:hAnsi="Arial" w:cs="Arial"/>
        </w:rPr>
        <w:t>Salamon. Sexual Dysfunction Among Women At Four To Six Months Postpartum: A Study In A Primary Care Setting. Malaysian Journal of Public Health Medicine [Internet]. [cited 2025 Jul 26]. Available from: https://mjphm.org/index.php/mjphm/article/view/569</w:t>
      </w:r>
    </w:p>
    <w:p w14:paraId="44D9CA5B" w14:textId="77777777" w:rsidR="00AE324A" w:rsidRDefault="00AE324A"/>
    <w:p w14:paraId="7234E99C" w14:textId="77777777" w:rsidR="00AE324A" w:rsidRDefault="004A746B">
      <w:pPr>
        <w:pStyle w:val="Bibliography1"/>
        <w:rPr>
          <w:rFonts w:ascii="Arial" w:hAnsi="Arial" w:cs="Arial"/>
        </w:rPr>
      </w:pPr>
      <w:r>
        <w:rPr>
          <w:rFonts w:ascii="Arial" w:hAnsi="Arial" w:cs="Arial"/>
        </w:rPr>
        <w:t>6.</w:t>
      </w:r>
      <w:r>
        <w:rPr>
          <w:rFonts w:ascii="Arial" w:hAnsi="Arial" w:cs="Arial"/>
        </w:rPr>
        <w:t>W Masliza. Sexual dysfunction among postmenopausal women. La Clinica terapeutica [Internet]. 2014 [cited 2025 Jul 26];165(2). Available from: https://pubmed.ncbi.nlm.nih.gov/24770809/</w:t>
      </w:r>
    </w:p>
    <w:p w14:paraId="72F2FCBB" w14:textId="77777777" w:rsidR="00AE324A" w:rsidRDefault="00AE324A"/>
    <w:p w14:paraId="6ED683E6" w14:textId="77777777" w:rsidR="00AE324A" w:rsidRDefault="004A746B">
      <w:pPr>
        <w:pStyle w:val="Bibliography1"/>
        <w:rPr>
          <w:rFonts w:ascii="Arial" w:hAnsi="Arial" w:cs="Arial"/>
        </w:rPr>
      </w:pPr>
      <w:r>
        <w:rPr>
          <w:rFonts w:ascii="Arial" w:hAnsi="Arial" w:cs="Arial"/>
        </w:rPr>
        <w:t>7.Tey YY, Ching SM, Maharajan MK, Lee KW, Chow ZY, Chua PW, et al. Prev</w:t>
      </w:r>
      <w:r>
        <w:rPr>
          <w:rFonts w:ascii="Arial" w:hAnsi="Arial" w:cs="Arial"/>
        </w:rPr>
        <w:t xml:space="preserve">alence and factors associated with sexual dysfunction among middle-aged women in a multi-ethnic country: A cross sectional study in Malaysia. Malays Fam Physician. 2022 Mar 17;17(2):56–63. </w:t>
      </w:r>
    </w:p>
    <w:p w14:paraId="368EF309" w14:textId="77777777" w:rsidR="00AE324A" w:rsidRDefault="00AE324A"/>
    <w:p w14:paraId="250E6A13" w14:textId="77777777" w:rsidR="00AE324A" w:rsidRDefault="004A746B">
      <w:pPr>
        <w:pStyle w:val="Bibliography1"/>
        <w:rPr>
          <w:rFonts w:ascii="Arial" w:hAnsi="Arial" w:cs="Arial"/>
        </w:rPr>
      </w:pPr>
      <w:r>
        <w:rPr>
          <w:rFonts w:ascii="Arial" w:hAnsi="Arial" w:cs="Arial"/>
        </w:rPr>
        <w:t>8.Sidi H, Puteh SEW, Abdullah N, Midin M. The prevalence of sexua</w:t>
      </w:r>
      <w:r>
        <w:rPr>
          <w:rFonts w:ascii="Arial" w:hAnsi="Arial" w:cs="Arial"/>
        </w:rPr>
        <w:t xml:space="preserve">l dysfunction and potential risk factors that may impair sexual function in Malaysian women. J Sex Med. 2007 Mar;4(2):311–21. </w:t>
      </w:r>
    </w:p>
    <w:p w14:paraId="35083185" w14:textId="77777777" w:rsidR="00AE324A" w:rsidRDefault="00AE324A"/>
    <w:p w14:paraId="16609442" w14:textId="77777777" w:rsidR="00AE324A" w:rsidRDefault="004A746B">
      <w:pPr>
        <w:pStyle w:val="Bibliography1"/>
        <w:rPr>
          <w:rFonts w:ascii="Arial" w:hAnsi="Arial" w:cs="Arial"/>
        </w:rPr>
      </w:pPr>
      <w:r>
        <w:rPr>
          <w:rFonts w:ascii="Arial" w:hAnsi="Arial" w:cs="Arial"/>
        </w:rPr>
        <w:t>9.Malini Mat Napes. Prevalence and Associated Factors of Sexual Dysfunction in Malaysian Menopausal Women. Sains Malaysiana 42(7</w:t>
      </w:r>
      <w:r>
        <w:rPr>
          <w:rFonts w:ascii="Arial" w:hAnsi="Arial" w:cs="Arial"/>
        </w:rPr>
        <w:t>)(2013): 1011–1017 [Internet]. Available from: https://journalarticle.ukm.my/6320/1/19_Malini_Mat_Napes.pdf</w:t>
      </w:r>
    </w:p>
    <w:p w14:paraId="122472C2" w14:textId="77777777" w:rsidR="00AE324A" w:rsidRDefault="00AE324A"/>
    <w:p w14:paraId="1B533A98" w14:textId="77777777" w:rsidR="00AE324A" w:rsidRDefault="004A746B">
      <w:pPr>
        <w:pStyle w:val="Bibliography1"/>
        <w:rPr>
          <w:rFonts w:ascii="Arial" w:hAnsi="Arial" w:cs="Arial"/>
        </w:rPr>
      </w:pPr>
      <w:r>
        <w:rPr>
          <w:rFonts w:ascii="Arial" w:hAnsi="Arial" w:cs="Arial"/>
        </w:rPr>
        <w:t>10.Sidi H, Abdullah N, Puteh SEW, Midin M. The Female Sexual Function Index (FSFI): validation of the Malay version. J Sex Med. 2007 Nov;4(6):1642–</w:t>
      </w:r>
      <w:r>
        <w:rPr>
          <w:rFonts w:ascii="Arial" w:hAnsi="Arial" w:cs="Arial"/>
        </w:rPr>
        <w:t xml:space="preserve">54. </w:t>
      </w:r>
    </w:p>
    <w:p w14:paraId="62FBA2F2" w14:textId="77777777" w:rsidR="00AE324A" w:rsidRDefault="00AE324A"/>
    <w:p w14:paraId="6AA713ED" w14:textId="77777777" w:rsidR="00AE324A" w:rsidRDefault="004A746B">
      <w:pPr>
        <w:pStyle w:val="Bibliography1"/>
        <w:rPr>
          <w:rFonts w:ascii="Arial" w:hAnsi="Arial" w:cs="Arial"/>
        </w:rPr>
      </w:pPr>
      <w:r>
        <w:rPr>
          <w:rFonts w:ascii="Arial" w:hAnsi="Arial" w:cs="Arial"/>
        </w:rPr>
        <w:t>11.Arifin WN. Introduction to sample size calculation. EIMJ [Internet]. 2013 Jun 1 [cited 2025 Jul 22];5(2). Available from: http://eduimed.usm.my/EIMJ20130502/EIMJ20130502_10.pdf</w:t>
      </w:r>
    </w:p>
    <w:p w14:paraId="26B44829" w14:textId="77777777" w:rsidR="00AE324A" w:rsidRDefault="00AE324A"/>
    <w:p w14:paraId="6D41174C" w14:textId="77777777" w:rsidR="00AE324A" w:rsidRDefault="004A746B">
      <w:pPr>
        <w:pStyle w:val="Bibliography1"/>
        <w:rPr>
          <w:rFonts w:ascii="Arial" w:hAnsi="Arial" w:cs="Arial"/>
        </w:rPr>
      </w:pPr>
      <w:r>
        <w:rPr>
          <w:rFonts w:ascii="Arial" w:hAnsi="Arial" w:cs="Arial"/>
        </w:rPr>
        <w:t>12.Marcoulides KM, Raykov T. Evaluation of Variance Inflation Factors</w:t>
      </w:r>
      <w:r>
        <w:rPr>
          <w:rFonts w:ascii="Arial" w:hAnsi="Arial" w:cs="Arial"/>
        </w:rPr>
        <w:t xml:space="preserve"> in Regression Models Using Latent Variable Modeling Methods. Educ Psychol Meas. 2019 Oct;79(5):874–82. </w:t>
      </w:r>
    </w:p>
    <w:p w14:paraId="7527A69B" w14:textId="77777777" w:rsidR="00AE324A" w:rsidRDefault="00AE324A"/>
    <w:p w14:paraId="0D2F8D03" w14:textId="77777777" w:rsidR="00AE324A" w:rsidRDefault="004A746B">
      <w:pPr>
        <w:pStyle w:val="Bibliography1"/>
        <w:rPr>
          <w:rFonts w:ascii="Arial" w:hAnsi="Arial" w:cs="Arial"/>
        </w:rPr>
      </w:pPr>
      <w:r>
        <w:rPr>
          <w:rFonts w:ascii="Arial" w:hAnsi="Arial" w:cs="Arial"/>
        </w:rPr>
        <w:t>13.SAGE Publications Ltd [Internet]. 2025 [cited 2025 Jul 22]. Discovering Statistics Using IBM SPSS Statistics. Available from: https://uk.sagepub.co</w:t>
      </w:r>
      <w:r>
        <w:rPr>
          <w:rFonts w:ascii="Arial" w:hAnsi="Arial" w:cs="Arial"/>
        </w:rPr>
        <w:t>m/en-gb/eur/discovering-statistics-using-ibm-spss-statistics/book285130</w:t>
      </w:r>
    </w:p>
    <w:p w14:paraId="74415393" w14:textId="77777777" w:rsidR="00AE324A" w:rsidRDefault="00AE324A"/>
    <w:p w14:paraId="0930240B" w14:textId="77777777" w:rsidR="00AE324A" w:rsidRDefault="004A746B">
      <w:pPr>
        <w:pStyle w:val="Bibliography1"/>
        <w:rPr>
          <w:rFonts w:ascii="Arial" w:hAnsi="Arial" w:cs="Arial"/>
        </w:rPr>
      </w:pPr>
      <w:r>
        <w:rPr>
          <w:rFonts w:ascii="Arial" w:hAnsi="Arial" w:cs="Arial"/>
        </w:rPr>
        <w:t xml:space="preserve">14.Gozuyesil E, Gokyildiz Surucu S, Alan S. Sexual function and quality-of-life-related problems during the menopausal period. J Health Psychol. 2018 Dec;23(14):1769–80. </w:t>
      </w:r>
    </w:p>
    <w:p w14:paraId="16E3745E" w14:textId="77777777" w:rsidR="00AE324A" w:rsidRDefault="00AE324A"/>
    <w:p w14:paraId="2EF400BB" w14:textId="77777777" w:rsidR="00AE324A" w:rsidRDefault="004A746B">
      <w:pPr>
        <w:pStyle w:val="Bibliography1"/>
        <w:rPr>
          <w:rFonts w:ascii="Arial" w:hAnsi="Arial" w:cs="Arial"/>
        </w:rPr>
      </w:pPr>
      <w:r>
        <w:rPr>
          <w:rFonts w:ascii="Arial" w:hAnsi="Arial" w:cs="Arial"/>
        </w:rPr>
        <w:t>15.Srithana</w:t>
      </w:r>
      <w:r>
        <w:rPr>
          <w:rFonts w:ascii="Arial" w:hAnsi="Arial" w:cs="Arial"/>
        </w:rPr>
        <w:t xml:space="preserve">phakarangkul K. Prevalence Of Sexual Dysfunction And Sexual Attitudes Among Postmenopausal Females Patients In Phramongkutklao Hospital. Journal of Southeast Asian Medical Research. 2019 Dec 1;3(2):82–7. </w:t>
      </w:r>
    </w:p>
    <w:p w14:paraId="61CCE3D1" w14:textId="77777777" w:rsidR="00AE324A" w:rsidRDefault="00AE324A"/>
    <w:p w14:paraId="0C4CB99F" w14:textId="77777777" w:rsidR="00AE324A" w:rsidRDefault="004A746B">
      <w:pPr>
        <w:pStyle w:val="Bibliography1"/>
        <w:rPr>
          <w:rFonts w:ascii="Arial" w:hAnsi="Arial" w:cs="Arial"/>
        </w:rPr>
      </w:pPr>
      <w:r>
        <w:rPr>
          <w:rFonts w:ascii="Arial" w:hAnsi="Arial" w:cs="Arial"/>
        </w:rPr>
        <w:t>16. S Logan. Sexual inactivity and sexual dysfunct</w:t>
      </w:r>
      <w:r>
        <w:rPr>
          <w:rFonts w:ascii="Arial" w:hAnsi="Arial" w:cs="Arial"/>
        </w:rPr>
        <w:t>ion in midlife Singaporean women: A prospective cross-sectional study of prevalence and risk factors. Maturitas [Internet]. 2021 Oct [cited 2025 Jul 26];152. Available from: https://pubmed.ncbi.nlm.nih.gov/34674802/</w:t>
      </w:r>
    </w:p>
    <w:p w14:paraId="7679C36D" w14:textId="77777777" w:rsidR="00AE324A" w:rsidRDefault="00AE324A"/>
    <w:p w14:paraId="384B356B" w14:textId="77777777" w:rsidR="00AE324A" w:rsidRDefault="004A746B">
      <w:pPr>
        <w:pStyle w:val="Bibliography1"/>
        <w:rPr>
          <w:rFonts w:ascii="Arial" w:hAnsi="Arial" w:cs="Arial"/>
        </w:rPr>
      </w:pPr>
      <w:r>
        <w:rPr>
          <w:rFonts w:ascii="Arial" w:hAnsi="Arial" w:cs="Arial"/>
        </w:rPr>
        <w:t xml:space="preserve">17.Rostami-Moez M, Masoumi SZ, Otogara M, Farahani F, Alimohammadi S, Oshvandi K. Examining the Health-Related Needs of Females during Menopause: A Systematic Review Study. J Menopausal Med. 2023 Apr;29(1):1–20. </w:t>
      </w:r>
    </w:p>
    <w:p w14:paraId="384D176C" w14:textId="77777777" w:rsidR="00AE324A" w:rsidRDefault="00AE324A"/>
    <w:p w14:paraId="00886401" w14:textId="77777777" w:rsidR="00AE324A" w:rsidRDefault="004A746B">
      <w:pPr>
        <w:pStyle w:val="Bibliography1"/>
        <w:rPr>
          <w:rFonts w:ascii="Arial" w:hAnsi="Arial" w:cs="Arial"/>
        </w:rPr>
      </w:pPr>
      <w:r>
        <w:rPr>
          <w:rFonts w:ascii="Arial" w:hAnsi="Arial" w:cs="Arial"/>
        </w:rPr>
        <w:t>18.Simon JA, Davis SR, Althof SE, Chedraui</w:t>
      </w:r>
      <w:r>
        <w:rPr>
          <w:rFonts w:ascii="Arial" w:hAnsi="Arial" w:cs="Arial"/>
        </w:rPr>
        <w:t xml:space="preserve"> P, Clayton AH, Kingsberg SA, et al. Sexual well-being after menopause: An International Menopause Society White Paper. Climacteric. 2018 Oct;21(5):415–27. </w:t>
      </w:r>
    </w:p>
    <w:p w14:paraId="0B711EB5" w14:textId="77777777" w:rsidR="00AE324A" w:rsidRDefault="00AE324A"/>
    <w:p w14:paraId="0DB3BCE8" w14:textId="77777777" w:rsidR="00AE324A" w:rsidRDefault="004A746B">
      <w:pPr>
        <w:pStyle w:val="Bibliography1"/>
        <w:rPr>
          <w:rFonts w:ascii="Arial" w:hAnsi="Arial" w:cs="Arial"/>
        </w:rPr>
      </w:pPr>
      <w:r>
        <w:rPr>
          <w:rFonts w:ascii="Arial" w:hAnsi="Arial" w:cs="Arial"/>
        </w:rPr>
        <w:t>19.Sexual desire disorder in female healthcare personnel in Malaysia - Grewal - 2013 - Asia-Pacifi</w:t>
      </w:r>
      <w:r>
        <w:rPr>
          <w:rFonts w:ascii="Arial" w:hAnsi="Arial" w:cs="Arial"/>
        </w:rPr>
        <w:t>c Psychiatry - Wiley Online Library [Internet]. [cited 2025 Aug 8]. Available from: https://onlinelibrary.wiley.com/doi/10.1111/appy.12037?msockid=2efb6982d7d3631504db7f91d6446257</w:t>
      </w:r>
    </w:p>
    <w:p w14:paraId="4362C345" w14:textId="77777777" w:rsidR="00AE324A" w:rsidRDefault="00AE324A"/>
    <w:p w14:paraId="3EEA0BFD" w14:textId="77777777" w:rsidR="00AE324A" w:rsidRDefault="004A746B">
      <w:pPr>
        <w:pStyle w:val="Bibliography1"/>
        <w:rPr>
          <w:rFonts w:ascii="Arial" w:hAnsi="Arial" w:cs="Arial"/>
        </w:rPr>
      </w:pPr>
      <w:r>
        <w:rPr>
          <w:rFonts w:ascii="Arial" w:hAnsi="Arial" w:cs="Arial"/>
        </w:rPr>
        <w:t>20.Gianotten WL, Alley JC, Diamond LM. The Health Benefits of Sexual Expres</w:t>
      </w:r>
      <w:r>
        <w:rPr>
          <w:rFonts w:ascii="Arial" w:hAnsi="Arial" w:cs="Arial"/>
        </w:rPr>
        <w:t xml:space="preserve">sion. Int J Sex Health. 2021;33(4):478–93. </w:t>
      </w:r>
    </w:p>
    <w:p w14:paraId="33DAC9DE" w14:textId="77777777" w:rsidR="00AE324A" w:rsidRDefault="004A746B">
      <w:pPr>
        <w:rPr>
          <w:rFonts w:ascii="Arial" w:hAnsi="Arial" w:cs="Arial"/>
          <w:b/>
          <w:bCs/>
        </w:rPr>
      </w:pPr>
      <w:r>
        <w:rPr>
          <w:rFonts w:ascii="Arial" w:hAnsi="Arial" w:cs="Arial"/>
          <w:b/>
          <w:bCs/>
        </w:rPr>
        <w:fldChar w:fldCharType="end"/>
      </w:r>
    </w:p>
    <w:sectPr w:rsidR="00AE324A" w:rsidSect="002D6BC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BDEBD" w14:textId="77777777" w:rsidR="004A746B" w:rsidRDefault="004A746B">
      <w:r>
        <w:separator/>
      </w:r>
    </w:p>
  </w:endnote>
  <w:endnote w:type="continuationSeparator" w:id="0">
    <w:p w14:paraId="00195BE1" w14:textId="77777777" w:rsidR="004A746B" w:rsidRDefault="004A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BE9B2" w14:textId="77777777" w:rsidR="002D6BC1" w:rsidRDefault="002D6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BE4A" w14:textId="77777777" w:rsidR="002D6BC1" w:rsidRDefault="002D6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18E9" w14:textId="77777777" w:rsidR="00AE324A" w:rsidRDefault="00AE324A">
    <w:pPr>
      <w:pStyle w:val="Footer"/>
      <w:rPr>
        <w:rFonts w:ascii="Arial" w:hAnsi="Arial" w:cs="Arial"/>
        <w:sz w:val="16"/>
      </w:rPr>
    </w:pPr>
  </w:p>
  <w:p w14:paraId="04D98BA0" w14:textId="77777777" w:rsidR="00AE324A" w:rsidRDefault="004A746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8CE2410" w14:textId="77777777" w:rsidR="00AE324A" w:rsidRDefault="00AE324A">
    <w:pPr>
      <w:pStyle w:val="Footer"/>
      <w:rPr>
        <w:rFonts w:ascii="Arial" w:hAnsi="Arial" w:cs="Arial"/>
        <w:sz w:val="16"/>
      </w:rPr>
    </w:pPr>
  </w:p>
  <w:p w14:paraId="074A305D" w14:textId="77777777" w:rsidR="00AE324A" w:rsidRDefault="004A746B">
    <w:pPr>
      <w:pStyle w:val="Footer"/>
      <w:rPr>
        <w:rFonts w:ascii="Arial" w:hAnsi="Arial" w:cs="Arial"/>
        <w:i/>
        <w:sz w:val="16"/>
      </w:rPr>
    </w:pPr>
    <w:r>
      <w:rPr>
        <w:rFonts w:ascii="Arial" w:hAnsi="Arial" w:cs="Arial"/>
        <w:i/>
        <w:sz w:val="16"/>
      </w:rPr>
      <w:t xml:space="preserve">*Corresponding author: Email: </w:t>
    </w:r>
    <w:r>
      <w:rPr>
        <w:rFonts w:ascii="Arial" w:hAnsi="Arial" w:cs="Arial"/>
        <w:i/>
        <w:sz w:val="16"/>
      </w:rPr>
      <w:t>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C4DED" w14:textId="77777777" w:rsidR="004A746B" w:rsidRDefault="004A746B">
      <w:r>
        <w:separator/>
      </w:r>
    </w:p>
  </w:footnote>
  <w:footnote w:type="continuationSeparator" w:id="0">
    <w:p w14:paraId="1A6A59EE" w14:textId="77777777" w:rsidR="004A746B" w:rsidRDefault="004A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46761" w14:textId="4C0397E1" w:rsidR="002D6BC1" w:rsidRDefault="002D6BC1">
    <w:pPr>
      <w:pStyle w:val="Header"/>
    </w:pPr>
    <w:r>
      <w:rPr>
        <w:noProof/>
      </w:rPr>
      <w:pict w14:anchorId="1D4A7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41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6F4CA" w14:textId="0BE5BCA0" w:rsidR="002D6BC1" w:rsidRDefault="002D6BC1">
    <w:pPr>
      <w:pStyle w:val="Header"/>
    </w:pPr>
    <w:r>
      <w:rPr>
        <w:noProof/>
      </w:rPr>
      <w:pict w14:anchorId="5831D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41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59CD9" w14:textId="5E69A571" w:rsidR="00AE324A" w:rsidRDefault="002D6BC1">
    <w:pPr>
      <w:ind w:left="2160"/>
      <w:jc w:val="center"/>
      <w:rPr>
        <w:rFonts w:ascii="Times New Roman" w:eastAsia="Calibri" w:hAnsi="Times New Roman"/>
        <w:i/>
        <w:sz w:val="18"/>
        <w:szCs w:val="22"/>
      </w:rPr>
    </w:pPr>
    <w:r>
      <w:rPr>
        <w:noProof/>
      </w:rPr>
      <w:pict w14:anchorId="7C3D8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41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74F2C63" w14:textId="77777777" w:rsidR="00AE324A" w:rsidRDefault="004A746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366BFF6" w14:textId="77777777" w:rsidR="00AE324A" w:rsidRDefault="004A746B">
    <w:pPr>
      <w:jc w:val="center"/>
      <w:rPr>
        <w:rFonts w:ascii="Times New Roman" w:eastAsia="Calibri" w:hAnsi="Times New Roman"/>
        <w:i/>
        <w:sz w:val="18"/>
        <w:szCs w:val="22"/>
      </w:rPr>
    </w:pPr>
    <w:r>
      <w:rPr>
        <w:rFonts w:ascii="Times New Roman" w:eastAsia="Calibri" w:hAnsi="Times New Roman"/>
        <w:i/>
        <w:sz w:val="18"/>
        <w:szCs w:val="22"/>
      </w:rPr>
      <w:t>.</w:t>
    </w:r>
  </w:p>
  <w:p w14:paraId="07DF0CB9" w14:textId="77777777" w:rsidR="00AE324A" w:rsidRDefault="004A746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2F7CC35" w14:textId="77777777" w:rsidR="00AE324A" w:rsidRDefault="004A746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761CD2B" w14:textId="77777777" w:rsidR="00AE324A" w:rsidRDefault="004A746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08C224" w14:textId="77777777" w:rsidR="00AE324A" w:rsidRDefault="004A746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D4F5E92E"/>
    <w:rsid w:val="FEED6D42"/>
    <w:rsid w:val="00000F8F"/>
    <w:rsid w:val="00030174"/>
    <w:rsid w:val="0004579C"/>
    <w:rsid w:val="00053CA2"/>
    <w:rsid w:val="0009083D"/>
    <w:rsid w:val="000A47FA"/>
    <w:rsid w:val="000A65D3"/>
    <w:rsid w:val="000B1E33"/>
    <w:rsid w:val="000D22D1"/>
    <w:rsid w:val="000D689F"/>
    <w:rsid w:val="000E7B7B"/>
    <w:rsid w:val="000E7D62"/>
    <w:rsid w:val="00103357"/>
    <w:rsid w:val="00114DFA"/>
    <w:rsid w:val="00123C9F"/>
    <w:rsid w:val="00126190"/>
    <w:rsid w:val="00130F17"/>
    <w:rsid w:val="001320BF"/>
    <w:rsid w:val="0013301F"/>
    <w:rsid w:val="00143059"/>
    <w:rsid w:val="00163BC4"/>
    <w:rsid w:val="00191062"/>
    <w:rsid w:val="00192B72"/>
    <w:rsid w:val="001A29D8"/>
    <w:rsid w:val="001A5CAA"/>
    <w:rsid w:val="001B0427"/>
    <w:rsid w:val="001B772D"/>
    <w:rsid w:val="001D3A51"/>
    <w:rsid w:val="001E10D2"/>
    <w:rsid w:val="001E224D"/>
    <w:rsid w:val="001E25B4"/>
    <w:rsid w:val="001E44FE"/>
    <w:rsid w:val="00200595"/>
    <w:rsid w:val="00204835"/>
    <w:rsid w:val="00231920"/>
    <w:rsid w:val="0023195C"/>
    <w:rsid w:val="00234214"/>
    <w:rsid w:val="00240001"/>
    <w:rsid w:val="0024282C"/>
    <w:rsid w:val="002460DC"/>
    <w:rsid w:val="00250985"/>
    <w:rsid w:val="002556F6"/>
    <w:rsid w:val="00283105"/>
    <w:rsid w:val="00284C4C"/>
    <w:rsid w:val="00287E68"/>
    <w:rsid w:val="00296529"/>
    <w:rsid w:val="002B27FB"/>
    <w:rsid w:val="002B685A"/>
    <w:rsid w:val="002C57D2"/>
    <w:rsid w:val="002D6BC1"/>
    <w:rsid w:val="002E0D56"/>
    <w:rsid w:val="002F019C"/>
    <w:rsid w:val="00302917"/>
    <w:rsid w:val="00314B9E"/>
    <w:rsid w:val="00315186"/>
    <w:rsid w:val="0033343E"/>
    <w:rsid w:val="00347EA9"/>
    <w:rsid w:val="00350A1A"/>
    <w:rsid w:val="003512C2"/>
    <w:rsid w:val="00352206"/>
    <w:rsid w:val="00371FB6"/>
    <w:rsid w:val="003763C1"/>
    <w:rsid w:val="00376BBE"/>
    <w:rsid w:val="00382D15"/>
    <w:rsid w:val="003871CB"/>
    <w:rsid w:val="0039224F"/>
    <w:rsid w:val="003A43A4"/>
    <w:rsid w:val="003A7E18"/>
    <w:rsid w:val="003C4C86"/>
    <w:rsid w:val="003C6258"/>
    <w:rsid w:val="003E2904"/>
    <w:rsid w:val="00401927"/>
    <w:rsid w:val="0041027F"/>
    <w:rsid w:val="00412475"/>
    <w:rsid w:val="00423789"/>
    <w:rsid w:val="00440F43"/>
    <w:rsid w:val="00441B6F"/>
    <w:rsid w:val="004446E7"/>
    <w:rsid w:val="00446221"/>
    <w:rsid w:val="00450E62"/>
    <w:rsid w:val="004539DB"/>
    <w:rsid w:val="00471A80"/>
    <w:rsid w:val="0047310A"/>
    <w:rsid w:val="00486987"/>
    <w:rsid w:val="004A460C"/>
    <w:rsid w:val="004A746B"/>
    <w:rsid w:val="004D1327"/>
    <w:rsid w:val="004D305E"/>
    <w:rsid w:val="004D4277"/>
    <w:rsid w:val="004E35D9"/>
    <w:rsid w:val="00502516"/>
    <w:rsid w:val="00505F06"/>
    <w:rsid w:val="00506828"/>
    <w:rsid w:val="005102FE"/>
    <w:rsid w:val="0053056E"/>
    <w:rsid w:val="00554FDA"/>
    <w:rsid w:val="00583B15"/>
    <w:rsid w:val="005A66BA"/>
    <w:rsid w:val="005C784C"/>
    <w:rsid w:val="005D17F6"/>
    <w:rsid w:val="005E5539"/>
    <w:rsid w:val="005F1AE8"/>
    <w:rsid w:val="00602BF5"/>
    <w:rsid w:val="00616AF8"/>
    <w:rsid w:val="00617FDD"/>
    <w:rsid w:val="00626191"/>
    <w:rsid w:val="00633614"/>
    <w:rsid w:val="00633F68"/>
    <w:rsid w:val="00636EB2"/>
    <w:rsid w:val="006375B8"/>
    <w:rsid w:val="0066510A"/>
    <w:rsid w:val="00673F9F"/>
    <w:rsid w:val="00686953"/>
    <w:rsid w:val="00687DEA"/>
    <w:rsid w:val="00687E67"/>
    <w:rsid w:val="006967F7"/>
    <w:rsid w:val="006A250C"/>
    <w:rsid w:val="006B21D3"/>
    <w:rsid w:val="006B4AB0"/>
    <w:rsid w:val="006B57D0"/>
    <w:rsid w:val="006B77E3"/>
    <w:rsid w:val="006D30FF"/>
    <w:rsid w:val="006D6940"/>
    <w:rsid w:val="006E5100"/>
    <w:rsid w:val="006F11EC"/>
    <w:rsid w:val="0070082C"/>
    <w:rsid w:val="00716891"/>
    <w:rsid w:val="007312AE"/>
    <w:rsid w:val="007369E6"/>
    <w:rsid w:val="00746E59"/>
    <w:rsid w:val="00751C48"/>
    <w:rsid w:val="00754C9A"/>
    <w:rsid w:val="0075599A"/>
    <w:rsid w:val="007560A6"/>
    <w:rsid w:val="00761D52"/>
    <w:rsid w:val="00763045"/>
    <w:rsid w:val="0077749E"/>
    <w:rsid w:val="00790ADA"/>
    <w:rsid w:val="00795C36"/>
    <w:rsid w:val="007D0534"/>
    <w:rsid w:val="007D12AB"/>
    <w:rsid w:val="007D2288"/>
    <w:rsid w:val="007E088F"/>
    <w:rsid w:val="007F7B32"/>
    <w:rsid w:val="00804BC2"/>
    <w:rsid w:val="00812EF0"/>
    <w:rsid w:val="0081431A"/>
    <w:rsid w:val="008303CF"/>
    <w:rsid w:val="0083216F"/>
    <w:rsid w:val="00860000"/>
    <w:rsid w:val="00863BD3"/>
    <w:rsid w:val="008641ED"/>
    <w:rsid w:val="00864E40"/>
    <w:rsid w:val="00866D66"/>
    <w:rsid w:val="008671C6"/>
    <w:rsid w:val="00875803"/>
    <w:rsid w:val="00882397"/>
    <w:rsid w:val="008943AE"/>
    <w:rsid w:val="008B459E"/>
    <w:rsid w:val="008B4BEC"/>
    <w:rsid w:val="008C7A10"/>
    <w:rsid w:val="008E13AE"/>
    <w:rsid w:val="008E1506"/>
    <w:rsid w:val="008E710C"/>
    <w:rsid w:val="008F69D6"/>
    <w:rsid w:val="00902823"/>
    <w:rsid w:val="00915CA6"/>
    <w:rsid w:val="00927834"/>
    <w:rsid w:val="009500A6"/>
    <w:rsid w:val="00957C18"/>
    <w:rsid w:val="009659BA"/>
    <w:rsid w:val="00983040"/>
    <w:rsid w:val="009B3FB9"/>
    <w:rsid w:val="009C2465"/>
    <w:rsid w:val="009D267A"/>
    <w:rsid w:val="009D35A0"/>
    <w:rsid w:val="009D7EB7"/>
    <w:rsid w:val="009E048A"/>
    <w:rsid w:val="009E08E9"/>
    <w:rsid w:val="009E3DB9"/>
    <w:rsid w:val="009E6E35"/>
    <w:rsid w:val="009F0EDA"/>
    <w:rsid w:val="00A03B96"/>
    <w:rsid w:val="00A05B19"/>
    <w:rsid w:val="00A1134E"/>
    <w:rsid w:val="00A24E7E"/>
    <w:rsid w:val="00A258C3"/>
    <w:rsid w:val="00A347C0"/>
    <w:rsid w:val="00A4730D"/>
    <w:rsid w:val="00A51431"/>
    <w:rsid w:val="00A539AD"/>
    <w:rsid w:val="00A763AB"/>
    <w:rsid w:val="00A76FCE"/>
    <w:rsid w:val="00A94063"/>
    <w:rsid w:val="00AA3967"/>
    <w:rsid w:val="00AA6219"/>
    <w:rsid w:val="00AA74E0"/>
    <w:rsid w:val="00AB6F0B"/>
    <w:rsid w:val="00AB703F"/>
    <w:rsid w:val="00AC6BB8"/>
    <w:rsid w:val="00AE008F"/>
    <w:rsid w:val="00AE324A"/>
    <w:rsid w:val="00AF42C6"/>
    <w:rsid w:val="00B01FCD"/>
    <w:rsid w:val="00B1776C"/>
    <w:rsid w:val="00B21066"/>
    <w:rsid w:val="00B52583"/>
    <w:rsid w:val="00B52896"/>
    <w:rsid w:val="00B75B19"/>
    <w:rsid w:val="00B95236"/>
    <w:rsid w:val="00B96BD9"/>
    <w:rsid w:val="00BA1B01"/>
    <w:rsid w:val="00BA2641"/>
    <w:rsid w:val="00BB37AA"/>
    <w:rsid w:val="00BC53A0"/>
    <w:rsid w:val="00BE62AD"/>
    <w:rsid w:val="00BF121F"/>
    <w:rsid w:val="00BF1F80"/>
    <w:rsid w:val="00C05C96"/>
    <w:rsid w:val="00C13C10"/>
    <w:rsid w:val="00C166EF"/>
    <w:rsid w:val="00C17EB0"/>
    <w:rsid w:val="00C220CE"/>
    <w:rsid w:val="00C27F5F"/>
    <w:rsid w:val="00C30A0F"/>
    <w:rsid w:val="00C37E61"/>
    <w:rsid w:val="00C70F1B"/>
    <w:rsid w:val="00C71A47"/>
    <w:rsid w:val="00C7464C"/>
    <w:rsid w:val="00C85588"/>
    <w:rsid w:val="00CD47A5"/>
    <w:rsid w:val="00CD6755"/>
    <w:rsid w:val="00CD6856"/>
    <w:rsid w:val="00CE0089"/>
    <w:rsid w:val="00CE3EA0"/>
    <w:rsid w:val="00CE793C"/>
    <w:rsid w:val="00CF0BCE"/>
    <w:rsid w:val="00CF193C"/>
    <w:rsid w:val="00D00423"/>
    <w:rsid w:val="00D173F1"/>
    <w:rsid w:val="00D43680"/>
    <w:rsid w:val="00D72DEA"/>
    <w:rsid w:val="00D74CB0"/>
    <w:rsid w:val="00D8295D"/>
    <w:rsid w:val="00DA014D"/>
    <w:rsid w:val="00DC2A65"/>
    <w:rsid w:val="00DE15F0"/>
    <w:rsid w:val="00DE5663"/>
    <w:rsid w:val="00DE78AA"/>
    <w:rsid w:val="00E053D0"/>
    <w:rsid w:val="00E143BC"/>
    <w:rsid w:val="00E15994"/>
    <w:rsid w:val="00E3114E"/>
    <w:rsid w:val="00E31A70"/>
    <w:rsid w:val="00E35A2A"/>
    <w:rsid w:val="00E35B02"/>
    <w:rsid w:val="00E44211"/>
    <w:rsid w:val="00E66496"/>
    <w:rsid w:val="00E66B35"/>
    <w:rsid w:val="00E66E10"/>
    <w:rsid w:val="00E769F6"/>
    <w:rsid w:val="00E8407C"/>
    <w:rsid w:val="00E84F3C"/>
    <w:rsid w:val="00E94E4C"/>
    <w:rsid w:val="00EA012C"/>
    <w:rsid w:val="00EC6A55"/>
    <w:rsid w:val="00ED0288"/>
    <w:rsid w:val="00EE01FD"/>
    <w:rsid w:val="00EE52CB"/>
    <w:rsid w:val="00EF581D"/>
    <w:rsid w:val="00EF7FD8"/>
    <w:rsid w:val="00F06F59"/>
    <w:rsid w:val="00F17988"/>
    <w:rsid w:val="00F469F0"/>
    <w:rsid w:val="00F53273"/>
    <w:rsid w:val="00F755E4"/>
    <w:rsid w:val="00F77D02"/>
    <w:rsid w:val="00F81FAE"/>
    <w:rsid w:val="00F856ED"/>
    <w:rsid w:val="00F93F8A"/>
    <w:rsid w:val="00FB3A86"/>
    <w:rsid w:val="00FC0CB5"/>
    <w:rsid w:val="00FD36C8"/>
    <w:rsid w:val="7D4F9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A1E8C3E"/>
  <w15:docId w15:val="{90AB6425-CBE0-4193-9299-37DAB5E7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rFonts w:ascii="Helvetica" w:hAnsi="Helvetica"/>
    </w:rPr>
  </w:style>
  <w:style w:type="paragraph" w:customStyle="1" w:styleId="Bibliography1">
    <w:name w:val="Bibliography1"/>
    <w:basedOn w:val="Normal"/>
    <w:next w:val="Normal"/>
    <w:uiPriority w:val="37"/>
    <w:semiHidden/>
    <w:unhideWhenUsed/>
  </w:style>
  <w:style w:type="character" w:styleId="UnresolvedMention">
    <w:name w:val="Unresolved Mention"/>
    <w:basedOn w:val="DefaultParagraphFont"/>
    <w:uiPriority w:val="99"/>
    <w:semiHidden/>
    <w:unhideWhenUsed/>
    <w:rsid w:val="00CF0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20110</Words>
  <Characters>114632</Characters>
  <Application>Microsoft Office Word</Application>
  <DocSecurity>0</DocSecurity>
  <Lines>955</Lines>
  <Paragraphs>268</Paragraphs>
  <ScaleCrop>false</ScaleCrop>
  <Company>aaaa</Company>
  <LinksUpToDate>false</LinksUpToDate>
  <CharactersWithSpaces>134474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75</cp:revision>
  <cp:lastPrinted>1999-07-06T19:00:00Z</cp:lastPrinted>
  <dcterms:created xsi:type="dcterms:W3CDTF">2025-08-09T02:35:00Z</dcterms:created>
  <dcterms:modified xsi:type="dcterms:W3CDTF">2025-08-11T10:33:00Z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9d183ecf-4bf8-4d2c-8954-b41bcc43c5e3</vt:lpwstr>
  </property>
  <property fmtid="{D5CDD505-2E9C-101B-9397-08002B2CF9AE}" pid="3" name="KSOProductBuildVer">
    <vt:lpwstr>1033-12.8.2.14811</vt:lpwstr>
  </property>
  <property fmtid="{D5CDD505-2E9C-101B-9397-08002B2CF9AE}" pid="4" name="ICV">
    <vt:lpwstr>C0159AE1081172B5C53F9768378066D3_43</vt:lpwstr>
  </property>
</Properties>
</file>