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4FC1A8" w14:textId="21F6DA2D" w:rsidR="00E43C0A" w:rsidRPr="00E43C0A" w:rsidRDefault="00E43C0A" w:rsidP="00E43C0A">
      <w:pPr>
        <w:pStyle w:val="Author"/>
        <w:spacing w:line="240" w:lineRule="auto"/>
        <w:jc w:val="left"/>
        <w:rPr>
          <w:rFonts w:ascii="Arial" w:hAnsi="Arial" w:cs="Arial"/>
          <w:bCs/>
          <w:iCs/>
          <w:kern w:val="28"/>
          <w:sz w:val="36"/>
          <w:u w:val="single"/>
        </w:rPr>
      </w:pPr>
      <w:r w:rsidRPr="00E43C0A">
        <w:rPr>
          <w:rFonts w:ascii="Arial" w:hAnsi="Arial" w:cs="Arial"/>
          <w:bCs/>
          <w:iCs/>
          <w:kern w:val="28"/>
          <w:sz w:val="36"/>
          <w:u w:val="single"/>
        </w:rPr>
        <w:t>Original Research Article</w:t>
      </w:r>
    </w:p>
    <w:p w14:paraId="6830C152" w14:textId="77777777" w:rsidR="00C33C42" w:rsidRDefault="00C33C42" w:rsidP="00441B6F">
      <w:pPr>
        <w:pStyle w:val="Author"/>
        <w:spacing w:line="240" w:lineRule="auto"/>
        <w:rPr>
          <w:rFonts w:ascii="Arial" w:hAnsi="Arial" w:cs="Arial"/>
          <w:bCs/>
          <w:iCs/>
          <w:kern w:val="28"/>
          <w:sz w:val="36"/>
        </w:rPr>
      </w:pPr>
    </w:p>
    <w:p w14:paraId="33B7DC49" w14:textId="50264BA4" w:rsidR="00163BC4" w:rsidRPr="00163BC4" w:rsidRDefault="00643CB0" w:rsidP="00441B6F">
      <w:pPr>
        <w:pStyle w:val="Author"/>
        <w:spacing w:line="240" w:lineRule="auto"/>
        <w:rPr>
          <w:rFonts w:ascii="Arial" w:hAnsi="Arial" w:cs="Arial"/>
          <w:bCs/>
          <w:iCs/>
          <w:kern w:val="28"/>
          <w:sz w:val="36"/>
        </w:rPr>
      </w:pPr>
      <w:r w:rsidRPr="00643CB0">
        <w:rPr>
          <w:rFonts w:ascii="Arial" w:hAnsi="Arial" w:cs="Arial"/>
          <w:bCs/>
          <w:iCs/>
          <w:kern w:val="28"/>
          <w:sz w:val="36"/>
        </w:rPr>
        <w:t>Evaluation Of Female Infertility Factors: A Prospective Observational Study</w:t>
      </w:r>
      <w:r w:rsidR="00231920">
        <w:rPr>
          <w:rFonts w:ascii="Arial" w:hAnsi="Arial" w:cs="Arial"/>
          <w:bCs/>
          <w:iCs/>
          <w:kern w:val="28"/>
          <w:sz w:val="36"/>
        </w:rPr>
        <w:t xml:space="preserve"> </w:t>
      </w:r>
    </w:p>
    <w:p w14:paraId="2F8AA068" w14:textId="77777777" w:rsidR="00A258C3" w:rsidRPr="00790ADA" w:rsidRDefault="00A258C3" w:rsidP="00441B6F">
      <w:pPr>
        <w:pStyle w:val="Author"/>
        <w:spacing w:line="240" w:lineRule="auto"/>
        <w:jc w:val="both"/>
        <w:rPr>
          <w:rFonts w:ascii="Arial" w:hAnsi="Arial" w:cs="Arial"/>
          <w:sz w:val="36"/>
        </w:rPr>
      </w:pPr>
    </w:p>
    <w:p w14:paraId="0976F6E5" w14:textId="77777777" w:rsidR="00E43C0A" w:rsidRDefault="00E43C0A" w:rsidP="00741D53">
      <w:pPr>
        <w:pStyle w:val="Affiliation"/>
        <w:spacing w:after="0" w:line="240" w:lineRule="auto"/>
        <w:rPr>
          <w:rFonts w:ascii="Arial" w:hAnsi="Arial" w:cs="Arial"/>
          <w:i/>
        </w:rPr>
      </w:pPr>
    </w:p>
    <w:p w14:paraId="7CB85542" w14:textId="77777777" w:rsidR="00741D53" w:rsidRDefault="00741D53" w:rsidP="00741D53">
      <w:pPr>
        <w:pStyle w:val="Affiliation"/>
        <w:spacing w:after="0" w:line="240" w:lineRule="auto"/>
        <w:rPr>
          <w:rFonts w:ascii="Arial" w:hAnsi="Arial" w:cs="Arial"/>
          <w:i/>
        </w:rPr>
      </w:pPr>
    </w:p>
    <w:p w14:paraId="0C66B1EE" w14:textId="77777777" w:rsidR="00B01FCD" w:rsidRPr="00FB3A86" w:rsidRDefault="0011746A" w:rsidP="00441B6F">
      <w:pPr>
        <w:pStyle w:val="Copyright"/>
        <w:spacing w:after="0" w:line="240" w:lineRule="auto"/>
        <w:jc w:val="both"/>
        <w:rPr>
          <w:rFonts w:ascii="Arial" w:hAnsi="Arial" w:cs="Arial"/>
        </w:rPr>
        <w:sectPr w:rsidR="00B01FCD" w:rsidRPr="00FB3A86" w:rsidSect="004415CE">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15640C14">
          <v:shapetype id="_x0000_t32" coordsize="21600,21600" o:spt="32" o:oned="t" path="m,l21600,21600e" filled="f">
            <v:path arrowok="t" fillok="f" o:connecttype="none"/>
            <o:lock v:ext="edit" shapetype="t"/>
          </v:shapetype>
          <v:shape id="_x0000_s1026"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5AC4A70A" w14:textId="6D90A629"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45491196"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2D6921B3" w14:textId="77777777" w:rsidTr="001E44FE">
        <w:tc>
          <w:tcPr>
            <w:tcW w:w="9576" w:type="dxa"/>
            <w:shd w:val="clear" w:color="auto" w:fill="F2F2F2"/>
          </w:tcPr>
          <w:p w14:paraId="25A32318" w14:textId="4D127659"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 xml:space="preserve">Aims: </w:t>
            </w:r>
            <w:r w:rsidR="00643CB0">
              <w:rPr>
                <w:rFonts w:ascii="Arial" w:eastAsia="Calibri" w:hAnsi="Arial" w:cs="Arial"/>
                <w:b/>
                <w:szCs w:val="22"/>
              </w:rPr>
              <w:t>T</w:t>
            </w:r>
            <w:r w:rsidR="00643CB0" w:rsidRPr="00643CB0">
              <w:rPr>
                <w:rFonts w:ascii="Arial" w:eastAsia="Calibri" w:hAnsi="Arial" w:cs="Arial"/>
                <w:szCs w:val="22"/>
              </w:rPr>
              <w:t>o evaluate the factors associated with female infertility. This is a prospective observational study of 100 woman in reproductive age group with complaints of primary and secondary infertility</w:t>
            </w:r>
            <w:r w:rsidRPr="00BA1B01">
              <w:rPr>
                <w:rFonts w:ascii="Arial" w:eastAsia="Calibri" w:hAnsi="Arial" w:cs="Arial"/>
                <w:szCs w:val="22"/>
              </w:rPr>
              <w:t>.</w:t>
            </w:r>
          </w:p>
          <w:p w14:paraId="7E8617DF" w14:textId="7EC6CA12"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Study design:</w:t>
            </w:r>
            <w:r w:rsidRPr="00BA1B01">
              <w:rPr>
                <w:rFonts w:ascii="Arial" w:eastAsia="Calibri" w:hAnsi="Arial" w:cs="Arial"/>
                <w:szCs w:val="22"/>
              </w:rPr>
              <w:t xml:space="preserve">  </w:t>
            </w:r>
            <w:r w:rsidR="00643CB0">
              <w:rPr>
                <w:rFonts w:ascii="Arial" w:eastAsia="Calibri" w:hAnsi="Arial" w:cs="Arial"/>
                <w:szCs w:val="22"/>
              </w:rPr>
              <w:t>Prospective observational study</w:t>
            </w:r>
            <w:r w:rsidRPr="00BA1B01">
              <w:rPr>
                <w:rFonts w:ascii="Arial" w:eastAsia="Calibri" w:hAnsi="Arial" w:cs="Arial"/>
                <w:szCs w:val="22"/>
              </w:rPr>
              <w:t>.</w:t>
            </w:r>
          </w:p>
          <w:p w14:paraId="794EC324" w14:textId="31F9315D"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Place and Duration of Study:</w:t>
            </w:r>
            <w:r w:rsidRPr="00BA1B01">
              <w:rPr>
                <w:rFonts w:ascii="Arial" w:eastAsia="Calibri" w:hAnsi="Arial" w:cs="Arial"/>
                <w:szCs w:val="22"/>
              </w:rPr>
              <w:t xml:space="preserve"> </w:t>
            </w:r>
            <w:r w:rsidR="00643CB0" w:rsidRPr="00643CB0">
              <w:rPr>
                <w:rFonts w:ascii="Arial" w:eastAsia="Calibri" w:hAnsi="Arial" w:cs="Arial"/>
                <w:szCs w:val="22"/>
              </w:rPr>
              <w:t>Department of Obstetrics and Gynaecology at our tertiary care centre</w:t>
            </w:r>
            <w:r w:rsidRPr="00BA1B01">
              <w:rPr>
                <w:rFonts w:ascii="Arial" w:eastAsia="Calibri" w:hAnsi="Arial" w:cs="Arial"/>
                <w:szCs w:val="22"/>
              </w:rPr>
              <w:t>.</w:t>
            </w:r>
          </w:p>
          <w:p w14:paraId="5DA1231A" w14:textId="2A440D6B"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bCs/>
                <w:szCs w:val="22"/>
              </w:rPr>
              <w:t>Methodology:</w:t>
            </w:r>
            <w:r w:rsidRPr="00BA1B01">
              <w:rPr>
                <w:rFonts w:ascii="Arial" w:eastAsia="Calibri" w:hAnsi="Arial" w:cs="Arial"/>
                <w:szCs w:val="22"/>
              </w:rPr>
              <w:t xml:space="preserve"> </w:t>
            </w:r>
            <w:r w:rsidR="00643CB0" w:rsidRPr="00643CB0">
              <w:rPr>
                <w:rFonts w:ascii="Arial" w:eastAsia="Calibri" w:hAnsi="Arial" w:cs="Arial"/>
                <w:szCs w:val="22"/>
              </w:rPr>
              <w:t xml:space="preserve">100 women </w:t>
            </w:r>
            <w:r w:rsidR="00643CB0">
              <w:rPr>
                <w:rFonts w:ascii="Arial" w:eastAsia="Calibri" w:hAnsi="Arial" w:cs="Arial"/>
                <w:szCs w:val="22"/>
              </w:rPr>
              <w:t xml:space="preserve">(mean age: 24.68 years) </w:t>
            </w:r>
            <w:r w:rsidR="00643CB0" w:rsidRPr="00643CB0">
              <w:rPr>
                <w:rFonts w:ascii="Arial" w:eastAsia="Calibri" w:hAnsi="Arial" w:cs="Arial"/>
                <w:szCs w:val="22"/>
              </w:rPr>
              <w:t>in reproductive age group with complaints of primary and secondary infertility</w:t>
            </w:r>
            <w:r w:rsidR="00643CB0">
              <w:rPr>
                <w:rFonts w:ascii="Arial" w:eastAsia="Calibri" w:hAnsi="Arial" w:cs="Arial"/>
                <w:szCs w:val="22"/>
              </w:rPr>
              <w:t xml:space="preserve"> were included. </w:t>
            </w:r>
            <w:r w:rsidR="00643CB0" w:rsidRPr="00643CB0">
              <w:rPr>
                <w:rFonts w:ascii="Arial" w:eastAsia="Calibri" w:hAnsi="Arial" w:cs="Arial"/>
                <w:szCs w:val="22"/>
              </w:rPr>
              <w:t>A comprehensive history was taken from the participants covering their socio-demographic background, menstrual patterns, obstetric details, and medical history. Thorough general and systemic examinations were conducted with particular attention to pelvic examination for clinical assessment. All symptoms, clinical findings, and examination results were systematically recorded.</w:t>
            </w:r>
            <w:r w:rsidR="00643CB0">
              <w:rPr>
                <w:rFonts w:ascii="Arial" w:eastAsia="Calibri" w:hAnsi="Arial" w:cs="Arial"/>
                <w:szCs w:val="22"/>
              </w:rPr>
              <w:t xml:space="preserve"> </w:t>
            </w:r>
            <w:r w:rsidR="00643CB0" w:rsidRPr="00643CB0">
              <w:rPr>
                <w:rFonts w:ascii="Arial" w:eastAsia="Calibri" w:hAnsi="Arial" w:cs="Arial"/>
                <w:szCs w:val="22"/>
              </w:rPr>
              <w:t>Ultrasonography was performed to assess the pelvic organs, including the uterine cavity, endometrial thickness, and any adnexal abnormalities. Hysterolaparoscopy was undertaken in cases requiring further investigation, and the findings were duly noted</w:t>
            </w:r>
            <w:r w:rsidR="00643CB0">
              <w:rPr>
                <w:rFonts w:ascii="Arial" w:eastAsia="Calibri" w:hAnsi="Arial" w:cs="Arial"/>
                <w:szCs w:val="22"/>
              </w:rPr>
              <w:t xml:space="preserve">. </w:t>
            </w:r>
          </w:p>
          <w:p w14:paraId="09CC935C" w14:textId="2D04C5D6" w:rsidR="00BA1B01" w:rsidRPr="00BA1B01" w:rsidRDefault="00BA1B01" w:rsidP="00441B6F">
            <w:pPr>
              <w:pStyle w:val="Body"/>
              <w:spacing w:after="0"/>
              <w:rPr>
                <w:rFonts w:ascii="Arial" w:eastAsia="Calibri" w:hAnsi="Arial" w:cs="Arial"/>
                <w:b/>
                <w:bCs/>
                <w:szCs w:val="22"/>
              </w:rPr>
            </w:pPr>
            <w:r w:rsidRPr="00BA1B01">
              <w:rPr>
                <w:rFonts w:ascii="Arial" w:eastAsia="Calibri" w:hAnsi="Arial" w:cs="Arial"/>
                <w:b/>
                <w:bCs/>
                <w:szCs w:val="22"/>
              </w:rPr>
              <w:t>Results:</w:t>
            </w:r>
            <w:r w:rsidRPr="00BA1B01">
              <w:rPr>
                <w:rFonts w:ascii="Arial" w:eastAsia="Calibri" w:hAnsi="Arial" w:cs="Arial"/>
                <w:szCs w:val="22"/>
              </w:rPr>
              <w:t xml:space="preserve"> </w:t>
            </w:r>
            <w:r w:rsidR="00643CB0" w:rsidRPr="00643CB0">
              <w:rPr>
                <w:rFonts w:ascii="Arial" w:eastAsia="Calibri" w:hAnsi="Arial" w:cs="Arial"/>
                <w:szCs w:val="22"/>
              </w:rPr>
              <w:t>Tubal factors were the major causes of primary and secondary infertility accounting for 43.9% and 38.2% respectively</w:t>
            </w:r>
            <w:r w:rsidRPr="00BA1B01">
              <w:rPr>
                <w:rFonts w:ascii="Arial" w:eastAsia="Calibri" w:hAnsi="Arial" w:cs="Arial"/>
                <w:szCs w:val="22"/>
              </w:rPr>
              <w:t>.</w:t>
            </w:r>
            <w:r w:rsidR="00643CB0">
              <w:rPr>
                <w:rFonts w:ascii="Arial" w:eastAsia="Calibri" w:hAnsi="Arial" w:cs="Arial"/>
                <w:szCs w:val="22"/>
              </w:rPr>
              <w:t xml:space="preserve"> </w:t>
            </w:r>
            <w:r w:rsidR="00643CB0" w:rsidRPr="00643CB0">
              <w:rPr>
                <w:rFonts w:ascii="Arial" w:eastAsia="Calibri" w:hAnsi="Arial" w:cs="Arial"/>
                <w:szCs w:val="22"/>
              </w:rPr>
              <w:t>PCOS was the major pathological reason among ovarian factors for primary infertility (24.4%) and secondary infertility (20%).</w:t>
            </w:r>
            <w:r w:rsidR="00643CB0">
              <w:rPr>
                <w:rFonts w:ascii="Arial" w:eastAsia="Calibri" w:hAnsi="Arial" w:cs="Arial"/>
                <w:szCs w:val="22"/>
              </w:rPr>
              <w:t xml:space="preserve"> </w:t>
            </w:r>
            <w:r w:rsidR="00643CB0" w:rsidRPr="00643CB0">
              <w:rPr>
                <w:rFonts w:ascii="Arial" w:eastAsia="Calibri" w:hAnsi="Arial" w:cs="Arial"/>
                <w:szCs w:val="22"/>
              </w:rPr>
              <w:t>With regards to peritoneal factors endometriosis (13.3%) and tuberculosis (16%) were responsible for primary and secondary infertility respectively. With respect to uterine factors Mullerian pathology was found to be the major cause for primary (8.9%) and secondary (12%) infertility in women.</w:t>
            </w:r>
            <w:r w:rsidR="00643CB0">
              <w:t xml:space="preserve"> </w:t>
            </w:r>
            <w:r w:rsidR="00643CB0" w:rsidRPr="00643CB0">
              <w:rPr>
                <w:rFonts w:ascii="Arial" w:eastAsia="Calibri" w:hAnsi="Arial" w:cs="Arial"/>
                <w:szCs w:val="22"/>
              </w:rPr>
              <w:t>Ovarian factors were the major causes of primary infertility identified through hysterolaparoscopy, and which is accounting for 55.6% followed by peritoneal factors (35.6%), tubal factors (33.3%), and uterine factors (24.4%). Similarly, with respect to secondary infertility in women ovarian factors identified through hysterolaparoscopy accounts for 52% followed by tubal factors (40%), peritoneal factors (36%), and uterine factors (24%).</w:t>
            </w:r>
          </w:p>
          <w:p w14:paraId="4AE0CEC4" w14:textId="7C71D826" w:rsidR="00505F06" w:rsidRPr="00BA1B01" w:rsidRDefault="00BA1B01" w:rsidP="00552E1C">
            <w:pPr>
              <w:pStyle w:val="Body"/>
              <w:spacing w:after="0"/>
              <w:rPr>
                <w:rFonts w:ascii="Arial" w:eastAsia="Calibri" w:hAnsi="Arial" w:cs="Arial"/>
                <w:szCs w:val="22"/>
              </w:rPr>
            </w:pPr>
            <w:r w:rsidRPr="00BA1B01">
              <w:rPr>
                <w:rFonts w:ascii="Arial" w:eastAsia="Calibri" w:hAnsi="Arial" w:cs="Arial"/>
                <w:b/>
                <w:bCs/>
                <w:szCs w:val="22"/>
              </w:rPr>
              <w:t>Conclusion:</w:t>
            </w:r>
            <w:r w:rsidRPr="00BA1B01">
              <w:rPr>
                <w:rFonts w:ascii="Arial" w:eastAsia="Calibri" w:hAnsi="Arial" w:cs="Arial"/>
                <w:szCs w:val="22"/>
              </w:rPr>
              <w:t xml:space="preserve"> </w:t>
            </w:r>
            <w:r w:rsidR="00643CB0" w:rsidRPr="00643CB0">
              <w:rPr>
                <w:rFonts w:ascii="Arial" w:eastAsia="Calibri" w:hAnsi="Arial" w:cs="Arial"/>
                <w:szCs w:val="22"/>
              </w:rPr>
              <w:t>Hysteroscopy combined with laparoscopy remains the only diagnostic method that allows direct visualization of the female reproductive system to identify the underlying causes of infertility</w:t>
            </w:r>
            <w:r w:rsidRPr="00BA1B01">
              <w:rPr>
                <w:rFonts w:ascii="Arial" w:eastAsia="Calibri" w:hAnsi="Arial" w:cs="Arial"/>
                <w:szCs w:val="22"/>
              </w:rPr>
              <w:t>.</w:t>
            </w:r>
          </w:p>
        </w:tc>
      </w:tr>
    </w:tbl>
    <w:p w14:paraId="2C660C0E" w14:textId="77777777" w:rsidR="00E55E9D" w:rsidRDefault="00E55E9D" w:rsidP="00441B6F">
      <w:pPr>
        <w:pStyle w:val="Body"/>
        <w:spacing w:after="0"/>
        <w:rPr>
          <w:rFonts w:ascii="Arial" w:hAnsi="Arial" w:cs="Arial"/>
          <w:i/>
        </w:rPr>
      </w:pPr>
    </w:p>
    <w:p w14:paraId="401E7A49" w14:textId="1960A9FD" w:rsidR="00A24E7E" w:rsidRDefault="00A24E7E" w:rsidP="00441B6F">
      <w:pPr>
        <w:pStyle w:val="Body"/>
        <w:spacing w:after="0"/>
        <w:rPr>
          <w:rFonts w:ascii="Arial" w:hAnsi="Arial" w:cs="Arial"/>
          <w:i/>
        </w:rPr>
      </w:pPr>
      <w:r>
        <w:rPr>
          <w:rFonts w:ascii="Arial" w:hAnsi="Arial" w:cs="Arial"/>
          <w:i/>
        </w:rPr>
        <w:t xml:space="preserve">Keywords: </w:t>
      </w:r>
      <w:r w:rsidR="00643CB0" w:rsidRPr="00643CB0">
        <w:rPr>
          <w:rFonts w:ascii="Arial" w:hAnsi="Arial" w:cs="Arial"/>
          <w:i/>
        </w:rPr>
        <w:t>Female infertility</w:t>
      </w:r>
      <w:r w:rsidR="00552E1C">
        <w:rPr>
          <w:rFonts w:ascii="Arial" w:hAnsi="Arial" w:cs="Arial"/>
          <w:i/>
        </w:rPr>
        <w:t>;</w:t>
      </w:r>
      <w:r w:rsidR="00643CB0" w:rsidRPr="00643CB0">
        <w:rPr>
          <w:rFonts w:ascii="Arial" w:hAnsi="Arial" w:cs="Arial"/>
          <w:i/>
        </w:rPr>
        <w:t xml:space="preserve"> </w:t>
      </w:r>
      <w:r w:rsidR="00643CB0">
        <w:rPr>
          <w:rFonts w:ascii="Arial" w:hAnsi="Arial" w:cs="Arial"/>
          <w:i/>
        </w:rPr>
        <w:t>t</w:t>
      </w:r>
      <w:r w:rsidR="00643CB0" w:rsidRPr="00643CB0">
        <w:rPr>
          <w:rFonts w:ascii="Arial" w:hAnsi="Arial" w:cs="Arial"/>
          <w:i/>
        </w:rPr>
        <w:t>ubal factors</w:t>
      </w:r>
      <w:r w:rsidR="00552E1C">
        <w:rPr>
          <w:rFonts w:ascii="Arial" w:hAnsi="Arial" w:cs="Arial"/>
          <w:i/>
        </w:rPr>
        <w:t>;</w:t>
      </w:r>
      <w:r w:rsidR="00643CB0" w:rsidRPr="00643CB0">
        <w:rPr>
          <w:rFonts w:ascii="Arial" w:hAnsi="Arial" w:cs="Arial"/>
          <w:i/>
        </w:rPr>
        <w:t xml:space="preserve"> </w:t>
      </w:r>
      <w:r w:rsidR="00643CB0">
        <w:rPr>
          <w:rFonts w:ascii="Arial" w:hAnsi="Arial" w:cs="Arial"/>
          <w:i/>
        </w:rPr>
        <w:t>o</w:t>
      </w:r>
      <w:r w:rsidR="00643CB0" w:rsidRPr="00643CB0">
        <w:rPr>
          <w:rFonts w:ascii="Arial" w:hAnsi="Arial" w:cs="Arial"/>
          <w:i/>
        </w:rPr>
        <w:t>varian factors</w:t>
      </w:r>
      <w:r w:rsidR="00552E1C">
        <w:rPr>
          <w:rFonts w:ascii="Arial" w:hAnsi="Arial" w:cs="Arial"/>
          <w:i/>
        </w:rPr>
        <w:t>;</w:t>
      </w:r>
      <w:r w:rsidR="00643CB0" w:rsidRPr="00643CB0">
        <w:rPr>
          <w:rFonts w:ascii="Arial" w:hAnsi="Arial" w:cs="Arial"/>
          <w:i/>
        </w:rPr>
        <w:t xml:space="preserve"> PCOS</w:t>
      </w:r>
      <w:r w:rsidR="00552E1C">
        <w:rPr>
          <w:rFonts w:ascii="Arial" w:hAnsi="Arial" w:cs="Arial"/>
          <w:i/>
        </w:rPr>
        <w:t>;</w:t>
      </w:r>
      <w:r w:rsidR="00643CB0" w:rsidRPr="00643CB0">
        <w:rPr>
          <w:rFonts w:ascii="Arial" w:hAnsi="Arial" w:cs="Arial"/>
          <w:i/>
        </w:rPr>
        <w:t xml:space="preserve"> B/L tubal block</w:t>
      </w:r>
      <w:r w:rsidR="00552E1C">
        <w:rPr>
          <w:rFonts w:ascii="Arial" w:hAnsi="Arial" w:cs="Arial"/>
          <w:i/>
        </w:rPr>
        <w:t>;</w:t>
      </w:r>
      <w:r w:rsidR="00643CB0" w:rsidRPr="00643CB0">
        <w:rPr>
          <w:rFonts w:ascii="Arial" w:hAnsi="Arial" w:cs="Arial"/>
          <w:i/>
        </w:rPr>
        <w:t xml:space="preserve"> </w:t>
      </w:r>
      <w:r w:rsidR="00643CB0">
        <w:rPr>
          <w:rFonts w:ascii="Arial" w:hAnsi="Arial" w:cs="Arial"/>
          <w:i/>
        </w:rPr>
        <w:t>e</w:t>
      </w:r>
      <w:r w:rsidR="00643CB0" w:rsidRPr="00643CB0">
        <w:rPr>
          <w:rFonts w:ascii="Arial" w:hAnsi="Arial" w:cs="Arial"/>
          <w:i/>
        </w:rPr>
        <w:t>ndometriosis</w:t>
      </w:r>
      <w:r w:rsidR="00552E1C">
        <w:rPr>
          <w:rFonts w:ascii="Arial" w:hAnsi="Arial" w:cs="Arial"/>
          <w:i/>
        </w:rPr>
        <w:t>;</w:t>
      </w:r>
      <w:r w:rsidR="00643CB0" w:rsidRPr="00643CB0">
        <w:rPr>
          <w:rFonts w:ascii="Arial" w:hAnsi="Arial" w:cs="Arial"/>
          <w:i/>
        </w:rPr>
        <w:t xml:space="preserve"> </w:t>
      </w:r>
      <w:r w:rsidR="00643CB0">
        <w:rPr>
          <w:rFonts w:ascii="Arial" w:hAnsi="Arial" w:cs="Arial"/>
          <w:i/>
        </w:rPr>
        <w:t>h</w:t>
      </w:r>
      <w:r w:rsidR="00643CB0" w:rsidRPr="00643CB0">
        <w:rPr>
          <w:rFonts w:ascii="Arial" w:hAnsi="Arial" w:cs="Arial"/>
          <w:i/>
        </w:rPr>
        <w:t>ysterolaparoscopy</w:t>
      </w:r>
      <w:r w:rsidR="00552E1C">
        <w:rPr>
          <w:rFonts w:ascii="Arial" w:hAnsi="Arial" w:cs="Arial"/>
          <w:i/>
        </w:rPr>
        <w:t>.</w:t>
      </w:r>
    </w:p>
    <w:p w14:paraId="6C46214D" w14:textId="77777777" w:rsidR="00790ADA" w:rsidRDefault="00790ADA" w:rsidP="00441B6F">
      <w:pPr>
        <w:pStyle w:val="Body"/>
        <w:spacing w:after="0"/>
        <w:rPr>
          <w:rFonts w:ascii="Arial" w:hAnsi="Arial" w:cs="Arial"/>
          <w:i/>
        </w:rPr>
      </w:pPr>
    </w:p>
    <w:p w14:paraId="7F4BAF15" w14:textId="77777777" w:rsidR="00EE231C" w:rsidRDefault="00EE231C" w:rsidP="00441B6F">
      <w:pPr>
        <w:pStyle w:val="Body"/>
        <w:spacing w:after="0"/>
        <w:rPr>
          <w:rFonts w:ascii="Arial" w:hAnsi="Arial" w:cs="Arial"/>
          <w:i/>
        </w:rPr>
      </w:pPr>
    </w:p>
    <w:p w14:paraId="5968EB34" w14:textId="13153476" w:rsidR="007F7B32" w:rsidRDefault="00B52896" w:rsidP="006E0F55">
      <w:pPr>
        <w:pStyle w:val="Body"/>
        <w:spacing w:after="0"/>
        <w:rPr>
          <w:rFonts w:ascii="Arial" w:hAnsi="Arial" w:cs="Arial"/>
        </w:rPr>
      </w:pPr>
      <w:r w:rsidRPr="004539DB">
        <w:rPr>
          <w:rFonts w:ascii="Arial" w:hAnsi="Arial" w:cs="Arial"/>
          <w:i/>
          <w:sz w:val="18"/>
        </w:rPr>
        <w:t xml:space="preserve"> </w:t>
      </w:r>
      <w:r w:rsidR="00902823" w:rsidRPr="006E0F55">
        <w:rPr>
          <w:rFonts w:ascii="Arial" w:hAnsi="Arial" w:cs="Arial"/>
          <w:b/>
          <w:bCs/>
          <w:sz w:val="22"/>
          <w:szCs w:val="22"/>
        </w:rPr>
        <w:t xml:space="preserve">1. </w:t>
      </w:r>
      <w:r w:rsidR="00B01FCD" w:rsidRPr="006E0F55">
        <w:rPr>
          <w:rFonts w:ascii="Arial" w:hAnsi="Arial" w:cs="Arial"/>
          <w:b/>
          <w:bCs/>
          <w:sz w:val="22"/>
          <w:szCs w:val="22"/>
        </w:rPr>
        <w:t>INTRODUCTION</w:t>
      </w:r>
    </w:p>
    <w:p w14:paraId="29141A49" w14:textId="77777777" w:rsidR="00790ADA" w:rsidRPr="00FB3A86" w:rsidRDefault="00790ADA" w:rsidP="00441B6F">
      <w:pPr>
        <w:pStyle w:val="AbstHead"/>
        <w:spacing w:after="0"/>
        <w:jc w:val="both"/>
        <w:rPr>
          <w:rFonts w:ascii="Arial" w:hAnsi="Arial" w:cs="Arial"/>
        </w:rPr>
      </w:pPr>
    </w:p>
    <w:p w14:paraId="3D1577EB" w14:textId="3950A1DF" w:rsidR="006E0F55" w:rsidRPr="006E0F55" w:rsidRDefault="006E0F55" w:rsidP="006E0F55">
      <w:pPr>
        <w:pStyle w:val="Body"/>
        <w:rPr>
          <w:rFonts w:ascii="Arial" w:eastAsia="Calibri" w:hAnsi="Arial" w:cs="Arial"/>
          <w:szCs w:val="22"/>
        </w:rPr>
      </w:pPr>
      <w:r w:rsidRPr="006E0F55">
        <w:rPr>
          <w:rFonts w:ascii="Arial" w:eastAsia="Calibri" w:hAnsi="Arial" w:cs="Arial"/>
          <w:szCs w:val="22"/>
        </w:rPr>
        <w:t xml:space="preserve">The inability to conceive remains one of the most emotionally challenging experiences for couples. It not only affects a woman’s sense of completeness but is also deeply entangled </w:t>
      </w:r>
      <w:r w:rsidRPr="006E0F55">
        <w:rPr>
          <w:rFonts w:ascii="Arial" w:eastAsia="Calibri" w:hAnsi="Arial" w:cs="Arial"/>
          <w:szCs w:val="22"/>
        </w:rPr>
        <w:lastRenderedPageBreak/>
        <w:t>with strong societal stigmas. Reproduction is fundamental to the survival of any species, and in contemporary society, significant emphasis is placed on the family unit, with women often expected to fulfill the biological role of bearing and raising children. Failure to reproduce is frequently viewed as a personal misfortune or social curse, impacting not only the couple but also their extended family and surrounding community. The psychosocial effects of childlessness can be profound and damaging</w:t>
      </w:r>
      <w:r w:rsidR="001426B4">
        <w:rPr>
          <w:rFonts w:ascii="Arial" w:eastAsia="Calibri" w:hAnsi="Arial" w:cs="Arial"/>
          <w:szCs w:val="22"/>
        </w:rPr>
        <w:t xml:space="preserve"> (</w:t>
      </w:r>
      <w:r w:rsidR="00C81C24">
        <w:rPr>
          <w:rFonts w:ascii="Arial" w:eastAsia="Calibri" w:hAnsi="Arial" w:cs="Arial"/>
          <w:szCs w:val="22"/>
        </w:rPr>
        <w:t>Ombelet et al., 2008)</w:t>
      </w:r>
      <w:r w:rsidRPr="006E0F55">
        <w:rPr>
          <w:rFonts w:ascii="Arial" w:eastAsia="Calibri" w:hAnsi="Arial" w:cs="Arial"/>
          <w:szCs w:val="22"/>
        </w:rPr>
        <w:t>. A major but often overlooked reproductive health concern in developing nations is the high rate of infertility</w:t>
      </w:r>
      <w:r w:rsidR="00C81C24">
        <w:rPr>
          <w:rFonts w:ascii="Arial" w:eastAsia="Calibri" w:hAnsi="Arial" w:cs="Arial"/>
          <w:szCs w:val="22"/>
        </w:rPr>
        <w:t xml:space="preserve"> (Garg et al., 2020)</w:t>
      </w:r>
      <w:r w:rsidRPr="006E0F55">
        <w:rPr>
          <w:rFonts w:ascii="Arial" w:eastAsia="Calibri" w:hAnsi="Arial" w:cs="Arial"/>
          <w:szCs w:val="22"/>
        </w:rPr>
        <w:t>.</w:t>
      </w:r>
    </w:p>
    <w:p w14:paraId="7BA647C9" w14:textId="59F54325" w:rsidR="006E0F55" w:rsidRPr="006E0F55" w:rsidRDefault="006E0F55" w:rsidP="006E0F55">
      <w:pPr>
        <w:pStyle w:val="Body"/>
        <w:rPr>
          <w:rFonts w:ascii="Arial" w:eastAsia="Calibri" w:hAnsi="Arial" w:cs="Arial"/>
          <w:szCs w:val="22"/>
        </w:rPr>
      </w:pPr>
      <w:r w:rsidRPr="006E0F55">
        <w:rPr>
          <w:rFonts w:ascii="Arial" w:eastAsia="Calibri" w:hAnsi="Arial" w:cs="Arial"/>
          <w:szCs w:val="22"/>
        </w:rPr>
        <w:t>Infertility is a global health issue that affects approximately 8–10% of couples worldwide. According to the World Health Organization (WHO), an estimated 60–80 million couples globally are currently suffering infertility</w:t>
      </w:r>
      <w:r w:rsidR="00C81C24">
        <w:rPr>
          <w:rFonts w:ascii="Arial" w:eastAsia="Calibri" w:hAnsi="Arial" w:cs="Arial"/>
          <w:szCs w:val="22"/>
        </w:rPr>
        <w:t xml:space="preserve"> (Soni &amp; Kumari, 2018)</w:t>
      </w:r>
      <w:r w:rsidRPr="006E0F55">
        <w:rPr>
          <w:rFonts w:ascii="Arial" w:eastAsia="Calibri" w:hAnsi="Arial" w:cs="Arial"/>
          <w:szCs w:val="22"/>
        </w:rPr>
        <w:t>. In India, infertility rates have shown a slight decline of 7.7% between NFHS-2 and NFHS-3, dropping from about 2% to 1.85%. WHO defines infertility as the failure to achieve pregnancy after 12 months of unprotected intercourse in women under 34 years of age</w:t>
      </w:r>
      <w:r w:rsidR="00C81C24">
        <w:rPr>
          <w:rFonts w:ascii="Arial" w:eastAsia="Calibri" w:hAnsi="Arial" w:cs="Arial"/>
          <w:szCs w:val="22"/>
        </w:rPr>
        <w:t xml:space="preserve"> (Cooper et al., 2010)</w:t>
      </w:r>
      <w:r w:rsidRPr="006E0F55">
        <w:rPr>
          <w:rFonts w:ascii="Arial" w:eastAsia="Calibri" w:hAnsi="Arial" w:cs="Arial"/>
          <w:szCs w:val="22"/>
        </w:rPr>
        <w:t>. Diagnostic work-ups typically begins when a couple has not conceived after a year of regular, contraception-free intercourse by which time approximately 85–90% of couples are expected to conceive</w:t>
      </w:r>
      <w:r w:rsidR="00C81C24">
        <w:rPr>
          <w:rFonts w:ascii="Arial" w:eastAsia="Calibri" w:hAnsi="Arial" w:cs="Arial"/>
          <w:szCs w:val="22"/>
        </w:rPr>
        <w:t xml:space="preserve"> (Bovin et al., 2007)</w:t>
      </w:r>
      <w:r w:rsidRPr="006E0F55">
        <w:rPr>
          <w:rFonts w:ascii="Arial" w:eastAsia="Calibri" w:hAnsi="Arial" w:cs="Arial"/>
          <w:szCs w:val="22"/>
        </w:rPr>
        <w:t>.</w:t>
      </w:r>
    </w:p>
    <w:p w14:paraId="351CECEC" w14:textId="3CEA3841" w:rsidR="006E0F55" w:rsidRPr="006E0F55" w:rsidRDefault="006E0F55" w:rsidP="006E0F55">
      <w:pPr>
        <w:pStyle w:val="Body"/>
        <w:rPr>
          <w:rFonts w:ascii="Arial" w:eastAsia="Calibri" w:hAnsi="Arial" w:cs="Arial"/>
          <w:szCs w:val="22"/>
        </w:rPr>
      </w:pPr>
      <w:r w:rsidRPr="006E0F55">
        <w:rPr>
          <w:rFonts w:ascii="Arial" w:eastAsia="Calibri" w:hAnsi="Arial" w:cs="Arial"/>
          <w:szCs w:val="22"/>
        </w:rPr>
        <w:t>Various biological and sociocultural factors influence fertility, including psychological stress, religious norms, delayed marriages, higher education, contraceptive practices, and the shift towards nuclear family structures</w:t>
      </w:r>
      <w:r w:rsidR="00C81C24">
        <w:rPr>
          <w:rFonts w:ascii="Arial" w:eastAsia="Calibri" w:hAnsi="Arial" w:cs="Arial"/>
          <w:szCs w:val="22"/>
        </w:rPr>
        <w:t xml:space="preserve"> (Jejeebhoy, 1998)</w:t>
      </w:r>
      <w:r w:rsidRPr="006E0F55">
        <w:rPr>
          <w:rFonts w:ascii="Arial" w:eastAsia="Calibri" w:hAnsi="Arial" w:cs="Arial"/>
          <w:szCs w:val="22"/>
        </w:rPr>
        <w:t>. Infertility can also result from anatomical, genetic, hormonal, immunological issues, or sexually transmitted infections</w:t>
      </w:r>
      <w:r w:rsidR="00C81C24">
        <w:rPr>
          <w:rFonts w:ascii="Arial" w:eastAsia="Calibri" w:hAnsi="Arial" w:cs="Arial"/>
          <w:szCs w:val="22"/>
        </w:rPr>
        <w:t xml:space="preserve"> (Daar &amp; Meerali, 2001)</w:t>
      </w:r>
      <w:r w:rsidRPr="006E0F55">
        <w:rPr>
          <w:rFonts w:ascii="Arial" w:eastAsia="Calibri" w:hAnsi="Arial" w:cs="Arial"/>
          <w:szCs w:val="22"/>
        </w:rPr>
        <w:t>. Female infertility may stem from a range of causes such as ovulatory disorders, tubal blockages, uterine malformations, fibroids, Asherman’s syndrome, and endometriosis</w:t>
      </w:r>
      <w:r w:rsidR="00C81C24">
        <w:rPr>
          <w:rFonts w:ascii="Arial" w:eastAsia="Calibri" w:hAnsi="Arial" w:cs="Arial"/>
          <w:szCs w:val="22"/>
        </w:rPr>
        <w:t xml:space="preserve"> (Campbell &amp; Irvine, 2000)</w:t>
      </w:r>
      <w:r w:rsidRPr="006E0F55">
        <w:rPr>
          <w:rFonts w:ascii="Arial" w:eastAsia="Calibri" w:hAnsi="Arial" w:cs="Arial"/>
          <w:szCs w:val="22"/>
        </w:rPr>
        <w:t>.</w:t>
      </w:r>
      <w:r>
        <w:rPr>
          <w:rFonts w:ascii="Arial" w:eastAsia="Calibri" w:hAnsi="Arial" w:cs="Arial"/>
          <w:szCs w:val="22"/>
        </w:rPr>
        <w:t xml:space="preserve"> </w:t>
      </w:r>
    </w:p>
    <w:p w14:paraId="7E56B349" w14:textId="7E185A9B" w:rsidR="00B01FCD" w:rsidRDefault="006E0F55" w:rsidP="006E0F55">
      <w:pPr>
        <w:pStyle w:val="Body"/>
        <w:spacing w:after="0"/>
        <w:rPr>
          <w:rFonts w:ascii="Arial" w:hAnsi="Arial" w:cs="Arial"/>
        </w:rPr>
      </w:pPr>
      <w:r w:rsidRPr="006E0F55">
        <w:rPr>
          <w:rFonts w:ascii="Arial" w:eastAsia="Calibri" w:hAnsi="Arial" w:cs="Arial"/>
          <w:szCs w:val="22"/>
        </w:rPr>
        <w:t>There is paucity of data about the causes of infertility among infertile women of reproductive age group in our study setting. With this context, the present study was carried out with the main objective to evaluate the factors associated with female infertility at our tertiary care centre.</w:t>
      </w:r>
    </w:p>
    <w:p w14:paraId="5F28E86F" w14:textId="77777777" w:rsidR="00790ADA" w:rsidRPr="00FB3A86" w:rsidRDefault="00790ADA" w:rsidP="00441B6F">
      <w:pPr>
        <w:pStyle w:val="Body"/>
        <w:spacing w:after="0"/>
        <w:rPr>
          <w:rFonts w:ascii="Arial" w:hAnsi="Arial" w:cs="Arial"/>
        </w:rPr>
      </w:pPr>
    </w:p>
    <w:p w14:paraId="3F69E056" w14:textId="6BF3784A"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s</w:t>
      </w:r>
    </w:p>
    <w:p w14:paraId="5BD0204D" w14:textId="77777777" w:rsidR="00790ADA" w:rsidRPr="00FB3A86" w:rsidRDefault="00790ADA" w:rsidP="00441B6F">
      <w:pPr>
        <w:pStyle w:val="AbstHead"/>
        <w:spacing w:after="0"/>
        <w:jc w:val="both"/>
        <w:rPr>
          <w:rFonts w:ascii="Arial" w:hAnsi="Arial" w:cs="Arial"/>
        </w:rPr>
      </w:pPr>
    </w:p>
    <w:p w14:paraId="2A79B9C2" w14:textId="3A7D28F7" w:rsidR="006E0F55" w:rsidRPr="006E0F55" w:rsidRDefault="006E0F55" w:rsidP="006E0F55">
      <w:pPr>
        <w:pStyle w:val="Body"/>
        <w:rPr>
          <w:rFonts w:ascii="Arial" w:hAnsi="Arial" w:cs="Arial"/>
          <w:b/>
          <w:bCs/>
          <w:sz w:val="22"/>
          <w:szCs w:val="22"/>
        </w:rPr>
      </w:pPr>
      <w:r>
        <w:rPr>
          <w:rFonts w:ascii="Arial" w:hAnsi="Arial" w:cs="Arial"/>
          <w:b/>
          <w:bCs/>
          <w:sz w:val="22"/>
          <w:szCs w:val="22"/>
        </w:rPr>
        <w:t xml:space="preserve">2.1 </w:t>
      </w:r>
      <w:r w:rsidRPr="006E0F55">
        <w:rPr>
          <w:rFonts w:ascii="Arial" w:hAnsi="Arial" w:cs="Arial"/>
          <w:b/>
          <w:bCs/>
          <w:sz w:val="22"/>
          <w:szCs w:val="22"/>
        </w:rPr>
        <w:t>Study design and patients</w:t>
      </w:r>
    </w:p>
    <w:p w14:paraId="0E4991BD" w14:textId="4A0C128C" w:rsidR="00741D53" w:rsidRDefault="006E0F55" w:rsidP="006E0F55">
      <w:pPr>
        <w:pStyle w:val="Body"/>
        <w:rPr>
          <w:rFonts w:ascii="Arial" w:hAnsi="Arial" w:cs="Arial"/>
        </w:rPr>
      </w:pPr>
      <w:r w:rsidRPr="006E0F55">
        <w:rPr>
          <w:rFonts w:ascii="Arial" w:hAnsi="Arial" w:cs="Arial"/>
        </w:rPr>
        <w:t xml:space="preserve">This is a prospective observational study conducted with total of 100 woman in reproductive age group with complaints of primary and secondary infertility coming to the Department of Obstetrics and Gynaecology (OBG) at J. J. M. Medical College (JJMMC), Davangere, Karnataka. A written informed consent was taken from all the subjects participating in the study. </w:t>
      </w:r>
    </w:p>
    <w:p w14:paraId="70B98FA3" w14:textId="52B7DEC2" w:rsidR="006E0F55" w:rsidRPr="006E0F55" w:rsidRDefault="006E0F55" w:rsidP="006E0F55">
      <w:pPr>
        <w:pStyle w:val="Body"/>
        <w:rPr>
          <w:rFonts w:ascii="Arial" w:hAnsi="Arial" w:cs="Arial"/>
          <w:b/>
          <w:bCs/>
          <w:sz w:val="22"/>
          <w:szCs w:val="22"/>
        </w:rPr>
      </w:pPr>
      <w:r>
        <w:rPr>
          <w:rFonts w:ascii="Arial" w:hAnsi="Arial" w:cs="Arial"/>
          <w:b/>
          <w:bCs/>
          <w:sz w:val="22"/>
          <w:szCs w:val="22"/>
        </w:rPr>
        <w:t xml:space="preserve">2.2 </w:t>
      </w:r>
      <w:r w:rsidRPr="006E0F55">
        <w:rPr>
          <w:rFonts w:ascii="Arial" w:hAnsi="Arial" w:cs="Arial"/>
          <w:b/>
          <w:bCs/>
          <w:sz w:val="22"/>
          <w:szCs w:val="22"/>
        </w:rPr>
        <w:t>Inclusion criteria</w:t>
      </w:r>
    </w:p>
    <w:p w14:paraId="19C85E66" w14:textId="3C2FBA71" w:rsidR="006E0F55" w:rsidRPr="006E0F55" w:rsidRDefault="006E0F55" w:rsidP="00067D1B">
      <w:pPr>
        <w:pStyle w:val="Body"/>
        <w:numPr>
          <w:ilvl w:val="0"/>
          <w:numId w:val="31"/>
        </w:numPr>
        <w:spacing w:after="0"/>
        <w:ind w:left="714" w:hanging="357"/>
        <w:contextualSpacing/>
        <w:rPr>
          <w:rFonts w:ascii="Arial" w:hAnsi="Arial" w:cs="Arial"/>
        </w:rPr>
      </w:pPr>
      <w:r w:rsidRPr="006E0F55">
        <w:rPr>
          <w:rFonts w:ascii="Arial" w:hAnsi="Arial" w:cs="Arial"/>
        </w:rPr>
        <w:t>Gender: Females</w:t>
      </w:r>
    </w:p>
    <w:p w14:paraId="36DA1E09" w14:textId="2202F397" w:rsidR="006E0F55" w:rsidRPr="006E0F55" w:rsidRDefault="006E0F55" w:rsidP="00067D1B">
      <w:pPr>
        <w:pStyle w:val="Body"/>
        <w:numPr>
          <w:ilvl w:val="0"/>
          <w:numId w:val="31"/>
        </w:numPr>
        <w:spacing w:after="0"/>
        <w:ind w:left="714" w:hanging="357"/>
        <w:contextualSpacing/>
        <w:rPr>
          <w:rFonts w:ascii="Arial" w:hAnsi="Arial" w:cs="Arial"/>
        </w:rPr>
      </w:pPr>
      <w:r w:rsidRPr="006E0F55">
        <w:rPr>
          <w:rFonts w:ascii="Arial" w:hAnsi="Arial" w:cs="Arial"/>
        </w:rPr>
        <w:t>Age: 18-40 years</w:t>
      </w:r>
    </w:p>
    <w:p w14:paraId="68BF14D6" w14:textId="071DF053" w:rsidR="006E0F55" w:rsidRPr="006E0F55" w:rsidRDefault="006E0F55" w:rsidP="00067D1B">
      <w:pPr>
        <w:pStyle w:val="Body"/>
        <w:numPr>
          <w:ilvl w:val="0"/>
          <w:numId w:val="31"/>
        </w:numPr>
        <w:spacing w:after="0"/>
        <w:ind w:left="714" w:hanging="357"/>
        <w:contextualSpacing/>
        <w:rPr>
          <w:rFonts w:ascii="Arial" w:hAnsi="Arial" w:cs="Arial"/>
        </w:rPr>
      </w:pPr>
      <w:r w:rsidRPr="006E0F55">
        <w:rPr>
          <w:rFonts w:ascii="Arial" w:hAnsi="Arial" w:cs="Arial"/>
        </w:rPr>
        <w:t>Pregnancy has not been achieved in a year of regular contraceptive-free intercourse</w:t>
      </w:r>
    </w:p>
    <w:p w14:paraId="058F4038" w14:textId="194E93B0" w:rsidR="006E0F55" w:rsidRPr="006E0F55" w:rsidRDefault="006E0F55" w:rsidP="00067D1B">
      <w:pPr>
        <w:pStyle w:val="Body"/>
        <w:numPr>
          <w:ilvl w:val="0"/>
          <w:numId w:val="31"/>
        </w:numPr>
        <w:spacing w:after="0"/>
        <w:ind w:left="714" w:hanging="357"/>
        <w:contextualSpacing/>
        <w:rPr>
          <w:rFonts w:ascii="Arial" w:hAnsi="Arial" w:cs="Arial"/>
        </w:rPr>
      </w:pPr>
      <w:r w:rsidRPr="006E0F55">
        <w:rPr>
          <w:rFonts w:ascii="Arial" w:hAnsi="Arial" w:cs="Arial"/>
        </w:rPr>
        <w:t>Primary or secondary infertility</w:t>
      </w:r>
    </w:p>
    <w:p w14:paraId="639F5C17" w14:textId="553603E3" w:rsidR="006E0F55" w:rsidRPr="006E0F55" w:rsidRDefault="006E087A" w:rsidP="006E0F55">
      <w:pPr>
        <w:pStyle w:val="Body"/>
        <w:rPr>
          <w:rFonts w:ascii="Arial" w:hAnsi="Arial" w:cs="Arial"/>
          <w:b/>
          <w:bCs/>
          <w:sz w:val="22"/>
          <w:szCs w:val="22"/>
        </w:rPr>
      </w:pPr>
      <w:r>
        <w:rPr>
          <w:rFonts w:ascii="Arial" w:hAnsi="Arial" w:cs="Arial"/>
          <w:b/>
          <w:bCs/>
          <w:sz w:val="22"/>
          <w:szCs w:val="22"/>
        </w:rPr>
        <w:t xml:space="preserve">2.2 </w:t>
      </w:r>
      <w:r w:rsidR="006E0F55" w:rsidRPr="006E0F55">
        <w:rPr>
          <w:rFonts w:ascii="Arial" w:hAnsi="Arial" w:cs="Arial"/>
          <w:b/>
          <w:bCs/>
          <w:sz w:val="22"/>
          <w:szCs w:val="22"/>
        </w:rPr>
        <w:t>Exclusion criteria</w:t>
      </w:r>
    </w:p>
    <w:p w14:paraId="739CBD96" w14:textId="4253444E" w:rsidR="006E0F55" w:rsidRPr="006E0F55" w:rsidRDefault="006E0F55" w:rsidP="00067D1B">
      <w:pPr>
        <w:pStyle w:val="Body"/>
        <w:numPr>
          <w:ilvl w:val="0"/>
          <w:numId w:val="32"/>
        </w:numPr>
        <w:spacing w:after="0"/>
        <w:ind w:left="714" w:hanging="357"/>
        <w:contextualSpacing/>
        <w:rPr>
          <w:rFonts w:ascii="Arial" w:hAnsi="Arial" w:cs="Arial"/>
        </w:rPr>
      </w:pPr>
      <w:r w:rsidRPr="006E0F55">
        <w:rPr>
          <w:rFonts w:ascii="Arial" w:hAnsi="Arial" w:cs="Arial"/>
        </w:rPr>
        <w:t>No male infertility factor</w:t>
      </w:r>
    </w:p>
    <w:p w14:paraId="5F221E86" w14:textId="5B4B8B50" w:rsidR="006E0F55" w:rsidRPr="006E0F55" w:rsidRDefault="006E0F55" w:rsidP="00067D1B">
      <w:pPr>
        <w:pStyle w:val="Body"/>
        <w:numPr>
          <w:ilvl w:val="0"/>
          <w:numId w:val="32"/>
        </w:numPr>
        <w:spacing w:after="0"/>
        <w:ind w:left="714" w:hanging="357"/>
        <w:contextualSpacing/>
        <w:rPr>
          <w:rFonts w:ascii="Arial" w:hAnsi="Arial" w:cs="Arial"/>
        </w:rPr>
      </w:pPr>
      <w:r w:rsidRPr="006E0F55">
        <w:rPr>
          <w:rFonts w:ascii="Arial" w:hAnsi="Arial" w:cs="Arial"/>
        </w:rPr>
        <w:t xml:space="preserve">Surrogate women </w:t>
      </w:r>
    </w:p>
    <w:p w14:paraId="3AF9DE69" w14:textId="789F39D3" w:rsidR="006E0F55" w:rsidRPr="006E0F55" w:rsidRDefault="006E0F55" w:rsidP="00067D1B">
      <w:pPr>
        <w:pStyle w:val="Body"/>
        <w:numPr>
          <w:ilvl w:val="0"/>
          <w:numId w:val="32"/>
        </w:numPr>
        <w:spacing w:after="0"/>
        <w:ind w:left="714" w:hanging="357"/>
        <w:contextualSpacing/>
        <w:rPr>
          <w:rFonts w:ascii="Arial" w:hAnsi="Arial" w:cs="Arial"/>
        </w:rPr>
      </w:pPr>
      <w:r w:rsidRPr="006E0F55">
        <w:rPr>
          <w:rFonts w:ascii="Arial" w:hAnsi="Arial" w:cs="Arial"/>
        </w:rPr>
        <w:t>Postmenopausal women</w:t>
      </w:r>
    </w:p>
    <w:p w14:paraId="1ED632EB" w14:textId="4BB78FC3" w:rsidR="006E0F55" w:rsidRPr="006E0F55" w:rsidRDefault="006E0F55" w:rsidP="00067D1B">
      <w:pPr>
        <w:pStyle w:val="Body"/>
        <w:numPr>
          <w:ilvl w:val="0"/>
          <w:numId w:val="32"/>
        </w:numPr>
        <w:spacing w:after="0"/>
        <w:ind w:left="714" w:hanging="357"/>
        <w:contextualSpacing/>
        <w:rPr>
          <w:rFonts w:ascii="Arial" w:hAnsi="Arial" w:cs="Arial"/>
        </w:rPr>
      </w:pPr>
      <w:r w:rsidRPr="006E0F55">
        <w:rPr>
          <w:rFonts w:ascii="Arial" w:hAnsi="Arial" w:cs="Arial"/>
        </w:rPr>
        <w:lastRenderedPageBreak/>
        <w:t>Non-adherence of treatment</w:t>
      </w:r>
    </w:p>
    <w:p w14:paraId="1A6C33DF" w14:textId="0AEAFF0A" w:rsidR="006E0F55" w:rsidRPr="006E0F55" w:rsidRDefault="006E0F55" w:rsidP="00067D1B">
      <w:pPr>
        <w:pStyle w:val="Body"/>
        <w:numPr>
          <w:ilvl w:val="0"/>
          <w:numId w:val="32"/>
        </w:numPr>
        <w:spacing w:after="0"/>
        <w:ind w:left="714" w:hanging="357"/>
        <w:contextualSpacing/>
        <w:rPr>
          <w:rFonts w:ascii="Arial" w:hAnsi="Arial" w:cs="Arial"/>
        </w:rPr>
      </w:pPr>
      <w:r w:rsidRPr="006E0F55">
        <w:rPr>
          <w:rFonts w:ascii="Arial" w:hAnsi="Arial" w:cs="Arial"/>
        </w:rPr>
        <w:t>Unmarried women seeking child</w:t>
      </w:r>
    </w:p>
    <w:p w14:paraId="440EA4F7" w14:textId="6C973551" w:rsidR="006E0F55" w:rsidRPr="006E0F55" w:rsidRDefault="006E0F55" w:rsidP="00067D1B">
      <w:pPr>
        <w:pStyle w:val="Body"/>
        <w:numPr>
          <w:ilvl w:val="0"/>
          <w:numId w:val="32"/>
        </w:numPr>
        <w:spacing w:after="0"/>
        <w:ind w:left="714" w:hanging="357"/>
        <w:contextualSpacing/>
        <w:rPr>
          <w:rFonts w:ascii="Arial" w:hAnsi="Arial" w:cs="Arial"/>
        </w:rPr>
      </w:pPr>
      <w:r w:rsidRPr="006E0F55">
        <w:rPr>
          <w:rFonts w:ascii="Arial" w:hAnsi="Arial" w:cs="Arial"/>
        </w:rPr>
        <w:t xml:space="preserve">Lack of full examinations, laboratory tests </w:t>
      </w:r>
    </w:p>
    <w:p w14:paraId="00DB5EFE" w14:textId="55CBBCAA" w:rsidR="006E0F55" w:rsidRPr="006E0F55" w:rsidRDefault="006E0F55" w:rsidP="00067D1B">
      <w:pPr>
        <w:pStyle w:val="Body"/>
        <w:numPr>
          <w:ilvl w:val="0"/>
          <w:numId w:val="32"/>
        </w:numPr>
        <w:spacing w:after="0"/>
        <w:ind w:left="714" w:hanging="357"/>
        <w:contextualSpacing/>
        <w:rPr>
          <w:rFonts w:ascii="Arial" w:hAnsi="Arial" w:cs="Arial"/>
        </w:rPr>
      </w:pPr>
      <w:r w:rsidRPr="006E0F55">
        <w:rPr>
          <w:rFonts w:ascii="Arial" w:hAnsi="Arial" w:cs="Arial"/>
        </w:rPr>
        <w:t>Suffering from any neurological or psychiatric illness</w:t>
      </w:r>
    </w:p>
    <w:p w14:paraId="7AD7DFC8" w14:textId="1860D20C" w:rsidR="006E0F55" w:rsidRPr="006E0F55" w:rsidRDefault="006E0F55" w:rsidP="00067D1B">
      <w:pPr>
        <w:pStyle w:val="Body"/>
        <w:numPr>
          <w:ilvl w:val="0"/>
          <w:numId w:val="32"/>
        </w:numPr>
        <w:spacing w:after="0"/>
        <w:ind w:left="714" w:hanging="357"/>
        <w:contextualSpacing/>
        <w:rPr>
          <w:rFonts w:ascii="Arial" w:hAnsi="Arial" w:cs="Arial"/>
        </w:rPr>
      </w:pPr>
      <w:r w:rsidRPr="006E0F55">
        <w:rPr>
          <w:rFonts w:ascii="Arial" w:hAnsi="Arial" w:cs="Arial"/>
        </w:rPr>
        <w:t xml:space="preserve">Other chronic medical disorders like Systemic Lupus Erythematosus (SLE) or cancer </w:t>
      </w:r>
    </w:p>
    <w:p w14:paraId="2DAFBF45" w14:textId="77777777" w:rsidR="00067D1B" w:rsidRDefault="00067D1B" w:rsidP="006E0F55">
      <w:pPr>
        <w:pStyle w:val="Body"/>
        <w:rPr>
          <w:rFonts w:ascii="Arial" w:hAnsi="Arial" w:cs="Arial"/>
          <w:b/>
          <w:bCs/>
          <w:sz w:val="22"/>
          <w:szCs w:val="22"/>
        </w:rPr>
      </w:pPr>
    </w:p>
    <w:p w14:paraId="46B0EDA0" w14:textId="11921EAE" w:rsidR="006E0F55" w:rsidRPr="006E087A" w:rsidRDefault="006E087A" w:rsidP="006E0F55">
      <w:pPr>
        <w:pStyle w:val="Body"/>
        <w:rPr>
          <w:rFonts w:ascii="Arial" w:hAnsi="Arial" w:cs="Arial"/>
          <w:b/>
          <w:bCs/>
          <w:sz w:val="22"/>
          <w:szCs w:val="22"/>
        </w:rPr>
      </w:pPr>
      <w:r w:rsidRPr="006E087A">
        <w:rPr>
          <w:rFonts w:ascii="Arial" w:hAnsi="Arial" w:cs="Arial"/>
          <w:b/>
          <w:bCs/>
          <w:sz w:val="22"/>
          <w:szCs w:val="22"/>
        </w:rPr>
        <w:t xml:space="preserve">2.3 </w:t>
      </w:r>
      <w:r w:rsidR="006E0F55" w:rsidRPr="006E087A">
        <w:rPr>
          <w:rFonts w:ascii="Arial" w:hAnsi="Arial" w:cs="Arial"/>
          <w:b/>
          <w:bCs/>
          <w:sz w:val="22"/>
          <w:szCs w:val="22"/>
        </w:rPr>
        <w:t>Assessment parameters</w:t>
      </w:r>
    </w:p>
    <w:p w14:paraId="0C98DCC8" w14:textId="77777777" w:rsidR="006E0F55" w:rsidRPr="006E0F55" w:rsidRDefault="006E0F55" w:rsidP="006E0F55">
      <w:pPr>
        <w:pStyle w:val="Body"/>
        <w:rPr>
          <w:rFonts w:ascii="Arial" w:hAnsi="Arial" w:cs="Arial"/>
        </w:rPr>
      </w:pPr>
      <w:r w:rsidRPr="006E0F55">
        <w:rPr>
          <w:rFonts w:ascii="Arial" w:hAnsi="Arial" w:cs="Arial"/>
        </w:rPr>
        <w:t>A comprehensive history was taken from the participants covering their socio-demographic background, menstrual patterns, obstetric details, and medical history. Thorough general and systemic examinations were conducted with particular attention to pelvic examination for clinical assessment. All symptoms, clinical findings, and examination results were systematically recorded. Relevant diagnostic tests such as complete blood count (CBC), blood glucose levels, thyroid function tests, and viral serology were carried out, and their results were documented. Ultrasonography was performed to assess the pelvic organs, including the uterine cavity, endometrial thickness, and any adnexal abnormalities. Hysterolaparoscopy was undertaken in cases requiring further investigation, and the findings were duly noted.</w:t>
      </w:r>
    </w:p>
    <w:p w14:paraId="5F5AAD56" w14:textId="782A2D6A" w:rsidR="006E0F55" w:rsidRPr="006E087A" w:rsidRDefault="006E087A" w:rsidP="006E0F55">
      <w:pPr>
        <w:pStyle w:val="Body"/>
        <w:rPr>
          <w:rFonts w:ascii="Arial" w:hAnsi="Arial" w:cs="Arial"/>
          <w:b/>
          <w:bCs/>
          <w:sz w:val="22"/>
          <w:szCs w:val="22"/>
        </w:rPr>
      </w:pPr>
      <w:r w:rsidRPr="006E087A">
        <w:rPr>
          <w:rFonts w:ascii="Arial" w:hAnsi="Arial" w:cs="Arial"/>
          <w:b/>
          <w:bCs/>
          <w:sz w:val="22"/>
          <w:szCs w:val="22"/>
        </w:rPr>
        <w:t xml:space="preserve">2.4 </w:t>
      </w:r>
      <w:r w:rsidR="006E0F55" w:rsidRPr="006E087A">
        <w:rPr>
          <w:rFonts w:ascii="Arial" w:hAnsi="Arial" w:cs="Arial"/>
          <w:b/>
          <w:bCs/>
          <w:sz w:val="22"/>
          <w:szCs w:val="22"/>
        </w:rPr>
        <w:t>Statistical analysis</w:t>
      </w:r>
    </w:p>
    <w:p w14:paraId="3A16ADBB" w14:textId="34B89D6D" w:rsidR="00502516" w:rsidRDefault="006E0F55" w:rsidP="006E0F55">
      <w:pPr>
        <w:pStyle w:val="Body"/>
        <w:spacing w:after="0"/>
        <w:rPr>
          <w:rFonts w:ascii="Arial" w:hAnsi="Arial" w:cs="Arial"/>
        </w:rPr>
      </w:pPr>
      <w:r w:rsidRPr="006E0F55">
        <w:rPr>
          <w:rFonts w:ascii="Arial" w:hAnsi="Arial" w:cs="Arial"/>
        </w:rPr>
        <w:t>Data were entered in Microsoft Excel 2021 and statistical analysis was done using IBM Statistical Software for Social Sciences (SPSS) version 22. Categorical variables were represented in the form of frequency, and percentage. Continuous variables were presented as descriptive statistics (Mean and Standard deviation</w:t>
      </w:r>
      <w:proofErr w:type="gramStart"/>
      <w:r w:rsidRPr="006E0F55">
        <w:rPr>
          <w:rFonts w:ascii="Arial" w:hAnsi="Arial" w:cs="Arial"/>
        </w:rPr>
        <w:t>).</w:t>
      </w:r>
      <w:r w:rsidR="00502516" w:rsidRPr="00502516">
        <w:rPr>
          <w:rFonts w:ascii="Arial" w:hAnsi="Arial" w:cs="Arial"/>
        </w:rPr>
        <w:t>.</w:t>
      </w:r>
      <w:proofErr w:type="gramEnd"/>
    </w:p>
    <w:p w14:paraId="1313ACB6" w14:textId="77777777" w:rsidR="002E0D56" w:rsidRDefault="002E0D56" w:rsidP="00441B6F">
      <w:pPr>
        <w:pStyle w:val="Body"/>
        <w:spacing w:after="0"/>
        <w:rPr>
          <w:rFonts w:ascii="Arial" w:hAnsi="Arial" w:cs="Arial"/>
        </w:rPr>
      </w:pPr>
    </w:p>
    <w:p w14:paraId="352DAD99" w14:textId="6CEBB872"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 xml:space="preserve">results </w:t>
      </w:r>
    </w:p>
    <w:p w14:paraId="34699110" w14:textId="77777777" w:rsidR="00790ADA" w:rsidRPr="00FB3A86" w:rsidRDefault="00790ADA" w:rsidP="00441B6F">
      <w:pPr>
        <w:pStyle w:val="Head1"/>
        <w:spacing w:after="0"/>
        <w:jc w:val="both"/>
        <w:rPr>
          <w:rFonts w:ascii="Arial" w:hAnsi="Arial" w:cs="Arial"/>
        </w:rPr>
      </w:pPr>
    </w:p>
    <w:p w14:paraId="06798425" w14:textId="09EF9B64" w:rsidR="00502516" w:rsidRDefault="006E087A" w:rsidP="00441B6F">
      <w:pPr>
        <w:pStyle w:val="Body"/>
        <w:spacing w:after="0"/>
        <w:rPr>
          <w:rFonts w:ascii="Arial" w:hAnsi="Arial" w:cs="Arial"/>
        </w:rPr>
      </w:pPr>
      <w:r w:rsidRPr="006E087A">
        <w:rPr>
          <w:rFonts w:ascii="Arial" w:hAnsi="Arial" w:cs="Arial"/>
        </w:rPr>
        <w:t>The results of distribution of study participants based on socio-demographic characteristics were represented in Table 1. Results depicted that majority of the study subjects i.e., 78% were belonged to age group of 20-25 years with mean age of 24.68 years. 68% and 32% of the study participants were from rural and urban background respectively. Major proportion of study participants enrolled were housewives (56%) followed by private employee (25%), Govt. employee (14%), and self-employed (5%).</w:t>
      </w:r>
      <w:r w:rsidR="00502516" w:rsidRPr="00502516">
        <w:rPr>
          <w:rFonts w:ascii="Arial" w:hAnsi="Arial" w:cs="Arial"/>
        </w:rPr>
        <w:t xml:space="preserve"> </w:t>
      </w:r>
    </w:p>
    <w:p w14:paraId="7ECF444C" w14:textId="77777777" w:rsidR="00790ADA" w:rsidRPr="00502516" w:rsidRDefault="00790ADA" w:rsidP="00441B6F">
      <w:pPr>
        <w:pStyle w:val="Body"/>
        <w:spacing w:after="0"/>
        <w:rPr>
          <w:rFonts w:ascii="Arial" w:hAnsi="Arial" w:cs="Arial"/>
        </w:rPr>
      </w:pPr>
    </w:p>
    <w:p w14:paraId="707C1509" w14:textId="77777777" w:rsidR="00502516" w:rsidRDefault="00502516" w:rsidP="00441B6F">
      <w:pPr>
        <w:pStyle w:val="Body"/>
        <w:spacing w:after="0"/>
        <w:rPr>
          <w:rFonts w:ascii="Arial" w:hAnsi="Arial" w:cs="Arial"/>
        </w:rPr>
      </w:pPr>
      <w:r w:rsidRPr="00502516">
        <w:rPr>
          <w:rFonts w:ascii="Arial" w:hAnsi="Arial" w:cs="Arial"/>
        </w:rPr>
        <w:t>The discussion should not repeat the results, but provide detailed interpretation of data. This should interpret the significance of the findings of the work. Citations should be given in support of the findings. The results and discussion part can also be described as separate, if appropriate.</w:t>
      </w:r>
    </w:p>
    <w:p w14:paraId="23FA4859" w14:textId="77777777" w:rsidR="006600F5" w:rsidRDefault="006600F5" w:rsidP="006E087A">
      <w:pPr>
        <w:jc w:val="both"/>
        <w:rPr>
          <w:rFonts w:ascii="Arial" w:hAnsi="Arial" w:cs="Arial"/>
          <w:b/>
          <w:bCs/>
        </w:rPr>
      </w:pPr>
    </w:p>
    <w:p w14:paraId="54BAB6CC" w14:textId="77777777" w:rsidR="00E55E9D" w:rsidRDefault="00E55E9D" w:rsidP="006E087A">
      <w:pPr>
        <w:jc w:val="both"/>
        <w:rPr>
          <w:rFonts w:ascii="Arial" w:hAnsi="Arial" w:cs="Arial"/>
          <w:b/>
          <w:bCs/>
        </w:rPr>
      </w:pPr>
    </w:p>
    <w:p w14:paraId="0013A942" w14:textId="77777777" w:rsidR="00E55E9D" w:rsidRDefault="00E55E9D" w:rsidP="006E087A">
      <w:pPr>
        <w:jc w:val="both"/>
        <w:rPr>
          <w:rFonts w:ascii="Arial" w:hAnsi="Arial" w:cs="Arial"/>
          <w:b/>
          <w:bCs/>
        </w:rPr>
      </w:pPr>
    </w:p>
    <w:p w14:paraId="52D9C167" w14:textId="77777777" w:rsidR="00E55E9D" w:rsidRDefault="00E55E9D" w:rsidP="006E087A">
      <w:pPr>
        <w:jc w:val="both"/>
        <w:rPr>
          <w:rFonts w:ascii="Arial" w:hAnsi="Arial" w:cs="Arial"/>
          <w:b/>
          <w:bCs/>
        </w:rPr>
      </w:pPr>
    </w:p>
    <w:p w14:paraId="2F002680" w14:textId="77777777" w:rsidR="00E55E9D" w:rsidRDefault="00E55E9D" w:rsidP="006E087A">
      <w:pPr>
        <w:jc w:val="both"/>
        <w:rPr>
          <w:rFonts w:ascii="Arial" w:hAnsi="Arial" w:cs="Arial"/>
          <w:b/>
          <w:bCs/>
        </w:rPr>
      </w:pPr>
    </w:p>
    <w:p w14:paraId="45D3EE54" w14:textId="77777777" w:rsidR="00E55E9D" w:rsidRDefault="00E55E9D" w:rsidP="006E087A">
      <w:pPr>
        <w:jc w:val="both"/>
        <w:rPr>
          <w:rFonts w:ascii="Arial" w:hAnsi="Arial" w:cs="Arial"/>
          <w:b/>
          <w:bCs/>
        </w:rPr>
      </w:pPr>
    </w:p>
    <w:p w14:paraId="6955FC3F" w14:textId="77777777" w:rsidR="00E55E9D" w:rsidRDefault="00E55E9D" w:rsidP="006E087A">
      <w:pPr>
        <w:jc w:val="both"/>
        <w:rPr>
          <w:rFonts w:ascii="Arial" w:hAnsi="Arial" w:cs="Arial"/>
          <w:b/>
          <w:bCs/>
        </w:rPr>
      </w:pPr>
    </w:p>
    <w:p w14:paraId="1A7C5402" w14:textId="1E381A4F" w:rsidR="006E087A" w:rsidRPr="006E087A" w:rsidRDefault="006E087A" w:rsidP="006E087A">
      <w:pPr>
        <w:jc w:val="both"/>
        <w:rPr>
          <w:rFonts w:ascii="Arial" w:hAnsi="Arial" w:cs="Arial"/>
          <w:b/>
          <w:bCs/>
        </w:rPr>
      </w:pPr>
      <w:r w:rsidRPr="006E087A">
        <w:rPr>
          <w:rFonts w:ascii="Arial" w:hAnsi="Arial" w:cs="Arial"/>
          <w:b/>
          <w:bCs/>
        </w:rPr>
        <w:t xml:space="preserve">Table 1: Distribution of study participants based on </w:t>
      </w:r>
      <w:bookmarkStart w:id="1" w:name="_Hlk204100909"/>
      <w:r w:rsidRPr="006E087A">
        <w:rPr>
          <w:rFonts w:ascii="Arial" w:hAnsi="Arial" w:cs="Arial"/>
          <w:b/>
          <w:bCs/>
        </w:rPr>
        <w:t>socio-demographic characteristics</w:t>
      </w:r>
      <w:bookmarkEnd w:id="1"/>
    </w:p>
    <w:tbl>
      <w:tblPr>
        <w:tblStyle w:val="TableGrid"/>
        <w:tblW w:w="0" w:type="auto"/>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72"/>
        <w:gridCol w:w="1941"/>
        <w:gridCol w:w="2455"/>
      </w:tblGrid>
      <w:tr w:rsidR="006E087A" w:rsidRPr="006600F5" w14:paraId="02D28354" w14:textId="77777777" w:rsidTr="006E087A">
        <w:trPr>
          <w:trHeight w:hRule="exact" w:val="397"/>
          <w:jc w:val="center"/>
        </w:trPr>
        <w:tc>
          <w:tcPr>
            <w:tcW w:w="2972" w:type="dxa"/>
            <w:tcBorders>
              <w:top w:val="single" w:sz="4" w:space="0" w:color="auto"/>
              <w:bottom w:val="single" w:sz="4" w:space="0" w:color="auto"/>
            </w:tcBorders>
            <w:vAlign w:val="center"/>
          </w:tcPr>
          <w:p w14:paraId="2EAF9CDB" w14:textId="77777777" w:rsidR="006E087A" w:rsidRPr="006600F5" w:rsidRDefault="006E087A" w:rsidP="00DC41A0">
            <w:pPr>
              <w:contextualSpacing/>
              <w:rPr>
                <w:rFonts w:ascii="Arial" w:hAnsi="Arial" w:cs="Arial"/>
                <w:b/>
                <w:bCs/>
                <w:sz w:val="20"/>
                <w:szCs w:val="20"/>
              </w:rPr>
            </w:pPr>
            <w:bookmarkStart w:id="2" w:name="_Hlk205401598"/>
            <w:r w:rsidRPr="006600F5">
              <w:rPr>
                <w:rFonts w:ascii="Arial" w:hAnsi="Arial" w:cs="Arial"/>
                <w:b/>
                <w:bCs/>
                <w:sz w:val="20"/>
                <w:szCs w:val="20"/>
              </w:rPr>
              <w:t xml:space="preserve">Variables </w:t>
            </w:r>
          </w:p>
        </w:tc>
        <w:tc>
          <w:tcPr>
            <w:tcW w:w="1941" w:type="dxa"/>
            <w:tcBorders>
              <w:top w:val="single" w:sz="4" w:space="0" w:color="auto"/>
              <w:bottom w:val="single" w:sz="4" w:space="0" w:color="auto"/>
            </w:tcBorders>
            <w:vAlign w:val="center"/>
          </w:tcPr>
          <w:p w14:paraId="22214604" w14:textId="77777777" w:rsidR="006E087A" w:rsidRPr="006600F5" w:rsidRDefault="006E087A" w:rsidP="00DC41A0">
            <w:pPr>
              <w:contextualSpacing/>
              <w:rPr>
                <w:rFonts w:ascii="Arial" w:hAnsi="Arial" w:cs="Arial"/>
                <w:b/>
                <w:bCs/>
                <w:sz w:val="20"/>
                <w:szCs w:val="20"/>
              </w:rPr>
            </w:pPr>
            <w:r w:rsidRPr="006600F5">
              <w:rPr>
                <w:rFonts w:ascii="Arial" w:hAnsi="Arial" w:cs="Arial"/>
                <w:b/>
                <w:bCs/>
                <w:sz w:val="20"/>
                <w:szCs w:val="20"/>
              </w:rPr>
              <w:t>Frequency</w:t>
            </w:r>
          </w:p>
        </w:tc>
        <w:tc>
          <w:tcPr>
            <w:tcW w:w="2455" w:type="dxa"/>
            <w:tcBorders>
              <w:top w:val="single" w:sz="4" w:space="0" w:color="auto"/>
              <w:bottom w:val="single" w:sz="4" w:space="0" w:color="auto"/>
            </w:tcBorders>
            <w:vAlign w:val="center"/>
          </w:tcPr>
          <w:p w14:paraId="7187D3BA" w14:textId="77777777" w:rsidR="006E087A" w:rsidRPr="006600F5" w:rsidRDefault="006E087A" w:rsidP="00DC41A0">
            <w:pPr>
              <w:contextualSpacing/>
              <w:rPr>
                <w:rFonts w:ascii="Arial" w:hAnsi="Arial" w:cs="Arial"/>
                <w:b/>
                <w:bCs/>
                <w:sz w:val="20"/>
                <w:szCs w:val="20"/>
              </w:rPr>
            </w:pPr>
            <w:r w:rsidRPr="006600F5">
              <w:rPr>
                <w:rFonts w:ascii="Arial" w:hAnsi="Arial" w:cs="Arial"/>
                <w:b/>
                <w:bCs/>
                <w:sz w:val="20"/>
                <w:szCs w:val="20"/>
              </w:rPr>
              <w:t>Percentage</w:t>
            </w:r>
          </w:p>
        </w:tc>
      </w:tr>
      <w:tr w:rsidR="006E087A" w:rsidRPr="006600F5" w14:paraId="15B6653D" w14:textId="77777777" w:rsidTr="006E087A">
        <w:trPr>
          <w:trHeight w:hRule="exact" w:val="397"/>
          <w:jc w:val="center"/>
        </w:trPr>
        <w:tc>
          <w:tcPr>
            <w:tcW w:w="7368" w:type="dxa"/>
            <w:gridSpan w:val="3"/>
            <w:tcBorders>
              <w:top w:val="single" w:sz="4" w:space="0" w:color="auto"/>
              <w:bottom w:val="single" w:sz="4" w:space="0" w:color="auto"/>
            </w:tcBorders>
            <w:vAlign w:val="center"/>
          </w:tcPr>
          <w:p w14:paraId="6104F1A0" w14:textId="77777777" w:rsidR="006E087A" w:rsidRPr="006600F5" w:rsidRDefault="006E087A" w:rsidP="00DC41A0">
            <w:pPr>
              <w:contextualSpacing/>
              <w:rPr>
                <w:rFonts w:ascii="Arial" w:hAnsi="Arial" w:cs="Arial"/>
                <w:b/>
                <w:bCs/>
                <w:sz w:val="20"/>
                <w:szCs w:val="20"/>
              </w:rPr>
            </w:pPr>
            <w:r w:rsidRPr="006600F5">
              <w:rPr>
                <w:rFonts w:ascii="Arial" w:hAnsi="Arial" w:cs="Arial"/>
                <w:b/>
                <w:bCs/>
                <w:sz w:val="20"/>
                <w:szCs w:val="20"/>
              </w:rPr>
              <w:t>Age (Years)</w:t>
            </w:r>
          </w:p>
        </w:tc>
      </w:tr>
      <w:tr w:rsidR="006E087A" w:rsidRPr="006600F5" w14:paraId="6BF0FBA1" w14:textId="77777777" w:rsidTr="006E087A">
        <w:trPr>
          <w:trHeight w:hRule="exact" w:val="397"/>
          <w:jc w:val="center"/>
        </w:trPr>
        <w:tc>
          <w:tcPr>
            <w:tcW w:w="2972" w:type="dxa"/>
            <w:tcBorders>
              <w:top w:val="single" w:sz="4" w:space="0" w:color="auto"/>
            </w:tcBorders>
            <w:vAlign w:val="center"/>
          </w:tcPr>
          <w:p w14:paraId="1156A509" w14:textId="77777777" w:rsidR="006E087A" w:rsidRPr="006600F5" w:rsidRDefault="006E087A" w:rsidP="00DC41A0">
            <w:pPr>
              <w:contextualSpacing/>
              <w:rPr>
                <w:rFonts w:ascii="Arial" w:hAnsi="Arial" w:cs="Arial"/>
                <w:sz w:val="20"/>
                <w:szCs w:val="20"/>
              </w:rPr>
            </w:pPr>
            <w:r w:rsidRPr="006600F5">
              <w:rPr>
                <w:rFonts w:ascii="Arial" w:hAnsi="Arial" w:cs="Arial"/>
                <w:sz w:val="20"/>
                <w:szCs w:val="20"/>
              </w:rPr>
              <w:lastRenderedPageBreak/>
              <w:t>20-25</w:t>
            </w:r>
          </w:p>
        </w:tc>
        <w:tc>
          <w:tcPr>
            <w:tcW w:w="1941" w:type="dxa"/>
            <w:tcBorders>
              <w:top w:val="single" w:sz="4" w:space="0" w:color="auto"/>
            </w:tcBorders>
            <w:vAlign w:val="center"/>
          </w:tcPr>
          <w:p w14:paraId="440615DF" w14:textId="77777777" w:rsidR="006E087A" w:rsidRPr="006600F5" w:rsidRDefault="006E087A" w:rsidP="00DC41A0">
            <w:pPr>
              <w:contextualSpacing/>
              <w:rPr>
                <w:rFonts w:ascii="Arial" w:hAnsi="Arial" w:cs="Arial"/>
                <w:sz w:val="20"/>
                <w:szCs w:val="20"/>
              </w:rPr>
            </w:pPr>
            <w:r w:rsidRPr="006600F5">
              <w:rPr>
                <w:rFonts w:ascii="Arial" w:hAnsi="Arial" w:cs="Arial"/>
                <w:sz w:val="20"/>
                <w:szCs w:val="20"/>
              </w:rPr>
              <w:t>78</w:t>
            </w:r>
          </w:p>
        </w:tc>
        <w:tc>
          <w:tcPr>
            <w:tcW w:w="2455" w:type="dxa"/>
            <w:tcBorders>
              <w:top w:val="single" w:sz="4" w:space="0" w:color="auto"/>
            </w:tcBorders>
            <w:vAlign w:val="center"/>
          </w:tcPr>
          <w:p w14:paraId="3881F06B" w14:textId="77777777" w:rsidR="006E087A" w:rsidRPr="006600F5" w:rsidRDefault="006E087A" w:rsidP="00DC41A0">
            <w:pPr>
              <w:contextualSpacing/>
              <w:rPr>
                <w:rFonts w:ascii="Arial" w:hAnsi="Arial" w:cs="Arial"/>
                <w:sz w:val="20"/>
                <w:szCs w:val="20"/>
              </w:rPr>
            </w:pPr>
            <w:r w:rsidRPr="006600F5">
              <w:rPr>
                <w:rFonts w:ascii="Arial" w:hAnsi="Arial" w:cs="Arial"/>
                <w:sz w:val="20"/>
                <w:szCs w:val="20"/>
              </w:rPr>
              <w:t>78.0</w:t>
            </w:r>
          </w:p>
        </w:tc>
      </w:tr>
      <w:tr w:rsidR="006E087A" w:rsidRPr="006600F5" w14:paraId="6375856A" w14:textId="77777777" w:rsidTr="006E087A">
        <w:trPr>
          <w:trHeight w:hRule="exact" w:val="397"/>
          <w:jc w:val="center"/>
        </w:trPr>
        <w:tc>
          <w:tcPr>
            <w:tcW w:w="2972" w:type="dxa"/>
            <w:vAlign w:val="center"/>
          </w:tcPr>
          <w:p w14:paraId="16F249A0" w14:textId="77777777" w:rsidR="006E087A" w:rsidRPr="006600F5" w:rsidRDefault="006E087A" w:rsidP="00DC41A0">
            <w:pPr>
              <w:contextualSpacing/>
              <w:rPr>
                <w:rFonts w:ascii="Arial" w:hAnsi="Arial" w:cs="Arial"/>
                <w:sz w:val="20"/>
                <w:szCs w:val="20"/>
              </w:rPr>
            </w:pPr>
            <w:r w:rsidRPr="006600F5">
              <w:rPr>
                <w:rFonts w:ascii="Arial" w:hAnsi="Arial" w:cs="Arial"/>
                <w:sz w:val="20"/>
                <w:szCs w:val="20"/>
              </w:rPr>
              <w:t>26-30</w:t>
            </w:r>
          </w:p>
        </w:tc>
        <w:tc>
          <w:tcPr>
            <w:tcW w:w="1941" w:type="dxa"/>
            <w:vAlign w:val="center"/>
          </w:tcPr>
          <w:p w14:paraId="67FF3599" w14:textId="77777777" w:rsidR="006E087A" w:rsidRPr="006600F5" w:rsidRDefault="006E087A" w:rsidP="00DC41A0">
            <w:pPr>
              <w:contextualSpacing/>
              <w:rPr>
                <w:rFonts w:ascii="Arial" w:hAnsi="Arial" w:cs="Arial"/>
                <w:sz w:val="20"/>
                <w:szCs w:val="20"/>
              </w:rPr>
            </w:pPr>
            <w:r w:rsidRPr="006600F5">
              <w:rPr>
                <w:rFonts w:ascii="Arial" w:hAnsi="Arial" w:cs="Arial"/>
                <w:sz w:val="20"/>
                <w:szCs w:val="20"/>
              </w:rPr>
              <w:t>12</w:t>
            </w:r>
          </w:p>
        </w:tc>
        <w:tc>
          <w:tcPr>
            <w:tcW w:w="2455" w:type="dxa"/>
            <w:vAlign w:val="center"/>
          </w:tcPr>
          <w:p w14:paraId="44B80A72" w14:textId="77777777" w:rsidR="006E087A" w:rsidRPr="006600F5" w:rsidRDefault="006E087A" w:rsidP="00DC41A0">
            <w:pPr>
              <w:contextualSpacing/>
              <w:rPr>
                <w:rFonts w:ascii="Arial" w:hAnsi="Arial" w:cs="Arial"/>
                <w:sz w:val="20"/>
                <w:szCs w:val="20"/>
              </w:rPr>
            </w:pPr>
            <w:r w:rsidRPr="006600F5">
              <w:rPr>
                <w:rFonts w:ascii="Arial" w:hAnsi="Arial" w:cs="Arial"/>
                <w:sz w:val="20"/>
                <w:szCs w:val="20"/>
              </w:rPr>
              <w:t>12.0</w:t>
            </w:r>
          </w:p>
        </w:tc>
      </w:tr>
      <w:tr w:rsidR="006E087A" w:rsidRPr="006600F5" w14:paraId="6A1C1F76" w14:textId="77777777" w:rsidTr="006E087A">
        <w:trPr>
          <w:trHeight w:hRule="exact" w:val="397"/>
          <w:jc w:val="center"/>
        </w:trPr>
        <w:tc>
          <w:tcPr>
            <w:tcW w:w="2972" w:type="dxa"/>
            <w:vAlign w:val="center"/>
          </w:tcPr>
          <w:p w14:paraId="2E8C10B8" w14:textId="77777777" w:rsidR="006E087A" w:rsidRPr="006600F5" w:rsidRDefault="006E087A" w:rsidP="00DC41A0">
            <w:pPr>
              <w:contextualSpacing/>
              <w:rPr>
                <w:rFonts w:ascii="Arial" w:hAnsi="Arial" w:cs="Arial"/>
                <w:sz w:val="20"/>
                <w:szCs w:val="20"/>
              </w:rPr>
            </w:pPr>
            <w:r w:rsidRPr="006600F5">
              <w:rPr>
                <w:rFonts w:ascii="Arial" w:hAnsi="Arial" w:cs="Arial"/>
                <w:sz w:val="20"/>
                <w:szCs w:val="20"/>
              </w:rPr>
              <w:t>31-35</w:t>
            </w:r>
          </w:p>
        </w:tc>
        <w:tc>
          <w:tcPr>
            <w:tcW w:w="1941" w:type="dxa"/>
            <w:vAlign w:val="center"/>
          </w:tcPr>
          <w:p w14:paraId="4E6A3B2F" w14:textId="77777777" w:rsidR="006E087A" w:rsidRPr="006600F5" w:rsidRDefault="006E087A" w:rsidP="00DC41A0">
            <w:pPr>
              <w:contextualSpacing/>
              <w:rPr>
                <w:rFonts w:ascii="Arial" w:hAnsi="Arial" w:cs="Arial"/>
                <w:sz w:val="20"/>
                <w:szCs w:val="20"/>
              </w:rPr>
            </w:pPr>
            <w:r w:rsidRPr="006600F5">
              <w:rPr>
                <w:rFonts w:ascii="Arial" w:hAnsi="Arial" w:cs="Arial"/>
                <w:sz w:val="20"/>
                <w:szCs w:val="20"/>
              </w:rPr>
              <w:t>6</w:t>
            </w:r>
          </w:p>
        </w:tc>
        <w:tc>
          <w:tcPr>
            <w:tcW w:w="2455" w:type="dxa"/>
            <w:vAlign w:val="center"/>
          </w:tcPr>
          <w:p w14:paraId="5C6D59D5" w14:textId="77777777" w:rsidR="006E087A" w:rsidRPr="006600F5" w:rsidRDefault="006E087A" w:rsidP="00DC41A0">
            <w:pPr>
              <w:contextualSpacing/>
              <w:rPr>
                <w:rFonts w:ascii="Arial" w:hAnsi="Arial" w:cs="Arial"/>
                <w:sz w:val="20"/>
                <w:szCs w:val="20"/>
              </w:rPr>
            </w:pPr>
            <w:r w:rsidRPr="006600F5">
              <w:rPr>
                <w:rFonts w:ascii="Arial" w:hAnsi="Arial" w:cs="Arial"/>
                <w:sz w:val="20"/>
                <w:szCs w:val="20"/>
              </w:rPr>
              <w:t>6.0</w:t>
            </w:r>
          </w:p>
        </w:tc>
      </w:tr>
      <w:tr w:rsidR="006E087A" w:rsidRPr="006600F5" w14:paraId="02CD2240" w14:textId="77777777" w:rsidTr="006E087A">
        <w:trPr>
          <w:trHeight w:hRule="exact" w:val="397"/>
          <w:jc w:val="center"/>
        </w:trPr>
        <w:tc>
          <w:tcPr>
            <w:tcW w:w="2972" w:type="dxa"/>
            <w:vAlign w:val="center"/>
          </w:tcPr>
          <w:p w14:paraId="53EFDEF6" w14:textId="77777777" w:rsidR="006E087A" w:rsidRPr="006600F5" w:rsidRDefault="006E087A" w:rsidP="00DC41A0">
            <w:pPr>
              <w:contextualSpacing/>
              <w:rPr>
                <w:rFonts w:ascii="Arial" w:hAnsi="Arial" w:cs="Arial"/>
                <w:sz w:val="20"/>
                <w:szCs w:val="20"/>
              </w:rPr>
            </w:pPr>
            <w:r w:rsidRPr="006600F5">
              <w:rPr>
                <w:rFonts w:ascii="Arial" w:hAnsi="Arial" w:cs="Arial"/>
                <w:sz w:val="20"/>
                <w:szCs w:val="20"/>
              </w:rPr>
              <w:t>36-40</w:t>
            </w:r>
          </w:p>
        </w:tc>
        <w:tc>
          <w:tcPr>
            <w:tcW w:w="1941" w:type="dxa"/>
            <w:vAlign w:val="center"/>
          </w:tcPr>
          <w:p w14:paraId="34496F31" w14:textId="77777777" w:rsidR="006E087A" w:rsidRPr="006600F5" w:rsidRDefault="006E087A" w:rsidP="00DC41A0">
            <w:pPr>
              <w:contextualSpacing/>
              <w:rPr>
                <w:rFonts w:ascii="Arial" w:hAnsi="Arial" w:cs="Arial"/>
                <w:sz w:val="20"/>
                <w:szCs w:val="20"/>
              </w:rPr>
            </w:pPr>
            <w:r w:rsidRPr="006600F5">
              <w:rPr>
                <w:rFonts w:ascii="Arial" w:hAnsi="Arial" w:cs="Arial"/>
                <w:sz w:val="20"/>
                <w:szCs w:val="20"/>
              </w:rPr>
              <w:t>4</w:t>
            </w:r>
          </w:p>
        </w:tc>
        <w:tc>
          <w:tcPr>
            <w:tcW w:w="2455" w:type="dxa"/>
            <w:vAlign w:val="center"/>
          </w:tcPr>
          <w:p w14:paraId="003B6CE4" w14:textId="77777777" w:rsidR="006E087A" w:rsidRPr="006600F5" w:rsidRDefault="006E087A" w:rsidP="00DC41A0">
            <w:pPr>
              <w:contextualSpacing/>
              <w:rPr>
                <w:rFonts w:ascii="Arial" w:hAnsi="Arial" w:cs="Arial"/>
                <w:sz w:val="20"/>
                <w:szCs w:val="20"/>
              </w:rPr>
            </w:pPr>
            <w:r w:rsidRPr="006600F5">
              <w:rPr>
                <w:rFonts w:ascii="Arial" w:hAnsi="Arial" w:cs="Arial"/>
                <w:sz w:val="20"/>
                <w:szCs w:val="20"/>
              </w:rPr>
              <w:t>4.0</w:t>
            </w:r>
          </w:p>
        </w:tc>
      </w:tr>
      <w:tr w:rsidR="006E087A" w:rsidRPr="006600F5" w14:paraId="56C658CF" w14:textId="77777777" w:rsidTr="006E087A">
        <w:trPr>
          <w:trHeight w:hRule="exact" w:val="397"/>
          <w:jc w:val="center"/>
        </w:trPr>
        <w:tc>
          <w:tcPr>
            <w:tcW w:w="2972" w:type="dxa"/>
            <w:tcBorders>
              <w:bottom w:val="single" w:sz="4" w:space="0" w:color="auto"/>
            </w:tcBorders>
            <w:vAlign w:val="center"/>
          </w:tcPr>
          <w:p w14:paraId="12A7A64E" w14:textId="77777777" w:rsidR="006E087A" w:rsidRPr="006600F5" w:rsidRDefault="006E087A" w:rsidP="00DC41A0">
            <w:pPr>
              <w:contextualSpacing/>
              <w:rPr>
                <w:rFonts w:ascii="Arial" w:hAnsi="Arial" w:cs="Arial"/>
                <w:sz w:val="20"/>
                <w:szCs w:val="20"/>
              </w:rPr>
            </w:pPr>
            <w:r w:rsidRPr="006600F5">
              <w:rPr>
                <w:rFonts w:ascii="Arial" w:hAnsi="Arial" w:cs="Arial"/>
                <w:sz w:val="20"/>
                <w:szCs w:val="20"/>
              </w:rPr>
              <w:t>Mean ± SD</w:t>
            </w:r>
          </w:p>
        </w:tc>
        <w:tc>
          <w:tcPr>
            <w:tcW w:w="4396" w:type="dxa"/>
            <w:gridSpan w:val="2"/>
            <w:tcBorders>
              <w:bottom w:val="single" w:sz="4" w:space="0" w:color="auto"/>
            </w:tcBorders>
            <w:vAlign w:val="center"/>
          </w:tcPr>
          <w:p w14:paraId="44A3B0E7" w14:textId="77777777" w:rsidR="006E087A" w:rsidRPr="006600F5" w:rsidRDefault="006E087A" w:rsidP="00DC41A0">
            <w:pPr>
              <w:contextualSpacing/>
              <w:rPr>
                <w:rFonts w:ascii="Arial" w:hAnsi="Arial" w:cs="Arial"/>
                <w:sz w:val="20"/>
                <w:szCs w:val="20"/>
              </w:rPr>
            </w:pPr>
            <w:r w:rsidRPr="006600F5">
              <w:rPr>
                <w:rFonts w:ascii="Arial" w:hAnsi="Arial" w:cs="Arial"/>
                <w:sz w:val="20"/>
                <w:szCs w:val="20"/>
              </w:rPr>
              <w:t xml:space="preserve">24.68 ± 4.65 </w:t>
            </w:r>
          </w:p>
        </w:tc>
      </w:tr>
      <w:tr w:rsidR="006E087A" w:rsidRPr="006600F5" w14:paraId="36134913" w14:textId="77777777" w:rsidTr="006E087A">
        <w:trPr>
          <w:trHeight w:hRule="exact" w:val="397"/>
          <w:jc w:val="center"/>
        </w:trPr>
        <w:tc>
          <w:tcPr>
            <w:tcW w:w="7368" w:type="dxa"/>
            <w:gridSpan w:val="3"/>
            <w:tcBorders>
              <w:top w:val="single" w:sz="4" w:space="0" w:color="auto"/>
              <w:bottom w:val="single" w:sz="4" w:space="0" w:color="auto"/>
            </w:tcBorders>
            <w:vAlign w:val="center"/>
          </w:tcPr>
          <w:p w14:paraId="1249D8EA" w14:textId="77777777" w:rsidR="006E087A" w:rsidRPr="006600F5" w:rsidRDefault="006E087A" w:rsidP="00DC41A0">
            <w:pPr>
              <w:contextualSpacing/>
              <w:rPr>
                <w:rFonts w:ascii="Arial" w:hAnsi="Arial" w:cs="Arial"/>
                <w:b/>
                <w:bCs/>
                <w:sz w:val="20"/>
                <w:szCs w:val="20"/>
              </w:rPr>
            </w:pPr>
            <w:r w:rsidRPr="006600F5">
              <w:rPr>
                <w:rFonts w:ascii="Arial" w:hAnsi="Arial" w:cs="Arial"/>
                <w:b/>
                <w:bCs/>
                <w:sz w:val="20"/>
                <w:szCs w:val="20"/>
              </w:rPr>
              <w:t>Residence</w:t>
            </w:r>
          </w:p>
        </w:tc>
      </w:tr>
      <w:tr w:rsidR="006E087A" w:rsidRPr="006600F5" w14:paraId="4A6BE9EC" w14:textId="77777777" w:rsidTr="006E087A">
        <w:trPr>
          <w:trHeight w:hRule="exact" w:val="397"/>
          <w:jc w:val="center"/>
        </w:trPr>
        <w:tc>
          <w:tcPr>
            <w:tcW w:w="2972" w:type="dxa"/>
            <w:tcBorders>
              <w:top w:val="single" w:sz="4" w:space="0" w:color="auto"/>
            </w:tcBorders>
            <w:vAlign w:val="center"/>
          </w:tcPr>
          <w:p w14:paraId="1CE71CFF" w14:textId="77777777" w:rsidR="006E087A" w:rsidRPr="006600F5" w:rsidRDefault="006E087A" w:rsidP="00DC41A0">
            <w:pPr>
              <w:contextualSpacing/>
              <w:rPr>
                <w:rFonts w:ascii="Arial" w:hAnsi="Arial" w:cs="Arial"/>
                <w:sz w:val="20"/>
                <w:szCs w:val="20"/>
              </w:rPr>
            </w:pPr>
            <w:r w:rsidRPr="006600F5">
              <w:rPr>
                <w:rFonts w:ascii="Arial" w:hAnsi="Arial" w:cs="Arial"/>
                <w:sz w:val="20"/>
                <w:szCs w:val="20"/>
              </w:rPr>
              <w:t>Rural</w:t>
            </w:r>
          </w:p>
        </w:tc>
        <w:tc>
          <w:tcPr>
            <w:tcW w:w="1941" w:type="dxa"/>
            <w:tcBorders>
              <w:top w:val="single" w:sz="4" w:space="0" w:color="auto"/>
            </w:tcBorders>
            <w:vAlign w:val="center"/>
          </w:tcPr>
          <w:p w14:paraId="695013DD" w14:textId="77777777" w:rsidR="006E087A" w:rsidRPr="006600F5" w:rsidRDefault="006E087A" w:rsidP="00DC41A0">
            <w:pPr>
              <w:contextualSpacing/>
              <w:rPr>
                <w:rFonts w:ascii="Arial" w:hAnsi="Arial" w:cs="Arial"/>
                <w:sz w:val="20"/>
                <w:szCs w:val="20"/>
              </w:rPr>
            </w:pPr>
            <w:r w:rsidRPr="006600F5">
              <w:rPr>
                <w:rFonts w:ascii="Arial" w:hAnsi="Arial" w:cs="Arial"/>
                <w:sz w:val="20"/>
                <w:szCs w:val="20"/>
              </w:rPr>
              <w:t>68</w:t>
            </w:r>
          </w:p>
        </w:tc>
        <w:tc>
          <w:tcPr>
            <w:tcW w:w="2455" w:type="dxa"/>
            <w:tcBorders>
              <w:top w:val="single" w:sz="4" w:space="0" w:color="auto"/>
            </w:tcBorders>
            <w:vAlign w:val="center"/>
          </w:tcPr>
          <w:p w14:paraId="4016EC16" w14:textId="77777777" w:rsidR="006E087A" w:rsidRPr="006600F5" w:rsidRDefault="006E087A" w:rsidP="00DC41A0">
            <w:pPr>
              <w:contextualSpacing/>
              <w:rPr>
                <w:rFonts w:ascii="Arial" w:hAnsi="Arial" w:cs="Arial"/>
                <w:sz w:val="20"/>
                <w:szCs w:val="20"/>
              </w:rPr>
            </w:pPr>
            <w:r w:rsidRPr="006600F5">
              <w:rPr>
                <w:rFonts w:ascii="Arial" w:hAnsi="Arial" w:cs="Arial"/>
                <w:sz w:val="20"/>
                <w:szCs w:val="20"/>
              </w:rPr>
              <w:t>68.0</w:t>
            </w:r>
          </w:p>
        </w:tc>
      </w:tr>
      <w:tr w:rsidR="006E087A" w:rsidRPr="006600F5" w14:paraId="333F3C72" w14:textId="77777777" w:rsidTr="006E087A">
        <w:trPr>
          <w:trHeight w:hRule="exact" w:val="397"/>
          <w:jc w:val="center"/>
        </w:trPr>
        <w:tc>
          <w:tcPr>
            <w:tcW w:w="2972" w:type="dxa"/>
            <w:tcBorders>
              <w:bottom w:val="single" w:sz="4" w:space="0" w:color="auto"/>
            </w:tcBorders>
            <w:vAlign w:val="center"/>
          </w:tcPr>
          <w:p w14:paraId="28F9EC16" w14:textId="77777777" w:rsidR="006E087A" w:rsidRPr="006600F5" w:rsidRDefault="006E087A" w:rsidP="00DC41A0">
            <w:pPr>
              <w:contextualSpacing/>
              <w:rPr>
                <w:rFonts w:ascii="Arial" w:hAnsi="Arial" w:cs="Arial"/>
                <w:sz w:val="20"/>
                <w:szCs w:val="20"/>
              </w:rPr>
            </w:pPr>
            <w:r w:rsidRPr="006600F5">
              <w:rPr>
                <w:rFonts w:ascii="Arial" w:hAnsi="Arial" w:cs="Arial"/>
                <w:sz w:val="20"/>
                <w:szCs w:val="20"/>
              </w:rPr>
              <w:t>Urban</w:t>
            </w:r>
          </w:p>
        </w:tc>
        <w:tc>
          <w:tcPr>
            <w:tcW w:w="1941" w:type="dxa"/>
            <w:tcBorders>
              <w:bottom w:val="single" w:sz="4" w:space="0" w:color="auto"/>
            </w:tcBorders>
            <w:vAlign w:val="center"/>
          </w:tcPr>
          <w:p w14:paraId="16E2CA4E" w14:textId="77777777" w:rsidR="006E087A" w:rsidRPr="006600F5" w:rsidRDefault="006E087A" w:rsidP="00DC41A0">
            <w:pPr>
              <w:contextualSpacing/>
              <w:rPr>
                <w:rFonts w:ascii="Arial" w:hAnsi="Arial" w:cs="Arial"/>
                <w:sz w:val="20"/>
                <w:szCs w:val="20"/>
              </w:rPr>
            </w:pPr>
            <w:r w:rsidRPr="006600F5">
              <w:rPr>
                <w:rFonts w:ascii="Arial" w:hAnsi="Arial" w:cs="Arial"/>
                <w:sz w:val="20"/>
                <w:szCs w:val="20"/>
              </w:rPr>
              <w:t>32</w:t>
            </w:r>
          </w:p>
        </w:tc>
        <w:tc>
          <w:tcPr>
            <w:tcW w:w="2455" w:type="dxa"/>
            <w:tcBorders>
              <w:bottom w:val="single" w:sz="4" w:space="0" w:color="auto"/>
            </w:tcBorders>
            <w:vAlign w:val="center"/>
          </w:tcPr>
          <w:p w14:paraId="1577E2A9" w14:textId="77777777" w:rsidR="006E087A" w:rsidRPr="006600F5" w:rsidRDefault="006E087A" w:rsidP="00DC41A0">
            <w:pPr>
              <w:contextualSpacing/>
              <w:rPr>
                <w:rFonts w:ascii="Arial" w:hAnsi="Arial" w:cs="Arial"/>
                <w:sz w:val="20"/>
                <w:szCs w:val="20"/>
              </w:rPr>
            </w:pPr>
            <w:r w:rsidRPr="006600F5">
              <w:rPr>
                <w:rFonts w:ascii="Arial" w:hAnsi="Arial" w:cs="Arial"/>
                <w:sz w:val="20"/>
                <w:szCs w:val="20"/>
              </w:rPr>
              <w:t>32.0</w:t>
            </w:r>
          </w:p>
        </w:tc>
      </w:tr>
      <w:tr w:rsidR="006E087A" w:rsidRPr="006600F5" w14:paraId="144336BB" w14:textId="77777777" w:rsidTr="006E087A">
        <w:trPr>
          <w:trHeight w:hRule="exact" w:val="397"/>
          <w:jc w:val="center"/>
        </w:trPr>
        <w:tc>
          <w:tcPr>
            <w:tcW w:w="7368" w:type="dxa"/>
            <w:gridSpan w:val="3"/>
            <w:tcBorders>
              <w:top w:val="single" w:sz="4" w:space="0" w:color="auto"/>
              <w:bottom w:val="single" w:sz="4" w:space="0" w:color="auto"/>
            </w:tcBorders>
            <w:vAlign w:val="center"/>
          </w:tcPr>
          <w:p w14:paraId="1BFEAD18" w14:textId="77777777" w:rsidR="006E087A" w:rsidRPr="006600F5" w:rsidRDefault="006E087A" w:rsidP="00DC41A0">
            <w:pPr>
              <w:contextualSpacing/>
              <w:rPr>
                <w:rFonts w:ascii="Arial" w:hAnsi="Arial" w:cs="Arial"/>
                <w:b/>
                <w:bCs/>
                <w:sz w:val="20"/>
                <w:szCs w:val="20"/>
              </w:rPr>
            </w:pPr>
            <w:r w:rsidRPr="006600F5">
              <w:rPr>
                <w:rFonts w:ascii="Arial" w:hAnsi="Arial" w:cs="Arial"/>
                <w:b/>
                <w:bCs/>
                <w:sz w:val="20"/>
                <w:szCs w:val="20"/>
              </w:rPr>
              <w:t>Occupation</w:t>
            </w:r>
          </w:p>
        </w:tc>
      </w:tr>
      <w:tr w:rsidR="006E087A" w:rsidRPr="006600F5" w14:paraId="2D6486BC" w14:textId="77777777" w:rsidTr="006E087A">
        <w:trPr>
          <w:trHeight w:hRule="exact" w:val="397"/>
          <w:jc w:val="center"/>
        </w:trPr>
        <w:tc>
          <w:tcPr>
            <w:tcW w:w="2972" w:type="dxa"/>
            <w:tcBorders>
              <w:top w:val="single" w:sz="4" w:space="0" w:color="auto"/>
            </w:tcBorders>
            <w:vAlign w:val="center"/>
          </w:tcPr>
          <w:p w14:paraId="71976292" w14:textId="77777777" w:rsidR="006E087A" w:rsidRPr="006600F5" w:rsidRDefault="006E087A" w:rsidP="00DC41A0">
            <w:pPr>
              <w:contextualSpacing/>
              <w:rPr>
                <w:rFonts w:ascii="Arial" w:hAnsi="Arial" w:cs="Arial"/>
                <w:sz w:val="20"/>
                <w:szCs w:val="20"/>
              </w:rPr>
            </w:pPr>
            <w:r w:rsidRPr="006600F5">
              <w:rPr>
                <w:rFonts w:ascii="Arial" w:hAnsi="Arial" w:cs="Arial"/>
                <w:sz w:val="20"/>
                <w:szCs w:val="20"/>
              </w:rPr>
              <w:t>Housewives</w:t>
            </w:r>
          </w:p>
        </w:tc>
        <w:tc>
          <w:tcPr>
            <w:tcW w:w="1941" w:type="dxa"/>
            <w:tcBorders>
              <w:top w:val="single" w:sz="4" w:space="0" w:color="auto"/>
            </w:tcBorders>
            <w:vAlign w:val="center"/>
          </w:tcPr>
          <w:p w14:paraId="57AD758C" w14:textId="77777777" w:rsidR="006E087A" w:rsidRPr="006600F5" w:rsidRDefault="006E087A" w:rsidP="00DC41A0">
            <w:pPr>
              <w:contextualSpacing/>
              <w:rPr>
                <w:rFonts w:ascii="Arial" w:hAnsi="Arial" w:cs="Arial"/>
                <w:sz w:val="20"/>
                <w:szCs w:val="20"/>
              </w:rPr>
            </w:pPr>
            <w:r w:rsidRPr="006600F5">
              <w:rPr>
                <w:rFonts w:ascii="Arial" w:hAnsi="Arial" w:cs="Arial"/>
                <w:sz w:val="20"/>
                <w:szCs w:val="20"/>
              </w:rPr>
              <w:t>56</w:t>
            </w:r>
          </w:p>
        </w:tc>
        <w:tc>
          <w:tcPr>
            <w:tcW w:w="2455" w:type="dxa"/>
            <w:tcBorders>
              <w:top w:val="single" w:sz="4" w:space="0" w:color="auto"/>
            </w:tcBorders>
            <w:vAlign w:val="center"/>
          </w:tcPr>
          <w:p w14:paraId="3483551A" w14:textId="77777777" w:rsidR="006E087A" w:rsidRPr="006600F5" w:rsidRDefault="006E087A" w:rsidP="00DC41A0">
            <w:pPr>
              <w:contextualSpacing/>
              <w:rPr>
                <w:rFonts w:ascii="Arial" w:hAnsi="Arial" w:cs="Arial"/>
                <w:sz w:val="20"/>
                <w:szCs w:val="20"/>
              </w:rPr>
            </w:pPr>
            <w:r w:rsidRPr="006600F5">
              <w:rPr>
                <w:rFonts w:ascii="Arial" w:hAnsi="Arial" w:cs="Arial"/>
                <w:sz w:val="20"/>
                <w:szCs w:val="20"/>
              </w:rPr>
              <w:t>56.0</w:t>
            </w:r>
          </w:p>
        </w:tc>
      </w:tr>
      <w:tr w:rsidR="006E087A" w:rsidRPr="006600F5" w14:paraId="5D59A877" w14:textId="77777777" w:rsidTr="006E087A">
        <w:trPr>
          <w:trHeight w:hRule="exact" w:val="397"/>
          <w:jc w:val="center"/>
        </w:trPr>
        <w:tc>
          <w:tcPr>
            <w:tcW w:w="2972" w:type="dxa"/>
            <w:vAlign w:val="center"/>
          </w:tcPr>
          <w:p w14:paraId="0491AE4C" w14:textId="77777777" w:rsidR="006E087A" w:rsidRPr="006600F5" w:rsidRDefault="006E087A" w:rsidP="00DC41A0">
            <w:pPr>
              <w:contextualSpacing/>
              <w:rPr>
                <w:rFonts w:ascii="Arial" w:hAnsi="Arial" w:cs="Arial"/>
                <w:sz w:val="20"/>
                <w:szCs w:val="20"/>
              </w:rPr>
            </w:pPr>
            <w:r w:rsidRPr="006600F5">
              <w:rPr>
                <w:rFonts w:ascii="Arial" w:hAnsi="Arial" w:cs="Arial"/>
                <w:sz w:val="20"/>
                <w:szCs w:val="20"/>
              </w:rPr>
              <w:t>Private employee</w:t>
            </w:r>
          </w:p>
        </w:tc>
        <w:tc>
          <w:tcPr>
            <w:tcW w:w="1941" w:type="dxa"/>
            <w:vAlign w:val="center"/>
          </w:tcPr>
          <w:p w14:paraId="63D83E79" w14:textId="77777777" w:rsidR="006E087A" w:rsidRPr="006600F5" w:rsidRDefault="006E087A" w:rsidP="00DC41A0">
            <w:pPr>
              <w:contextualSpacing/>
              <w:rPr>
                <w:rFonts w:ascii="Arial" w:hAnsi="Arial" w:cs="Arial"/>
                <w:sz w:val="20"/>
                <w:szCs w:val="20"/>
              </w:rPr>
            </w:pPr>
            <w:r w:rsidRPr="006600F5">
              <w:rPr>
                <w:rFonts w:ascii="Arial" w:hAnsi="Arial" w:cs="Arial"/>
                <w:sz w:val="20"/>
                <w:szCs w:val="20"/>
              </w:rPr>
              <w:t>25</w:t>
            </w:r>
          </w:p>
        </w:tc>
        <w:tc>
          <w:tcPr>
            <w:tcW w:w="2455" w:type="dxa"/>
            <w:vAlign w:val="center"/>
          </w:tcPr>
          <w:p w14:paraId="79E18FE1" w14:textId="77777777" w:rsidR="006E087A" w:rsidRPr="006600F5" w:rsidRDefault="006E087A" w:rsidP="00DC41A0">
            <w:pPr>
              <w:contextualSpacing/>
              <w:rPr>
                <w:rFonts w:ascii="Arial" w:hAnsi="Arial" w:cs="Arial"/>
                <w:sz w:val="20"/>
                <w:szCs w:val="20"/>
              </w:rPr>
            </w:pPr>
            <w:r w:rsidRPr="006600F5">
              <w:rPr>
                <w:rFonts w:ascii="Arial" w:hAnsi="Arial" w:cs="Arial"/>
                <w:sz w:val="20"/>
                <w:szCs w:val="20"/>
              </w:rPr>
              <w:t>25.0</w:t>
            </w:r>
          </w:p>
        </w:tc>
      </w:tr>
      <w:tr w:rsidR="006E087A" w:rsidRPr="006600F5" w14:paraId="04CCB1AF" w14:textId="77777777" w:rsidTr="006E087A">
        <w:trPr>
          <w:trHeight w:hRule="exact" w:val="397"/>
          <w:jc w:val="center"/>
        </w:trPr>
        <w:tc>
          <w:tcPr>
            <w:tcW w:w="2972" w:type="dxa"/>
            <w:vAlign w:val="center"/>
          </w:tcPr>
          <w:p w14:paraId="53A0D5A4" w14:textId="77777777" w:rsidR="006E087A" w:rsidRPr="006600F5" w:rsidRDefault="006E087A" w:rsidP="00DC41A0">
            <w:pPr>
              <w:contextualSpacing/>
              <w:rPr>
                <w:rFonts w:ascii="Arial" w:hAnsi="Arial" w:cs="Arial"/>
                <w:sz w:val="20"/>
                <w:szCs w:val="20"/>
              </w:rPr>
            </w:pPr>
            <w:r w:rsidRPr="006600F5">
              <w:rPr>
                <w:rFonts w:ascii="Arial" w:hAnsi="Arial" w:cs="Arial"/>
                <w:sz w:val="20"/>
                <w:szCs w:val="20"/>
              </w:rPr>
              <w:t>Govt. employee</w:t>
            </w:r>
          </w:p>
        </w:tc>
        <w:tc>
          <w:tcPr>
            <w:tcW w:w="1941" w:type="dxa"/>
            <w:vAlign w:val="center"/>
          </w:tcPr>
          <w:p w14:paraId="5C30CA72" w14:textId="77777777" w:rsidR="006E087A" w:rsidRPr="006600F5" w:rsidRDefault="006E087A" w:rsidP="00DC41A0">
            <w:pPr>
              <w:contextualSpacing/>
              <w:rPr>
                <w:rFonts w:ascii="Arial" w:hAnsi="Arial" w:cs="Arial"/>
                <w:sz w:val="20"/>
                <w:szCs w:val="20"/>
              </w:rPr>
            </w:pPr>
            <w:r w:rsidRPr="006600F5">
              <w:rPr>
                <w:rFonts w:ascii="Arial" w:hAnsi="Arial" w:cs="Arial"/>
                <w:sz w:val="20"/>
                <w:szCs w:val="20"/>
              </w:rPr>
              <w:t>14</w:t>
            </w:r>
          </w:p>
        </w:tc>
        <w:tc>
          <w:tcPr>
            <w:tcW w:w="2455" w:type="dxa"/>
            <w:vAlign w:val="center"/>
          </w:tcPr>
          <w:p w14:paraId="56D35765" w14:textId="77777777" w:rsidR="006E087A" w:rsidRPr="006600F5" w:rsidRDefault="006E087A" w:rsidP="00DC41A0">
            <w:pPr>
              <w:contextualSpacing/>
              <w:rPr>
                <w:rFonts w:ascii="Arial" w:hAnsi="Arial" w:cs="Arial"/>
                <w:sz w:val="20"/>
                <w:szCs w:val="20"/>
              </w:rPr>
            </w:pPr>
            <w:r w:rsidRPr="006600F5">
              <w:rPr>
                <w:rFonts w:ascii="Arial" w:hAnsi="Arial" w:cs="Arial"/>
                <w:sz w:val="20"/>
                <w:szCs w:val="20"/>
              </w:rPr>
              <w:t>14.0</w:t>
            </w:r>
          </w:p>
        </w:tc>
      </w:tr>
      <w:tr w:rsidR="006E087A" w:rsidRPr="006600F5" w14:paraId="5A995882" w14:textId="77777777" w:rsidTr="006E087A">
        <w:trPr>
          <w:trHeight w:hRule="exact" w:val="397"/>
          <w:jc w:val="center"/>
        </w:trPr>
        <w:tc>
          <w:tcPr>
            <w:tcW w:w="2972" w:type="dxa"/>
            <w:vAlign w:val="center"/>
          </w:tcPr>
          <w:p w14:paraId="3BC940F2" w14:textId="77777777" w:rsidR="006E087A" w:rsidRPr="006600F5" w:rsidRDefault="006E087A" w:rsidP="00DC41A0">
            <w:pPr>
              <w:contextualSpacing/>
              <w:rPr>
                <w:rFonts w:ascii="Arial" w:hAnsi="Arial" w:cs="Arial"/>
                <w:sz w:val="20"/>
                <w:szCs w:val="20"/>
              </w:rPr>
            </w:pPr>
            <w:r w:rsidRPr="006600F5">
              <w:rPr>
                <w:rFonts w:ascii="Arial" w:hAnsi="Arial" w:cs="Arial"/>
                <w:sz w:val="20"/>
                <w:szCs w:val="20"/>
              </w:rPr>
              <w:t>Self-employed</w:t>
            </w:r>
          </w:p>
        </w:tc>
        <w:tc>
          <w:tcPr>
            <w:tcW w:w="1941" w:type="dxa"/>
            <w:vAlign w:val="center"/>
          </w:tcPr>
          <w:p w14:paraId="32CD4A7F" w14:textId="77777777" w:rsidR="006E087A" w:rsidRPr="006600F5" w:rsidRDefault="006E087A" w:rsidP="00DC41A0">
            <w:pPr>
              <w:contextualSpacing/>
              <w:rPr>
                <w:rFonts w:ascii="Arial" w:hAnsi="Arial" w:cs="Arial"/>
                <w:sz w:val="20"/>
                <w:szCs w:val="20"/>
              </w:rPr>
            </w:pPr>
            <w:r w:rsidRPr="006600F5">
              <w:rPr>
                <w:rFonts w:ascii="Arial" w:hAnsi="Arial" w:cs="Arial"/>
                <w:sz w:val="20"/>
                <w:szCs w:val="20"/>
              </w:rPr>
              <w:t>5</w:t>
            </w:r>
          </w:p>
        </w:tc>
        <w:tc>
          <w:tcPr>
            <w:tcW w:w="2455" w:type="dxa"/>
            <w:vAlign w:val="center"/>
          </w:tcPr>
          <w:p w14:paraId="08AFC807" w14:textId="77777777" w:rsidR="006E087A" w:rsidRPr="006600F5" w:rsidRDefault="006E087A" w:rsidP="00DC41A0">
            <w:pPr>
              <w:contextualSpacing/>
              <w:rPr>
                <w:rFonts w:ascii="Arial" w:hAnsi="Arial" w:cs="Arial"/>
                <w:sz w:val="20"/>
                <w:szCs w:val="20"/>
              </w:rPr>
            </w:pPr>
            <w:r w:rsidRPr="006600F5">
              <w:rPr>
                <w:rFonts w:ascii="Arial" w:hAnsi="Arial" w:cs="Arial"/>
                <w:sz w:val="20"/>
                <w:szCs w:val="20"/>
              </w:rPr>
              <w:t>5.0</w:t>
            </w:r>
          </w:p>
        </w:tc>
      </w:tr>
      <w:bookmarkEnd w:id="2"/>
    </w:tbl>
    <w:p w14:paraId="47E55442" w14:textId="77777777" w:rsidR="006E087A" w:rsidRPr="0026082D" w:rsidRDefault="006E087A" w:rsidP="006E087A">
      <w:pPr>
        <w:spacing w:line="480" w:lineRule="auto"/>
        <w:jc w:val="both"/>
        <w:rPr>
          <w:rFonts w:ascii="Times New Roman" w:hAnsi="Times New Roman"/>
          <w:sz w:val="24"/>
          <w:szCs w:val="24"/>
        </w:rPr>
      </w:pPr>
    </w:p>
    <w:p w14:paraId="0B774BCF" w14:textId="3961DE7A" w:rsidR="006E087A" w:rsidRDefault="006E087A" w:rsidP="006E087A">
      <w:pPr>
        <w:pStyle w:val="Body"/>
        <w:spacing w:after="0"/>
        <w:rPr>
          <w:rFonts w:ascii="Arial" w:hAnsi="Arial" w:cs="Arial"/>
        </w:rPr>
      </w:pPr>
      <w:r w:rsidRPr="006E087A">
        <w:rPr>
          <w:rFonts w:ascii="Arial" w:hAnsi="Arial" w:cs="Arial"/>
        </w:rPr>
        <w:t>Majority of the study participants i.e., 66% were suffering primary infertility followed by secondary infertility (34%, Fig</w:t>
      </w:r>
      <w:r w:rsidR="00141D03">
        <w:rPr>
          <w:rFonts w:ascii="Arial" w:hAnsi="Arial" w:cs="Arial"/>
        </w:rPr>
        <w:t>.</w:t>
      </w:r>
      <w:r w:rsidRPr="006E087A">
        <w:rPr>
          <w:rFonts w:ascii="Arial" w:hAnsi="Arial" w:cs="Arial"/>
        </w:rPr>
        <w:t xml:space="preserve"> 1).</w:t>
      </w:r>
    </w:p>
    <w:p w14:paraId="723FB9C2" w14:textId="77777777" w:rsidR="00DC41A0" w:rsidRPr="006E087A" w:rsidRDefault="00DC41A0" w:rsidP="006E087A">
      <w:pPr>
        <w:pStyle w:val="Body"/>
        <w:spacing w:after="0"/>
        <w:rPr>
          <w:rFonts w:ascii="Arial" w:hAnsi="Arial" w:cs="Arial"/>
        </w:rPr>
      </w:pPr>
    </w:p>
    <w:p w14:paraId="7AA3F520" w14:textId="77777777" w:rsidR="006E087A" w:rsidRDefault="006E087A" w:rsidP="00C479A5">
      <w:pPr>
        <w:jc w:val="both"/>
        <w:rPr>
          <w:rFonts w:ascii="Times New Roman" w:hAnsi="Times New Roman"/>
          <w:b/>
          <w:bCs/>
          <w:sz w:val="24"/>
          <w:szCs w:val="24"/>
        </w:rPr>
      </w:pPr>
      <w:r>
        <w:rPr>
          <w:rFonts w:ascii="Times New Roman" w:hAnsi="Times New Roman"/>
          <w:b/>
          <w:bCs/>
          <w:noProof/>
          <w:sz w:val="24"/>
          <w:szCs w:val="24"/>
        </w:rPr>
        <w:drawing>
          <wp:inline distT="0" distB="0" distL="0" distR="0" wp14:anchorId="3D16AAC0" wp14:editId="6D7BAEE7">
            <wp:extent cx="3779456" cy="2809875"/>
            <wp:effectExtent l="0" t="0" r="0" b="0"/>
            <wp:docPr id="3896105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826956" cy="2845189"/>
                    </a:xfrm>
                    <a:prstGeom prst="rect">
                      <a:avLst/>
                    </a:prstGeom>
                    <a:noFill/>
                  </pic:spPr>
                </pic:pic>
              </a:graphicData>
            </a:graphic>
          </wp:inline>
        </w:drawing>
      </w:r>
    </w:p>
    <w:p w14:paraId="7EFFBDEA" w14:textId="53086AB8" w:rsidR="006E087A" w:rsidRPr="0026082D" w:rsidRDefault="006E087A" w:rsidP="00C479A5">
      <w:pPr>
        <w:spacing w:line="480" w:lineRule="auto"/>
        <w:rPr>
          <w:rFonts w:ascii="Times New Roman" w:hAnsi="Times New Roman"/>
          <w:b/>
          <w:bCs/>
          <w:sz w:val="24"/>
          <w:szCs w:val="24"/>
        </w:rPr>
      </w:pPr>
      <w:r w:rsidRPr="0026082D">
        <w:rPr>
          <w:rFonts w:ascii="Times New Roman" w:hAnsi="Times New Roman"/>
          <w:b/>
          <w:bCs/>
          <w:sz w:val="24"/>
          <w:szCs w:val="24"/>
        </w:rPr>
        <w:t>Fig</w:t>
      </w:r>
      <w:r w:rsidR="00141D03">
        <w:rPr>
          <w:rFonts w:ascii="Times New Roman" w:hAnsi="Times New Roman"/>
          <w:b/>
          <w:bCs/>
          <w:sz w:val="24"/>
          <w:szCs w:val="24"/>
        </w:rPr>
        <w:t>.</w:t>
      </w:r>
      <w:r w:rsidRPr="0026082D">
        <w:rPr>
          <w:rFonts w:ascii="Times New Roman" w:hAnsi="Times New Roman"/>
          <w:b/>
          <w:bCs/>
          <w:sz w:val="24"/>
          <w:szCs w:val="24"/>
        </w:rPr>
        <w:t xml:space="preserve"> 1</w:t>
      </w:r>
      <w:r w:rsidR="00141D03">
        <w:rPr>
          <w:rFonts w:ascii="Times New Roman" w:hAnsi="Times New Roman"/>
          <w:b/>
          <w:bCs/>
          <w:sz w:val="24"/>
          <w:szCs w:val="24"/>
        </w:rPr>
        <w:t>.</w:t>
      </w:r>
      <w:r w:rsidRPr="0026082D">
        <w:rPr>
          <w:rFonts w:ascii="Times New Roman" w:hAnsi="Times New Roman"/>
          <w:b/>
          <w:bCs/>
          <w:sz w:val="24"/>
          <w:szCs w:val="24"/>
        </w:rPr>
        <w:t xml:space="preserve"> Distribution of study participants based on types of infertility</w:t>
      </w:r>
    </w:p>
    <w:p w14:paraId="3ACFADA8" w14:textId="77777777" w:rsidR="00141D03" w:rsidRDefault="006E087A" w:rsidP="00141D03">
      <w:pPr>
        <w:pStyle w:val="Body"/>
        <w:spacing w:after="0"/>
        <w:rPr>
          <w:rFonts w:ascii="Arial" w:hAnsi="Arial" w:cs="Arial"/>
        </w:rPr>
      </w:pPr>
      <w:r w:rsidRPr="00141D03">
        <w:rPr>
          <w:rFonts w:ascii="Arial" w:hAnsi="Arial" w:cs="Arial"/>
        </w:rPr>
        <w:t xml:space="preserve">The results of distribution of study participants based on infertility factors were represented in Table 2. Results portray that tubal factors were the major causes of primary infertility accounting for 43.9% followed by ovarian factors (27.3%), peritoneal factors (16.7%), and 12.1% of uterine factors were responsible for primary infertility in women. Similarly, with </w:t>
      </w:r>
      <w:r w:rsidRPr="00141D03">
        <w:rPr>
          <w:rFonts w:ascii="Arial" w:hAnsi="Arial" w:cs="Arial"/>
        </w:rPr>
        <w:lastRenderedPageBreak/>
        <w:t>regards to secondary infertility in women tubal factors accounts for 38.2% followed by ovarian factors (26.5%), peritoneal factors (23.5%), and uterine factors (11.8%).</w:t>
      </w:r>
    </w:p>
    <w:p w14:paraId="5783BA79" w14:textId="77777777" w:rsidR="00141D03" w:rsidRDefault="00141D03" w:rsidP="00141D03">
      <w:pPr>
        <w:pStyle w:val="Body"/>
        <w:spacing w:after="0"/>
        <w:rPr>
          <w:rFonts w:ascii="Times New Roman" w:hAnsi="Times New Roman"/>
          <w:b/>
          <w:bCs/>
          <w:sz w:val="24"/>
          <w:szCs w:val="24"/>
        </w:rPr>
      </w:pPr>
    </w:p>
    <w:p w14:paraId="1CDDC195" w14:textId="36F45C3F" w:rsidR="006E087A" w:rsidRPr="00141D03" w:rsidRDefault="006E087A" w:rsidP="00141D03">
      <w:pPr>
        <w:pStyle w:val="Body"/>
        <w:spacing w:after="0"/>
        <w:jc w:val="left"/>
        <w:rPr>
          <w:rFonts w:ascii="Arial" w:hAnsi="Arial" w:cs="Arial"/>
          <w:b/>
          <w:bCs/>
        </w:rPr>
      </w:pPr>
      <w:r w:rsidRPr="00141D03">
        <w:rPr>
          <w:rFonts w:ascii="Arial" w:hAnsi="Arial" w:cs="Arial"/>
          <w:b/>
          <w:bCs/>
        </w:rPr>
        <w:t xml:space="preserve">Table 2: </w:t>
      </w:r>
      <w:bookmarkStart w:id="3" w:name="_Hlk204102729"/>
      <w:r w:rsidRPr="00141D03">
        <w:rPr>
          <w:rFonts w:ascii="Arial" w:hAnsi="Arial" w:cs="Arial"/>
          <w:b/>
          <w:bCs/>
        </w:rPr>
        <w:t>Distribution of study participants based on infertility factors</w:t>
      </w:r>
    </w:p>
    <w:tbl>
      <w:tblPr>
        <w:tblStyle w:val="TableGrid"/>
        <w:tblW w:w="0" w:type="auto"/>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0"/>
        <w:gridCol w:w="3081"/>
        <w:gridCol w:w="3015"/>
      </w:tblGrid>
      <w:tr w:rsidR="006E087A" w:rsidRPr="00141D03" w14:paraId="345438A1" w14:textId="77777777" w:rsidTr="00C479A5">
        <w:trPr>
          <w:trHeight w:hRule="exact" w:val="567"/>
          <w:jc w:val="center"/>
        </w:trPr>
        <w:tc>
          <w:tcPr>
            <w:tcW w:w="2830" w:type="dxa"/>
            <w:tcBorders>
              <w:top w:val="single" w:sz="4" w:space="0" w:color="auto"/>
              <w:bottom w:val="single" w:sz="4" w:space="0" w:color="auto"/>
            </w:tcBorders>
            <w:vAlign w:val="center"/>
          </w:tcPr>
          <w:bookmarkEnd w:id="3"/>
          <w:p w14:paraId="02583E02" w14:textId="77777777" w:rsidR="006E087A" w:rsidRPr="00141D03" w:rsidRDefault="006E087A" w:rsidP="00141D03">
            <w:pPr>
              <w:contextualSpacing/>
              <w:rPr>
                <w:rFonts w:ascii="Arial" w:hAnsi="Arial" w:cs="Arial"/>
                <w:b/>
                <w:bCs/>
                <w:sz w:val="20"/>
                <w:szCs w:val="20"/>
              </w:rPr>
            </w:pPr>
            <w:r w:rsidRPr="00141D03">
              <w:rPr>
                <w:rFonts w:ascii="Arial" w:hAnsi="Arial" w:cs="Arial"/>
                <w:b/>
                <w:bCs/>
                <w:sz w:val="20"/>
                <w:szCs w:val="20"/>
              </w:rPr>
              <w:t>Infertility Factors</w:t>
            </w:r>
          </w:p>
        </w:tc>
        <w:tc>
          <w:tcPr>
            <w:tcW w:w="3081" w:type="dxa"/>
            <w:tcBorders>
              <w:top w:val="single" w:sz="4" w:space="0" w:color="auto"/>
              <w:bottom w:val="single" w:sz="4" w:space="0" w:color="auto"/>
            </w:tcBorders>
            <w:vAlign w:val="center"/>
          </w:tcPr>
          <w:p w14:paraId="0E4F9424" w14:textId="77777777" w:rsidR="006E087A" w:rsidRPr="00141D03" w:rsidRDefault="006E087A" w:rsidP="00141D03">
            <w:pPr>
              <w:contextualSpacing/>
              <w:rPr>
                <w:rFonts w:ascii="Arial" w:hAnsi="Arial" w:cs="Arial"/>
                <w:b/>
                <w:bCs/>
                <w:sz w:val="20"/>
                <w:szCs w:val="20"/>
              </w:rPr>
            </w:pPr>
            <w:r w:rsidRPr="00141D03">
              <w:rPr>
                <w:rFonts w:ascii="Arial" w:hAnsi="Arial" w:cs="Arial"/>
                <w:b/>
                <w:bCs/>
                <w:sz w:val="20"/>
                <w:szCs w:val="20"/>
              </w:rPr>
              <w:t xml:space="preserve">Primary Infertility </w:t>
            </w:r>
          </w:p>
          <w:p w14:paraId="1DF2F283" w14:textId="77777777" w:rsidR="006E087A" w:rsidRPr="00141D03" w:rsidRDefault="006E087A" w:rsidP="00141D03">
            <w:pPr>
              <w:contextualSpacing/>
              <w:rPr>
                <w:rFonts w:ascii="Arial" w:hAnsi="Arial" w:cs="Arial"/>
                <w:b/>
                <w:bCs/>
                <w:sz w:val="20"/>
                <w:szCs w:val="20"/>
              </w:rPr>
            </w:pPr>
            <w:r w:rsidRPr="00141D03">
              <w:rPr>
                <w:rFonts w:ascii="Arial" w:hAnsi="Arial" w:cs="Arial"/>
                <w:b/>
                <w:bCs/>
                <w:sz w:val="20"/>
                <w:szCs w:val="20"/>
              </w:rPr>
              <w:t>(n=66)</w:t>
            </w:r>
          </w:p>
        </w:tc>
        <w:tc>
          <w:tcPr>
            <w:tcW w:w="3015" w:type="dxa"/>
            <w:tcBorders>
              <w:top w:val="single" w:sz="4" w:space="0" w:color="auto"/>
              <w:bottom w:val="single" w:sz="4" w:space="0" w:color="auto"/>
            </w:tcBorders>
            <w:vAlign w:val="center"/>
          </w:tcPr>
          <w:p w14:paraId="0F7E2929" w14:textId="77777777" w:rsidR="00141D03" w:rsidRDefault="006E087A" w:rsidP="00141D03">
            <w:pPr>
              <w:contextualSpacing/>
              <w:rPr>
                <w:rFonts w:ascii="Arial" w:hAnsi="Arial" w:cs="Arial"/>
                <w:b/>
                <w:bCs/>
                <w:sz w:val="20"/>
                <w:szCs w:val="20"/>
              </w:rPr>
            </w:pPr>
            <w:r w:rsidRPr="00141D03">
              <w:rPr>
                <w:rFonts w:ascii="Arial" w:hAnsi="Arial" w:cs="Arial"/>
                <w:b/>
                <w:bCs/>
                <w:sz w:val="20"/>
                <w:szCs w:val="20"/>
              </w:rPr>
              <w:t xml:space="preserve">Secondary Infertility </w:t>
            </w:r>
          </w:p>
          <w:p w14:paraId="0C4E565F" w14:textId="0B1A6AC1" w:rsidR="006E087A" w:rsidRPr="00141D03" w:rsidRDefault="006E087A" w:rsidP="00141D03">
            <w:pPr>
              <w:contextualSpacing/>
              <w:rPr>
                <w:rFonts w:ascii="Arial" w:hAnsi="Arial" w:cs="Arial"/>
                <w:b/>
                <w:bCs/>
                <w:sz w:val="20"/>
                <w:szCs w:val="20"/>
              </w:rPr>
            </w:pPr>
            <w:r w:rsidRPr="00141D03">
              <w:rPr>
                <w:rFonts w:ascii="Arial" w:hAnsi="Arial" w:cs="Arial"/>
                <w:b/>
                <w:bCs/>
                <w:sz w:val="20"/>
                <w:szCs w:val="20"/>
              </w:rPr>
              <w:t>(n=34)</w:t>
            </w:r>
          </w:p>
        </w:tc>
      </w:tr>
      <w:tr w:rsidR="006E087A" w:rsidRPr="00141D03" w14:paraId="5AE61BCB" w14:textId="77777777" w:rsidTr="00C479A5">
        <w:trPr>
          <w:trHeight w:hRule="exact" w:val="454"/>
          <w:jc w:val="center"/>
        </w:trPr>
        <w:tc>
          <w:tcPr>
            <w:tcW w:w="2830" w:type="dxa"/>
            <w:tcBorders>
              <w:top w:val="single" w:sz="4" w:space="0" w:color="auto"/>
            </w:tcBorders>
            <w:vAlign w:val="center"/>
          </w:tcPr>
          <w:p w14:paraId="1E0D4238" w14:textId="77777777" w:rsidR="006E087A" w:rsidRPr="00141D03" w:rsidRDefault="006E087A" w:rsidP="00141D03">
            <w:pPr>
              <w:contextualSpacing/>
              <w:rPr>
                <w:rFonts w:ascii="Arial" w:hAnsi="Arial" w:cs="Arial"/>
                <w:sz w:val="20"/>
                <w:szCs w:val="20"/>
              </w:rPr>
            </w:pPr>
            <w:r w:rsidRPr="00141D03">
              <w:rPr>
                <w:rFonts w:ascii="Arial" w:hAnsi="Arial" w:cs="Arial"/>
                <w:sz w:val="20"/>
                <w:szCs w:val="20"/>
              </w:rPr>
              <w:t>Tubal factors</w:t>
            </w:r>
          </w:p>
        </w:tc>
        <w:tc>
          <w:tcPr>
            <w:tcW w:w="3081" w:type="dxa"/>
            <w:tcBorders>
              <w:top w:val="single" w:sz="4" w:space="0" w:color="auto"/>
            </w:tcBorders>
            <w:vAlign w:val="center"/>
          </w:tcPr>
          <w:p w14:paraId="7DB22DFD" w14:textId="77777777" w:rsidR="006E087A" w:rsidRPr="00141D03" w:rsidRDefault="006E087A" w:rsidP="00141D03">
            <w:pPr>
              <w:contextualSpacing/>
              <w:rPr>
                <w:rFonts w:ascii="Arial" w:hAnsi="Arial" w:cs="Arial"/>
                <w:sz w:val="20"/>
                <w:szCs w:val="20"/>
              </w:rPr>
            </w:pPr>
            <w:r w:rsidRPr="00141D03">
              <w:rPr>
                <w:rFonts w:ascii="Arial" w:hAnsi="Arial" w:cs="Arial"/>
                <w:sz w:val="20"/>
                <w:szCs w:val="20"/>
              </w:rPr>
              <w:t>29 (43.9)</w:t>
            </w:r>
          </w:p>
        </w:tc>
        <w:tc>
          <w:tcPr>
            <w:tcW w:w="3015" w:type="dxa"/>
            <w:tcBorders>
              <w:top w:val="single" w:sz="4" w:space="0" w:color="auto"/>
            </w:tcBorders>
            <w:vAlign w:val="center"/>
          </w:tcPr>
          <w:p w14:paraId="379B4656" w14:textId="77777777" w:rsidR="006E087A" w:rsidRPr="00141D03" w:rsidRDefault="006E087A" w:rsidP="00141D03">
            <w:pPr>
              <w:contextualSpacing/>
              <w:rPr>
                <w:rFonts w:ascii="Arial" w:hAnsi="Arial" w:cs="Arial"/>
                <w:sz w:val="20"/>
                <w:szCs w:val="20"/>
              </w:rPr>
            </w:pPr>
            <w:r w:rsidRPr="00141D03">
              <w:rPr>
                <w:rFonts w:ascii="Arial" w:hAnsi="Arial" w:cs="Arial"/>
                <w:sz w:val="20"/>
                <w:szCs w:val="20"/>
              </w:rPr>
              <w:t>13 (38.2)</w:t>
            </w:r>
          </w:p>
        </w:tc>
      </w:tr>
      <w:tr w:rsidR="006E087A" w:rsidRPr="00141D03" w14:paraId="0E874E92" w14:textId="77777777" w:rsidTr="00C479A5">
        <w:trPr>
          <w:trHeight w:hRule="exact" w:val="454"/>
          <w:jc w:val="center"/>
        </w:trPr>
        <w:tc>
          <w:tcPr>
            <w:tcW w:w="2830" w:type="dxa"/>
            <w:vAlign w:val="center"/>
          </w:tcPr>
          <w:p w14:paraId="48C530AF" w14:textId="77777777" w:rsidR="006E087A" w:rsidRPr="00141D03" w:rsidRDefault="006E087A" w:rsidP="00141D03">
            <w:pPr>
              <w:contextualSpacing/>
              <w:rPr>
                <w:rFonts w:ascii="Arial" w:hAnsi="Arial" w:cs="Arial"/>
                <w:sz w:val="20"/>
                <w:szCs w:val="20"/>
              </w:rPr>
            </w:pPr>
            <w:r w:rsidRPr="00141D03">
              <w:rPr>
                <w:rFonts w:ascii="Arial" w:hAnsi="Arial" w:cs="Arial"/>
                <w:sz w:val="20"/>
                <w:szCs w:val="20"/>
              </w:rPr>
              <w:t>Ovarian factors</w:t>
            </w:r>
          </w:p>
        </w:tc>
        <w:tc>
          <w:tcPr>
            <w:tcW w:w="3081" w:type="dxa"/>
            <w:vAlign w:val="center"/>
          </w:tcPr>
          <w:p w14:paraId="4FE97FAB" w14:textId="77777777" w:rsidR="006E087A" w:rsidRPr="00141D03" w:rsidRDefault="006E087A" w:rsidP="00141D03">
            <w:pPr>
              <w:contextualSpacing/>
              <w:rPr>
                <w:rFonts w:ascii="Arial" w:hAnsi="Arial" w:cs="Arial"/>
                <w:sz w:val="20"/>
                <w:szCs w:val="20"/>
              </w:rPr>
            </w:pPr>
            <w:r w:rsidRPr="00141D03">
              <w:rPr>
                <w:rFonts w:ascii="Arial" w:hAnsi="Arial" w:cs="Arial"/>
                <w:sz w:val="20"/>
                <w:szCs w:val="20"/>
              </w:rPr>
              <w:t>18 (27.3)</w:t>
            </w:r>
          </w:p>
        </w:tc>
        <w:tc>
          <w:tcPr>
            <w:tcW w:w="3015" w:type="dxa"/>
            <w:vAlign w:val="center"/>
          </w:tcPr>
          <w:p w14:paraId="4BD391A5" w14:textId="77777777" w:rsidR="006E087A" w:rsidRPr="00141D03" w:rsidRDefault="006E087A" w:rsidP="00141D03">
            <w:pPr>
              <w:contextualSpacing/>
              <w:rPr>
                <w:rFonts w:ascii="Arial" w:hAnsi="Arial" w:cs="Arial"/>
                <w:sz w:val="20"/>
                <w:szCs w:val="20"/>
              </w:rPr>
            </w:pPr>
            <w:r w:rsidRPr="00141D03">
              <w:rPr>
                <w:rFonts w:ascii="Arial" w:hAnsi="Arial" w:cs="Arial"/>
                <w:sz w:val="20"/>
                <w:szCs w:val="20"/>
              </w:rPr>
              <w:t>9 (26.5)</w:t>
            </w:r>
          </w:p>
        </w:tc>
      </w:tr>
      <w:tr w:rsidR="006E087A" w:rsidRPr="00141D03" w14:paraId="686E55BE" w14:textId="77777777" w:rsidTr="00C479A5">
        <w:trPr>
          <w:trHeight w:hRule="exact" w:val="454"/>
          <w:jc w:val="center"/>
        </w:trPr>
        <w:tc>
          <w:tcPr>
            <w:tcW w:w="2830" w:type="dxa"/>
            <w:vAlign w:val="center"/>
          </w:tcPr>
          <w:p w14:paraId="77DDF287" w14:textId="77777777" w:rsidR="006E087A" w:rsidRPr="00141D03" w:rsidRDefault="006E087A" w:rsidP="00141D03">
            <w:pPr>
              <w:contextualSpacing/>
              <w:rPr>
                <w:rFonts w:ascii="Arial" w:hAnsi="Arial" w:cs="Arial"/>
                <w:sz w:val="20"/>
                <w:szCs w:val="20"/>
              </w:rPr>
            </w:pPr>
            <w:r w:rsidRPr="00141D03">
              <w:rPr>
                <w:rFonts w:ascii="Arial" w:hAnsi="Arial" w:cs="Arial"/>
                <w:sz w:val="20"/>
                <w:szCs w:val="20"/>
              </w:rPr>
              <w:t>Peritoneal factors</w:t>
            </w:r>
          </w:p>
        </w:tc>
        <w:tc>
          <w:tcPr>
            <w:tcW w:w="3081" w:type="dxa"/>
            <w:vAlign w:val="center"/>
          </w:tcPr>
          <w:p w14:paraId="18AE2DCA" w14:textId="77777777" w:rsidR="006E087A" w:rsidRPr="00141D03" w:rsidRDefault="006E087A" w:rsidP="00141D03">
            <w:pPr>
              <w:contextualSpacing/>
              <w:rPr>
                <w:rFonts w:ascii="Arial" w:hAnsi="Arial" w:cs="Arial"/>
                <w:sz w:val="20"/>
                <w:szCs w:val="20"/>
              </w:rPr>
            </w:pPr>
            <w:r w:rsidRPr="00141D03">
              <w:rPr>
                <w:rFonts w:ascii="Arial" w:hAnsi="Arial" w:cs="Arial"/>
                <w:sz w:val="20"/>
                <w:szCs w:val="20"/>
              </w:rPr>
              <w:t>11 (16.7)</w:t>
            </w:r>
          </w:p>
        </w:tc>
        <w:tc>
          <w:tcPr>
            <w:tcW w:w="3015" w:type="dxa"/>
            <w:vAlign w:val="center"/>
          </w:tcPr>
          <w:p w14:paraId="6D1F64E3" w14:textId="77777777" w:rsidR="006E087A" w:rsidRPr="00141D03" w:rsidRDefault="006E087A" w:rsidP="00141D03">
            <w:pPr>
              <w:contextualSpacing/>
              <w:rPr>
                <w:rFonts w:ascii="Arial" w:hAnsi="Arial" w:cs="Arial"/>
                <w:sz w:val="20"/>
                <w:szCs w:val="20"/>
              </w:rPr>
            </w:pPr>
            <w:r w:rsidRPr="00141D03">
              <w:rPr>
                <w:rFonts w:ascii="Arial" w:hAnsi="Arial" w:cs="Arial"/>
                <w:sz w:val="20"/>
                <w:szCs w:val="20"/>
              </w:rPr>
              <w:t>8 (23.5)</w:t>
            </w:r>
          </w:p>
        </w:tc>
      </w:tr>
      <w:tr w:rsidR="006E087A" w:rsidRPr="00141D03" w14:paraId="387C6FBB" w14:textId="77777777" w:rsidTr="00C479A5">
        <w:trPr>
          <w:trHeight w:hRule="exact" w:val="454"/>
          <w:jc w:val="center"/>
        </w:trPr>
        <w:tc>
          <w:tcPr>
            <w:tcW w:w="2830" w:type="dxa"/>
            <w:vAlign w:val="center"/>
          </w:tcPr>
          <w:p w14:paraId="6BDC4ED6" w14:textId="77777777" w:rsidR="006E087A" w:rsidRPr="00141D03" w:rsidRDefault="006E087A" w:rsidP="00141D03">
            <w:pPr>
              <w:contextualSpacing/>
              <w:rPr>
                <w:rFonts w:ascii="Arial" w:hAnsi="Arial" w:cs="Arial"/>
                <w:sz w:val="20"/>
                <w:szCs w:val="20"/>
              </w:rPr>
            </w:pPr>
            <w:r w:rsidRPr="00141D03">
              <w:rPr>
                <w:rFonts w:ascii="Arial" w:hAnsi="Arial" w:cs="Arial"/>
                <w:sz w:val="20"/>
                <w:szCs w:val="20"/>
              </w:rPr>
              <w:t>Uterine factors</w:t>
            </w:r>
          </w:p>
        </w:tc>
        <w:tc>
          <w:tcPr>
            <w:tcW w:w="3081" w:type="dxa"/>
            <w:vAlign w:val="center"/>
          </w:tcPr>
          <w:p w14:paraId="7DC94865" w14:textId="77777777" w:rsidR="006E087A" w:rsidRPr="00141D03" w:rsidRDefault="006E087A" w:rsidP="00141D03">
            <w:pPr>
              <w:contextualSpacing/>
              <w:rPr>
                <w:rFonts w:ascii="Arial" w:hAnsi="Arial" w:cs="Arial"/>
                <w:sz w:val="20"/>
                <w:szCs w:val="20"/>
              </w:rPr>
            </w:pPr>
            <w:r w:rsidRPr="00141D03">
              <w:rPr>
                <w:rFonts w:ascii="Arial" w:hAnsi="Arial" w:cs="Arial"/>
                <w:sz w:val="20"/>
                <w:szCs w:val="20"/>
              </w:rPr>
              <w:t>8 (12.1)</w:t>
            </w:r>
          </w:p>
        </w:tc>
        <w:tc>
          <w:tcPr>
            <w:tcW w:w="3015" w:type="dxa"/>
            <w:vAlign w:val="center"/>
          </w:tcPr>
          <w:p w14:paraId="2DEB572F" w14:textId="77777777" w:rsidR="006E087A" w:rsidRPr="00141D03" w:rsidRDefault="006E087A" w:rsidP="00141D03">
            <w:pPr>
              <w:contextualSpacing/>
              <w:rPr>
                <w:rFonts w:ascii="Arial" w:hAnsi="Arial" w:cs="Arial"/>
                <w:sz w:val="20"/>
                <w:szCs w:val="20"/>
              </w:rPr>
            </w:pPr>
            <w:r w:rsidRPr="00141D03">
              <w:rPr>
                <w:rFonts w:ascii="Arial" w:hAnsi="Arial" w:cs="Arial"/>
                <w:sz w:val="20"/>
                <w:szCs w:val="20"/>
              </w:rPr>
              <w:t>4 (11.8)</w:t>
            </w:r>
          </w:p>
        </w:tc>
      </w:tr>
    </w:tbl>
    <w:p w14:paraId="18D7219E" w14:textId="77777777" w:rsidR="006E087A" w:rsidRPr="00141D03" w:rsidRDefault="006E087A" w:rsidP="006E087A">
      <w:pPr>
        <w:spacing w:line="480" w:lineRule="auto"/>
        <w:jc w:val="both"/>
        <w:rPr>
          <w:rFonts w:ascii="Arial" w:hAnsi="Arial" w:cs="Arial"/>
        </w:rPr>
      </w:pPr>
      <w:r w:rsidRPr="00141D03">
        <w:rPr>
          <w:rFonts w:ascii="Arial" w:hAnsi="Arial" w:cs="Arial"/>
        </w:rPr>
        <w:t>Values were expressed n (%)</w:t>
      </w:r>
    </w:p>
    <w:p w14:paraId="63E9E223" w14:textId="77777777" w:rsidR="00141D03" w:rsidRDefault="006E087A" w:rsidP="00141D03">
      <w:pPr>
        <w:pStyle w:val="Body"/>
        <w:spacing w:after="0"/>
        <w:rPr>
          <w:rFonts w:ascii="Arial" w:hAnsi="Arial" w:cs="Arial"/>
        </w:rPr>
      </w:pPr>
      <w:r w:rsidRPr="00141D03">
        <w:rPr>
          <w:rFonts w:ascii="Arial" w:hAnsi="Arial" w:cs="Arial"/>
        </w:rPr>
        <w:t>The results of distribution of study participants based on laparoscopically identified pathology of female infertility were represented in Table 3. Results inferred that among tubal factors, B/L block was the major pathological cause for primary infertility (20%) and secondary infertility (24%). PCOS was the major pathological reason among ovarian factors for primary infertility (24.4%) and secondary infertility (20%). With regards to peritoneal factors endometriosis (13.3%) and tuberculosis (16%) responsible for primary and secondary infertility respectively. With respect to uterine factors Mullerian pathology was found to be major cause for primary (8.9%) and secondary (12%) infertility in women.</w:t>
      </w:r>
    </w:p>
    <w:p w14:paraId="10316538" w14:textId="7E783082" w:rsidR="006E087A" w:rsidRPr="00141D03" w:rsidRDefault="006E087A" w:rsidP="00141D03">
      <w:pPr>
        <w:pStyle w:val="Body"/>
        <w:spacing w:after="0"/>
        <w:rPr>
          <w:rFonts w:ascii="Arial" w:hAnsi="Arial" w:cs="Arial"/>
        </w:rPr>
      </w:pPr>
      <w:r w:rsidRPr="00141D03">
        <w:rPr>
          <w:rFonts w:ascii="Arial" w:hAnsi="Arial" w:cs="Arial"/>
        </w:rPr>
        <w:t xml:space="preserve"> </w:t>
      </w:r>
    </w:p>
    <w:p w14:paraId="63CD43CD" w14:textId="77777777" w:rsidR="006E087A" w:rsidRPr="00141D03" w:rsidRDefault="006E087A" w:rsidP="00141D03">
      <w:pPr>
        <w:pStyle w:val="Body"/>
        <w:spacing w:after="0"/>
        <w:jc w:val="left"/>
        <w:rPr>
          <w:rFonts w:ascii="Arial" w:hAnsi="Arial" w:cs="Arial"/>
          <w:b/>
          <w:bCs/>
        </w:rPr>
      </w:pPr>
      <w:r w:rsidRPr="00141D03">
        <w:rPr>
          <w:rFonts w:ascii="Arial" w:hAnsi="Arial" w:cs="Arial"/>
          <w:b/>
          <w:bCs/>
        </w:rPr>
        <w:t>Table 3: Distribution of study participants based on laparoscopically identified pathology of infertility</w:t>
      </w:r>
    </w:p>
    <w:tbl>
      <w:tblPr>
        <w:tblStyle w:val="TableGrid"/>
        <w:tblW w:w="0" w:type="auto"/>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3"/>
        <w:gridCol w:w="2268"/>
        <w:gridCol w:w="2551"/>
        <w:gridCol w:w="2694"/>
      </w:tblGrid>
      <w:tr w:rsidR="006E087A" w:rsidRPr="00141D03" w14:paraId="4B4EDDD4" w14:textId="77777777" w:rsidTr="00C479A5">
        <w:trPr>
          <w:trHeight w:hRule="exact" w:val="567"/>
          <w:jc w:val="center"/>
        </w:trPr>
        <w:tc>
          <w:tcPr>
            <w:tcW w:w="3681" w:type="dxa"/>
            <w:gridSpan w:val="2"/>
            <w:tcBorders>
              <w:top w:val="single" w:sz="4" w:space="0" w:color="auto"/>
              <w:bottom w:val="single" w:sz="4" w:space="0" w:color="auto"/>
            </w:tcBorders>
            <w:vAlign w:val="center"/>
          </w:tcPr>
          <w:p w14:paraId="54AF0170" w14:textId="77777777" w:rsidR="006E087A" w:rsidRPr="00141D03" w:rsidRDefault="006E087A" w:rsidP="00141D03">
            <w:pPr>
              <w:contextualSpacing/>
              <w:rPr>
                <w:rFonts w:ascii="Arial" w:hAnsi="Arial" w:cs="Arial"/>
                <w:b/>
                <w:bCs/>
                <w:sz w:val="20"/>
                <w:szCs w:val="20"/>
              </w:rPr>
            </w:pPr>
            <w:r w:rsidRPr="00141D03">
              <w:rPr>
                <w:rFonts w:ascii="Arial" w:hAnsi="Arial" w:cs="Arial"/>
                <w:b/>
                <w:bCs/>
                <w:sz w:val="20"/>
                <w:szCs w:val="20"/>
              </w:rPr>
              <w:t>Infertility Factors</w:t>
            </w:r>
          </w:p>
        </w:tc>
        <w:tc>
          <w:tcPr>
            <w:tcW w:w="2551" w:type="dxa"/>
            <w:tcBorders>
              <w:top w:val="single" w:sz="4" w:space="0" w:color="auto"/>
              <w:bottom w:val="single" w:sz="4" w:space="0" w:color="auto"/>
            </w:tcBorders>
            <w:vAlign w:val="center"/>
          </w:tcPr>
          <w:p w14:paraId="58D70A17" w14:textId="77777777" w:rsidR="006E087A" w:rsidRPr="00141D03" w:rsidRDefault="006E087A" w:rsidP="00141D03">
            <w:pPr>
              <w:contextualSpacing/>
              <w:rPr>
                <w:rFonts w:ascii="Arial" w:hAnsi="Arial" w:cs="Arial"/>
                <w:b/>
                <w:bCs/>
                <w:sz w:val="20"/>
                <w:szCs w:val="20"/>
              </w:rPr>
            </w:pPr>
            <w:r w:rsidRPr="00141D03">
              <w:rPr>
                <w:rFonts w:ascii="Arial" w:hAnsi="Arial" w:cs="Arial"/>
                <w:b/>
                <w:bCs/>
                <w:sz w:val="20"/>
                <w:szCs w:val="20"/>
              </w:rPr>
              <w:t xml:space="preserve">Primary Infertility </w:t>
            </w:r>
          </w:p>
          <w:p w14:paraId="4CAAFD7B" w14:textId="77777777" w:rsidR="006E087A" w:rsidRPr="00141D03" w:rsidRDefault="006E087A" w:rsidP="00141D03">
            <w:pPr>
              <w:contextualSpacing/>
              <w:rPr>
                <w:rFonts w:ascii="Arial" w:hAnsi="Arial" w:cs="Arial"/>
                <w:b/>
                <w:bCs/>
                <w:sz w:val="20"/>
                <w:szCs w:val="20"/>
              </w:rPr>
            </w:pPr>
            <w:r w:rsidRPr="00141D03">
              <w:rPr>
                <w:rFonts w:ascii="Arial" w:hAnsi="Arial" w:cs="Arial"/>
                <w:b/>
                <w:bCs/>
                <w:sz w:val="20"/>
                <w:szCs w:val="20"/>
              </w:rPr>
              <w:t>(n=45)</w:t>
            </w:r>
          </w:p>
        </w:tc>
        <w:tc>
          <w:tcPr>
            <w:tcW w:w="2694" w:type="dxa"/>
            <w:tcBorders>
              <w:top w:val="single" w:sz="4" w:space="0" w:color="auto"/>
              <w:bottom w:val="single" w:sz="4" w:space="0" w:color="auto"/>
            </w:tcBorders>
            <w:vAlign w:val="center"/>
          </w:tcPr>
          <w:p w14:paraId="56CB2B74" w14:textId="77777777" w:rsidR="006E087A" w:rsidRPr="00141D03" w:rsidRDefault="006E087A" w:rsidP="00141D03">
            <w:pPr>
              <w:contextualSpacing/>
              <w:rPr>
                <w:rFonts w:ascii="Arial" w:hAnsi="Arial" w:cs="Arial"/>
                <w:b/>
                <w:bCs/>
                <w:sz w:val="20"/>
                <w:szCs w:val="20"/>
              </w:rPr>
            </w:pPr>
            <w:r w:rsidRPr="00141D03">
              <w:rPr>
                <w:rFonts w:ascii="Arial" w:hAnsi="Arial" w:cs="Arial"/>
                <w:b/>
                <w:bCs/>
                <w:sz w:val="20"/>
                <w:szCs w:val="20"/>
              </w:rPr>
              <w:t>Secondary Infertility (n=25)</w:t>
            </w:r>
          </w:p>
        </w:tc>
      </w:tr>
      <w:tr w:rsidR="006E087A" w:rsidRPr="00141D03" w14:paraId="4EF4F1D2" w14:textId="77777777" w:rsidTr="00C479A5">
        <w:trPr>
          <w:trHeight w:hRule="exact" w:val="454"/>
          <w:jc w:val="center"/>
        </w:trPr>
        <w:tc>
          <w:tcPr>
            <w:tcW w:w="1413" w:type="dxa"/>
            <w:vMerge w:val="restart"/>
            <w:tcBorders>
              <w:top w:val="single" w:sz="4" w:space="0" w:color="auto"/>
            </w:tcBorders>
            <w:vAlign w:val="center"/>
          </w:tcPr>
          <w:p w14:paraId="2BA0DBF1" w14:textId="77777777" w:rsidR="006E087A" w:rsidRPr="00141D03" w:rsidRDefault="006E087A" w:rsidP="00141D03">
            <w:pPr>
              <w:contextualSpacing/>
              <w:rPr>
                <w:rFonts w:ascii="Arial" w:hAnsi="Arial" w:cs="Arial"/>
                <w:sz w:val="20"/>
                <w:szCs w:val="20"/>
              </w:rPr>
            </w:pPr>
            <w:r w:rsidRPr="00141D03">
              <w:rPr>
                <w:rFonts w:ascii="Arial" w:hAnsi="Arial" w:cs="Arial"/>
                <w:sz w:val="20"/>
                <w:szCs w:val="20"/>
              </w:rPr>
              <w:t>Tubal factors</w:t>
            </w:r>
          </w:p>
        </w:tc>
        <w:tc>
          <w:tcPr>
            <w:tcW w:w="2268" w:type="dxa"/>
            <w:tcBorders>
              <w:top w:val="single" w:sz="4" w:space="0" w:color="auto"/>
            </w:tcBorders>
            <w:vAlign w:val="center"/>
          </w:tcPr>
          <w:p w14:paraId="552282CB" w14:textId="77777777" w:rsidR="006E087A" w:rsidRPr="00141D03" w:rsidRDefault="006E087A" w:rsidP="00141D03">
            <w:pPr>
              <w:contextualSpacing/>
              <w:rPr>
                <w:rFonts w:ascii="Arial" w:hAnsi="Arial" w:cs="Arial"/>
                <w:sz w:val="20"/>
                <w:szCs w:val="20"/>
              </w:rPr>
            </w:pPr>
            <w:r w:rsidRPr="00141D03">
              <w:rPr>
                <w:rFonts w:ascii="Arial" w:hAnsi="Arial" w:cs="Arial"/>
                <w:sz w:val="20"/>
                <w:szCs w:val="20"/>
              </w:rPr>
              <w:t>U/L block</w:t>
            </w:r>
          </w:p>
        </w:tc>
        <w:tc>
          <w:tcPr>
            <w:tcW w:w="2551" w:type="dxa"/>
            <w:tcBorders>
              <w:top w:val="single" w:sz="4" w:space="0" w:color="auto"/>
            </w:tcBorders>
            <w:vAlign w:val="center"/>
          </w:tcPr>
          <w:p w14:paraId="28008236" w14:textId="77777777" w:rsidR="006E087A" w:rsidRPr="00141D03" w:rsidRDefault="006E087A" w:rsidP="00141D03">
            <w:pPr>
              <w:contextualSpacing/>
              <w:rPr>
                <w:rFonts w:ascii="Arial" w:hAnsi="Arial" w:cs="Arial"/>
                <w:sz w:val="20"/>
                <w:szCs w:val="20"/>
              </w:rPr>
            </w:pPr>
            <w:r w:rsidRPr="00141D03">
              <w:rPr>
                <w:rFonts w:ascii="Arial" w:hAnsi="Arial" w:cs="Arial"/>
                <w:sz w:val="20"/>
                <w:szCs w:val="20"/>
              </w:rPr>
              <w:t>3 (6.7)</w:t>
            </w:r>
          </w:p>
        </w:tc>
        <w:tc>
          <w:tcPr>
            <w:tcW w:w="2694" w:type="dxa"/>
            <w:tcBorders>
              <w:top w:val="single" w:sz="4" w:space="0" w:color="auto"/>
            </w:tcBorders>
            <w:vAlign w:val="center"/>
          </w:tcPr>
          <w:p w14:paraId="36900AA3" w14:textId="77777777" w:rsidR="006E087A" w:rsidRPr="00141D03" w:rsidRDefault="006E087A" w:rsidP="00141D03">
            <w:pPr>
              <w:contextualSpacing/>
              <w:rPr>
                <w:rFonts w:ascii="Arial" w:hAnsi="Arial" w:cs="Arial"/>
                <w:sz w:val="20"/>
                <w:szCs w:val="20"/>
              </w:rPr>
            </w:pPr>
            <w:r w:rsidRPr="00141D03">
              <w:rPr>
                <w:rFonts w:ascii="Arial" w:hAnsi="Arial" w:cs="Arial"/>
                <w:sz w:val="20"/>
                <w:szCs w:val="20"/>
              </w:rPr>
              <w:t>3 (12.0)</w:t>
            </w:r>
          </w:p>
        </w:tc>
      </w:tr>
      <w:tr w:rsidR="006E087A" w:rsidRPr="00141D03" w14:paraId="5D7E9305" w14:textId="77777777" w:rsidTr="00C479A5">
        <w:trPr>
          <w:trHeight w:hRule="exact" w:val="454"/>
          <w:jc w:val="center"/>
        </w:trPr>
        <w:tc>
          <w:tcPr>
            <w:tcW w:w="1413" w:type="dxa"/>
            <w:vMerge/>
            <w:vAlign w:val="center"/>
          </w:tcPr>
          <w:p w14:paraId="25EDE0A1" w14:textId="77777777" w:rsidR="006E087A" w:rsidRPr="00141D03" w:rsidRDefault="006E087A" w:rsidP="00141D03">
            <w:pPr>
              <w:contextualSpacing/>
              <w:rPr>
                <w:rFonts w:ascii="Arial" w:hAnsi="Arial" w:cs="Arial"/>
                <w:sz w:val="20"/>
                <w:szCs w:val="20"/>
              </w:rPr>
            </w:pPr>
          </w:p>
        </w:tc>
        <w:tc>
          <w:tcPr>
            <w:tcW w:w="2268" w:type="dxa"/>
            <w:vAlign w:val="center"/>
          </w:tcPr>
          <w:p w14:paraId="31CF4413" w14:textId="77777777" w:rsidR="006E087A" w:rsidRPr="00141D03" w:rsidRDefault="006E087A" w:rsidP="00141D03">
            <w:pPr>
              <w:contextualSpacing/>
              <w:rPr>
                <w:rFonts w:ascii="Arial" w:hAnsi="Arial" w:cs="Arial"/>
                <w:sz w:val="20"/>
                <w:szCs w:val="20"/>
              </w:rPr>
            </w:pPr>
            <w:r w:rsidRPr="00141D03">
              <w:rPr>
                <w:rFonts w:ascii="Arial" w:hAnsi="Arial" w:cs="Arial"/>
                <w:sz w:val="20"/>
                <w:szCs w:val="20"/>
              </w:rPr>
              <w:t>B/L block</w:t>
            </w:r>
          </w:p>
        </w:tc>
        <w:tc>
          <w:tcPr>
            <w:tcW w:w="2551" w:type="dxa"/>
            <w:vAlign w:val="center"/>
          </w:tcPr>
          <w:p w14:paraId="77736098" w14:textId="77777777" w:rsidR="006E087A" w:rsidRPr="00141D03" w:rsidRDefault="006E087A" w:rsidP="00141D03">
            <w:pPr>
              <w:contextualSpacing/>
              <w:rPr>
                <w:rFonts w:ascii="Arial" w:hAnsi="Arial" w:cs="Arial"/>
                <w:sz w:val="20"/>
                <w:szCs w:val="20"/>
              </w:rPr>
            </w:pPr>
            <w:r w:rsidRPr="00141D03">
              <w:rPr>
                <w:rFonts w:ascii="Arial" w:hAnsi="Arial" w:cs="Arial"/>
                <w:sz w:val="20"/>
                <w:szCs w:val="20"/>
              </w:rPr>
              <w:t>9 (20.0)</w:t>
            </w:r>
          </w:p>
        </w:tc>
        <w:tc>
          <w:tcPr>
            <w:tcW w:w="2694" w:type="dxa"/>
            <w:vAlign w:val="center"/>
          </w:tcPr>
          <w:p w14:paraId="204DA34D" w14:textId="77777777" w:rsidR="006E087A" w:rsidRPr="00141D03" w:rsidRDefault="006E087A" w:rsidP="00141D03">
            <w:pPr>
              <w:contextualSpacing/>
              <w:rPr>
                <w:rFonts w:ascii="Arial" w:hAnsi="Arial" w:cs="Arial"/>
                <w:sz w:val="20"/>
                <w:szCs w:val="20"/>
              </w:rPr>
            </w:pPr>
            <w:r w:rsidRPr="00141D03">
              <w:rPr>
                <w:rFonts w:ascii="Arial" w:hAnsi="Arial" w:cs="Arial"/>
                <w:sz w:val="20"/>
                <w:szCs w:val="20"/>
              </w:rPr>
              <w:t>6 (24.0)</w:t>
            </w:r>
          </w:p>
        </w:tc>
      </w:tr>
      <w:tr w:rsidR="006E087A" w:rsidRPr="00141D03" w14:paraId="0516D94D" w14:textId="77777777" w:rsidTr="00C479A5">
        <w:trPr>
          <w:trHeight w:hRule="exact" w:val="454"/>
          <w:jc w:val="center"/>
        </w:trPr>
        <w:tc>
          <w:tcPr>
            <w:tcW w:w="1413" w:type="dxa"/>
            <w:vMerge/>
            <w:vAlign w:val="center"/>
          </w:tcPr>
          <w:p w14:paraId="5BDAFCAF" w14:textId="77777777" w:rsidR="006E087A" w:rsidRPr="00141D03" w:rsidRDefault="006E087A" w:rsidP="00141D03">
            <w:pPr>
              <w:contextualSpacing/>
              <w:rPr>
                <w:rFonts w:ascii="Arial" w:hAnsi="Arial" w:cs="Arial"/>
                <w:sz w:val="20"/>
                <w:szCs w:val="20"/>
              </w:rPr>
            </w:pPr>
          </w:p>
        </w:tc>
        <w:tc>
          <w:tcPr>
            <w:tcW w:w="2268" w:type="dxa"/>
            <w:vAlign w:val="center"/>
          </w:tcPr>
          <w:p w14:paraId="7B1CA58E" w14:textId="77777777" w:rsidR="006E087A" w:rsidRPr="00141D03" w:rsidRDefault="006E087A" w:rsidP="00141D03">
            <w:pPr>
              <w:contextualSpacing/>
              <w:rPr>
                <w:rFonts w:ascii="Arial" w:hAnsi="Arial" w:cs="Arial"/>
                <w:sz w:val="20"/>
                <w:szCs w:val="20"/>
              </w:rPr>
            </w:pPr>
            <w:r w:rsidRPr="00141D03">
              <w:rPr>
                <w:rFonts w:ascii="Arial" w:hAnsi="Arial" w:cs="Arial"/>
                <w:sz w:val="20"/>
                <w:szCs w:val="20"/>
              </w:rPr>
              <w:t>Hydrosalpinx</w:t>
            </w:r>
          </w:p>
        </w:tc>
        <w:tc>
          <w:tcPr>
            <w:tcW w:w="2551" w:type="dxa"/>
            <w:vAlign w:val="center"/>
          </w:tcPr>
          <w:p w14:paraId="15082C94" w14:textId="77777777" w:rsidR="006E087A" w:rsidRPr="00141D03" w:rsidRDefault="006E087A" w:rsidP="00141D03">
            <w:pPr>
              <w:contextualSpacing/>
              <w:rPr>
                <w:rFonts w:ascii="Arial" w:hAnsi="Arial" w:cs="Arial"/>
                <w:sz w:val="20"/>
                <w:szCs w:val="20"/>
              </w:rPr>
            </w:pPr>
            <w:r w:rsidRPr="00141D03">
              <w:rPr>
                <w:rFonts w:ascii="Arial" w:hAnsi="Arial" w:cs="Arial"/>
                <w:sz w:val="20"/>
                <w:szCs w:val="20"/>
              </w:rPr>
              <w:t>2 (4.4)</w:t>
            </w:r>
          </w:p>
        </w:tc>
        <w:tc>
          <w:tcPr>
            <w:tcW w:w="2694" w:type="dxa"/>
            <w:vAlign w:val="center"/>
          </w:tcPr>
          <w:p w14:paraId="75A2E422" w14:textId="77777777" w:rsidR="006E087A" w:rsidRPr="00141D03" w:rsidRDefault="006E087A" w:rsidP="00141D03">
            <w:pPr>
              <w:contextualSpacing/>
              <w:rPr>
                <w:rFonts w:ascii="Arial" w:hAnsi="Arial" w:cs="Arial"/>
                <w:sz w:val="20"/>
                <w:szCs w:val="20"/>
              </w:rPr>
            </w:pPr>
            <w:r w:rsidRPr="00141D03">
              <w:rPr>
                <w:rFonts w:ascii="Arial" w:hAnsi="Arial" w:cs="Arial"/>
                <w:sz w:val="20"/>
                <w:szCs w:val="20"/>
              </w:rPr>
              <w:t>3 (12.0)</w:t>
            </w:r>
          </w:p>
        </w:tc>
      </w:tr>
      <w:tr w:rsidR="006E087A" w:rsidRPr="00141D03" w14:paraId="1E69C040" w14:textId="77777777" w:rsidTr="00C479A5">
        <w:trPr>
          <w:trHeight w:hRule="exact" w:val="454"/>
          <w:jc w:val="center"/>
        </w:trPr>
        <w:tc>
          <w:tcPr>
            <w:tcW w:w="1413" w:type="dxa"/>
            <w:vMerge/>
            <w:vAlign w:val="center"/>
          </w:tcPr>
          <w:p w14:paraId="589B16A5" w14:textId="77777777" w:rsidR="006E087A" w:rsidRPr="00141D03" w:rsidRDefault="006E087A" w:rsidP="00141D03">
            <w:pPr>
              <w:contextualSpacing/>
              <w:rPr>
                <w:rFonts w:ascii="Arial" w:hAnsi="Arial" w:cs="Arial"/>
                <w:sz w:val="20"/>
                <w:szCs w:val="20"/>
              </w:rPr>
            </w:pPr>
          </w:p>
        </w:tc>
        <w:tc>
          <w:tcPr>
            <w:tcW w:w="2268" w:type="dxa"/>
            <w:vAlign w:val="center"/>
          </w:tcPr>
          <w:p w14:paraId="50C09035" w14:textId="77777777" w:rsidR="006E087A" w:rsidRPr="00141D03" w:rsidRDefault="006E087A" w:rsidP="00141D03">
            <w:pPr>
              <w:contextualSpacing/>
              <w:rPr>
                <w:rFonts w:ascii="Arial" w:hAnsi="Arial" w:cs="Arial"/>
                <w:sz w:val="20"/>
                <w:szCs w:val="20"/>
              </w:rPr>
            </w:pPr>
            <w:r w:rsidRPr="00141D03">
              <w:rPr>
                <w:rFonts w:ascii="Arial" w:hAnsi="Arial" w:cs="Arial"/>
                <w:sz w:val="20"/>
                <w:szCs w:val="20"/>
              </w:rPr>
              <w:t>TO mass</w:t>
            </w:r>
          </w:p>
        </w:tc>
        <w:tc>
          <w:tcPr>
            <w:tcW w:w="2551" w:type="dxa"/>
            <w:vAlign w:val="center"/>
          </w:tcPr>
          <w:p w14:paraId="06691A0C" w14:textId="77777777" w:rsidR="006E087A" w:rsidRPr="00141D03" w:rsidRDefault="006E087A" w:rsidP="00141D03">
            <w:pPr>
              <w:contextualSpacing/>
              <w:rPr>
                <w:rFonts w:ascii="Arial" w:hAnsi="Arial" w:cs="Arial"/>
                <w:sz w:val="20"/>
                <w:szCs w:val="20"/>
              </w:rPr>
            </w:pPr>
            <w:r w:rsidRPr="00141D03">
              <w:rPr>
                <w:rFonts w:ascii="Arial" w:hAnsi="Arial" w:cs="Arial"/>
                <w:sz w:val="20"/>
                <w:szCs w:val="20"/>
              </w:rPr>
              <w:t>4 (8.9)</w:t>
            </w:r>
          </w:p>
        </w:tc>
        <w:tc>
          <w:tcPr>
            <w:tcW w:w="2694" w:type="dxa"/>
            <w:vAlign w:val="center"/>
          </w:tcPr>
          <w:p w14:paraId="0918FB34" w14:textId="77777777" w:rsidR="006E087A" w:rsidRPr="00141D03" w:rsidRDefault="006E087A" w:rsidP="00141D03">
            <w:pPr>
              <w:contextualSpacing/>
              <w:rPr>
                <w:rFonts w:ascii="Arial" w:hAnsi="Arial" w:cs="Arial"/>
                <w:sz w:val="20"/>
                <w:szCs w:val="20"/>
              </w:rPr>
            </w:pPr>
            <w:r w:rsidRPr="00141D03">
              <w:rPr>
                <w:rFonts w:ascii="Arial" w:hAnsi="Arial" w:cs="Arial"/>
                <w:sz w:val="20"/>
                <w:szCs w:val="20"/>
              </w:rPr>
              <w:t>1 (4.0)</w:t>
            </w:r>
          </w:p>
        </w:tc>
      </w:tr>
      <w:tr w:rsidR="006E087A" w:rsidRPr="00141D03" w14:paraId="19105974" w14:textId="77777777" w:rsidTr="00C479A5">
        <w:trPr>
          <w:trHeight w:hRule="exact" w:val="454"/>
          <w:jc w:val="center"/>
        </w:trPr>
        <w:tc>
          <w:tcPr>
            <w:tcW w:w="1413" w:type="dxa"/>
            <w:vMerge/>
            <w:vAlign w:val="center"/>
          </w:tcPr>
          <w:p w14:paraId="5A01203B" w14:textId="77777777" w:rsidR="006E087A" w:rsidRPr="00141D03" w:rsidRDefault="006E087A" w:rsidP="00141D03">
            <w:pPr>
              <w:contextualSpacing/>
              <w:rPr>
                <w:rFonts w:ascii="Arial" w:hAnsi="Arial" w:cs="Arial"/>
                <w:sz w:val="20"/>
                <w:szCs w:val="20"/>
              </w:rPr>
            </w:pPr>
          </w:p>
        </w:tc>
        <w:tc>
          <w:tcPr>
            <w:tcW w:w="2268" w:type="dxa"/>
            <w:vAlign w:val="center"/>
          </w:tcPr>
          <w:p w14:paraId="783E4E1F" w14:textId="77777777" w:rsidR="006E087A" w:rsidRPr="00141D03" w:rsidRDefault="006E087A" w:rsidP="00141D03">
            <w:pPr>
              <w:contextualSpacing/>
              <w:rPr>
                <w:rFonts w:ascii="Arial" w:hAnsi="Arial" w:cs="Arial"/>
                <w:sz w:val="20"/>
                <w:szCs w:val="20"/>
              </w:rPr>
            </w:pPr>
            <w:r w:rsidRPr="00141D03">
              <w:rPr>
                <w:rFonts w:ascii="Arial" w:hAnsi="Arial" w:cs="Arial"/>
                <w:sz w:val="20"/>
                <w:szCs w:val="20"/>
              </w:rPr>
              <w:t>Peritubal adhesions</w:t>
            </w:r>
          </w:p>
        </w:tc>
        <w:tc>
          <w:tcPr>
            <w:tcW w:w="2551" w:type="dxa"/>
            <w:vAlign w:val="center"/>
          </w:tcPr>
          <w:p w14:paraId="09480189" w14:textId="77777777" w:rsidR="006E087A" w:rsidRPr="00141D03" w:rsidRDefault="006E087A" w:rsidP="00141D03">
            <w:pPr>
              <w:contextualSpacing/>
              <w:rPr>
                <w:rFonts w:ascii="Arial" w:hAnsi="Arial" w:cs="Arial"/>
                <w:sz w:val="20"/>
                <w:szCs w:val="20"/>
              </w:rPr>
            </w:pPr>
            <w:r w:rsidRPr="00141D03">
              <w:rPr>
                <w:rFonts w:ascii="Arial" w:hAnsi="Arial" w:cs="Arial"/>
                <w:sz w:val="20"/>
                <w:szCs w:val="20"/>
              </w:rPr>
              <w:t>1 (2.2)</w:t>
            </w:r>
          </w:p>
        </w:tc>
        <w:tc>
          <w:tcPr>
            <w:tcW w:w="2694" w:type="dxa"/>
            <w:vAlign w:val="center"/>
          </w:tcPr>
          <w:p w14:paraId="2A6FAB6E" w14:textId="77777777" w:rsidR="006E087A" w:rsidRPr="00141D03" w:rsidRDefault="006E087A" w:rsidP="00141D03">
            <w:pPr>
              <w:contextualSpacing/>
              <w:rPr>
                <w:rFonts w:ascii="Arial" w:hAnsi="Arial" w:cs="Arial"/>
                <w:sz w:val="20"/>
                <w:szCs w:val="20"/>
              </w:rPr>
            </w:pPr>
            <w:r w:rsidRPr="00141D03">
              <w:rPr>
                <w:rFonts w:ascii="Arial" w:hAnsi="Arial" w:cs="Arial"/>
                <w:sz w:val="20"/>
                <w:szCs w:val="20"/>
              </w:rPr>
              <w:t>2 (8.0)</w:t>
            </w:r>
          </w:p>
        </w:tc>
      </w:tr>
      <w:tr w:rsidR="006E087A" w:rsidRPr="00141D03" w14:paraId="5DE73DF0" w14:textId="77777777" w:rsidTr="00C479A5">
        <w:trPr>
          <w:trHeight w:hRule="exact" w:val="454"/>
          <w:jc w:val="center"/>
        </w:trPr>
        <w:tc>
          <w:tcPr>
            <w:tcW w:w="1413" w:type="dxa"/>
            <w:vMerge/>
            <w:vAlign w:val="center"/>
          </w:tcPr>
          <w:p w14:paraId="23447D5A" w14:textId="77777777" w:rsidR="006E087A" w:rsidRPr="00141D03" w:rsidRDefault="006E087A" w:rsidP="00141D03">
            <w:pPr>
              <w:contextualSpacing/>
              <w:rPr>
                <w:rFonts w:ascii="Arial" w:hAnsi="Arial" w:cs="Arial"/>
                <w:sz w:val="20"/>
                <w:szCs w:val="20"/>
              </w:rPr>
            </w:pPr>
          </w:p>
        </w:tc>
        <w:tc>
          <w:tcPr>
            <w:tcW w:w="2268" w:type="dxa"/>
            <w:vAlign w:val="center"/>
          </w:tcPr>
          <w:p w14:paraId="1589A0BE" w14:textId="77777777" w:rsidR="006E087A" w:rsidRPr="00141D03" w:rsidRDefault="006E087A" w:rsidP="00141D03">
            <w:pPr>
              <w:contextualSpacing/>
              <w:rPr>
                <w:rFonts w:ascii="Arial" w:hAnsi="Arial" w:cs="Arial"/>
                <w:sz w:val="20"/>
                <w:szCs w:val="20"/>
              </w:rPr>
            </w:pPr>
            <w:r w:rsidRPr="00141D03">
              <w:rPr>
                <w:rFonts w:ascii="Arial" w:hAnsi="Arial" w:cs="Arial"/>
                <w:sz w:val="20"/>
                <w:szCs w:val="20"/>
              </w:rPr>
              <w:t>Total</w:t>
            </w:r>
          </w:p>
        </w:tc>
        <w:tc>
          <w:tcPr>
            <w:tcW w:w="2551" w:type="dxa"/>
            <w:vAlign w:val="center"/>
          </w:tcPr>
          <w:p w14:paraId="5BE85198" w14:textId="77777777" w:rsidR="006E087A" w:rsidRPr="00141D03" w:rsidRDefault="006E087A" w:rsidP="00141D03">
            <w:pPr>
              <w:contextualSpacing/>
              <w:rPr>
                <w:rFonts w:ascii="Arial" w:hAnsi="Arial" w:cs="Arial"/>
                <w:sz w:val="20"/>
                <w:szCs w:val="20"/>
              </w:rPr>
            </w:pPr>
            <w:r w:rsidRPr="00141D03">
              <w:rPr>
                <w:rFonts w:ascii="Arial" w:hAnsi="Arial" w:cs="Arial"/>
                <w:sz w:val="20"/>
                <w:szCs w:val="20"/>
              </w:rPr>
              <w:t>19 (42.2)</w:t>
            </w:r>
          </w:p>
        </w:tc>
        <w:tc>
          <w:tcPr>
            <w:tcW w:w="2694" w:type="dxa"/>
            <w:vAlign w:val="center"/>
          </w:tcPr>
          <w:p w14:paraId="7A8F1360" w14:textId="77777777" w:rsidR="006E087A" w:rsidRPr="00141D03" w:rsidRDefault="006E087A" w:rsidP="00141D03">
            <w:pPr>
              <w:contextualSpacing/>
              <w:rPr>
                <w:rFonts w:ascii="Arial" w:hAnsi="Arial" w:cs="Arial"/>
                <w:sz w:val="20"/>
                <w:szCs w:val="20"/>
              </w:rPr>
            </w:pPr>
            <w:r w:rsidRPr="00141D03">
              <w:rPr>
                <w:rFonts w:ascii="Arial" w:hAnsi="Arial" w:cs="Arial"/>
                <w:sz w:val="20"/>
                <w:szCs w:val="20"/>
              </w:rPr>
              <w:t>15 (60.0)</w:t>
            </w:r>
          </w:p>
        </w:tc>
      </w:tr>
      <w:tr w:rsidR="006E087A" w:rsidRPr="00141D03" w14:paraId="4A64BA0C" w14:textId="77777777" w:rsidTr="00C479A5">
        <w:trPr>
          <w:trHeight w:hRule="exact" w:val="454"/>
          <w:jc w:val="center"/>
        </w:trPr>
        <w:tc>
          <w:tcPr>
            <w:tcW w:w="1413" w:type="dxa"/>
            <w:vMerge w:val="restart"/>
            <w:vAlign w:val="center"/>
          </w:tcPr>
          <w:p w14:paraId="0B4007F7" w14:textId="77777777" w:rsidR="006E087A" w:rsidRPr="00141D03" w:rsidRDefault="006E087A" w:rsidP="00141D03">
            <w:pPr>
              <w:contextualSpacing/>
              <w:rPr>
                <w:rFonts w:ascii="Arial" w:hAnsi="Arial" w:cs="Arial"/>
                <w:sz w:val="20"/>
                <w:szCs w:val="20"/>
              </w:rPr>
            </w:pPr>
            <w:r w:rsidRPr="00141D03">
              <w:rPr>
                <w:rFonts w:ascii="Arial" w:hAnsi="Arial" w:cs="Arial"/>
                <w:sz w:val="20"/>
                <w:szCs w:val="20"/>
              </w:rPr>
              <w:t>Ovarian factors</w:t>
            </w:r>
          </w:p>
        </w:tc>
        <w:tc>
          <w:tcPr>
            <w:tcW w:w="2268" w:type="dxa"/>
            <w:vAlign w:val="center"/>
          </w:tcPr>
          <w:p w14:paraId="327E5829" w14:textId="77777777" w:rsidR="006E087A" w:rsidRPr="00141D03" w:rsidRDefault="006E087A" w:rsidP="00141D03">
            <w:pPr>
              <w:contextualSpacing/>
              <w:rPr>
                <w:rFonts w:ascii="Arial" w:hAnsi="Arial" w:cs="Arial"/>
                <w:sz w:val="20"/>
                <w:szCs w:val="20"/>
              </w:rPr>
            </w:pPr>
            <w:r w:rsidRPr="00141D03">
              <w:rPr>
                <w:rFonts w:ascii="Arial" w:hAnsi="Arial" w:cs="Arial"/>
                <w:sz w:val="20"/>
                <w:szCs w:val="20"/>
              </w:rPr>
              <w:t>PCOS</w:t>
            </w:r>
          </w:p>
        </w:tc>
        <w:tc>
          <w:tcPr>
            <w:tcW w:w="2551" w:type="dxa"/>
            <w:vAlign w:val="center"/>
          </w:tcPr>
          <w:p w14:paraId="3408F709" w14:textId="77777777" w:rsidR="006E087A" w:rsidRPr="00141D03" w:rsidRDefault="006E087A" w:rsidP="00141D03">
            <w:pPr>
              <w:contextualSpacing/>
              <w:rPr>
                <w:rFonts w:ascii="Arial" w:hAnsi="Arial" w:cs="Arial"/>
                <w:sz w:val="20"/>
                <w:szCs w:val="20"/>
              </w:rPr>
            </w:pPr>
            <w:r w:rsidRPr="00141D03">
              <w:rPr>
                <w:rFonts w:ascii="Arial" w:hAnsi="Arial" w:cs="Arial"/>
                <w:sz w:val="20"/>
                <w:szCs w:val="20"/>
              </w:rPr>
              <w:t>11 (24.4)</w:t>
            </w:r>
          </w:p>
        </w:tc>
        <w:tc>
          <w:tcPr>
            <w:tcW w:w="2694" w:type="dxa"/>
            <w:vAlign w:val="center"/>
          </w:tcPr>
          <w:p w14:paraId="56F9DB73" w14:textId="77777777" w:rsidR="006E087A" w:rsidRPr="00141D03" w:rsidRDefault="006E087A" w:rsidP="00141D03">
            <w:pPr>
              <w:contextualSpacing/>
              <w:rPr>
                <w:rFonts w:ascii="Arial" w:hAnsi="Arial" w:cs="Arial"/>
                <w:sz w:val="20"/>
                <w:szCs w:val="20"/>
              </w:rPr>
            </w:pPr>
            <w:r w:rsidRPr="00141D03">
              <w:rPr>
                <w:rFonts w:ascii="Arial" w:hAnsi="Arial" w:cs="Arial"/>
                <w:sz w:val="20"/>
                <w:szCs w:val="20"/>
              </w:rPr>
              <w:t>5 (20.0)</w:t>
            </w:r>
          </w:p>
        </w:tc>
      </w:tr>
      <w:tr w:rsidR="006E087A" w:rsidRPr="00141D03" w14:paraId="090F2286" w14:textId="77777777" w:rsidTr="00C479A5">
        <w:trPr>
          <w:trHeight w:hRule="exact" w:val="454"/>
          <w:jc w:val="center"/>
        </w:trPr>
        <w:tc>
          <w:tcPr>
            <w:tcW w:w="1413" w:type="dxa"/>
            <w:vMerge/>
            <w:vAlign w:val="center"/>
          </w:tcPr>
          <w:p w14:paraId="15422E16" w14:textId="77777777" w:rsidR="006E087A" w:rsidRPr="00141D03" w:rsidRDefault="006E087A" w:rsidP="00141D03">
            <w:pPr>
              <w:contextualSpacing/>
              <w:rPr>
                <w:rFonts w:ascii="Arial" w:hAnsi="Arial" w:cs="Arial"/>
                <w:sz w:val="20"/>
                <w:szCs w:val="20"/>
              </w:rPr>
            </w:pPr>
          </w:p>
        </w:tc>
        <w:tc>
          <w:tcPr>
            <w:tcW w:w="2268" w:type="dxa"/>
            <w:vAlign w:val="center"/>
          </w:tcPr>
          <w:p w14:paraId="26EEBFA9" w14:textId="77777777" w:rsidR="006E087A" w:rsidRPr="00141D03" w:rsidRDefault="006E087A" w:rsidP="00141D03">
            <w:pPr>
              <w:contextualSpacing/>
              <w:rPr>
                <w:rFonts w:ascii="Arial" w:hAnsi="Arial" w:cs="Arial"/>
                <w:sz w:val="20"/>
                <w:szCs w:val="20"/>
              </w:rPr>
            </w:pPr>
            <w:r w:rsidRPr="00141D03">
              <w:rPr>
                <w:rFonts w:ascii="Arial" w:hAnsi="Arial" w:cs="Arial"/>
                <w:sz w:val="20"/>
                <w:szCs w:val="20"/>
              </w:rPr>
              <w:t>Chocolate cyst</w:t>
            </w:r>
          </w:p>
        </w:tc>
        <w:tc>
          <w:tcPr>
            <w:tcW w:w="2551" w:type="dxa"/>
            <w:vAlign w:val="center"/>
          </w:tcPr>
          <w:p w14:paraId="303B7CAE" w14:textId="77777777" w:rsidR="006E087A" w:rsidRPr="00141D03" w:rsidRDefault="006E087A" w:rsidP="00141D03">
            <w:pPr>
              <w:contextualSpacing/>
              <w:rPr>
                <w:rFonts w:ascii="Arial" w:hAnsi="Arial" w:cs="Arial"/>
                <w:sz w:val="20"/>
                <w:szCs w:val="20"/>
              </w:rPr>
            </w:pPr>
            <w:r w:rsidRPr="00141D03">
              <w:rPr>
                <w:rFonts w:ascii="Arial" w:hAnsi="Arial" w:cs="Arial"/>
                <w:sz w:val="20"/>
                <w:szCs w:val="20"/>
              </w:rPr>
              <w:t>2 (4.4)</w:t>
            </w:r>
          </w:p>
        </w:tc>
        <w:tc>
          <w:tcPr>
            <w:tcW w:w="2694" w:type="dxa"/>
            <w:vAlign w:val="center"/>
          </w:tcPr>
          <w:p w14:paraId="752AE138" w14:textId="77777777" w:rsidR="006E087A" w:rsidRPr="00141D03" w:rsidRDefault="006E087A" w:rsidP="00141D03">
            <w:pPr>
              <w:contextualSpacing/>
              <w:rPr>
                <w:rFonts w:ascii="Arial" w:hAnsi="Arial" w:cs="Arial"/>
                <w:sz w:val="20"/>
                <w:szCs w:val="20"/>
              </w:rPr>
            </w:pPr>
            <w:r w:rsidRPr="00141D03">
              <w:rPr>
                <w:rFonts w:ascii="Arial" w:hAnsi="Arial" w:cs="Arial"/>
                <w:sz w:val="20"/>
                <w:szCs w:val="20"/>
              </w:rPr>
              <w:t>2 (8.0)</w:t>
            </w:r>
          </w:p>
        </w:tc>
      </w:tr>
      <w:tr w:rsidR="006E087A" w:rsidRPr="00141D03" w14:paraId="635D1944" w14:textId="77777777" w:rsidTr="00C479A5">
        <w:trPr>
          <w:trHeight w:hRule="exact" w:val="454"/>
          <w:jc w:val="center"/>
        </w:trPr>
        <w:tc>
          <w:tcPr>
            <w:tcW w:w="1413" w:type="dxa"/>
            <w:vMerge/>
            <w:vAlign w:val="center"/>
          </w:tcPr>
          <w:p w14:paraId="24AC27DA" w14:textId="77777777" w:rsidR="006E087A" w:rsidRPr="00141D03" w:rsidRDefault="006E087A" w:rsidP="00141D03">
            <w:pPr>
              <w:contextualSpacing/>
              <w:rPr>
                <w:rFonts w:ascii="Arial" w:hAnsi="Arial" w:cs="Arial"/>
                <w:sz w:val="20"/>
                <w:szCs w:val="20"/>
              </w:rPr>
            </w:pPr>
          </w:p>
        </w:tc>
        <w:tc>
          <w:tcPr>
            <w:tcW w:w="2268" w:type="dxa"/>
            <w:vAlign w:val="center"/>
          </w:tcPr>
          <w:p w14:paraId="7B81A05F" w14:textId="77777777" w:rsidR="006E087A" w:rsidRPr="00141D03" w:rsidRDefault="006E087A" w:rsidP="00141D03">
            <w:pPr>
              <w:contextualSpacing/>
              <w:rPr>
                <w:rFonts w:ascii="Arial" w:hAnsi="Arial" w:cs="Arial"/>
                <w:sz w:val="20"/>
                <w:szCs w:val="20"/>
              </w:rPr>
            </w:pPr>
            <w:r w:rsidRPr="00141D03">
              <w:rPr>
                <w:rFonts w:ascii="Arial" w:hAnsi="Arial" w:cs="Arial"/>
                <w:sz w:val="20"/>
                <w:szCs w:val="20"/>
              </w:rPr>
              <w:t>Complex cyst</w:t>
            </w:r>
          </w:p>
        </w:tc>
        <w:tc>
          <w:tcPr>
            <w:tcW w:w="2551" w:type="dxa"/>
            <w:vAlign w:val="center"/>
          </w:tcPr>
          <w:p w14:paraId="36F255F9" w14:textId="77777777" w:rsidR="006E087A" w:rsidRPr="00141D03" w:rsidRDefault="006E087A" w:rsidP="00141D03">
            <w:pPr>
              <w:contextualSpacing/>
              <w:rPr>
                <w:rFonts w:ascii="Arial" w:hAnsi="Arial" w:cs="Arial"/>
                <w:sz w:val="20"/>
                <w:szCs w:val="20"/>
              </w:rPr>
            </w:pPr>
            <w:r w:rsidRPr="00141D03">
              <w:rPr>
                <w:rFonts w:ascii="Arial" w:hAnsi="Arial" w:cs="Arial"/>
                <w:sz w:val="20"/>
                <w:szCs w:val="20"/>
              </w:rPr>
              <w:t>3 (6.7)</w:t>
            </w:r>
          </w:p>
        </w:tc>
        <w:tc>
          <w:tcPr>
            <w:tcW w:w="2694" w:type="dxa"/>
            <w:vAlign w:val="center"/>
          </w:tcPr>
          <w:p w14:paraId="09D8F5DF" w14:textId="77777777" w:rsidR="006E087A" w:rsidRPr="00141D03" w:rsidRDefault="006E087A" w:rsidP="00141D03">
            <w:pPr>
              <w:contextualSpacing/>
              <w:rPr>
                <w:rFonts w:ascii="Arial" w:hAnsi="Arial" w:cs="Arial"/>
                <w:sz w:val="20"/>
                <w:szCs w:val="20"/>
              </w:rPr>
            </w:pPr>
            <w:r w:rsidRPr="00141D03">
              <w:rPr>
                <w:rFonts w:ascii="Arial" w:hAnsi="Arial" w:cs="Arial"/>
                <w:sz w:val="20"/>
                <w:szCs w:val="20"/>
              </w:rPr>
              <w:t>1 (4.0)</w:t>
            </w:r>
          </w:p>
        </w:tc>
      </w:tr>
      <w:tr w:rsidR="006E087A" w:rsidRPr="00141D03" w14:paraId="6880367E" w14:textId="77777777" w:rsidTr="00C479A5">
        <w:trPr>
          <w:trHeight w:hRule="exact" w:val="454"/>
          <w:jc w:val="center"/>
        </w:trPr>
        <w:tc>
          <w:tcPr>
            <w:tcW w:w="1413" w:type="dxa"/>
            <w:vMerge/>
            <w:vAlign w:val="center"/>
          </w:tcPr>
          <w:p w14:paraId="059F3AD2" w14:textId="77777777" w:rsidR="006E087A" w:rsidRPr="00141D03" w:rsidRDefault="006E087A" w:rsidP="00141D03">
            <w:pPr>
              <w:contextualSpacing/>
              <w:rPr>
                <w:rFonts w:ascii="Arial" w:hAnsi="Arial" w:cs="Arial"/>
                <w:sz w:val="20"/>
                <w:szCs w:val="20"/>
              </w:rPr>
            </w:pPr>
          </w:p>
        </w:tc>
        <w:tc>
          <w:tcPr>
            <w:tcW w:w="2268" w:type="dxa"/>
            <w:vAlign w:val="center"/>
          </w:tcPr>
          <w:p w14:paraId="48A03A18" w14:textId="77777777" w:rsidR="006E087A" w:rsidRPr="00141D03" w:rsidRDefault="006E087A" w:rsidP="00141D03">
            <w:pPr>
              <w:contextualSpacing/>
              <w:rPr>
                <w:rFonts w:ascii="Arial" w:hAnsi="Arial" w:cs="Arial"/>
                <w:sz w:val="20"/>
                <w:szCs w:val="20"/>
              </w:rPr>
            </w:pPr>
            <w:r w:rsidRPr="00141D03">
              <w:rPr>
                <w:rFonts w:ascii="Arial" w:hAnsi="Arial" w:cs="Arial"/>
                <w:sz w:val="20"/>
                <w:szCs w:val="20"/>
              </w:rPr>
              <w:t>Simple cyst</w:t>
            </w:r>
          </w:p>
        </w:tc>
        <w:tc>
          <w:tcPr>
            <w:tcW w:w="2551" w:type="dxa"/>
            <w:vAlign w:val="center"/>
          </w:tcPr>
          <w:p w14:paraId="45E18036" w14:textId="77777777" w:rsidR="006E087A" w:rsidRPr="00141D03" w:rsidRDefault="006E087A" w:rsidP="00141D03">
            <w:pPr>
              <w:contextualSpacing/>
              <w:rPr>
                <w:rFonts w:ascii="Arial" w:hAnsi="Arial" w:cs="Arial"/>
                <w:sz w:val="20"/>
                <w:szCs w:val="20"/>
              </w:rPr>
            </w:pPr>
            <w:r w:rsidRPr="00141D03">
              <w:rPr>
                <w:rFonts w:ascii="Arial" w:hAnsi="Arial" w:cs="Arial"/>
                <w:sz w:val="20"/>
                <w:szCs w:val="20"/>
              </w:rPr>
              <w:t>4 (8.9)</w:t>
            </w:r>
          </w:p>
        </w:tc>
        <w:tc>
          <w:tcPr>
            <w:tcW w:w="2694" w:type="dxa"/>
            <w:vAlign w:val="center"/>
          </w:tcPr>
          <w:p w14:paraId="77007B1E" w14:textId="77777777" w:rsidR="006E087A" w:rsidRPr="00141D03" w:rsidRDefault="006E087A" w:rsidP="00141D03">
            <w:pPr>
              <w:contextualSpacing/>
              <w:rPr>
                <w:rFonts w:ascii="Arial" w:hAnsi="Arial" w:cs="Arial"/>
                <w:sz w:val="20"/>
                <w:szCs w:val="20"/>
              </w:rPr>
            </w:pPr>
            <w:r w:rsidRPr="00141D03">
              <w:rPr>
                <w:rFonts w:ascii="Arial" w:hAnsi="Arial" w:cs="Arial"/>
                <w:sz w:val="20"/>
                <w:szCs w:val="20"/>
              </w:rPr>
              <w:t>2 (8.0)</w:t>
            </w:r>
          </w:p>
        </w:tc>
      </w:tr>
      <w:tr w:rsidR="006E087A" w:rsidRPr="00141D03" w14:paraId="60EBD7F7" w14:textId="77777777" w:rsidTr="00C479A5">
        <w:trPr>
          <w:trHeight w:hRule="exact" w:val="454"/>
          <w:jc w:val="center"/>
        </w:trPr>
        <w:tc>
          <w:tcPr>
            <w:tcW w:w="1413" w:type="dxa"/>
            <w:vMerge/>
            <w:vAlign w:val="center"/>
          </w:tcPr>
          <w:p w14:paraId="19B75EB6" w14:textId="77777777" w:rsidR="006E087A" w:rsidRPr="00141D03" w:rsidRDefault="006E087A" w:rsidP="00141D03">
            <w:pPr>
              <w:contextualSpacing/>
              <w:rPr>
                <w:rFonts w:ascii="Arial" w:hAnsi="Arial" w:cs="Arial"/>
                <w:sz w:val="20"/>
                <w:szCs w:val="20"/>
              </w:rPr>
            </w:pPr>
          </w:p>
        </w:tc>
        <w:tc>
          <w:tcPr>
            <w:tcW w:w="2268" w:type="dxa"/>
            <w:vAlign w:val="center"/>
          </w:tcPr>
          <w:p w14:paraId="2AB924EA" w14:textId="77777777" w:rsidR="006E087A" w:rsidRPr="00141D03" w:rsidRDefault="006E087A" w:rsidP="00141D03">
            <w:pPr>
              <w:contextualSpacing/>
              <w:rPr>
                <w:rFonts w:ascii="Arial" w:hAnsi="Arial" w:cs="Arial"/>
                <w:sz w:val="20"/>
                <w:szCs w:val="20"/>
              </w:rPr>
            </w:pPr>
            <w:r w:rsidRPr="00141D03">
              <w:rPr>
                <w:rFonts w:ascii="Arial" w:hAnsi="Arial" w:cs="Arial"/>
                <w:sz w:val="20"/>
                <w:szCs w:val="20"/>
              </w:rPr>
              <w:t>Total</w:t>
            </w:r>
          </w:p>
        </w:tc>
        <w:tc>
          <w:tcPr>
            <w:tcW w:w="2551" w:type="dxa"/>
            <w:vAlign w:val="center"/>
          </w:tcPr>
          <w:p w14:paraId="1BC9F2B6" w14:textId="77777777" w:rsidR="006E087A" w:rsidRPr="00141D03" w:rsidRDefault="006E087A" w:rsidP="00141D03">
            <w:pPr>
              <w:contextualSpacing/>
              <w:rPr>
                <w:rFonts w:ascii="Arial" w:hAnsi="Arial" w:cs="Arial"/>
                <w:sz w:val="20"/>
                <w:szCs w:val="20"/>
              </w:rPr>
            </w:pPr>
            <w:r w:rsidRPr="00141D03">
              <w:rPr>
                <w:rFonts w:ascii="Arial" w:hAnsi="Arial" w:cs="Arial"/>
                <w:sz w:val="20"/>
                <w:szCs w:val="20"/>
              </w:rPr>
              <w:t>20 (44.4)</w:t>
            </w:r>
          </w:p>
        </w:tc>
        <w:tc>
          <w:tcPr>
            <w:tcW w:w="2694" w:type="dxa"/>
            <w:vAlign w:val="center"/>
          </w:tcPr>
          <w:p w14:paraId="2D70F175" w14:textId="77777777" w:rsidR="006E087A" w:rsidRPr="00141D03" w:rsidRDefault="006E087A" w:rsidP="00141D03">
            <w:pPr>
              <w:contextualSpacing/>
              <w:rPr>
                <w:rFonts w:ascii="Arial" w:hAnsi="Arial" w:cs="Arial"/>
                <w:sz w:val="20"/>
                <w:szCs w:val="20"/>
              </w:rPr>
            </w:pPr>
            <w:r w:rsidRPr="00141D03">
              <w:rPr>
                <w:rFonts w:ascii="Arial" w:hAnsi="Arial" w:cs="Arial"/>
                <w:sz w:val="20"/>
                <w:szCs w:val="20"/>
              </w:rPr>
              <w:t>10 (40.0)</w:t>
            </w:r>
          </w:p>
        </w:tc>
      </w:tr>
      <w:tr w:rsidR="006E087A" w:rsidRPr="00141D03" w14:paraId="24BB9EBE" w14:textId="77777777" w:rsidTr="00C479A5">
        <w:trPr>
          <w:trHeight w:hRule="exact" w:val="454"/>
          <w:jc w:val="center"/>
        </w:trPr>
        <w:tc>
          <w:tcPr>
            <w:tcW w:w="1413" w:type="dxa"/>
            <w:vMerge w:val="restart"/>
            <w:vAlign w:val="center"/>
          </w:tcPr>
          <w:p w14:paraId="52C8FCFD" w14:textId="77777777" w:rsidR="006E087A" w:rsidRPr="00141D03" w:rsidRDefault="006E087A" w:rsidP="00141D03">
            <w:pPr>
              <w:contextualSpacing/>
              <w:rPr>
                <w:rFonts w:ascii="Arial" w:hAnsi="Arial" w:cs="Arial"/>
                <w:sz w:val="20"/>
                <w:szCs w:val="20"/>
              </w:rPr>
            </w:pPr>
            <w:r w:rsidRPr="00141D03">
              <w:rPr>
                <w:rFonts w:ascii="Arial" w:hAnsi="Arial" w:cs="Arial"/>
                <w:sz w:val="20"/>
                <w:szCs w:val="20"/>
              </w:rPr>
              <w:t xml:space="preserve">Peritoneal </w:t>
            </w:r>
            <w:r w:rsidRPr="00141D03">
              <w:rPr>
                <w:rFonts w:ascii="Arial" w:hAnsi="Arial" w:cs="Arial"/>
                <w:sz w:val="20"/>
                <w:szCs w:val="20"/>
              </w:rPr>
              <w:lastRenderedPageBreak/>
              <w:t>factors</w:t>
            </w:r>
          </w:p>
        </w:tc>
        <w:tc>
          <w:tcPr>
            <w:tcW w:w="2268" w:type="dxa"/>
            <w:vAlign w:val="center"/>
          </w:tcPr>
          <w:p w14:paraId="039E6316" w14:textId="77777777" w:rsidR="006E087A" w:rsidRPr="00141D03" w:rsidRDefault="006E087A" w:rsidP="00141D03">
            <w:pPr>
              <w:contextualSpacing/>
              <w:rPr>
                <w:rFonts w:ascii="Arial" w:hAnsi="Arial" w:cs="Arial"/>
                <w:sz w:val="20"/>
                <w:szCs w:val="20"/>
              </w:rPr>
            </w:pPr>
            <w:r w:rsidRPr="00141D03">
              <w:rPr>
                <w:rFonts w:ascii="Arial" w:hAnsi="Arial" w:cs="Arial"/>
                <w:sz w:val="20"/>
                <w:szCs w:val="20"/>
              </w:rPr>
              <w:lastRenderedPageBreak/>
              <w:t>Pelvic adhesions</w:t>
            </w:r>
          </w:p>
        </w:tc>
        <w:tc>
          <w:tcPr>
            <w:tcW w:w="2551" w:type="dxa"/>
            <w:vAlign w:val="center"/>
          </w:tcPr>
          <w:p w14:paraId="6E4BE90E" w14:textId="77777777" w:rsidR="006E087A" w:rsidRPr="00141D03" w:rsidRDefault="006E087A" w:rsidP="00141D03">
            <w:pPr>
              <w:contextualSpacing/>
              <w:rPr>
                <w:rFonts w:ascii="Arial" w:hAnsi="Arial" w:cs="Arial"/>
                <w:sz w:val="20"/>
                <w:szCs w:val="20"/>
              </w:rPr>
            </w:pPr>
            <w:r w:rsidRPr="00141D03">
              <w:rPr>
                <w:rFonts w:ascii="Arial" w:hAnsi="Arial" w:cs="Arial"/>
                <w:sz w:val="20"/>
                <w:szCs w:val="20"/>
              </w:rPr>
              <w:t>5 (11.1)</w:t>
            </w:r>
          </w:p>
        </w:tc>
        <w:tc>
          <w:tcPr>
            <w:tcW w:w="2694" w:type="dxa"/>
            <w:vAlign w:val="center"/>
          </w:tcPr>
          <w:p w14:paraId="7138A26A" w14:textId="77777777" w:rsidR="006E087A" w:rsidRPr="00141D03" w:rsidRDefault="006E087A" w:rsidP="00141D03">
            <w:pPr>
              <w:contextualSpacing/>
              <w:rPr>
                <w:rFonts w:ascii="Arial" w:hAnsi="Arial" w:cs="Arial"/>
                <w:sz w:val="20"/>
                <w:szCs w:val="20"/>
              </w:rPr>
            </w:pPr>
            <w:r w:rsidRPr="00141D03">
              <w:rPr>
                <w:rFonts w:ascii="Arial" w:hAnsi="Arial" w:cs="Arial"/>
                <w:sz w:val="20"/>
                <w:szCs w:val="20"/>
              </w:rPr>
              <w:t>3 (12.0)</w:t>
            </w:r>
          </w:p>
        </w:tc>
      </w:tr>
      <w:tr w:rsidR="006E087A" w:rsidRPr="00141D03" w14:paraId="1E4B9E4B" w14:textId="77777777" w:rsidTr="00C479A5">
        <w:trPr>
          <w:trHeight w:hRule="exact" w:val="454"/>
          <w:jc w:val="center"/>
        </w:trPr>
        <w:tc>
          <w:tcPr>
            <w:tcW w:w="1413" w:type="dxa"/>
            <w:vMerge/>
            <w:vAlign w:val="center"/>
          </w:tcPr>
          <w:p w14:paraId="4CC59798" w14:textId="77777777" w:rsidR="006E087A" w:rsidRPr="00141D03" w:rsidRDefault="006E087A" w:rsidP="00141D03">
            <w:pPr>
              <w:contextualSpacing/>
              <w:rPr>
                <w:rFonts w:ascii="Arial" w:hAnsi="Arial" w:cs="Arial"/>
                <w:sz w:val="20"/>
                <w:szCs w:val="20"/>
              </w:rPr>
            </w:pPr>
          </w:p>
        </w:tc>
        <w:tc>
          <w:tcPr>
            <w:tcW w:w="2268" w:type="dxa"/>
            <w:vAlign w:val="center"/>
          </w:tcPr>
          <w:p w14:paraId="53558160" w14:textId="77777777" w:rsidR="006E087A" w:rsidRPr="00141D03" w:rsidRDefault="006E087A" w:rsidP="00141D03">
            <w:pPr>
              <w:contextualSpacing/>
              <w:rPr>
                <w:rFonts w:ascii="Arial" w:hAnsi="Arial" w:cs="Arial"/>
                <w:sz w:val="20"/>
                <w:szCs w:val="20"/>
              </w:rPr>
            </w:pPr>
            <w:r w:rsidRPr="00141D03">
              <w:rPr>
                <w:rFonts w:ascii="Arial" w:hAnsi="Arial" w:cs="Arial"/>
                <w:sz w:val="20"/>
                <w:szCs w:val="20"/>
              </w:rPr>
              <w:t>Tuberculosis</w:t>
            </w:r>
          </w:p>
        </w:tc>
        <w:tc>
          <w:tcPr>
            <w:tcW w:w="2551" w:type="dxa"/>
            <w:vAlign w:val="center"/>
          </w:tcPr>
          <w:p w14:paraId="125133F1" w14:textId="77777777" w:rsidR="006E087A" w:rsidRPr="00141D03" w:rsidRDefault="006E087A" w:rsidP="00141D03">
            <w:pPr>
              <w:contextualSpacing/>
              <w:rPr>
                <w:rFonts w:ascii="Arial" w:hAnsi="Arial" w:cs="Arial"/>
                <w:sz w:val="20"/>
                <w:szCs w:val="20"/>
              </w:rPr>
            </w:pPr>
            <w:r w:rsidRPr="00141D03">
              <w:rPr>
                <w:rFonts w:ascii="Arial" w:hAnsi="Arial" w:cs="Arial"/>
                <w:sz w:val="20"/>
                <w:szCs w:val="20"/>
              </w:rPr>
              <w:t>4 (8.9)</w:t>
            </w:r>
          </w:p>
        </w:tc>
        <w:tc>
          <w:tcPr>
            <w:tcW w:w="2694" w:type="dxa"/>
            <w:vAlign w:val="center"/>
          </w:tcPr>
          <w:p w14:paraId="504265E3" w14:textId="77777777" w:rsidR="006E087A" w:rsidRPr="00141D03" w:rsidRDefault="006E087A" w:rsidP="00141D03">
            <w:pPr>
              <w:contextualSpacing/>
              <w:rPr>
                <w:rFonts w:ascii="Arial" w:hAnsi="Arial" w:cs="Arial"/>
                <w:sz w:val="20"/>
                <w:szCs w:val="20"/>
              </w:rPr>
            </w:pPr>
            <w:r w:rsidRPr="00141D03">
              <w:rPr>
                <w:rFonts w:ascii="Arial" w:hAnsi="Arial" w:cs="Arial"/>
                <w:sz w:val="20"/>
                <w:szCs w:val="20"/>
              </w:rPr>
              <w:t>4 (16.0)</w:t>
            </w:r>
          </w:p>
        </w:tc>
      </w:tr>
      <w:tr w:rsidR="006E087A" w:rsidRPr="00141D03" w14:paraId="2B753BE4" w14:textId="77777777" w:rsidTr="00C479A5">
        <w:trPr>
          <w:trHeight w:hRule="exact" w:val="454"/>
          <w:jc w:val="center"/>
        </w:trPr>
        <w:tc>
          <w:tcPr>
            <w:tcW w:w="1413" w:type="dxa"/>
            <w:vMerge/>
            <w:vAlign w:val="center"/>
          </w:tcPr>
          <w:p w14:paraId="56045B24" w14:textId="77777777" w:rsidR="006E087A" w:rsidRPr="00141D03" w:rsidRDefault="006E087A" w:rsidP="00141D03">
            <w:pPr>
              <w:contextualSpacing/>
              <w:rPr>
                <w:rFonts w:ascii="Arial" w:hAnsi="Arial" w:cs="Arial"/>
                <w:sz w:val="20"/>
                <w:szCs w:val="20"/>
              </w:rPr>
            </w:pPr>
          </w:p>
        </w:tc>
        <w:tc>
          <w:tcPr>
            <w:tcW w:w="2268" w:type="dxa"/>
            <w:vAlign w:val="center"/>
          </w:tcPr>
          <w:p w14:paraId="00296141" w14:textId="77777777" w:rsidR="006E087A" w:rsidRPr="00141D03" w:rsidRDefault="006E087A" w:rsidP="00141D03">
            <w:pPr>
              <w:contextualSpacing/>
              <w:rPr>
                <w:rFonts w:ascii="Arial" w:hAnsi="Arial" w:cs="Arial"/>
                <w:sz w:val="20"/>
                <w:szCs w:val="20"/>
              </w:rPr>
            </w:pPr>
            <w:r w:rsidRPr="00141D03">
              <w:rPr>
                <w:rFonts w:ascii="Arial" w:hAnsi="Arial" w:cs="Arial"/>
                <w:sz w:val="20"/>
                <w:szCs w:val="20"/>
              </w:rPr>
              <w:t>Endometriosis</w:t>
            </w:r>
          </w:p>
        </w:tc>
        <w:tc>
          <w:tcPr>
            <w:tcW w:w="2551" w:type="dxa"/>
            <w:vAlign w:val="center"/>
          </w:tcPr>
          <w:p w14:paraId="4E84A0AD" w14:textId="77777777" w:rsidR="006E087A" w:rsidRPr="00141D03" w:rsidRDefault="006E087A" w:rsidP="00141D03">
            <w:pPr>
              <w:contextualSpacing/>
              <w:rPr>
                <w:rFonts w:ascii="Arial" w:hAnsi="Arial" w:cs="Arial"/>
                <w:sz w:val="20"/>
                <w:szCs w:val="20"/>
              </w:rPr>
            </w:pPr>
            <w:r w:rsidRPr="00141D03">
              <w:rPr>
                <w:rFonts w:ascii="Arial" w:hAnsi="Arial" w:cs="Arial"/>
                <w:sz w:val="20"/>
                <w:szCs w:val="20"/>
              </w:rPr>
              <w:t>6 (13.3)</w:t>
            </w:r>
          </w:p>
        </w:tc>
        <w:tc>
          <w:tcPr>
            <w:tcW w:w="2694" w:type="dxa"/>
            <w:vAlign w:val="center"/>
          </w:tcPr>
          <w:p w14:paraId="5114F12D" w14:textId="77777777" w:rsidR="006E087A" w:rsidRPr="00141D03" w:rsidRDefault="006E087A" w:rsidP="00141D03">
            <w:pPr>
              <w:contextualSpacing/>
              <w:rPr>
                <w:rFonts w:ascii="Arial" w:hAnsi="Arial" w:cs="Arial"/>
                <w:sz w:val="20"/>
                <w:szCs w:val="20"/>
              </w:rPr>
            </w:pPr>
            <w:r w:rsidRPr="00141D03">
              <w:rPr>
                <w:rFonts w:ascii="Arial" w:hAnsi="Arial" w:cs="Arial"/>
                <w:sz w:val="20"/>
                <w:szCs w:val="20"/>
              </w:rPr>
              <w:t>1 (4.0)</w:t>
            </w:r>
          </w:p>
        </w:tc>
      </w:tr>
      <w:tr w:rsidR="006E087A" w:rsidRPr="00141D03" w14:paraId="47C7D319" w14:textId="77777777" w:rsidTr="00C479A5">
        <w:trPr>
          <w:trHeight w:hRule="exact" w:val="454"/>
          <w:jc w:val="center"/>
        </w:trPr>
        <w:tc>
          <w:tcPr>
            <w:tcW w:w="1413" w:type="dxa"/>
            <w:vMerge/>
            <w:vAlign w:val="center"/>
          </w:tcPr>
          <w:p w14:paraId="4B876CEC" w14:textId="77777777" w:rsidR="006E087A" w:rsidRPr="00141D03" w:rsidRDefault="006E087A" w:rsidP="00141D03">
            <w:pPr>
              <w:contextualSpacing/>
              <w:rPr>
                <w:rFonts w:ascii="Arial" w:hAnsi="Arial" w:cs="Arial"/>
                <w:sz w:val="20"/>
                <w:szCs w:val="20"/>
              </w:rPr>
            </w:pPr>
          </w:p>
        </w:tc>
        <w:tc>
          <w:tcPr>
            <w:tcW w:w="2268" w:type="dxa"/>
            <w:vAlign w:val="center"/>
          </w:tcPr>
          <w:p w14:paraId="256A846F" w14:textId="77777777" w:rsidR="006E087A" w:rsidRPr="00141D03" w:rsidRDefault="006E087A" w:rsidP="00141D03">
            <w:pPr>
              <w:contextualSpacing/>
              <w:rPr>
                <w:rFonts w:ascii="Arial" w:hAnsi="Arial" w:cs="Arial"/>
                <w:sz w:val="20"/>
                <w:szCs w:val="20"/>
              </w:rPr>
            </w:pPr>
            <w:r w:rsidRPr="00141D03">
              <w:rPr>
                <w:rFonts w:ascii="Arial" w:hAnsi="Arial" w:cs="Arial"/>
                <w:sz w:val="20"/>
                <w:szCs w:val="20"/>
              </w:rPr>
              <w:t>Total</w:t>
            </w:r>
          </w:p>
        </w:tc>
        <w:tc>
          <w:tcPr>
            <w:tcW w:w="2551" w:type="dxa"/>
            <w:vAlign w:val="center"/>
          </w:tcPr>
          <w:p w14:paraId="026762FB" w14:textId="77777777" w:rsidR="006E087A" w:rsidRPr="00141D03" w:rsidRDefault="006E087A" w:rsidP="00141D03">
            <w:pPr>
              <w:contextualSpacing/>
              <w:rPr>
                <w:rFonts w:ascii="Arial" w:hAnsi="Arial" w:cs="Arial"/>
                <w:sz w:val="20"/>
                <w:szCs w:val="20"/>
              </w:rPr>
            </w:pPr>
            <w:r w:rsidRPr="00141D03">
              <w:rPr>
                <w:rFonts w:ascii="Arial" w:hAnsi="Arial" w:cs="Arial"/>
                <w:sz w:val="20"/>
                <w:szCs w:val="20"/>
              </w:rPr>
              <w:t>15 (33.3)</w:t>
            </w:r>
          </w:p>
        </w:tc>
        <w:tc>
          <w:tcPr>
            <w:tcW w:w="2694" w:type="dxa"/>
            <w:vAlign w:val="center"/>
          </w:tcPr>
          <w:p w14:paraId="534CE3B1" w14:textId="77777777" w:rsidR="006E087A" w:rsidRPr="00141D03" w:rsidRDefault="006E087A" w:rsidP="00141D03">
            <w:pPr>
              <w:contextualSpacing/>
              <w:rPr>
                <w:rFonts w:ascii="Arial" w:hAnsi="Arial" w:cs="Arial"/>
                <w:sz w:val="20"/>
                <w:szCs w:val="20"/>
              </w:rPr>
            </w:pPr>
            <w:r w:rsidRPr="00141D03">
              <w:rPr>
                <w:rFonts w:ascii="Arial" w:hAnsi="Arial" w:cs="Arial"/>
                <w:sz w:val="20"/>
                <w:szCs w:val="20"/>
              </w:rPr>
              <w:t>8 (32.0)</w:t>
            </w:r>
          </w:p>
        </w:tc>
      </w:tr>
      <w:tr w:rsidR="006E087A" w:rsidRPr="00141D03" w14:paraId="1F24BAAB" w14:textId="77777777" w:rsidTr="00C479A5">
        <w:trPr>
          <w:trHeight w:hRule="exact" w:val="454"/>
          <w:jc w:val="center"/>
        </w:trPr>
        <w:tc>
          <w:tcPr>
            <w:tcW w:w="1413" w:type="dxa"/>
            <w:vMerge w:val="restart"/>
            <w:vAlign w:val="center"/>
          </w:tcPr>
          <w:p w14:paraId="57FA2FBC" w14:textId="77777777" w:rsidR="006E087A" w:rsidRPr="00141D03" w:rsidRDefault="006E087A" w:rsidP="00141D03">
            <w:pPr>
              <w:contextualSpacing/>
              <w:rPr>
                <w:rFonts w:ascii="Arial" w:hAnsi="Arial" w:cs="Arial"/>
                <w:sz w:val="20"/>
                <w:szCs w:val="20"/>
              </w:rPr>
            </w:pPr>
            <w:r w:rsidRPr="00141D03">
              <w:rPr>
                <w:rFonts w:ascii="Arial" w:hAnsi="Arial" w:cs="Arial"/>
                <w:sz w:val="20"/>
                <w:szCs w:val="20"/>
              </w:rPr>
              <w:t>Uterine factors</w:t>
            </w:r>
          </w:p>
        </w:tc>
        <w:tc>
          <w:tcPr>
            <w:tcW w:w="2268" w:type="dxa"/>
            <w:vAlign w:val="center"/>
          </w:tcPr>
          <w:p w14:paraId="34062E57" w14:textId="77777777" w:rsidR="006E087A" w:rsidRPr="00141D03" w:rsidRDefault="006E087A" w:rsidP="00141D03">
            <w:pPr>
              <w:contextualSpacing/>
              <w:rPr>
                <w:rFonts w:ascii="Arial" w:hAnsi="Arial" w:cs="Arial"/>
                <w:sz w:val="20"/>
                <w:szCs w:val="20"/>
              </w:rPr>
            </w:pPr>
            <w:r w:rsidRPr="00141D03">
              <w:rPr>
                <w:rFonts w:ascii="Arial" w:hAnsi="Arial" w:cs="Arial"/>
                <w:sz w:val="20"/>
                <w:szCs w:val="20"/>
              </w:rPr>
              <w:t>Mullerian pathology</w:t>
            </w:r>
          </w:p>
        </w:tc>
        <w:tc>
          <w:tcPr>
            <w:tcW w:w="2551" w:type="dxa"/>
            <w:vAlign w:val="center"/>
          </w:tcPr>
          <w:p w14:paraId="6C2CA0C9" w14:textId="77777777" w:rsidR="006E087A" w:rsidRPr="00141D03" w:rsidRDefault="006E087A" w:rsidP="00141D03">
            <w:pPr>
              <w:contextualSpacing/>
              <w:rPr>
                <w:rFonts w:ascii="Arial" w:hAnsi="Arial" w:cs="Arial"/>
                <w:sz w:val="20"/>
                <w:szCs w:val="20"/>
              </w:rPr>
            </w:pPr>
            <w:r w:rsidRPr="00141D03">
              <w:rPr>
                <w:rFonts w:ascii="Arial" w:hAnsi="Arial" w:cs="Arial"/>
                <w:sz w:val="20"/>
                <w:szCs w:val="20"/>
              </w:rPr>
              <w:t>4 (8.9)</w:t>
            </w:r>
          </w:p>
        </w:tc>
        <w:tc>
          <w:tcPr>
            <w:tcW w:w="2694" w:type="dxa"/>
            <w:vAlign w:val="center"/>
          </w:tcPr>
          <w:p w14:paraId="07212F6A" w14:textId="77777777" w:rsidR="006E087A" w:rsidRPr="00141D03" w:rsidRDefault="006E087A" w:rsidP="00141D03">
            <w:pPr>
              <w:contextualSpacing/>
              <w:rPr>
                <w:rFonts w:ascii="Arial" w:hAnsi="Arial" w:cs="Arial"/>
                <w:sz w:val="20"/>
                <w:szCs w:val="20"/>
              </w:rPr>
            </w:pPr>
            <w:r w:rsidRPr="00141D03">
              <w:rPr>
                <w:rFonts w:ascii="Arial" w:hAnsi="Arial" w:cs="Arial"/>
                <w:sz w:val="20"/>
                <w:szCs w:val="20"/>
              </w:rPr>
              <w:t>3 (12.0)</w:t>
            </w:r>
          </w:p>
        </w:tc>
      </w:tr>
      <w:tr w:rsidR="006E087A" w:rsidRPr="00141D03" w14:paraId="33F33B3A" w14:textId="77777777" w:rsidTr="00C479A5">
        <w:trPr>
          <w:trHeight w:hRule="exact" w:val="454"/>
          <w:jc w:val="center"/>
        </w:trPr>
        <w:tc>
          <w:tcPr>
            <w:tcW w:w="1413" w:type="dxa"/>
            <w:vMerge/>
            <w:vAlign w:val="center"/>
          </w:tcPr>
          <w:p w14:paraId="5F19FEB2" w14:textId="77777777" w:rsidR="006E087A" w:rsidRPr="00141D03" w:rsidRDefault="006E087A" w:rsidP="00141D03">
            <w:pPr>
              <w:contextualSpacing/>
              <w:rPr>
                <w:rFonts w:ascii="Arial" w:hAnsi="Arial" w:cs="Arial"/>
                <w:sz w:val="20"/>
                <w:szCs w:val="20"/>
              </w:rPr>
            </w:pPr>
          </w:p>
        </w:tc>
        <w:tc>
          <w:tcPr>
            <w:tcW w:w="2268" w:type="dxa"/>
            <w:vAlign w:val="center"/>
          </w:tcPr>
          <w:p w14:paraId="034CE4EF" w14:textId="77777777" w:rsidR="006E087A" w:rsidRPr="00141D03" w:rsidRDefault="006E087A" w:rsidP="00141D03">
            <w:pPr>
              <w:contextualSpacing/>
              <w:rPr>
                <w:rFonts w:ascii="Arial" w:hAnsi="Arial" w:cs="Arial"/>
                <w:sz w:val="20"/>
                <w:szCs w:val="20"/>
              </w:rPr>
            </w:pPr>
            <w:r w:rsidRPr="00141D03">
              <w:rPr>
                <w:rFonts w:ascii="Arial" w:hAnsi="Arial" w:cs="Arial"/>
                <w:sz w:val="20"/>
                <w:szCs w:val="20"/>
              </w:rPr>
              <w:t>Fibroid</w:t>
            </w:r>
          </w:p>
        </w:tc>
        <w:tc>
          <w:tcPr>
            <w:tcW w:w="2551" w:type="dxa"/>
            <w:vAlign w:val="center"/>
          </w:tcPr>
          <w:p w14:paraId="37F75860" w14:textId="77777777" w:rsidR="006E087A" w:rsidRPr="00141D03" w:rsidRDefault="006E087A" w:rsidP="00141D03">
            <w:pPr>
              <w:contextualSpacing/>
              <w:rPr>
                <w:rFonts w:ascii="Arial" w:hAnsi="Arial" w:cs="Arial"/>
                <w:sz w:val="20"/>
                <w:szCs w:val="20"/>
              </w:rPr>
            </w:pPr>
            <w:r w:rsidRPr="00141D03">
              <w:rPr>
                <w:rFonts w:ascii="Arial" w:hAnsi="Arial" w:cs="Arial"/>
                <w:sz w:val="20"/>
                <w:szCs w:val="20"/>
              </w:rPr>
              <w:t>3 (6.7)</w:t>
            </w:r>
          </w:p>
        </w:tc>
        <w:tc>
          <w:tcPr>
            <w:tcW w:w="2694" w:type="dxa"/>
            <w:vAlign w:val="center"/>
          </w:tcPr>
          <w:p w14:paraId="27063385" w14:textId="77777777" w:rsidR="006E087A" w:rsidRPr="00141D03" w:rsidRDefault="006E087A" w:rsidP="00141D03">
            <w:pPr>
              <w:contextualSpacing/>
              <w:rPr>
                <w:rFonts w:ascii="Arial" w:hAnsi="Arial" w:cs="Arial"/>
                <w:sz w:val="20"/>
                <w:szCs w:val="20"/>
              </w:rPr>
            </w:pPr>
            <w:r w:rsidRPr="00141D03">
              <w:rPr>
                <w:rFonts w:ascii="Arial" w:hAnsi="Arial" w:cs="Arial"/>
                <w:sz w:val="20"/>
                <w:szCs w:val="20"/>
              </w:rPr>
              <w:t>0 (0.0)</w:t>
            </w:r>
          </w:p>
        </w:tc>
      </w:tr>
      <w:tr w:rsidR="006E087A" w:rsidRPr="00141D03" w14:paraId="5EAC2EED" w14:textId="77777777" w:rsidTr="00C479A5">
        <w:trPr>
          <w:trHeight w:hRule="exact" w:val="454"/>
          <w:jc w:val="center"/>
        </w:trPr>
        <w:tc>
          <w:tcPr>
            <w:tcW w:w="1413" w:type="dxa"/>
            <w:vMerge/>
            <w:vAlign w:val="center"/>
          </w:tcPr>
          <w:p w14:paraId="1533E59B" w14:textId="77777777" w:rsidR="006E087A" w:rsidRPr="00141D03" w:rsidRDefault="006E087A" w:rsidP="00141D03">
            <w:pPr>
              <w:contextualSpacing/>
              <w:rPr>
                <w:rFonts w:ascii="Arial" w:hAnsi="Arial" w:cs="Arial"/>
                <w:sz w:val="20"/>
                <w:szCs w:val="20"/>
              </w:rPr>
            </w:pPr>
          </w:p>
        </w:tc>
        <w:tc>
          <w:tcPr>
            <w:tcW w:w="2268" w:type="dxa"/>
            <w:vAlign w:val="center"/>
          </w:tcPr>
          <w:p w14:paraId="02FC345E" w14:textId="77777777" w:rsidR="006E087A" w:rsidRPr="00141D03" w:rsidRDefault="006E087A" w:rsidP="00141D03">
            <w:pPr>
              <w:contextualSpacing/>
              <w:rPr>
                <w:rFonts w:ascii="Arial" w:hAnsi="Arial" w:cs="Arial"/>
                <w:sz w:val="20"/>
                <w:szCs w:val="20"/>
              </w:rPr>
            </w:pPr>
            <w:r w:rsidRPr="00141D03">
              <w:rPr>
                <w:rFonts w:ascii="Arial" w:hAnsi="Arial" w:cs="Arial"/>
                <w:sz w:val="20"/>
                <w:szCs w:val="20"/>
              </w:rPr>
              <w:t>Hypoplastic</w:t>
            </w:r>
          </w:p>
        </w:tc>
        <w:tc>
          <w:tcPr>
            <w:tcW w:w="2551" w:type="dxa"/>
            <w:vAlign w:val="center"/>
          </w:tcPr>
          <w:p w14:paraId="2071B173" w14:textId="77777777" w:rsidR="006E087A" w:rsidRPr="00141D03" w:rsidRDefault="006E087A" w:rsidP="00141D03">
            <w:pPr>
              <w:contextualSpacing/>
              <w:rPr>
                <w:rFonts w:ascii="Arial" w:hAnsi="Arial" w:cs="Arial"/>
                <w:sz w:val="20"/>
                <w:szCs w:val="20"/>
              </w:rPr>
            </w:pPr>
            <w:r w:rsidRPr="00141D03">
              <w:rPr>
                <w:rFonts w:ascii="Arial" w:hAnsi="Arial" w:cs="Arial"/>
                <w:sz w:val="20"/>
                <w:szCs w:val="20"/>
              </w:rPr>
              <w:t>1 (2.2)</w:t>
            </w:r>
          </w:p>
        </w:tc>
        <w:tc>
          <w:tcPr>
            <w:tcW w:w="2694" w:type="dxa"/>
            <w:vAlign w:val="center"/>
          </w:tcPr>
          <w:p w14:paraId="44B13E34" w14:textId="77777777" w:rsidR="006E087A" w:rsidRPr="00141D03" w:rsidRDefault="006E087A" w:rsidP="00141D03">
            <w:pPr>
              <w:contextualSpacing/>
              <w:rPr>
                <w:rFonts w:ascii="Arial" w:hAnsi="Arial" w:cs="Arial"/>
                <w:sz w:val="20"/>
                <w:szCs w:val="20"/>
              </w:rPr>
            </w:pPr>
            <w:r w:rsidRPr="00141D03">
              <w:rPr>
                <w:rFonts w:ascii="Arial" w:hAnsi="Arial" w:cs="Arial"/>
                <w:sz w:val="20"/>
                <w:szCs w:val="20"/>
              </w:rPr>
              <w:t>1 (4.0)</w:t>
            </w:r>
          </w:p>
        </w:tc>
      </w:tr>
      <w:tr w:rsidR="006E087A" w:rsidRPr="00141D03" w14:paraId="4E997AE3" w14:textId="77777777" w:rsidTr="00C479A5">
        <w:trPr>
          <w:trHeight w:hRule="exact" w:val="454"/>
          <w:jc w:val="center"/>
        </w:trPr>
        <w:tc>
          <w:tcPr>
            <w:tcW w:w="1413" w:type="dxa"/>
            <w:vMerge/>
            <w:vAlign w:val="center"/>
          </w:tcPr>
          <w:p w14:paraId="0E91125E" w14:textId="77777777" w:rsidR="006E087A" w:rsidRPr="00141D03" w:rsidRDefault="006E087A" w:rsidP="00141D03">
            <w:pPr>
              <w:contextualSpacing/>
              <w:rPr>
                <w:rFonts w:ascii="Arial" w:hAnsi="Arial" w:cs="Arial"/>
                <w:sz w:val="20"/>
                <w:szCs w:val="20"/>
              </w:rPr>
            </w:pPr>
          </w:p>
        </w:tc>
        <w:tc>
          <w:tcPr>
            <w:tcW w:w="2268" w:type="dxa"/>
            <w:vAlign w:val="center"/>
          </w:tcPr>
          <w:p w14:paraId="6E7A5293" w14:textId="77777777" w:rsidR="006E087A" w:rsidRPr="00141D03" w:rsidRDefault="006E087A" w:rsidP="00141D03">
            <w:pPr>
              <w:contextualSpacing/>
              <w:rPr>
                <w:rFonts w:ascii="Arial" w:hAnsi="Arial" w:cs="Arial"/>
                <w:sz w:val="20"/>
                <w:szCs w:val="20"/>
              </w:rPr>
            </w:pPr>
            <w:r w:rsidRPr="00141D03">
              <w:rPr>
                <w:rFonts w:ascii="Arial" w:hAnsi="Arial" w:cs="Arial"/>
                <w:sz w:val="20"/>
                <w:szCs w:val="20"/>
              </w:rPr>
              <w:t>Total</w:t>
            </w:r>
          </w:p>
        </w:tc>
        <w:tc>
          <w:tcPr>
            <w:tcW w:w="2551" w:type="dxa"/>
            <w:vAlign w:val="center"/>
          </w:tcPr>
          <w:p w14:paraId="65BEB49B" w14:textId="77777777" w:rsidR="006E087A" w:rsidRPr="00141D03" w:rsidRDefault="006E087A" w:rsidP="00141D03">
            <w:pPr>
              <w:contextualSpacing/>
              <w:rPr>
                <w:rFonts w:ascii="Arial" w:hAnsi="Arial" w:cs="Arial"/>
                <w:sz w:val="20"/>
                <w:szCs w:val="20"/>
              </w:rPr>
            </w:pPr>
            <w:r w:rsidRPr="00141D03">
              <w:rPr>
                <w:rFonts w:ascii="Arial" w:hAnsi="Arial" w:cs="Arial"/>
                <w:sz w:val="20"/>
                <w:szCs w:val="20"/>
              </w:rPr>
              <w:t>8 (17.8)</w:t>
            </w:r>
          </w:p>
        </w:tc>
        <w:tc>
          <w:tcPr>
            <w:tcW w:w="2694" w:type="dxa"/>
            <w:vAlign w:val="center"/>
          </w:tcPr>
          <w:p w14:paraId="60238B07" w14:textId="77777777" w:rsidR="006E087A" w:rsidRPr="00141D03" w:rsidRDefault="006E087A" w:rsidP="00141D03">
            <w:pPr>
              <w:contextualSpacing/>
              <w:rPr>
                <w:rFonts w:ascii="Arial" w:hAnsi="Arial" w:cs="Arial"/>
                <w:sz w:val="20"/>
                <w:szCs w:val="20"/>
              </w:rPr>
            </w:pPr>
            <w:r w:rsidRPr="00141D03">
              <w:rPr>
                <w:rFonts w:ascii="Arial" w:hAnsi="Arial" w:cs="Arial"/>
                <w:sz w:val="20"/>
                <w:szCs w:val="20"/>
              </w:rPr>
              <w:t>4 (16.0)</w:t>
            </w:r>
          </w:p>
        </w:tc>
      </w:tr>
    </w:tbl>
    <w:p w14:paraId="710C2D27" w14:textId="77777777" w:rsidR="006E087A" w:rsidRPr="00141D03" w:rsidRDefault="006E087A" w:rsidP="006E087A">
      <w:pPr>
        <w:spacing w:line="480" w:lineRule="auto"/>
        <w:jc w:val="both"/>
        <w:rPr>
          <w:rFonts w:ascii="Arial" w:hAnsi="Arial" w:cs="Arial"/>
        </w:rPr>
      </w:pPr>
      <w:r w:rsidRPr="00141D03">
        <w:rPr>
          <w:rFonts w:ascii="Arial" w:hAnsi="Arial" w:cs="Arial"/>
        </w:rPr>
        <w:t>Values were expressed n (%)</w:t>
      </w:r>
    </w:p>
    <w:p w14:paraId="2063E1DF" w14:textId="77777777" w:rsidR="00C479A5" w:rsidRDefault="006E087A" w:rsidP="00141D03">
      <w:pPr>
        <w:pStyle w:val="Body"/>
        <w:spacing w:after="0"/>
        <w:rPr>
          <w:rFonts w:ascii="Arial" w:hAnsi="Arial" w:cs="Arial"/>
        </w:rPr>
      </w:pPr>
      <w:r w:rsidRPr="00141D03">
        <w:rPr>
          <w:rFonts w:ascii="Arial" w:hAnsi="Arial" w:cs="Arial"/>
        </w:rPr>
        <w:t>The ovarian factors were the major causes of primary infertility identified through hysterolaparoscopy, and which is accounting for 55.6% followed by peritoneal factors (35.6%), tubal factors (33.3%), and 24.4% of uterine factors identified through hysterolaparoscopy were responsible for primary infertility in women. Similarly, with respect to secondary infertility in women ovarian factors identified through hysterolaparoscopy accounts for 52% followed by tubal factors (40%), peritoneal factors (36%), and uterine factors (24%, Fig</w:t>
      </w:r>
      <w:r w:rsidR="00C479A5">
        <w:rPr>
          <w:rFonts w:ascii="Arial" w:hAnsi="Arial" w:cs="Arial"/>
        </w:rPr>
        <w:t>.</w:t>
      </w:r>
      <w:r w:rsidRPr="00141D03">
        <w:rPr>
          <w:rFonts w:ascii="Arial" w:hAnsi="Arial" w:cs="Arial"/>
        </w:rPr>
        <w:t xml:space="preserve"> 2).</w:t>
      </w:r>
    </w:p>
    <w:p w14:paraId="7B2D3770" w14:textId="3C659723" w:rsidR="006E087A" w:rsidRPr="00141D03" w:rsidRDefault="006E087A" w:rsidP="00141D03">
      <w:pPr>
        <w:pStyle w:val="Body"/>
        <w:spacing w:after="0"/>
        <w:rPr>
          <w:rFonts w:ascii="Arial" w:hAnsi="Arial" w:cs="Arial"/>
        </w:rPr>
      </w:pPr>
      <w:r w:rsidRPr="00141D03">
        <w:rPr>
          <w:rFonts w:ascii="Arial" w:hAnsi="Arial" w:cs="Arial"/>
        </w:rPr>
        <w:t xml:space="preserve"> </w:t>
      </w:r>
    </w:p>
    <w:p w14:paraId="10B4B0B6" w14:textId="77777777" w:rsidR="006E087A" w:rsidRDefault="006E087A" w:rsidP="00C479A5">
      <w:pPr>
        <w:contextualSpacing/>
        <w:jc w:val="both"/>
        <w:rPr>
          <w:rFonts w:ascii="Times New Roman" w:hAnsi="Times New Roman"/>
          <w:b/>
          <w:bCs/>
          <w:color w:val="7030A0"/>
          <w:sz w:val="24"/>
          <w:szCs w:val="24"/>
        </w:rPr>
      </w:pPr>
      <w:r>
        <w:rPr>
          <w:rFonts w:ascii="Times New Roman" w:hAnsi="Times New Roman"/>
          <w:b/>
          <w:bCs/>
          <w:noProof/>
          <w:color w:val="7030A0"/>
          <w:sz w:val="24"/>
          <w:szCs w:val="24"/>
        </w:rPr>
        <w:drawing>
          <wp:inline distT="0" distB="0" distL="0" distR="0" wp14:anchorId="2FB3A952" wp14:editId="1E7DB70F">
            <wp:extent cx="4283294" cy="3209925"/>
            <wp:effectExtent l="0" t="0" r="0" b="0"/>
            <wp:docPr id="15596389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349266" cy="3259365"/>
                    </a:xfrm>
                    <a:prstGeom prst="rect">
                      <a:avLst/>
                    </a:prstGeom>
                    <a:noFill/>
                  </pic:spPr>
                </pic:pic>
              </a:graphicData>
            </a:graphic>
          </wp:inline>
        </w:drawing>
      </w:r>
    </w:p>
    <w:p w14:paraId="7EEBF4AE" w14:textId="12D5CAD8" w:rsidR="006E087A" w:rsidRPr="00141D03" w:rsidRDefault="006E087A" w:rsidP="00C479A5">
      <w:pPr>
        <w:jc w:val="both"/>
        <w:rPr>
          <w:rFonts w:ascii="Arial" w:hAnsi="Arial" w:cs="Arial"/>
          <w:b/>
          <w:bCs/>
          <w:color w:val="7030A0"/>
        </w:rPr>
      </w:pPr>
      <w:r w:rsidRPr="00141D03">
        <w:rPr>
          <w:rFonts w:ascii="Arial" w:hAnsi="Arial" w:cs="Arial"/>
          <w:b/>
          <w:bCs/>
        </w:rPr>
        <w:t>Fig</w:t>
      </w:r>
      <w:r w:rsidR="00141D03" w:rsidRPr="00141D03">
        <w:rPr>
          <w:rFonts w:ascii="Arial" w:hAnsi="Arial" w:cs="Arial"/>
          <w:b/>
          <w:bCs/>
        </w:rPr>
        <w:t>.</w:t>
      </w:r>
      <w:r w:rsidRPr="00141D03">
        <w:rPr>
          <w:rFonts w:ascii="Arial" w:hAnsi="Arial" w:cs="Arial"/>
          <w:b/>
          <w:bCs/>
        </w:rPr>
        <w:t xml:space="preserve"> 2</w:t>
      </w:r>
      <w:r w:rsidR="00141D03" w:rsidRPr="00141D03">
        <w:rPr>
          <w:rFonts w:ascii="Arial" w:hAnsi="Arial" w:cs="Arial"/>
          <w:b/>
          <w:bCs/>
        </w:rPr>
        <w:t>.</w:t>
      </w:r>
      <w:r w:rsidRPr="00141D03">
        <w:rPr>
          <w:rFonts w:ascii="Arial" w:hAnsi="Arial" w:cs="Arial"/>
          <w:b/>
          <w:bCs/>
        </w:rPr>
        <w:t xml:space="preserve"> Distribution of study participants based on causes of infertility identified with </w:t>
      </w:r>
      <w:bookmarkStart w:id="4" w:name="_Hlk204185139"/>
      <w:r w:rsidRPr="00141D03">
        <w:rPr>
          <w:rFonts w:ascii="Arial" w:hAnsi="Arial" w:cs="Arial"/>
          <w:b/>
          <w:bCs/>
        </w:rPr>
        <w:t>hysterolaparoscopy</w:t>
      </w:r>
      <w:bookmarkEnd w:id="4"/>
    </w:p>
    <w:p w14:paraId="29886C12" w14:textId="084D4358" w:rsidR="00AA32A7" w:rsidRDefault="00AA32A7" w:rsidP="00AA32A7">
      <w:pPr>
        <w:pStyle w:val="Head1"/>
        <w:spacing w:after="0"/>
        <w:jc w:val="both"/>
        <w:rPr>
          <w:rFonts w:ascii="Arial" w:hAnsi="Arial" w:cs="Arial"/>
        </w:rPr>
      </w:pPr>
      <w:r>
        <w:rPr>
          <w:rFonts w:ascii="Arial" w:hAnsi="Arial" w:cs="Arial"/>
        </w:rPr>
        <w:t>4. discussion</w:t>
      </w:r>
    </w:p>
    <w:p w14:paraId="151EDA8D" w14:textId="77777777" w:rsidR="00AA32A7" w:rsidRDefault="00AA32A7" w:rsidP="00C479A5">
      <w:pPr>
        <w:pStyle w:val="Body"/>
        <w:spacing w:after="0"/>
        <w:rPr>
          <w:rFonts w:ascii="Arial" w:hAnsi="Arial" w:cs="Arial"/>
        </w:rPr>
      </w:pPr>
    </w:p>
    <w:p w14:paraId="3225FB47" w14:textId="4696754D" w:rsidR="00C479A5" w:rsidRPr="00C479A5" w:rsidRDefault="00C479A5" w:rsidP="00C479A5">
      <w:pPr>
        <w:pStyle w:val="Body"/>
        <w:spacing w:after="0"/>
        <w:rPr>
          <w:rFonts w:ascii="Arial" w:hAnsi="Arial" w:cs="Arial"/>
        </w:rPr>
      </w:pPr>
      <w:r w:rsidRPr="00C479A5">
        <w:rPr>
          <w:rFonts w:ascii="Arial" w:hAnsi="Arial" w:cs="Arial"/>
        </w:rPr>
        <w:t xml:space="preserve">Infertility is a complex health concern with multiple contributing factors. While it often results from abnormalities in the fallopian tubes, ovaries, or endometrial lining, modern lifestyle factors such as delayed age of marriage, pursuit of higher education, stress, obesity, and </w:t>
      </w:r>
      <w:r w:rsidRPr="00C479A5">
        <w:rPr>
          <w:rFonts w:ascii="Arial" w:hAnsi="Arial" w:cs="Arial"/>
        </w:rPr>
        <w:lastRenderedPageBreak/>
        <w:t>restrictive legal policies around assisted reproductive techniques also play a pivotal role</w:t>
      </w:r>
      <w:r w:rsidR="00C81C24">
        <w:rPr>
          <w:rFonts w:ascii="Arial" w:hAnsi="Arial" w:cs="Arial"/>
        </w:rPr>
        <w:t xml:space="preserve"> (Soni &amp; Kumari, 2018)</w:t>
      </w:r>
      <w:r w:rsidRPr="00C479A5">
        <w:rPr>
          <w:rFonts w:ascii="Arial" w:hAnsi="Arial" w:cs="Arial"/>
        </w:rPr>
        <w:t>. Additionally, limited data is available regarding the causes of female infertility in our study setting. Therefore, this prospective observational study was designed to investigate the underlying factors responsible for infertility in women presented with primary or secondary infertility to the Obstetrics and Gynaecology department of our tertiary care hospital.</w:t>
      </w:r>
    </w:p>
    <w:p w14:paraId="439CC65E" w14:textId="77777777" w:rsidR="00C479A5" w:rsidRDefault="00C479A5" w:rsidP="00C479A5">
      <w:pPr>
        <w:pStyle w:val="Body"/>
        <w:spacing w:after="0"/>
        <w:rPr>
          <w:rFonts w:ascii="Arial" w:hAnsi="Arial" w:cs="Arial"/>
        </w:rPr>
      </w:pPr>
    </w:p>
    <w:p w14:paraId="76259879" w14:textId="78CDBE03" w:rsidR="00C479A5" w:rsidRPr="00C479A5" w:rsidRDefault="00C479A5" w:rsidP="00C479A5">
      <w:pPr>
        <w:pStyle w:val="Body"/>
        <w:spacing w:after="0"/>
        <w:rPr>
          <w:rFonts w:ascii="Arial" w:hAnsi="Arial" w:cs="Arial"/>
        </w:rPr>
      </w:pPr>
      <w:r w:rsidRPr="00C479A5">
        <w:rPr>
          <w:rFonts w:ascii="Arial" w:hAnsi="Arial" w:cs="Arial"/>
        </w:rPr>
        <w:t>In our study, the mean age of participants was 24.68 years. This observation aligns with findings from other researchers. For instance, Adamson et al., conducted a study assessing the prevalence and correlates of primary infertility among young women in Mysore, India, and reported a mean age of 25.9 years, which is consistent with our data</w:t>
      </w:r>
      <w:r w:rsidR="00C81C24">
        <w:rPr>
          <w:rFonts w:ascii="Arial" w:hAnsi="Arial" w:cs="Arial"/>
        </w:rPr>
        <w:t xml:space="preserve"> (Adamson et al., 2011)</w:t>
      </w:r>
      <w:r w:rsidRPr="00C479A5">
        <w:rPr>
          <w:rFonts w:ascii="Arial" w:hAnsi="Arial" w:cs="Arial"/>
        </w:rPr>
        <w:t>. Age is a crucial factor in infertility, with a noticeable decline in ovarian reserve as women grow older</w:t>
      </w:r>
      <w:r w:rsidR="00C81C24">
        <w:rPr>
          <w:rFonts w:ascii="Arial" w:hAnsi="Arial" w:cs="Arial"/>
        </w:rPr>
        <w:t xml:space="preserve"> (Thatipelli et al., 2024)</w:t>
      </w:r>
      <w:r w:rsidRPr="00C479A5">
        <w:rPr>
          <w:rFonts w:ascii="Arial" w:hAnsi="Arial" w:cs="Arial"/>
        </w:rPr>
        <w:t>. Our study revealed the highest infertility rate (78%) among women aged 20–25 years, which differs from the findings of Mamatha and Sreelatha, who noted the highest rate in the 26–30 age group (38%)</w:t>
      </w:r>
      <w:r w:rsidR="00C81C24">
        <w:rPr>
          <w:rFonts w:ascii="Arial" w:hAnsi="Arial" w:cs="Arial"/>
        </w:rPr>
        <w:t xml:space="preserve"> (Mamatha et al., 2024)</w:t>
      </w:r>
      <w:r w:rsidRPr="00C479A5">
        <w:rPr>
          <w:rFonts w:ascii="Arial" w:hAnsi="Arial" w:cs="Arial"/>
        </w:rPr>
        <w:t>. According to Adamson et al., the predominance of infertility among younger women may be associated with early marriage</w:t>
      </w:r>
      <w:r w:rsidR="00C81C24">
        <w:rPr>
          <w:rFonts w:ascii="Arial" w:hAnsi="Arial" w:cs="Arial"/>
        </w:rPr>
        <w:t xml:space="preserve"> (</w:t>
      </w:r>
      <w:r w:rsidR="00C81C24" w:rsidRPr="00C479A5">
        <w:rPr>
          <w:rFonts w:ascii="Arial" w:hAnsi="Arial" w:cs="Arial"/>
        </w:rPr>
        <w:t>Adamson et al.,</w:t>
      </w:r>
      <w:r w:rsidR="00C81C24">
        <w:rPr>
          <w:rFonts w:ascii="Arial" w:hAnsi="Arial" w:cs="Arial"/>
        </w:rPr>
        <w:t xml:space="preserve"> 2011)</w:t>
      </w:r>
      <w:r w:rsidRPr="00C479A5">
        <w:rPr>
          <w:rFonts w:ascii="Arial" w:hAnsi="Arial" w:cs="Arial"/>
        </w:rPr>
        <w:t>.</w:t>
      </w:r>
    </w:p>
    <w:p w14:paraId="382997E4" w14:textId="77777777" w:rsidR="00C479A5" w:rsidRDefault="00C479A5" w:rsidP="00C479A5">
      <w:pPr>
        <w:pStyle w:val="Body"/>
        <w:spacing w:after="0"/>
        <w:rPr>
          <w:rFonts w:ascii="Arial" w:hAnsi="Arial" w:cs="Arial"/>
        </w:rPr>
      </w:pPr>
    </w:p>
    <w:p w14:paraId="1B575751" w14:textId="35FE3099" w:rsidR="00C479A5" w:rsidRPr="00C479A5" w:rsidRDefault="00C479A5" w:rsidP="00C479A5">
      <w:pPr>
        <w:pStyle w:val="Body"/>
        <w:spacing w:after="0"/>
        <w:rPr>
          <w:rFonts w:ascii="Arial" w:hAnsi="Arial" w:cs="Arial"/>
        </w:rPr>
      </w:pPr>
      <w:r w:rsidRPr="00C479A5">
        <w:rPr>
          <w:rFonts w:ascii="Arial" w:hAnsi="Arial" w:cs="Arial"/>
        </w:rPr>
        <w:t>In a prospective study involving 50 women, Garg et al., observed that 54% suffering from primary infertility, while 46% had secondary infertility</w:t>
      </w:r>
      <w:r w:rsidR="00C81C24">
        <w:rPr>
          <w:rFonts w:ascii="Arial" w:hAnsi="Arial" w:cs="Arial"/>
        </w:rPr>
        <w:t xml:space="preserve"> (Garg et al., 2020)</w:t>
      </w:r>
      <w:r w:rsidRPr="00C479A5">
        <w:rPr>
          <w:rFonts w:ascii="Arial" w:hAnsi="Arial" w:cs="Arial"/>
        </w:rPr>
        <w:t>. These findings are in line with our study, which showed a higher proportion of primary infertility (66%) compared to secondary infertility (34%). Similar prevalence rates were reported by Duignan et al. (77% primary, 23% secondary)</w:t>
      </w:r>
      <w:r w:rsidR="00C81C24">
        <w:rPr>
          <w:rFonts w:ascii="Arial" w:hAnsi="Arial" w:cs="Arial"/>
        </w:rPr>
        <w:t xml:space="preserve"> (Duignan et al., 1972)</w:t>
      </w:r>
      <w:r w:rsidRPr="00C479A5">
        <w:rPr>
          <w:rFonts w:ascii="Arial" w:hAnsi="Arial" w:cs="Arial"/>
        </w:rPr>
        <w:t>, and Templeton and Kerr (74.9% primary, 25.1% secondary)</w:t>
      </w:r>
      <w:r w:rsidR="00C81C24">
        <w:rPr>
          <w:rFonts w:ascii="Arial" w:hAnsi="Arial" w:cs="Arial"/>
        </w:rPr>
        <w:t xml:space="preserve"> (Templeton &amp; Kerr, 1977)</w:t>
      </w:r>
      <w:r w:rsidRPr="00C479A5">
        <w:rPr>
          <w:rFonts w:ascii="Arial" w:hAnsi="Arial" w:cs="Arial"/>
        </w:rPr>
        <w:t>.</w:t>
      </w:r>
    </w:p>
    <w:p w14:paraId="7012DAB7" w14:textId="77777777" w:rsidR="00C479A5" w:rsidRDefault="00C479A5" w:rsidP="00C479A5">
      <w:pPr>
        <w:pStyle w:val="Body"/>
        <w:spacing w:after="0"/>
        <w:rPr>
          <w:rFonts w:ascii="Arial" w:hAnsi="Arial" w:cs="Arial"/>
        </w:rPr>
      </w:pPr>
    </w:p>
    <w:p w14:paraId="00BD6D8F" w14:textId="0C97D355" w:rsidR="00C479A5" w:rsidRPr="00C479A5" w:rsidRDefault="00C479A5" w:rsidP="00C479A5">
      <w:pPr>
        <w:pStyle w:val="Body"/>
        <w:spacing w:after="0"/>
        <w:rPr>
          <w:rFonts w:ascii="Arial" w:hAnsi="Arial" w:cs="Arial"/>
        </w:rPr>
      </w:pPr>
      <w:r w:rsidRPr="00C479A5">
        <w:rPr>
          <w:rFonts w:ascii="Arial" w:hAnsi="Arial" w:cs="Arial"/>
        </w:rPr>
        <w:t>Previous literature highlights the significant role of tubal disease in infertility, emphasizing the importance of tubal assessment before initiating treatment</w:t>
      </w:r>
      <w:r w:rsidR="00C81C24">
        <w:rPr>
          <w:rFonts w:ascii="Arial" w:hAnsi="Arial" w:cs="Arial"/>
        </w:rPr>
        <w:t xml:space="preserve"> (</w:t>
      </w:r>
      <w:r w:rsidR="00C81C24" w:rsidRPr="00C81C24">
        <w:rPr>
          <w:rFonts w:ascii="Arial" w:hAnsi="Arial" w:cs="Arial"/>
        </w:rPr>
        <w:t>Practice Committee of the American Society for Reproductive Medicine</w:t>
      </w:r>
      <w:r w:rsidR="00C81C24">
        <w:rPr>
          <w:rFonts w:ascii="Arial" w:hAnsi="Arial" w:cs="Arial"/>
        </w:rPr>
        <w:t>, 2015)</w:t>
      </w:r>
      <w:r w:rsidRPr="00C479A5">
        <w:rPr>
          <w:rFonts w:ascii="Arial" w:hAnsi="Arial" w:cs="Arial"/>
        </w:rPr>
        <w:t>. Correspondingly, in our study, tubal pathology was the leading cause of primary infertility (43.9%), followed by ovarian (27.3%), peritoneal (16.7%), and uterine factors (12.1%). In secondary infertility, tubal causes accounted for 38.2% followed by ovarian factors (26.5%), peritoneal issues (23.5%), and uterine abnormalities (11.8%). These results are supported by findings from other studies. For example, Garg et al., reported that tubal factors were responsible for 18.4% of primary and 23% of secondary infertility cases</w:t>
      </w:r>
      <w:r w:rsidR="00C81C24">
        <w:rPr>
          <w:rFonts w:ascii="Arial" w:hAnsi="Arial" w:cs="Arial"/>
        </w:rPr>
        <w:t xml:space="preserve"> (Garg et al., 2020)</w:t>
      </w:r>
      <w:r w:rsidRPr="00C479A5">
        <w:rPr>
          <w:rFonts w:ascii="Arial" w:hAnsi="Arial" w:cs="Arial"/>
        </w:rPr>
        <w:t>. Similarly, Sudha et al., found ovulatory dysfunction in 53.45% and tubal blockages in 58.85% of cases, particularly within 1–2 years of infertility. Hormonal imbalances significantly contribute to anovulation</w:t>
      </w:r>
      <w:r w:rsidR="00C81C24">
        <w:rPr>
          <w:rFonts w:ascii="Arial" w:hAnsi="Arial" w:cs="Arial"/>
        </w:rPr>
        <w:t xml:space="preserve"> (</w:t>
      </w:r>
      <w:r w:rsidR="00C81C24" w:rsidRPr="00C479A5">
        <w:rPr>
          <w:rFonts w:ascii="Arial" w:hAnsi="Arial" w:cs="Arial"/>
        </w:rPr>
        <w:t>Sudha et al.,</w:t>
      </w:r>
      <w:r w:rsidR="00C81C24">
        <w:rPr>
          <w:rFonts w:ascii="Arial" w:hAnsi="Arial" w:cs="Arial"/>
        </w:rPr>
        <w:t xml:space="preserve"> 2013)</w:t>
      </w:r>
      <w:r w:rsidRPr="00C479A5">
        <w:rPr>
          <w:rFonts w:ascii="Arial" w:hAnsi="Arial" w:cs="Arial"/>
        </w:rPr>
        <w:t>. Gohill et al., also reported that hormonal disturbances can hinder follicular development necessary for ovulation</w:t>
      </w:r>
      <w:r w:rsidR="00C81C24">
        <w:rPr>
          <w:rFonts w:ascii="Arial" w:hAnsi="Arial" w:cs="Arial"/>
        </w:rPr>
        <w:t xml:space="preserve"> (Gohill et al., 2001)</w:t>
      </w:r>
      <w:r w:rsidRPr="00C479A5">
        <w:rPr>
          <w:rFonts w:ascii="Arial" w:hAnsi="Arial" w:cs="Arial"/>
        </w:rPr>
        <w:t>. Additionally, Hema et al. noted that uterine causes accounted for 20.9% of infertility, which aligns with our findings</w:t>
      </w:r>
      <w:r w:rsidR="00C81C24">
        <w:rPr>
          <w:rFonts w:ascii="Arial" w:hAnsi="Arial" w:cs="Arial"/>
        </w:rPr>
        <w:t xml:space="preserve"> (Hema &amp; Lalitha, 2017)</w:t>
      </w:r>
      <w:r w:rsidRPr="00C479A5">
        <w:rPr>
          <w:rFonts w:ascii="Arial" w:hAnsi="Arial" w:cs="Arial"/>
        </w:rPr>
        <w:t>. Peritoneal causes were reported by Garg et al., in 25.9% of primary and 4.3% of secondary infertility cases</w:t>
      </w:r>
      <w:r w:rsidR="00C81C24">
        <w:rPr>
          <w:rFonts w:ascii="Arial" w:hAnsi="Arial" w:cs="Arial"/>
        </w:rPr>
        <w:t xml:space="preserve"> (Garg et al., 2020)</w:t>
      </w:r>
      <w:r w:rsidRPr="00C479A5">
        <w:rPr>
          <w:rFonts w:ascii="Arial" w:hAnsi="Arial" w:cs="Arial"/>
        </w:rPr>
        <w:t>.</w:t>
      </w:r>
    </w:p>
    <w:p w14:paraId="3E2B9FBC" w14:textId="77777777" w:rsidR="00C479A5" w:rsidRDefault="00C479A5" w:rsidP="00C479A5">
      <w:pPr>
        <w:pStyle w:val="Body"/>
        <w:spacing w:after="0"/>
        <w:rPr>
          <w:rFonts w:ascii="Arial" w:hAnsi="Arial" w:cs="Arial"/>
        </w:rPr>
      </w:pPr>
    </w:p>
    <w:p w14:paraId="7E20C416" w14:textId="3BFCAD41" w:rsidR="00C479A5" w:rsidRPr="00C479A5" w:rsidRDefault="00C479A5" w:rsidP="00C479A5">
      <w:pPr>
        <w:pStyle w:val="Body"/>
        <w:spacing w:after="0"/>
        <w:rPr>
          <w:rFonts w:ascii="Arial" w:hAnsi="Arial" w:cs="Arial"/>
        </w:rPr>
      </w:pPr>
      <w:r w:rsidRPr="00C479A5">
        <w:rPr>
          <w:rFonts w:ascii="Arial" w:hAnsi="Arial" w:cs="Arial"/>
        </w:rPr>
        <w:t>Polycystic ovarian syndrome (PCOS) emerged as the most common ovarian cause in our study (24.4%), similar to the 26% reported by Nandhini</w:t>
      </w:r>
      <w:r w:rsidR="00E210DE">
        <w:rPr>
          <w:rFonts w:ascii="Arial" w:hAnsi="Arial" w:cs="Arial"/>
        </w:rPr>
        <w:t xml:space="preserve"> &amp; Murugalakshmi, (2016). </w:t>
      </w:r>
      <w:r w:rsidRPr="00C479A5">
        <w:rPr>
          <w:rFonts w:ascii="Arial" w:hAnsi="Arial" w:cs="Arial"/>
        </w:rPr>
        <w:t>Bilateral tubal blockage was the most frequent tubal pathology in our participants (20%), comparable to the 12.86% reported by Bhide et al.</w:t>
      </w:r>
      <w:r w:rsidR="00E210DE">
        <w:rPr>
          <w:rFonts w:ascii="Arial" w:hAnsi="Arial" w:cs="Arial"/>
        </w:rPr>
        <w:t>, (1990).</w:t>
      </w:r>
      <w:r w:rsidRPr="00C479A5">
        <w:rPr>
          <w:rFonts w:ascii="Arial" w:hAnsi="Arial" w:cs="Arial"/>
        </w:rPr>
        <w:t xml:space="preserve"> Literature consistently identifies Mullerian tract anomalies as a predominant uterine abnormality in infertile women</w:t>
      </w:r>
      <w:r w:rsidR="00E210DE">
        <w:rPr>
          <w:rFonts w:ascii="Arial" w:hAnsi="Arial" w:cs="Arial"/>
        </w:rPr>
        <w:t xml:space="preserve"> (Sholapurkar, 1986; Sud et al., 1987; Prabhu et al., 1988)</w:t>
      </w:r>
      <w:r w:rsidRPr="00C479A5">
        <w:rPr>
          <w:rFonts w:ascii="Arial" w:hAnsi="Arial" w:cs="Arial"/>
        </w:rPr>
        <w:t>, and so in our study, their prevalence was 8.9%. Endometriosis was the most common peritoneal factor identified (13.3%). Other studies have shown that 25%–50% of infertile women are affected by endometriosis, while 30%–50% of women with endometriosis also suffer from infertility</w:t>
      </w:r>
      <w:r w:rsidR="00E210DE">
        <w:rPr>
          <w:rFonts w:ascii="Arial" w:hAnsi="Arial" w:cs="Arial"/>
        </w:rPr>
        <w:t xml:space="preserve"> (Missmer et al., 2004)</w:t>
      </w:r>
      <w:r w:rsidRPr="00C479A5">
        <w:rPr>
          <w:rFonts w:ascii="Arial" w:hAnsi="Arial" w:cs="Arial"/>
        </w:rPr>
        <w:t>.</w:t>
      </w:r>
      <w:r w:rsidR="00E210DE">
        <w:rPr>
          <w:rFonts w:ascii="Arial" w:hAnsi="Arial" w:cs="Arial"/>
        </w:rPr>
        <w:t xml:space="preserve"> </w:t>
      </w:r>
      <w:r w:rsidRPr="00C479A5">
        <w:rPr>
          <w:rFonts w:ascii="Arial" w:hAnsi="Arial" w:cs="Arial"/>
        </w:rPr>
        <w:t>Although it remains uncertain whether endometriosis directly causes infertility or contributes to it, the condition is frequently observed among infertile women</w:t>
      </w:r>
      <w:r w:rsidR="00E210DE">
        <w:rPr>
          <w:rFonts w:ascii="Arial" w:hAnsi="Arial" w:cs="Arial"/>
        </w:rPr>
        <w:t xml:space="preserve"> (Garg et al., 2020)</w:t>
      </w:r>
      <w:r w:rsidRPr="00C479A5">
        <w:rPr>
          <w:rFonts w:ascii="Arial" w:hAnsi="Arial" w:cs="Arial"/>
        </w:rPr>
        <w:t xml:space="preserve">. </w:t>
      </w:r>
    </w:p>
    <w:p w14:paraId="4C949C49" w14:textId="77777777" w:rsidR="00E210DE" w:rsidRDefault="00E210DE" w:rsidP="00C479A5">
      <w:pPr>
        <w:pStyle w:val="Body"/>
        <w:spacing w:after="0"/>
        <w:rPr>
          <w:rFonts w:ascii="Arial" w:hAnsi="Arial" w:cs="Arial"/>
        </w:rPr>
      </w:pPr>
    </w:p>
    <w:p w14:paraId="4A0F8896" w14:textId="4CAA419E" w:rsidR="00C479A5" w:rsidRPr="00C479A5" w:rsidRDefault="00C479A5" w:rsidP="00C479A5">
      <w:pPr>
        <w:pStyle w:val="Body"/>
        <w:spacing w:after="0"/>
        <w:rPr>
          <w:rFonts w:ascii="Arial" w:hAnsi="Arial" w:cs="Arial"/>
        </w:rPr>
      </w:pPr>
      <w:r w:rsidRPr="00C479A5">
        <w:rPr>
          <w:rFonts w:ascii="Arial" w:hAnsi="Arial" w:cs="Arial"/>
        </w:rPr>
        <w:t>Laparoscopy, by providing a magnified view of the pelvic anatomy, enables accurate assessment of tubal and ovarian structures, tubal adhesions, and patency. It also allows direct visualization of abnormalities like endometriosis and peritoneal adhesions that can interfere with ovum pickup despite normal-appearing tubes. As such, laparoscopy is the gold standard for diagnosing these conditions and offers the benefit of simultaneous surgical correction</w:t>
      </w:r>
      <w:r w:rsidR="00E210DE">
        <w:rPr>
          <w:rFonts w:ascii="Arial" w:hAnsi="Arial" w:cs="Arial"/>
        </w:rPr>
        <w:t xml:space="preserve"> (Garg et al., 2020)</w:t>
      </w:r>
      <w:r w:rsidRPr="00C479A5">
        <w:rPr>
          <w:rFonts w:ascii="Arial" w:hAnsi="Arial" w:cs="Arial"/>
        </w:rPr>
        <w:t>. Subsequently, in our study, hysterolaparoscopy identified ovarian causes as the most common contributors to primary infertility (55.6%) followed by peritoneal (35.6%), tubal (33.3%), and uterine causes (24.4%). For secondary infertility, the most common findings through hysterolaparoscopy were ovarian factors (52%) followed by tubal (40%), peritoneal (36%), and uterine factors (24%).</w:t>
      </w:r>
    </w:p>
    <w:p w14:paraId="345CB279" w14:textId="77777777" w:rsidR="006E087A" w:rsidRDefault="006E087A" w:rsidP="00441B6F">
      <w:pPr>
        <w:pStyle w:val="Body"/>
        <w:spacing w:after="0"/>
        <w:rPr>
          <w:rFonts w:ascii="Arial" w:hAnsi="Arial" w:cs="Arial"/>
        </w:rPr>
      </w:pPr>
    </w:p>
    <w:p w14:paraId="72DD67BF" w14:textId="1E13EF3C" w:rsidR="00B01FCD" w:rsidRDefault="00AA32A7" w:rsidP="00441B6F">
      <w:pPr>
        <w:pStyle w:val="ConcHead"/>
        <w:spacing w:after="0"/>
        <w:jc w:val="both"/>
        <w:rPr>
          <w:rFonts w:ascii="Arial" w:hAnsi="Arial" w:cs="Arial"/>
        </w:rPr>
      </w:pPr>
      <w:r>
        <w:rPr>
          <w:rFonts w:ascii="Arial" w:hAnsi="Arial" w:cs="Arial"/>
        </w:rPr>
        <w:t>5</w:t>
      </w:r>
      <w:r w:rsidR="00000F8F">
        <w:rPr>
          <w:rFonts w:ascii="Arial" w:hAnsi="Arial" w:cs="Arial"/>
        </w:rPr>
        <w:t xml:space="preserve">. </w:t>
      </w:r>
      <w:r w:rsidR="00B01FCD" w:rsidRPr="00FB3A86">
        <w:rPr>
          <w:rFonts w:ascii="Arial" w:hAnsi="Arial" w:cs="Arial"/>
        </w:rPr>
        <w:t>Conclusion</w:t>
      </w:r>
    </w:p>
    <w:p w14:paraId="32E1F024" w14:textId="77777777" w:rsidR="00790ADA" w:rsidRPr="00FB3A86" w:rsidRDefault="00790ADA" w:rsidP="00441B6F">
      <w:pPr>
        <w:pStyle w:val="ConcHead"/>
        <w:spacing w:after="0"/>
        <w:jc w:val="both"/>
        <w:rPr>
          <w:rFonts w:ascii="Arial" w:hAnsi="Arial" w:cs="Arial"/>
        </w:rPr>
      </w:pPr>
    </w:p>
    <w:p w14:paraId="20C66255" w14:textId="3D12A855" w:rsidR="00B01FCD" w:rsidRDefault="00C479A5" w:rsidP="00441B6F">
      <w:pPr>
        <w:pStyle w:val="Body"/>
        <w:spacing w:after="0"/>
        <w:rPr>
          <w:rFonts w:ascii="Arial" w:hAnsi="Arial" w:cs="Arial"/>
        </w:rPr>
      </w:pPr>
      <w:r w:rsidRPr="00C479A5">
        <w:rPr>
          <w:rFonts w:ascii="Arial" w:hAnsi="Arial" w:cs="Arial"/>
        </w:rPr>
        <w:t>The tubal and ovarian factors are the leading causes of female infertility observed in our tertiary care centre. PCOS is the most common ovarian factor and bilateral tubal blocks are the most common tubal factors associated with both primary and secondary infertility in women, Hysteroscopy combined with laparoscopy remains the only diagnostic method that allows direct visualization of the female reproductive system to identify the underlying causes of infertility. Given the growing prevalence of female infertility, our study’s insights into its causes represent an essential initial step toward addressing the issue</w:t>
      </w:r>
      <w:r w:rsidR="0017179F">
        <w:rPr>
          <w:rFonts w:ascii="Arial" w:hAnsi="Arial" w:cs="Arial"/>
        </w:rPr>
        <w:t>.</w:t>
      </w:r>
    </w:p>
    <w:p w14:paraId="75B714C4" w14:textId="77777777" w:rsidR="00790ADA" w:rsidRPr="00FB3A86" w:rsidRDefault="00790ADA" w:rsidP="00441B6F">
      <w:pPr>
        <w:pStyle w:val="Body"/>
        <w:spacing w:after="0"/>
        <w:rPr>
          <w:rFonts w:ascii="Arial" w:hAnsi="Arial" w:cs="Arial"/>
        </w:rPr>
      </w:pPr>
    </w:p>
    <w:p w14:paraId="3B656859" w14:textId="77777777" w:rsidR="002B685A" w:rsidRDefault="002B685A" w:rsidP="00441B6F">
      <w:pPr>
        <w:pStyle w:val="ReferHead"/>
        <w:spacing w:after="0"/>
        <w:jc w:val="both"/>
        <w:rPr>
          <w:rFonts w:ascii="Arial" w:hAnsi="Arial" w:cs="Arial"/>
          <w:b w:val="0"/>
          <w:caps w:val="0"/>
          <w:sz w:val="20"/>
        </w:rPr>
      </w:pPr>
    </w:p>
    <w:p w14:paraId="3C610343" w14:textId="4D10F706" w:rsidR="002B685A" w:rsidRDefault="002B685A" w:rsidP="00441B6F">
      <w:pPr>
        <w:pStyle w:val="ReferHead"/>
        <w:spacing w:after="0"/>
        <w:jc w:val="both"/>
        <w:rPr>
          <w:rFonts w:ascii="Arial" w:hAnsi="Arial" w:cs="Arial"/>
          <w:bCs/>
        </w:rPr>
      </w:pPr>
      <w:r w:rsidRPr="002B685A">
        <w:rPr>
          <w:rFonts w:ascii="Arial" w:hAnsi="Arial" w:cs="Arial"/>
          <w:bCs/>
        </w:rPr>
        <w:t>Consent</w:t>
      </w:r>
      <w:r w:rsidR="001A5608">
        <w:rPr>
          <w:rFonts w:ascii="Arial" w:hAnsi="Arial" w:cs="Arial"/>
          <w:bCs/>
        </w:rPr>
        <w:t xml:space="preserve"> and ethical approval</w:t>
      </w:r>
    </w:p>
    <w:p w14:paraId="70C6EE83" w14:textId="77777777" w:rsidR="002B685A" w:rsidRPr="002B685A" w:rsidRDefault="002B685A" w:rsidP="00441B6F">
      <w:pPr>
        <w:pStyle w:val="ReferHead"/>
        <w:spacing w:after="0"/>
        <w:jc w:val="both"/>
        <w:rPr>
          <w:rFonts w:ascii="Arial" w:hAnsi="Arial" w:cs="Arial"/>
          <w:bCs/>
        </w:rPr>
      </w:pPr>
    </w:p>
    <w:p w14:paraId="4A56D28B" w14:textId="10339FAF" w:rsidR="00A347C0" w:rsidRDefault="001A5608" w:rsidP="00441B6F">
      <w:pPr>
        <w:pStyle w:val="ReferHead"/>
        <w:spacing w:after="0"/>
        <w:jc w:val="both"/>
        <w:rPr>
          <w:rFonts w:ascii="Arial" w:hAnsi="Arial" w:cs="Arial"/>
          <w:b w:val="0"/>
          <w:caps w:val="0"/>
          <w:sz w:val="20"/>
        </w:rPr>
      </w:pPr>
      <w:r w:rsidRPr="001A5608">
        <w:rPr>
          <w:rFonts w:ascii="Arial" w:hAnsi="Arial" w:cs="Arial"/>
          <w:b w:val="0"/>
          <w:caps w:val="0"/>
          <w:sz w:val="20"/>
        </w:rPr>
        <w:t>A written informed consent was taken from all the subjects participating in the study</w:t>
      </w:r>
      <w:r w:rsidR="002B685A" w:rsidRPr="002B685A">
        <w:rPr>
          <w:rFonts w:ascii="Arial" w:hAnsi="Arial" w:cs="Arial"/>
          <w:b w:val="0"/>
          <w:caps w:val="0"/>
          <w:sz w:val="20"/>
        </w:rPr>
        <w:t>.</w:t>
      </w:r>
    </w:p>
    <w:p w14:paraId="7FD80119" w14:textId="77777777" w:rsidR="00A347C0" w:rsidRDefault="00A347C0" w:rsidP="00441B6F">
      <w:pPr>
        <w:pStyle w:val="ReferHead"/>
        <w:spacing w:after="0"/>
        <w:jc w:val="both"/>
        <w:rPr>
          <w:rFonts w:ascii="Arial" w:hAnsi="Arial" w:cs="Arial"/>
          <w:b w:val="0"/>
          <w:caps w:val="0"/>
          <w:sz w:val="20"/>
        </w:rPr>
      </w:pPr>
    </w:p>
    <w:p w14:paraId="03DA6160" w14:textId="77777777" w:rsidR="005C784C" w:rsidRDefault="005C784C" w:rsidP="00441B6F">
      <w:pPr>
        <w:pStyle w:val="ReferHead"/>
        <w:spacing w:after="0"/>
        <w:jc w:val="both"/>
        <w:rPr>
          <w:rFonts w:ascii="Arial" w:hAnsi="Arial" w:cs="Arial"/>
          <w:b w:val="0"/>
          <w:caps w:val="0"/>
          <w:sz w:val="20"/>
        </w:rPr>
      </w:pPr>
    </w:p>
    <w:p w14:paraId="6BD64928" w14:textId="77777777" w:rsidR="005C784C" w:rsidRDefault="005C784C" w:rsidP="00441B6F">
      <w:pPr>
        <w:pStyle w:val="ReferHead"/>
        <w:spacing w:after="0"/>
        <w:jc w:val="both"/>
        <w:rPr>
          <w:rFonts w:ascii="Arial" w:hAnsi="Arial" w:cs="Arial"/>
          <w:bCs/>
        </w:rPr>
      </w:pPr>
      <w:r>
        <w:rPr>
          <w:rFonts w:ascii="Arial" w:hAnsi="Arial" w:cs="Arial"/>
          <w:bCs/>
        </w:rPr>
        <w:t>Ethical approval (where</w:t>
      </w:r>
      <w:r w:rsidR="007369E6">
        <w:rPr>
          <w:rFonts w:ascii="Arial" w:hAnsi="Arial" w:cs="Arial"/>
          <w:bCs/>
        </w:rPr>
        <w:t xml:space="preserve"> </w:t>
      </w:r>
      <w:r>
        <w:rPr>
          <w:rFonts w:ascii="Arial" w:hAnsi="Arial" w:cs="Arial"/>
          <w:bCs/>
        </w:rPr>
        <w:t>ever applicable)</w:t>
      </w:r>
    </w:p>
    <w:p w14:paraId="16C186F5" w14:textId="77777777" w:rsidR="005C784C" w:rsidRPr="002B685A" w:rsidRDefault="005C784C" w:rsidP="00441B6F">
      <w:pPr>
        <w:pStyle w:val="ReferHead"/>
        <w:spacing w:after="0"/>
        <w:jc w:val="both"/>
        <w:rPr>
          <w:rFonts w:ascii="Arial" w:hAnsi="Arial" w:cs="Arial"/>
          <w:bCs/>
        </w:rPr>
      </w:pPr>
    </w:p>
    <w:p w14:paraId="19632F8F" w14:textId="1C3EA5DA" w:rsidR="005C784C" w:rsidRDefault="00C543B7" w:rsidP="00441B6F">
      <w:pPr>
        <w:pStyle w:val="ReferHead"/>
        <w:spacing w:after="0"/>
        <w:jc w:val="both"/>
        <w:rPr>
          <w:rFonts w:ascii="Arial" w:hAnsi="Arial" w:cs="Arial"/>
          <w:b w:val="0"/>
          <w:caps w:val="0"/>
          <w:sz w:val="20"/>
        </w:rPr>
      </w:pPr>
      <w:r w:rsidRPr="001A5608">
        <w:rPr>
          <w:rFonts w:ascii="Arial" w:hAnsi="Arial" w:cs="Arial"/>
          <w:b w:val="0"/>
          <w:caps w:val="0"/>
          <w:sz w:val="20"/>
        </w:rPr>
        <w:t xml:space="preserve">The ethical approval was obtained from </w:t>
      </w:r>
      <w:r w:rsidR="001A5608" w:rsidRPr="001A5608">
        <w:rPr>
          <w:rFonts w:ascii="Arial" w:hAnsi="Arial" w:cs="Arial"/>
          <w:b w:val="0"/>
          <w:caps w:val="0"/>
          <w:sz w:val="20"/>
        </w:rPr>
        <w:t>the Institutional Scientific Committee and the Institutional Ethics Committee of J. J. M. M. C., Davangere</w:t>
      </w:r>
      <w:r w:rsidR="005C784C" w:rsidRPr="005C784C">
        <w:rPr>
          <w:rFonts w:ascii="Arial" w:hAnsi="Arial" w:cs="Arial"/>
          <w:b w:val="0"/>
          <w:caps w:val="0"/>
          <w:sz w:val="20"/>
        </w:rPr>
        <w:t>.</w:t>
      </w:r>
      <w:r>
        <w:rPr>
          <w:rFonts w:ascii="Arial" w:hAnsi="Arial" w:cs="Arial"/>
          <w:b w:val="0"/>
          <w:caps w:val="0"/>
          <w:sz w:val="20"/>
        </w:rPr>
        <w:t xml:space="preserve"> </w:t>
      </w:r>
      <w:r w:rsidRPr="00C543B7">
        <w:rPr>
          <w:rFonts w:ascii="Arial" w:hAnsi="Arial" w:cs="Arial"/>
          <w:b w:val="0"/>
          <w:caps w:val="0"/>
          <w:sz w:val="20"/>
        </w:rPr>
        <w:t>All authors hereby declare that all experiments have been performed in accordance with the ethical standards laid down in the 1964 Declaration of Helsinki</w:t>
      </w:r>
    </w:p>
    <w:p w14:paraId="064DE7D8" w14:textId="77777777" w:rsidR="00B352AE" w:rsidRDefault="00B352AE" w:rsidP="00441B6F">
      <w:pPr>
        <w:pStyle w:val="ReferHead"/>
        <w:spacing w:after="0"/>
        <w:jc w:val="both"/>
        <w:rPr>
          <w:rFonts w:ascii="Arial" w:hAnsi="Arial" w:cs="Arial"/>
          <w:b w:val="0"/>
          <w:caps w:val="0"/>
          <w:sz w:val="20"/>
        </w:rPr>
      </w:pPr>
    </w:p>
    <w:p w14:paraId="3FD50358" w14:textId="77777777" w:rsidR="00B352AE" w:rsidRDefault="00B352AE" w:rsidP="00441B6F">
      <w:pPr>
        <w:pStyle w:val="ReferHead"/>
        <w:spacing w:after="0"/>
        <w:jc w:val="both"/>
        <w:rPr>
          <w:rFonts w:ascii="Arial" w:hAnsi="Arial" w:cs="Arial"/>
          <w:b w:val="0"/>
          <w:caps w:val="0"/>
          <w:sz w:val="20"/>
        </w:rPr>
      </w:pPr>
    </w:p>
    <w:p w14:paraId="7B60BD69" w14:textId="77777777" w:rsidR="00B352AE" w:rsidRPr="00B352AE" w:rsidRDefault="00B352AE" w:rsidP="00B352AE">
      <w:pPr>
        <w:pStyle w:val="ReferHead"/>
        <w:jc w:val="both"/>
        <w:rPr>
          <w:rFonts w:ascii="Arial" w:hAnsi="Arial" w:cs="Arial"/>
          <w:b w:val="0"/>
          <w:caps w:val="0"/>
          <w:sz w:val="20"/>
        </w:rPr>
      </w:pPr>
      <w:r w:rsidRPr="00B352AE">
        <w:rPr>
          <w:rFonts w:ascii="Arial" w:hAnsi="Arial" w:cs="Arial"/>
          <w:b w:val="0"/>
          <w:caps w:val="0"/>
          <w:sz w:val="20"/>
        </w:rPr>
        <w:t>COMPETING INTERESTS DISCLAIMER:</w:t>
      </w:r>
    </w:p>
    <w:p w14:paraId="6A461CBD" w14:textId="494F63EC" w:rsidR="00B352AE" w:rsidRDefault="00B352AE" w:rsidP="00B352AE">
      <w:pPr>
        <w:pStyle w:val="ReferHead"/>
        <w:spacing w:after="0"/>
        <w:jc w:val="both"/>
        <w:rPr>
          <w:rFonts w:ascii="Arial" w:hAnsi="Arial" w:cs="Arial"/>
          <w:b w:val="0"/>
          <w:caps w:val="0"/>
          <w:sz w:val="20"/>
        </w:rPr>
      </w:pPr>
      <w:r w:rsidRPr="00B352AE">
        <w:rPr>
          <w:rFonts w:ascii="Arial" w:hAnsi="Arial" w:cs="Arial"/>
          <w:b w:val="0"/>
          <w:caps w:val="0"/>
          <w:sz w:val="20"/>
        </w:rPr>
        <w:t>Authors have declared that they have no known competing financial interests OR non-financial interests OR personal relationships that could have appeared to influence the work reported in this paper.</w:t>
      </w:r>
    </w:p>
    <w:p w14:paraId="0D245087" w14:textId="77777777" w:rsidR="0041027F" w:rsidRDefault="0041027F" w:rsidP="00441B6F">
      <w:pPr>
        <w:pStyle w:val="ReferHead"/>
        <w:spacing w:after="0"/>
        <w:jc w:val="both"/>
        <w:rPr>
          <w:rFonts w:ascii="Arial" w:hAnsi="Arial" w:cs="Arial"/>
          <w:b w:val="0"/>
          <w:caps w:val="0"/>
          <w:sz w:val="20"/>
        </w:rPr>
      </w:pPr>
    </w:p>
    <w:p w14:paraId="76542C2D"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162FA3D9" w14:textId="77777777" w:rsidR="00790ADA" w:rsidRPr="00FB3A86" w:rsidRDefault="00790ADA" w:rsidP="00441B6F">
      <w:pPr>
        <w:pStyle w:val="ReferHead"/>
        <w:spacing w:after="0"/>
        <w:jc w:val="both"/>
        <w:rPr>
          <w:rFonts w:ascii="Arial" w:hAnsi="Arial" w:cs="Arial"/>
        </w:rPr>
      </w:pPr>
    </w:p>
    <w:p w14:paraId="794683BA" w14:textId="77777777" w:rsidR="005E055D" w:rsidRDefault="005E055D" w:rsidP="005E055D">
      <w:pPr>
        <w:pStyle w:val="NormalWeb"/>
        <w:spacing w:before="0" w:beforeAutospacing="0"/>
        <w:contextualSpacing/>
        <w:jc w:val="both"/>
        <w:rPr>
          <w:rFonts w:ascii="Arial" w:hAnsi="Arial" w:cs="Arial"/>
          <w:sz w:val="20"/>
          <w:szCs w:val="20"/>
        </w:rPr>
      </w:pPr>
      <w:r w:rsidRPr="005E055D">
        <w:rPr>
          <w:rFonts w:ascii="Arial" w:hAnsi="Arial" w:cs="Arial"/>
          <w:sz w:val="20"/>
          <w:szCs w:val="20"/>
        </w:rPr>
        <w:t>Adamson, P. C., Krupp, K., Freeman, A. H., Klausner, J. D., Reingold, A. L., &amp; Madhivanan,</w:t>
      </w:r>
    </w:p>
    <w:p w14:paraId="26FD0677" w14:textId="3D1E68A1" w:rsidR="005E055D" w:rsidRPr="005E055D" w:rsidRDefault="005E055D" w:rsidP="005E055D">
      <w:pPr>
        <w:pStyle w:val="NormalWeb"/>
        <w:spacing w:before="0" w:beforeAutospacing="0"/>
        <w:ind w:left="369"/>
        <w:contextualSpacing/>
        <w:jc w:val="both"/>
        <w:rPr>
          <w:rFonts w:ascii="Arial" w:hAnsi="Arial" w:cs="Arial"/>
          <w:sz w:val="20"/>
          <w:szCs w:val="20"/>
        </w:rPr>
      </w:pPr>
      <w:r w:rsidRPr="005E055D">
        <w:rPr>
          <w:rFonts w:ascii="Arial" w:hAnsi="Arial" w:cs="Arial"/>
          <w:sz w:val="20"/>
          <w:szCs w:val="20"/>
        </w:rPr>
        <w:t xml:space="preserve">P. (2011). Prevalence and correlates of primary infertility among young women in Mysore, India. </w:t>
      </w:r>
      <w:r w:rsidRPr="005E055D">
        <w:rPr>
          <w:rStyle w:val="Emphasis"/>
          <w:rFonts w:ascii="Arial" w:hAnsi="Arial" w:cs="Arial"/>
          <w:sz w:val="20"/>
          <w:szCs w:val="20"/>
        </w:rPr>
        <w:t>Indian Journal of Medical Research, 134</w:t>
      </w:r>
      <w:r w:rsidRPr="005E055D">
        <w:rPr>
          <w:rFonts w:ascii="Arial" w:hAnsi="Arial" w:cs="Arial"/>
          <w:sz w:val="20"/>
          <w:szCs w:val="20"/>
        </w:rPr>
        <w:t>(4), 440–446.</w:t>
      </w:r>
    </w:p>
    <w:p w14:paraId="4F9551F1" w14:textId="4D9465DC" w:rsidR="005E055D" w:rsidRDefault="005E055D" w:rsidP="005E055D">
      <w:pPr>
        <w:pStyle w:val="NormalWeb"/>
        <w:spacing w:before="0" w:beforeAutospacing="0"/>
        <w:contextualSpacing/>
        <w:jc w:val="both"/>
        <w:rPr>
          <w:rStyle w:val="Emphasis"/>
          <w:rFonts w:ascii="Arial" w:hAnsi="Arial" w:cs="Arial"/>
          <w:sz w:val="20"/>
          <w:szCs w:val="20"/>
        </w:rPr>
      </w:pPr>
      <w:r w:rsidRPr="005E055D">
        <w:rPr>
          <w:rFonts w:ascii="Arial" w:hAnsi="Arial" w:cs="Arial"/>
          <w:sz w:val="20"/>
          <w:szCs w:val="20"/>
        </w:rPr>
        <w:t xml:space="preserve">Bhide, A. G. (1990). Laparoscopic evaluation of the etiopathology of infertility. </w:t>
      </w:r>
      <w:r w:rsidRPr="005E055D">
        <w:rPr>
          <w:rStyle w:val="Emphasis"/>
          <w:rFonts w:ascii="Arial" w:hAnsi="Arial" w:cs="Arial"/>
          <w:sz w:val="20"/>
          <w:szCs w:val="20"/>
        </w:rPr>
        <w:t>Journal of</w:t>
      </w:r>
      <w:r>
        <w:rPr>
          <w:rStyle w:val="Emphasis"/>
          <w:rFonts w:ascii="Arial" w:hAnsi="Arial" w:cs="Arial"/>
          <w:sz w:val="20"/>
          <w:szCs w:val="20"/>
        </w:rPr>
        <w:t xml:space="preserve"> </w:t>
      </w:r>
    </w:p>
    <w:p w14:paraId="53EDB7AE" w14:textId="1BF6347E" w:rsidR="005E055D" w:rsidRPr="005E055D" w:rsidRDefault="005E055D" w:rsidP="005E055D">
      <w:pPr>
        <w:pStyle w:val="NormalWeb"/>
        <w:spacing w:before="0" w:beforeAutospacing="0"/>
        <w:ind w:left="369"/>
        <w:contextualSpacing/>
        <w:jc w:val="both"/>
        <w:rPr>
          <w:rFonts w:ascii="Arial" w:hAnsi="Arial" w:cs="Arial"/>
          <w:sz w:val="20"/>
          <w:szCs w:val="20"/>
        </w:rPr>
      </w:pPr>
      <w:r w:rsidRPr="005E055D">
        <w:rPr>
          <w:rStyle w:val="Emphasis"/>
          <w:rFonts w:ascii="Arial" w:hAnsi="Arial" w:cs="Arial"/>
          <w:sz w:val="20"/>
          <w:szCs w:val="20"/>
        </w:rPr>
        <w:t>Obstetrics and Gynecology of India, 40</w:t>
      </w:r>
      <w:r w:rsidRPr="005E055D">
        <w:rPr>
          <w:rFonts w:ascii="Arial" w:hAnsi="Arial" w:cs="Arial"/>
          <w:sz w:val="20"/>
          <w:szCs w:val="20"/>
        </w:rPr>
        <w:t>, 680–682.</w:t>
      </w:r>
    </w:p>
    <w:p w14:paraId="7F7A28A4" w14:textId="77777777" w:rsidR="005E055D" w:rsidRDefault="005E055D" w:rsidP="005E055D">
      <w:pPr>
        <w:pStyle w:val="NormalWeb"/>
        <w:spacing w:before="0" w:beforeAutospacing="0"/>
        <w:contextualSpacing/>
        <w:jc w:val="both"/>
        <w:rPr>
          <w:rFonts w:ascii="Arial" w:hAnsi="Arial" w:cs="Arial"/>
          <w:sz w:val="20"/>
          <w:szCs w:val="20"/>
        </w:rPr>
      </w:pPr>
      <w:r w:rsidRPr="005E055D">
        <w:rPr>
          <w:rFonts w:ascii="Arial" w:hAnsi="Arial" w:cs="Arial"/>
          <w:sz w:val="20"/>
          <w:szCs w:val="20"/>
        </w:rPr>
        <w:t>Boivin, J., Bunting, L., Collins, J. A., &amp; Nygren, K. G. (2007). International estimates of</w:t>
      </w:r>
    </w:p>
    <w:p w14:paraId="61AC6DBE" w14:textId="6490E51E" w:rsidR="005E055D" w:rsidRPr="005E055D" w:rsidRDefault="005E055D" w:rsidP="005E055D">
      <w:pPr>
        <w:pStyle w:val="NormalWeb"/>
        <w:spacing w:before="0" w:beforeAutospacing="0"/>
        <w:ind w:left="369"/>
        <w:contextualSpacing/>
        <w:jc w:val="both"/>
        <w:rPr>
          <w:rFonts w:ascii="Arial" w:hAnsi="Arial" w:cs="Arial"/>
          <w:sz w:val="20"/>
          <w:szCs w:val="20"/>
        </w:rPr>
      </w:pPr>
      <w:r w:rsidRPr="005E055D">
        <w:rPr>
          <w:rFonts w:ascii="Arial" w:hAnsi="Arial" w:cs="Arial"/>
          <w:sz w:val="20"/>
          <w:szCs w:val="20"/>
        </w:rPr>
        <w:t xml:space="preserve">infertility prevalence and treatment-seeking: Potential need and demand for infertility medical care. </w:t>
      </w:r>
      <w:r w:rsidRPr="005E055D">
        <w:rPr>
          <w:rStyle w:val="Emphasis"/>
          <w:rFonts w:ascii="Arial" w:hAnsi="Arial" w:cs="Arial"/>
          <w:sz w:val="20"/>
          <w:szCs w:val="20"/>
        </w:rPr>
        <w:t>Human Reproduction, 22</w:t>
      </w:r>
      <w:r w:rsidRPr="005E055D">
        <w:rPr>
          <w:rFonts w:ascii="Arial" w:hAnsi="Arial" w:cs="Arial"/>
          <w:sz w:val="20"/>
          <w:szCs w:val="20"/>
        </w:rPr>
        <w:t>(6), 1506–1512.</w:t>
      </w:r>
    </w:p>
    <w:p w14:paraId="058B92AB" w14:textId="77777777" w:rsidR="005E055D" w:rsidRDefault="005E055D" w:rsidP="005E055D">
      <w:pPr>
        <w:pStyle w:val="NormalWeb"/>
        <w:spacing w:before="0" w:beforeAutospacing="0"/>
        <w:contextualSpacing/>
        <w:jc w:val="both"/>
        <w:rPr>
          <w:rFonts w:ascii="Arial" w:hAnsi="Arial" w:cs="Arial"/>
          <w:sz w:val="20"/>
          <w:szCs w:val="20"/>
        </w:rPr>
      </w:pPr>
      <w:r w:rsidRPr="005E055D">
        <w:rPr>
          <w:rFonts w:ascii="Arial" w:hAnsi="Arial" w:cs="Arial"/>
          <w:sz w:val="20"/>
          <w:szCs w:val="20"/>
        </w:rPr>
        <w:t>Campbell, A. J., &amp; Irvine, D. S. (2000). Male infertility and intracytoplasmic sperm injection</w:t>
      </w:r>
    </w:p>
    <w:p w14:paraId="2EFB0291" w14:textId="4FF9A88E" w:rsidR="005E055D" w:rsidRPr="005E055D" w:rsidRDefault="005E055D" w:rsidP="005E055D">
      <w:pPr>
        <w:pStyle w:val="NormalWeb"/>
        <w:spacing w:before="0" w:beforeAutospacing="0"/>
        <w:ind w:left="369"/>
        <w:contextualSpacing/>
        <w:jc w:val="both"/>
        <w:rPr>
          <w:rFonts w:ascii="Arial" w:hAnsi="Arial" w:cs="Arial"/>
          <w:sz w:val="20"/>
          <w:szCs w:val="20"/>
        </w:rPr>
      </w:pPr>
      <w:r w:rsidRPr="005E055D">
        <w:rPr>
          <w:rFonts w:ascii="Arial" w:hAnsi="Arial" w:cs="Arial"/>
          <w:sz w:val="20"/>
          <w:szCs w:val="20"/>
        </w:rPr>
        <w:lastRenderedPageBreak/>
        <w:t xml:space="preserve">(ICSI). </w:t>
      </w:r>
      <w:r w:rsidRPr="005E055D">
        <w:rPr>
          <w:rStyle w:val="Emphasis"/>
          <w:rFonts w:ascii="Arial" w:hAnsi="Arial" w:cs="Arial"/>
          <w:sz w:val="20"/>
          <w:szCs w:val="20"/>
        </w:rPr>
        <w:t>British Medical Bulletin, 56</w:t>
      </w:r>
      <w:r w:rsidRPr="005E055D">
        <w:rPr>
          <w:rFonts w:ascii="Arial" w:hAnsi="Arial" w:cs="Arial"/>
          <w:sz w:val="20"/>
          <w:szCs w:val="20"/>
        </w:rPr>
        <w:t>, 616–629.</w:t>
      </w:r>
    </w:p>
    <w:p w14:paraId="6FCEAFB9" w14:textId="77777777" w:rsidR="005E055D" w:rsidRDefault="005E055D" w:rsidP="005E055D">
      <w:pPr>
        <w:pStyle w:val="NormalWeb"/>
        <w:spacing w:before="0" w:beforeAutospacing="0"/>
        <w:contextualSpacing/>
        <w:jc w:val="both"/>
        <w:rPr>
          <w:rFonts w:ascii="Arial" w:hAnsi="Arial" w:cs="Arial"/>
          <w:sz w:val="20"/>
          <w:szCs w:val="20"/>
        </w:rPr>
      </w:pPr>
      <w:r w:rsidRPr="005E055D">
        <w:rPr>
          <w:rFonts w:ascii="Arial" w:hAnsi="Arial" w:cs="Arial"/>
          <w:sz w:val="20"/>
          <w:szCs w:val="20"/>
        </w:rPr>
        <w:t>Cooper, T. G., Noonan, E., &amp; Eckardstein, S. N. (2010). World Health Organization</w:t>
      </w:r>
    </w:p>
    <w:p w14:paraId="6E9E47C5" w14:textId="78BF9E27" w:rsidR="005E055D" w:rsidRPr="005E055D" w:rsidRDefault="005E055D" w:rsidP="005E055D">
      <w:pPr>
        <w:pStyle w:val="NormalWeb"/>
        <w:spacing w:before="0" w:beforeAutospacing="0"/>
        <w:ind w:left="369"/>
        <w:contextualSpacing/>
        <w:jc w:val="both"/>
        <w:rPr>
          <w:rFonts w:ascii="Arial" w:hAnsi="Arial" w:cs="Arial"/>
          <w:sz w:val="20"/>
          <w:szCs w:val="20"/>
        </w:rPr>
      </w:pPr>
      <w:r w:rsidRPr="005E055D">
        <w:rPr>
          <w:rFonts w:ascii="Arial" w:hAnsi="Arial" w:cs="Arial"/>
          <w:sz w:val="20"/>
          <w:szCs w:val="20"/>
        </w:rPr>
        <w:t xml:space="preserve">reference values for human semen characteristics. </w:t>
      </w:r>
      <w:r w:rsidRPr="005E055D">
        <w:rPr>
          <w:rStyle w:val="Emphasis"/>
          <w:rFonts w:ascii="Arial" w:hAnsi="Arial" w:cs="Arial"/>
          <w:sz w:val="20"/>
          <w:szCs w:val="20"/>
        </w:rPr>
        <w:t>Human Reproduction Update, 16</w:t>
      </w:r>
      <w:r w:rsidRPr="005E055D">
        <w:rPr>
          <w:rFonts w:ascii="Arial" w:hAnsi="Arial" w:cs="Arial"/>
          <w:sz w:val="20"/>
          <w:szCs w:val="20"/>
        </w:rPr>
        <w:t>(3), 231–245.</w:t>
      </w:r>
    </w:p>
    <w:p w14:paraId="195371C8" w14:textId="77777777" w:rsidR="005E055D" w:rsidRDefault="005E055D" w:rsidP="005E055D">
      <w:pPr>
        <w:pStyle w:val="NormalWeb"/>
        <w:spacing w:before="0" w:beforeAutospacing="0"/>
        <w:contextualSpacing/>
        <w:jc w:val="both"/>
        <w:rPr>
          <w:rStyle w:val="Emphasis"/>
          <w:rFonts w:ascii="Arial" w:hAnsi="Arial" w:cs="Arial"/>
          <w:sz w:val="20"/>
          <w:szCs w:val="20"/>
        </w:rPr>
      </w:pPr>
      <w:r w:rsidRPr="005E055D">
        <w:rPr>
          <w:rFonts w:ascii="Arial" w:hAnsi="Arial" w:cs="Arial"/>
          <w:sz w:val="20"/>
          <w:szCs w:val="20"/>
        </w:rPr>
        <w:t xml:space="preserve">Daar, A., &amp; Merali, Z. (2001). </w:t>
      </w:r>
      <w:r w:rsidRPr="005E055D">
        <w:rPr>
          <w:rStyle w:val="Emphasis"/>
          <w:rFonts w:ascii="Arial" w:hAnsi="Arial" w:cs="Arial"/>
          <w:sz w:val="20"/>
          <w:szCs w:val="20"/>
        </w:rPr>
        <w:t>Infertility and social suffering: The case of ART in developing</w:t>
      </w:r>
    </w:p>
    <w:p w14:paraId="49343B44" w14:textId="0698F78F" w:rsidR="005E055D" w:rsidRPr="005E055D" w:rsidRDefault="005E055D" w:rsidP="005E055D">
      <w:pPr>
        <w:pStyle w:val="NormalWeb"/>
        <w:spacing w:before="0" w:beforeAutospacing="0"/>
        <w:ind w:left="369"/>
        <w:contextualSpacing/>
        <w:jc w:val="both"/>
        <w:rPr>
          <w:rFonts w:ascii="Arial" w:hAnsi="Arial" w:cs="Arial"/>
          <w:sz w:val="20"/>
          <w:szCs w:val="20"/>
        </w:rPr>
      </w:pPr>
      <w:r w:rsidRPr="005E055D">
        <w:rPr>
          <w:rStyle w:val="Emphasis"/>
          <w:rFonts w:ascii="Arial" w:hAnsi="Arial" w:cs="Arial"/>
          <w:sz w:val="20"/>
          <w:szCs w:val="20"/>
        </w:rPr>
        <w:t>countries</w:t>
      </w:r>
      <w:r w:rsidRPr="005E055D">
        <w:rPr>
          <w:rFonts w:ascii="Arial" w:hAnsi="Arial" w:cs="Arial"/>
          <w:sz w:val="20"/>
          <w:szCs w:val="20"/>
        </w:rPr>
        <w:t xml:space="preserve"> (pp. 16–21). World Health Organization.</w:t>
      </w:r>
    </w:p>
    <w:p w14:paraId="592F7222" w14:textId="77777777" w:rsidR="005E055D" w:rsidRDefault="005E055D" w:rsidP="005E055D">
      <w:pPr>
        <w:pStyle w:val="NormalWeb"/>
        <w:spacing w:before="0" w:beforeAutospacing="0"/>
        <w:contextualSpacing/>
        <w:jc w:val="both"/>
        <w:rPr>
          <w:rFonts w:ascii="Arial" w:hAnsi="Arial" w:cs="Arial"/>
          <w:sz w:val="20"/>
          <w:szCs w:val="20"/>
        </w:rPr>
      </w:pPr>
      <w:r w:rsidRPr="005E055D">
        <w:rPr>
          <w:rFonts w:ascii="Arial" w:hAnsi="Arial" w:cs="Arial"/>
          <w:sz w:val="20"/>
          <w:szCs w:val="20"/>
        </w:rPr>
        <w:t>Duignan, N. M., Jordan, J. A., Coughlan, B. M., &amp; Logan Edwards, R. (1972). One thousand</w:t>
      </w:r>
    </w:p>
    <w:p w14:paraId="73D26C5A" w14:textId="32A954F8" w:rsidR="005E055D" w:rsidRPr="005E055D" w:rsidRDefault="005E055D" w:rsidP="005E055D">
      <w:pPr>
        <w:pStyle w:val="NormalWeb"/>
        <w:spacing w:before="0" w:beforeAutospacing="0"/>
        <w:ind w:left="369"/>
        <w:contextualSpacing/>
        <w:jc w:val="both"/>
        <w:rPr>
          <w:rFonts w:ascii="Arial" w:hAnsi="Arial" w:cs="Arial"/>
          <w:sz w:val="20"/>
          <w:szCs w:val="20"/>
        </w:rPr>
      </w:pPr>
      <w:r w:rsidRPr="005E055D">
        <w:rPr>
          <w:rFonts w:ascii="Arial" w:hAnsi="Arial" w:cs="Arial"/>
          <w:sz w:val="20"/>
          <w:szCs w:val="20"/>
        </w:rPr>
        <w:t xml:space="preserve">consecutive cases of diagnostic laparoscopy. </w:t>
      </w:r>
      <w:r w:rsidRPr="005E055D">
        <w:rPr>
          <w:rStyle w:val="Emphasis"/>
          <w:rFonts w:ascii="Arial" w:hAnsi="Arial" w:cs="Arial"/>
          <w:sz w:val="20"/>
          <w:szCs w:val="20"/>
        </w:rPr>
        <w:t>Journal of Obstetrics and Gynaecology of the British Commonwealth, 79</w:t>
      </w:r>
      <w:r w:rsidRPr="005E055D">
        <w:rPr>
          <w:rFonts w:ascii="Arial" w:hAnsi="Arial" w:cs="Arial"/>
          <w:sz w:val="20"/>
          <w:szCs w:val="20"/>
        </w:rPr>
        <w:t>(11), 1016–1024.</w:t>
      </w:r>
    </w:p>
    <w:p w14:paraId="743B8F02" w14:textId="77777777" w:rsidR="005E055D" w:rsidRDefault="005E055D" w:rsidP="005E055D">
      <w:pPr>
        <w:pStyle w:val="NormalWeb"/>
        <w:spacing w:before="0" w:beforeAutospacing="0"/>
        <w:contextualSpacing/>
        <w:jc w:val="both"/>
        <w:rPr>
          <w:rFonts w:ascii="Arial" w:hAnsi="Arial" w:cs="Arial"/>
          <w:sz w:val="20"/>
          <w:szCs w:val="20"/>
        </w:rPr>
      </w:pPr>
      <w:r w:rsidRPr="005E055D">
        <w:rPr>
          <w:rFonts w:ascii="Arial" w:hAnsi="Arial" w:cs="Arial"/>
          <w:sz w:val="20"/>
          <w:szCs w:val="20"/>
        </w:rPr>
        <w:t>Garg, K., Paul, D. P., &amp; Ray, J. (2020). Evaluation of female factors in infertility by diagnostic</w:t>
      </w:r>
    </w:p>
    <w:p w14:paraId="6A93B1ED" w14:textId="627437EE" w:rsidR="005E055D" w:rsidRPr="005E055D" w:rsidRDefault="005E055D" w:rsidP="005E055D">
      <w:pPr>
        <w:pStyle w:val="NormalWeb"/>
        <w:spacing w:before="0" w:beforeAutospacing="0"/>
        <w:ind w:left="369"/>
        <w:contextualSpacing/>
        <w:jc w:val="both"/>
        <w:rPr>
          <w:rFonts w:ascii="Arial" w:hAnsi="Arial" w:cs="Arial"/>
          <w:sz w:val="20"/>
          <w:szCs w:val="20"/>
        </w:rPr>
      </w:pPr>
      <w:r w:rsidRPr="005E055D">
        <w:rPr>
          <w:rFonts w:ascii="Arial" w:hAnsi="Arial" w:cs="Arial"/>
          <w:sz w:val="20"/>
          <w:szCs w:val="20"/>
        </w:rPr>
        <w:t xml:space="preserve">laparohysteroscopy in a tertiary health care centre. </w:t>
      </w:r>
      <w:r w:rsidRPr="005E055D">
        <w:rPr>
          <w:rStyle w:val="Emphasis"/>
          <w:rFonts w:ascii="Arial" w:hAnsi="Arial" w:cs="Arial"/>
          <w:sz w:val="20"/>
          <w:szCs w:val="20"/>
        </w:rPr>
        <w:t>International Journal of Reproduction, Contraception, Obstetrics and Gynecology, 9</w:t>
      </w:r>
      <w:r w:rsidRPr="005E055D">
        <w:rPr>
          <w:rFonts w:ascii="Arial" w:hAnsi="Arial" w:cs="Arial"/>
          <w:sz w:val="20"/>
          <w:szCs w:val="20"/>
        </w:rPr>
        <w:t>, 3596–3601.</w:t>
      </w:r>
    </w:p>
    <w:p w14:paraId="255AD199" w14:textId="77777777" w:rsidR="005E055D" w:rsidRDefault="005E055D" w:rsidP="005E055D">
      <w:pPr>
        <w:pStyle w:val="NormalWeb"/>
        <w:spacing w:before="0" w:beforeAutospacing="0"/>
        <w:contextualSpacing/>
        <w:jc w:val="both"/>
        <w:rPr>
          <w:rFonts w:ascii="Arial" w:hAnsi="Arial" w:cs="Arial"/>
          <w:sz w:val="20"/>
          <w:szCs w:val="20"/>
        </w:rPr>
      </w:pPr>
      <w:r w:rsidRPr="005E055D">
        <w:rPr>
          <w:rFonts w:ascii="Arial" w:hAnsi="Arial" w:cs="Arial"/>
          <w:sz w:val="20"/>
          <w:szCs w:val="20"/>
        </w:rPr>
        <w:t>Gohill, B. C., Rosenblum, L. A., Coplan, J. D., &amp; Kral, J. G. (2001). Hypothalamic-pituitary-</w:t>
      </w:r>
    </w:p>
    <w:p w14:paraId="3F1DCD67" w14:textId="2845D2C7" w:rsidR="005E055D" w:rsidRPr="005E055D" w:rsidRDefault="005E055D" w:rsidP="005E055D">
      <w:pPr>
        <w:pStyle w:val="NormalWeb"/>
        <w:spacing w:before="0" w:beforeAutospacing="0"/>
        <w:ind w:left="369"/>
        <w:contextualSpacing/>
        <w:jc w:val="both"/>
        <w:rPr>
          <w:rFonts w:ascii="Arial" w:hAnsi="Arial" w:cs="Arial"/>
          <w:sz w:val="20"/>
          <w:szCs w:val="20"/>
        </w:rPr>
      </w:pPr>
      <w:r>
        <w:rPr>
          <w:rFonts w:ascii="Arial" w:hAnsi="Arial" w:cs="Arial"/>
          <w:sz w:val="20"/>
          <w:szCs w:val="20"/>
        </w:rPr>
        <w:t>a</w:t>
      </w:r>
      <w:r w:rsidRPr="005E055D">
        <w:rPr>
          <w:rFonts w:ascii="Arial" w:hAnsi="Arial" w:cs="Arial"/>
          <w:sz w:val="20"/>
          <w:szCs w:val="20"/>
        </w:rPr>
        <w:t xml:space="preserve">drenal axis function and the metabolic syndrome X of obesity. </w:t>
      </w:r>
      <w:r w:rsidRPr="005E055D">
        <w:rPr>
          <w:rStyle w:val="Emphasis"/>
          <w:rFonts w:ascii="Arial" w:hAnsi="Arial" w:cs="Arial"/>
          <w:sz w:val="20"/>
          <w:szCs w:val="20"/>
        </w:rPr>
        <w:t>CNS Spectrums, 6</w:t>
      </w:r>
      <w:r w:rsidRPr="005E055D">
        <w:rPr>
          <w:rFonts w:ascii="Arial" w:hAnsi="Arial" w:cs="Arial"/>
          <w:sz w:val="20"/>
          <w:szCs w:val="20"/>
        </w:rPr>
        <w:t>(7), 581–586.</w:t>
      </w:r>
    </w:p>
    <w:p w14:paraId="2684207E" w14:textId="77777777" w:rsidR="005E055D" w:rsidRDefault="005E055D" w:rsidP="005E055D">
      <w:pPr>
        <w:pStyle w:val="NormalWeb"/>
        <w:spacing w:before="0" w:beforeAutospacing="0"/>
        <w:contextualSpacing/>
        <w:jc w:val="both"/>
        <w:rPr>
          <w:rFonts w:ascii="Arial" w:hAnsi="Arial" w:cs="Arial"/>
          <w:sz w:val="20"/>
          <w:szCs w:val="20"/>
        </w:rPr>
      </w:pPr>
      <w:r w:rsidRPr="005E055D">
        <w:rPr>
          <w:rFonts w:ascii="Arial" w:hAnsi="Arial" w:cs="Arial"/>
          <w:sz w:val="20"/>
          <w:szCs w:val="20"/>
        </w:rPr>
        <w:t>Hema, K. R., &amp; Lalitha, H. S. (2017). Evaluation of role of laparoscopy in determining</w:t>
      </w:r>
    </w:p>
    <w:p w14:paraId="755DCF5E" w14:textId="5AFB573B" w:rsidR="005E055D" w:rsidRPr="005E055D" w:rsidRDefault="005E055D" w:rsidP="005E055D">
      <w:pPr>
        <w:pStyle w:val="NormalWeb"/>
        <w:spacing w:before="0" w:beforeAutospacing="0"/>
        <w:ind w:left="369"/>
        <w:contextualSpacing/>
        <w:jc w:val="both"/>
        <w:rPr>
          <w:rFonts w:ascii="Arial" w:hAnsi="Arial" w:cs="Arial"/>
          <w:sz w:val="20"/>
          <w:szCs w:val="20"/>
        </w:rPr>
      </w:pPr>
      <w:r w:rsidRPr="005E055D">
        <w:rPr>
          <w:rFonts w:ascii="Arial" w:hAnsi="Arial" w:cs="Arial"/>
          <w:sz w:val="20"/>
          <w:szCs w:val="20"/>
        </w:rPr>
        <w:t xml:space="preserve">etiology of infertility. </w:t>
      </w:r>
      <w:r w:rsidRPr="005E055D">
        <w:rPr>
          <w:rStyle w:val="Emphasis"/>
          <w:rFonts w:ascii="Arial" w:hAnsi="Arial" w:cs="Arial"/>
          <w:sz w:val="20"/>
          <w:szCs w:val="20"/>
        </w:rPr>
        <w:t>International Journal of Reproduction, Contraception, Obstetrics and Gynecology, 6</w:t>
      </w:r>
      <w:r w:rsidRPr="005E055D">
        <w:rPr>
          <w:rFonts w:ascii="Arial" w:hAnsi="Arial" w:cs="Arial"/>
          <w:sz w:val="20"/>
          <w:szCs w:val="20"/>
        </w:rPr>
        <w:t>(12), 5322–5326.</w:t>
      </w:r>
    </w:p>
    <w:p w14:paraId="1F90AEF8" w14:textId="77777777" w:rsidR="00B14767" w:rsidRDefault="005E055D" w:rsidP="005E055D">
      <w:pPr>
        <w:pStyle w:val="NormalWeb"/>
        <w:spacing w:before="0" w:beforeAutospacing="0"/>
        <w:contextualSpacing/>
        <w:jc w:val="both"/>
        <w:rPr>
          <w:rFonts w:ascii="Arial" w:hAnsi="Arial" w:cs="Arial"/>
          <w:sz w:val="20"/>
          <w:szCs w:val="20"/>
        </w:rPr>
      </w:pPr>
      <w:r w:rsidRPr="005E055D">
        <w:rPr>
          <w:rFonts w:ascii="Arial" w:hAnsi="Arial" w:cs="Arial"/>
          <w:sz w:val="20"/>
          <w:szCs w:val="20"/>
        </w:rPr>
        <w:t>Jejeebhoy, S. J. (1998). Infertility in India—Levels, patterns and consequences: Priorities for</w:t>
      </w:r>
    </w:p>
    <w:p w14:paraId="2AE93905" w14:textId="0ADAD1C3" w:rsidR="005E055D" w:rsidRPr="005E055D" w:rsidRDefault="005E055D" w:rsidP="00B14767">
      <w:pPr>
        <w:pStyle w:val="NormalWeb"/>
        <w:spacing w:before="0" w:beforeAutospacing="0"/>
        <w:ind w:left="369"/>
        <w:contextualSpacing/>
        <w:jc w:val="both"/>
        <w:rPr>
          <w:rFonts w:ascii="Arial" w:hAnsi="Arial" w:cs="Arial"/>
          <w:sz w:val="20"/>
          <w:szCs w:val="20"/>
        </w:rPr>
      </w:pPr>
      <w:r w:rsidRPr="005E055D">
        <w:rPr>
          <w:rFonts w:ascii="Arial" w:hAnsi="Arial" w:cs="Arial"/>
          <w:sz w:val="20"/>
          <w:szCs w:val="20"/>
        </w:rPr>
        <w:t xml:space="preserve">social science research. </w:t>
      </w:r>
      <w:r w:rsidRPr="005E055D">
        <w:rPr>
          <w:rStyle w:val="Emphasis"/>
          <w:rFonts w:ascii="Arial" w:hAnsi="Arial" w:cs="Arial"/>
          <w:sz w:val="20"/>
          <w:szCs w:val="20"/>
        </w:rPr>
        <w:t>Journal of Family Welfare, 44</w:t>
      </w:r>
      <w:r w:rsidRPr="005E055D">
        <w:rPr>
          <w:rFonts w:ascii="Arial" w:hAnsi="Arial" w:cs="Arial"/>
          <w:sz w:val="20"/>
          <w:szCs w:val="20"/>
        </w:rPr>
        <w:t>, 15–24.</w:t>
      </w:r>
    </w:p>
    <w:p w14:paraId="28BAB079" w14:textId="77777777" w:rsidR="00B14767" w:rsidRDefault="005E055D" w:rsidP="005E055D">
      <w:pPr>
        <w:pStyle w:val="NormalWeb"/>
        <w:spacing w:before="0" w:beforeAutospacing="0"/>
        <w:contextualSpacing/>
        <w:jc w:val="both"/>
        <w:rPr>
          <w:rFonts w:ascii="Arial" w:hAnsi="Arial" w:cs="Arial"/>
          <w:sz w:val="20"/>
          <w:szCs w:val="20"/>
        </w:rPr>
      </w:pPr>
      <w:r w:rsidRPr="005E055D">
        <w:rPr>
          <w:rFonts w:ascii="Arial" w:hAnsi="Arial" w:cs="Arial"/>
          <w:sz w:val="20"/>
          <w:szCs w:val="20"/>
        </w:rPr>
        <w:t>Mamatha, C. H., &amp; Sreelatha, B. (2024). A clinical study on factors influencing occurrence</w:t>
      </w:r>
    </w:p>
    <w:p w14:paraId="503D2FA2" w14:textId="6C5096BF" w:rsidR="005E055D" w:rsidRPr="005E055D" w:rsidRDefault="005E055D" w:rsidP="00B14767">
      <w:pPr>
        <w:pStyle w:val="NormalWeb"/>
        <w:spacing w:before="0" w:beforeAutospacing="0"/>
        <w:ind w:left="369"/>
        <w:contextualSpacing/>
        <w:jc w:val="both"/>
        <w:rPr>
          <w:rFonts w:ascii="Arial" w:hAnsi="Arial" w:cs="Arial"/>
          <w:sz w:val="20"/>
          <w:szCs w:val="20"/>
        </w:rPr>
      </w:pPr>
      <w:r w:rsidRPr="005E055D">
        <w:rPr>
          <w:rFonts w:ascii="Arial" w:hAnsi="Arial" w:cs="Arial"/>
          <w:sz w:val="20"/>
          <w:szCs w:val="20"/>
        </w:rPr>
        <w:t xml:space="preserve">infertility in females. </w:t>
      </w:r>
      <w:r w:rsidRPr="005E055D">
        <w:rPr>
          <w:rStyle w:val="Emphasis"/>
          <w:rFonts w:ascii="Arial" w:hAnsi="Arial" w:cs="Arial"/>
          <w:sz w:val="20"/>
          <w:szCs w:val="20"/>
        </w:rPr>
        <w:t>International Journal of Pharmaceutical and Clinical Research, 16</w:t>
      </w:r>
      <w:r w:rsidRPr="005E055D">
        <w:rPr>
          <w:rFonts w:ascii="Arial" w:hAnsi="Arial" w:cs="Arial"/>
          <w:sz w:val="20"/>
          <w:szCs w:val="20"/>
        </w:rPr>
        <w:t>(1), 1678–1683.</w:t>
      </w:r>
    </w:p>
    <w:p w14:paraId="69A194B2" w14:textId="77777777" w:rsidR="00B14767" w:rsidRDefault="005E055D" w:rsidP="005E055D">
      <w:pPr>
        <w:pStyle w:val="NormalWeb"/>
        <w:spacing w:before="0" w:beforeAutospacing="0"/>
        <w:contextualSpacing/>
        <w:jc w:val="both"/>
        <w:rPr>
          <w:rFonts w:ascii="Arial" w:hAnsi="Arial" w:cs="Arial"/>
          <w:sz w:val="20"/>
          <w:szCs w:val="20"/>
        </w:rPr>
      </w:pPr>
      <w:r w:rsidRPr="005E055D">
        <w:rPr>
          <w:rFonts w:ascii="Arial" w:hAnsi="Arial" w:cs="Arial"/>
          <w:sz w:val="20"/>
          <w:szCs w:val="20"/>
        </w:rPr>
        <w:t>Missmer, S. A., Hankinson, S. E., Spiegelman, D., Barbieri, R. L., Marshall, L. M., &amp; Hunter,</w:t>
      </w:r>
    </w:p>
    <w:p w14:paraId="56594A3E" w14:textId="0986C40A" w:rsidR="005E055D" w:rsidRPr="005E055D" w:rsidRDefault="005E055D" w:rsidP="00B14767">
      <w:pPr>
        <w:pStyle w:val="NormalWeb"/>
        <w:spacing w:before="0" w:beforeAutospacing="0"/>
        <w:ind w:left="369"/>
        <w:contextualSpacing/>
        <w:jc w:val="both"/>
        <w:rPr>
          <w:rFonts w:ascii="Arial" w:hAnsi="Arial" w:cs="Arial"/>
          <w:sz w:val="20"/>
          <w:szCs w:val="20"/>
        </w:rPr>
      </w:pPr>
      <w:r w:rsidRPr="005E055D">
        <w:rPr>
          <w:rFonts w:ascii="Arial" w:hAnsi="Arial" w:cs="Arial"/>
          <w:sz w:val="20"/>
          <w:szCs w:val="20"/>
        </w:rPr>
        <w:t xml:space="preserve">D. J. (2004). Incidence of laparoscopically confirmed endometriosis by demographic, anthropometric, and lifestyle factors. </w:t>
      </w:r>
      <w:r w:rsidRPr="005E055D">
        <w:rPr>
          <w:rStyle w:val="Emphasis"/>
          <w:rFonts w:ascii="Arial" w:hAnsi="Arial" w:cs="Arial"/>
          <w:sz w:val="20"/>
          <w:szCs w:val="20"/>
        </w:rPr>
        <w:t>American Journal of Epidemiology, 160</w:t>
      </w:r>
      <w:r w:rsidRPr="005E055D">
        <w:rPr>
          <w:rFonts w:ascii="Arial" w:hAnsi="Arial" w:cs="Arial"/>
          <w:sz w:val="20"/>
          <w:szCs w:val="20"/>
        </w:rPr>
        <w:t>(8), 784–796.</w:t>
      </w:r>
    </w:p>
    <w:p w14:paraId="303C60B9" w14:textId="77777777" w:rsidR="00B14767" w:rsidRDefault="005E055D" w:rsidP="005E055D">
      <w:pPr>
        <w:pStyle w:val="NormalWeb"/>
        <w:spacing w:before="0" w:beforeAutospacing="0"/>
        <w:contextualSpacing/>
        <w:jc w:val="both"/>
        <w:rPr>
          <w:rFonts w:ascii="Arial" w:hAnsi="Arial" w:cs="Arial"/>
          <w:sz w:val="20"/>
          <w:szCs w:val="20"/>
        </w:rPr>
      </w:pPr>
      <w:r w:rsidRPr="005E055D">
        <w:rPr>
          <w:rFonts w:ascii="Arial" w:hAnsi="Arial" w:cs="Arial"/>
          <w:sz w:val="20"/>
          <w:szCs w:val="20"/>
        </w:rPr>
        <w:t>Nandhini, V., &amp; Murugalakshmi. (2016). Role of diagnostic hysterolaparoscopy in primary</w:t>
      </w:r>
    </w:p>
    <w:p w14:paraId="3A82180C" w14:textId="69DB87D0" w:rsidR="005E055D" w:rsidRPr="005E055D" w:rsidRDefault="005E055D" w:rsidP="00B14767">
      <w:pPr>
        <w:pStyle w:val="NormalWeb"/>
        <w:spacing w:before="0" w:beforeAutospacing="0"/>
        <w:ind w:left="369"/>
        <w:contextualSpacing/>
        <w:jc w:val="both"/>
        <w:rPr>
          <w:rFonts w:ascii="Arial" w:hAnsi="Arial" w:cs="Arial"/>
          <w:sz w:val="20"/>
          <w:szCs w:val="20"/>
        </w:rPr>
      </w:pPr>
      <w:r w:rsidRPr="005E055D">
        <w:rPr>
          <w:rFonts w:ascii="Arial" w:hAnsi="Arial" w:cs="Arial"/>
          <w:sz w:val="20"/>
          <w:szCs w:val="20"/>
        </w:rPr>
        <w:t xml:space="preserve">infertility. </w:t>
      </w:r>
      <w:r w:rsidRPr="005E055D">
        <w:rPr>
          <w:rStyle w:val="Emphasis"/>
          <w:rFonts w:ascii="Arial" w:hAnsi="Arial" w:cs="Arial"/>
          <w:sz w:val="20"/>
          <w:szCs w:val="20"/>
        </w:rPr>
        <w:t>Journal of Dental and Medical Sciences, 15</w:t>
      </w:r>
      <w:r w:rsidRPr="005E055D">
        <w:rPr>
          <w:rFonts w:ascii="Arial" w:hAnsi="Arial" w:cs="Arial"/>
          <w:sz w:val="20"/>
          <w:szCs w:val="20"/>
        </w:rPr>
        <w:t>(8), 25–28.</w:t>
      </w:r>
    </w:p>
    <w:p w14:paraId="17AE026D" w14:textId="77777777" w:rsidR="00B14767" w:rsidRDefault="005E055D" w:rsidP="005E055D">
      <w:pPr>
        <w:pStyle w:val="NormalWeb"/>
        <w:spacing w:before="0" w:beforeAutospacing="0"/>
        <w:contextualSpacing/>
        <w:jc w:val="both"/>
        <w:rPr>
          <w:rFonts w:ascii="Arial" w:hAnsi="Arial" w:cs="Arial"/>
          <w:sz w:val="20"/>
          <w:szCs w:val="20"/>
        </w:rPr>
      </w:pPr>
      <w:r w:rsidRPr="005E055D">
        <w:rPr>
          <w:rFonts w:ascii="Arial" w:hAnsi="Arial" w:cs="Arial"/>
          <w:sz w:val="20"/>
          <w:szCs w:val="20"/>
        </w:rPr>
        <w:t>Ombelet, W., Cooke, I., Dyer, S., Serour, G., &amp; Devroey, P. (2008). Infertility and the</w:t>
      </w:r>
    </w:p>
    <w:p w14:paraId="2BE150F0" w14:textId="609ECA88" w:rsidR="005E055D" w:rsidRPr="005E055D" w:rsidRDefault="005E055D" w:rsidP="00B14767">
      <w:pPr>
        <w:pStyle w:val="NormalWeb"/>
        <w:spacing w:before="0" w:beforeAutospacing="0"/>
        <w:ind w:left="369"/>
        <w:contextualSpacing/>
        <w:jc w:val="both"/>
        <w:rPr>
          <w:rFonts w:ascii="Arial" w:hAnsi="Arial" w:cs="Arial"/>
          <w:sz w:val="20"/>
          <w:szCs w:val="20"/>
        </w:rPr>
      </w:pPr>
      <w:r w:rsidRPr="005E055D">
        <w:rPr>
          <w:rFonts w:ascii="Arial" w:hAnsi="Arial" w:cs="Arial"/>
          <w:sz w:val="20"/>
          <w:szCs w:val="20"/>
        </w:rPr>
        <w:t xml:space="preserve">provision of infertility medical services in developing countries. </w:t>
      </w:r>
      <w:r w:rsidRPr="005E055D">
        <w:rPr>
          <w:rStyle w:val="Emphasis"/>
          <w:rFonts w:ascii="Arial" w:hAnsi="Arial" w:cs="Arial"/>
          <w:sz w:val="20"/>
          <w:szCs w:val="20"/>
        </w:rPr>
        <w:t>Human Reproduction Update, 14</w:t>
      </w:r>
      <w:r w:rsidRPr="005E055D">
        <w:rPr>
          <w:rFonts w:ascii="Arial" w:hAnsi="Arial" w:cs="Arial"/>
          <w:sz w:val="20"/>
          <w:szCs w:val="20"/>
        </w:rPr>
        <w:t>(6), 605–621.</w:t>
      </w:r>
    </w:p>
    <w:p w14:paraId="42F78F34" w14:textId="77777777" w:rsidR="00B14767" w:rsidRDefault="005E055D" w:rsidP="005E055D">
      <w:pPr>
        <w:pStyle w:val="NormalWeb"/>
        <w:spacing w:before="0" w:beforeAutospacing="0"/>
        <w:contextualSpacing/>
        <w:jc w:val="both"/>
        <w:rPr>
          <w:rFonts w:ascii="Arial" w:hAnsi="Arial" w:cs="Arial"/>
          <w:sz w:val="20"/>
          <w:szCs w:val="20"/>
        </w:rPr>
      </w:pPr>
      <w:r w:rsidRPr="005E055D">
        <w:rPr>
          <w:rFonts w:ascii="Arial" w:hAnsi="Arial" w:cs="Arial"/>
          <w:sz w:val="20"/>
          <w:szCs w:val="20"/>
        </w:rPr>
        <w:t>Prabhu, J. R., Sivaraman, R., Srinivasan, O., &amp; Rajarathnam, S. (1988). Diagnostic</w:t>
      </w:r>
    </w:p>
    <w:p w14:paraId="7DEAD316" w14:textId="49847397" w:rsidR="005E055D" w:rsidRPr="005E055D" w:rsidRDefault="005E055D" w:rsidP="00B14767">
      <w:pPr>
        <w:pStyle w:val="NormalWeb"/>
        <w:spacing w:before="0" w:beforeAutospacing="0"/>
        <w:ind w:left="369"/>
        <w:contextualSpacing/>
        <w:jc w:val="both"/>
        <w:rPr>
          <w:rFonts w:ascii="Arial" w:hAnsi="Arial" w:cs="Arial"/>
          <w:sz w:val="20"/>
          <w:szCs w:val="20"/>
        </w:rPr>
      </w:pPr>
      <w:r w:rsidRPr="005E055D">
        <w:rPr>
          <w:rFonts w:ascii="Arial" w:hAnsi="Arial" w:cs="Arial"/>
          <w:sz w:val="20"/>
          <w:szCs w:val="20"/>
        </w:rPr>
        <w:t xml:space="preserve">laparoscopy: A review of 800 cases. </w:t>
      </w:r>
      <w:r w:rsidRPr="005E055D">
        <w:rPr>
          <w:rStyle w:val="Emphasis"/>
          <w:rFonts w:ascii="Arial" w:hAnsi="Arial" w:cs="Arial"/>
          <w:sz w:val="20"/>
          <w:szCs w:val="20"/>
        </w:rPr>
        <w:t>The Journal of Obstetrics and Gynaecology of India, 38</w:t>
      </w:r>
      <w:r w:rsidRPr="005E055D">
        <w:rPr>
          <w:rFonts w:ascii="Arial" w:hAnsi="Arial" w:cs="Arial"/>
          <w:sz w:val="20"/>
          <w:szCs w:val="20"/>
        </w:rPr>
        <w:t>, 205.</w:t>
      </w:r>
    </w:p>
    <w:p w14:paraId="2F11BE28" w14:textId="77777777" w:rsidR="00B14767" w:rsidRDefault="005E055D" w:rsidP="005E055D">
      <w:pPr>
        <w:pStyle w:val="NormalWeb"/>
        <w:spacing w:before="0" w:beforeAutospacing="0"/>
        <w:contextualSpacing/>
        <w:jc w:val="both"/>
        <w:rPr>
          <w:rFonts w:ascii="Arial" w:hAnsi="Arial" w:cs="Arial"/>
          <w:sz w:val="20"/>
          <w:szCs w:val="20"/>
        </w:rPr>
      </w:pPr>
      <w:r w:rsidRPr="005E055D">
        <w:rPr>
          <w:rFonts w:ascii="Arial" w:hAnsi="Arial" w:cs="Arial"/>
          <w:sz w:val="20"/>
          <w:szCs w:val="20"/>
        </w:rPr>
        <w:t>Practice Committee of the American Society for Reproductive Medicine. (2015). Diagnostic</w:t>
      </w:r>
    </w:p>
    <w:p w14:paraId="34B0F345" w14:textId="74781126" w:rsidR="005E055D" w:rsidRPr="005E055D" w:rsidRDefault="005E055D" w:rsidP="00B14767">
      <w:pPr>
        <w:pStyle w:val="NormalWeb"/>
        <w:spacing w:before="0" w:beforeAutospacing="0"/>
        <w:ind w:left="369"/>
        <w:contextualSpacing/>
        <w:jc w:val="both"/>
        <w:rPr>
          <w:rFonts w:ascii="Arial" w:hAnsi="Arial" w:cs="Arial"/>
          <w:sz w:val="20"/>
          <w:szCs w:val="20"/>
        </w:rPr>
      </w:pPr>
      <w:r w:rsidRPr="005E055D">
        <w:rPr>
          <w:rFonts w:ascii="Arial" w:hAnsi="Arial" w:cs="Arial"/>
          <w:sz w:val="20"/>
          <w:szCs w:val="20"/>
        </w:rPr>
        <w:t xml:space="preserve">evaluation of the infertile female: A committee opinion. </w:t>
      </w:r>
      <w:r w:rsidRPr="005E055D">
        <w:rPr>
          <w:rStyle w:val="Emphasis"/>
          <w:rFonts w:ascii="Arial" w:hAnsi="Arial" w:cs="Arial"/>
          <w:sz w:val="20"/>
          <w:szCs w:val="20"/>
        </w:rPr>
        <w:t>Fertility and Sterility, 103</w:t>
      </w:r>
      <w:r w:rsidRPr="005E055D">
        <w:rPr>
          <w:rFonts w:ascii="Arial" w:hAnsi="Arial" w:cs="Arial"/>
          <w:sz w:val="20"/>
          <w:szCs w:val="20"/>
        </w:rPr>
        <w:t>(6), e44–e50.</w:t>
      </w:r>
    </w:p>
    <w:p w14:paraId="005B0FC9" w14:textId="77777777" w:rsidR="00B14767" w:rsidRDefault="005E055D" w:rsidP="005E055D">
      <w:pPr>
        <w:pStyle w:val="NormalWeb"/>
        <w:spacing w:before="0" w:beforeAutospacing="0"/>
        <w:contextualSpacing/>
        <w:jc w:val="both"/>
        <w:rPr>
          <w:rStyle w:val="Emphasis"/>
          <w:rFonts w:ascii="Arial" w:hAnsi="Arial" w:cs="Arial"/>
          <w:sz w:val="20"/>
          <w:szCs w:val="20"/>
        </w:rPr>
      </w:pPr>
      <w:r w:rsidRPr="005E055D">
        <w:rPr>
          <w:rFonts w:ascii="Arial" w:hAnsi="Arial" w:cs="Arial"/>
          <w:sz w:val="20"/>
          <w:szCs w:val="20"/>
        </w:rPr>
        <w:t xml:space="preserve">Sholapurkar, M. L. (1986). Primary amenorrhoea: A clinical and laparoscopic study. </w:t>
      </w:r>
      <w:r w:rsidRPr="005E055D">
        <w:rPr>
          <w:rStyle w:val="Emphasis"/>
          <w:rFonts w:ascii="Arial" w:hAnsi="Arial" w:cs="Arial"/>
          <w:sz w:val="20"/>
          <w:szCs w:val="20"/>
        </w:rPr>
        <w:t>Journal</w:t>
      </w:r>
    </w:p>
    <w:p w14:paraId="037176B6" w14:textId="3CA6494A" w:rsidR="005E055D" w:rsidRPr="005E055D" w:rsidRDefault="005E055D" w:rsidP="00B14767">
      <w:pPr>
        <w:pStyle w:val="NormalWeb"/>
        <w:spacing w:before="0" w:beforeAutospacing="0"/>
        <w:ind w:left="369"/>
        <w:contextualSpacing/>
        <w:jc w:val="both"/>
        <w:rPr>
          <w:rFonts w:ascii="Arial" w:hAnsi="Arial" w:cs="Arial"/>
          <w:sz w:val="20"/>
          <w:szCs w:val="20"/>
        </w:rPr>
      </w:pPr>
      <w:r w:rsidRPr="005E055D">
        <w:rPr>
          <w:rStyle w:val="Emphasis"/>
          <w:rFonts w:ascii="Arial" w:hAnsi="Arial" w:cs="Arial"/>
          <w:sz w:val="20"/>
          <w:szCs w:val="20"/>
        </w:rPr>
        <w:t>of Obstetrics and Gynaecology of India, 36</w:t>
      </w:r>
      <w:r w:rsidRPr="005E055D">
        <w:rPr>
          <w:rFonts w:ascii="Arial" w:hAnsi="Arial" w:cs="Arial"/>
          <w:sz w:val="20"/>
          <w:szCs w:val="20"/>
        </w:rPr>
        <w:t>, 1052.</w:t>
      </w:r>
    </w:p>
    <w:p w14:paraId="591B4909" w14:textId="77777777" w:rsidR="00B14767" w:rsidRDefault="005E055D" w:rsidP="005E055D">
      <w:pPr>
        <w:pStyle w:val="NormalWeb"/>
        <w:spacing w:before="0" w:beforeAutospacing="0"/>
        <w:contextualSpacing/>
        <w:jc w:val="both"/>
        <w:rPr>
          <w:rFonts w:ascii="Arial" w:hAnsi="Arial" w:cs="Arial"/>
          <w:sz w:val="20"/>
          <w:szCs w:val="20"/>
        </w:rPr>
      </w:pPr>
      <w:r w:rsidRPr="005E055D">
        <w:rPr>
          <w:rFonts w:ascii="Arial" w:hAnsi="Arial" w:cs="Arial"/>
          <w:sz w:val="20"/>
          <w:szCs w:val="20"/>
        </w:rPr>
        <w:t>Soni, M., &amp; Kumari, S. (2018). Prospective evaluation of causes of infertility at a tertiary care</w:t>
      </w:r>
    </w:p>
    <w:p w14:paraId="32E3D306" w14:textId="7CBF62CB" w:rsidR="005E055D" w:rsidRPr="005E055D" w:rsidRDefault="005E055D" w:rsidP="00B14767">
      <w:pPr>
        <w:pStyle w:val="NormalWeb"/>
        <w:spacing w:before="0" w:beforeAutospacing="0"/>
        <w:ind w:left="369"/>
        <w:contextualSpacing/>
        <w:jc w:val="both"/>
        <w:rPr>
          <w:rFonts w:ascii="Arial" w:hAnsi="Arial" w:cs="Arial"/>
          <w:sz w:val="20"/>
          <w:szCs w:val="20"/>
        </w:rPr>
      </w:pPr>
      <w:r w:rsidRPr="005E055D">
        <w:rPr>
          <w:rFonts w:ascii="Arial" w:hAnsi="Arial" w:cs="Arial"/>
          <w:sz w:val="20"/>
          <w:szCs w:val="20"/>
        </w:rPr>
        <w:t xml:space="preserve">hospital. </w:t>
      </w:r>
      <w:r w:rsidRPr="005E055D">
        <w:rPr>
          <w:rStyle w:val="Emphasis"/>
          <w:rFonts w:ascii="Arial" w:hAnsi="Arial" w:cs="Arial"/>
          <w:sz w:val="20"/>
          <w:szCs w:val="20"/>
        </w:rPr>
        <w:t>International Journal of Research in Medical Sciences, 6</w:t>
      </w:r>
      <w:r w:rsidRPr="005E055D">
        <w:rPr>
          <w:rFonts w:ascii="Arial" w:hAnsi="Arial" w:cs="Arial"/>
          <w:sz w:val="20"/>
          <w:szCs w:val="20"/>
        </w:rPr>
        <w:t>, 3988–3992.</w:t>
      </w:r>
    </w:p>
    <w:p w14:paraId="7DA76370" w14:textId="77777777" w:rsidR="00B14767" w:rsidRDefault="005E055D" w:rsidP="005E055D">
      <w:pPr>
        <w:pStyle w:val="NormalWeb"/>
        <w:spacing w:before="0" w:beforeAutospacing="0"/>
        <w:contextualSpacing/>
        <w:jc w:val="both"/>
        <w:rPr>
          <w:rFonts w:ascii="Arial" w:hAnsi="Arial" w:cs="Arial"/>
          <w:sz w:val="20"/>
          <w:szCs w:val="20"/>
        </w:rPr>
      </w:pPr>
      <w:r w:rsidRPr="005E055D">
        <w:rPr>
          <w:rFonts w:ascii="Arial" w:hAnsi="Arial" w:cs="Arial"/>
          <w:sz w:val="20"/>
          <w:szCs w:val="20"/>
        </w:rPr>
        <w:t>Sud, K., Malan, R., Saxena, P., &amp; Thakur, K. (1987). Analysis of 300 diagnostic</w:t>
      </w:r>
    </w:p>
    <w:p w14:paraId="69235BC7" w14:textId="2090BEAA" w:rsidR="005E055D" w:rsidRPr="005E055D" w:rsidRDefault="005E055D" w:rsidP="00B14767">
      <w:pPr>
        <w:pStyle w:val="NormalWeb"/>
        <w:spacing w:before="0" w:beforeAutospacing="0"/>
        <w:ind w:left="369"/>
        <w:contextualSpacing/>
        <w:jc w:val="both"/>
        <w:rPr>
          <w:rFonts w:ascii="Arial" w:hAnsi="Arial" w:cs="Arial"/>
          <w:sz w:val="20"/>
          <w:szCs w:val="20"/>
        </w:rPr>
      </w:pPr>
      <w:r w:rsidRPr="005E055D">
        <w:rPr>
          <w:rFonts w:ascii="Arial" w:hAnsi="Arial" w:cs="Arial"/>
          <w:sz w:val="20"/>
          <w:szCs w:val="20"/>
        </w:rPr>
        <w:t xml:space="preserve">laparoscopies. </w:t>
      </w:r>
      <w:r w:rsidRPr="005E055D">
        <w:rPr>
          <w:rStyle w:val="Emphasis"/>
          <w:rFonts w:ascii="Arial" w:hAnsi="Arial" w:cs="Arial"/>
          <w:sz w:val="20"/>
          <w:szCs w:val="20"/>
        </w:rPr>
        <w:t>Journal of Obstetrics and Gynaecology of India, 37</w:t>
      </w:r>
      <w:r w:rsidRPr="005E055D">
        <w:rPr>
          <w:rFonts w:ascii="Arial" w:hAnsi="Arial" w:cs="Arial"/>
          <w:sz w:val="20"/>
          <w:szCs w:val="20"/>
        </w:rPr>
        <w:t>, 156.</w:t>
      </w:r>
    </w:p>
    <w:p w14:paraId="2DF25A5F" w14:textId="77777777" w:rsidR="00B14767" w:rsidRDefault="005E055D" w:rsidP="005E055D">
      <w:pPr>
        <w:pStyle w:val="NormalWeb"/>
        <w:spacing w:before="0" w:beforeAutospacing="0"/>
        <w:contextualSpacing/>
        <w:jc w:val="both"/>
        <w:rPr>
          <w:rFonts w:ascii="Arial" w:hAnsi="Arial" w:cs="Arial"/>
          <w:sz w:val="20"/>
          <w:szCs w:val="20"/>
        </w:rPr>
      </w:pPr>
      <w:r w:rsidRPr="005E055D">
        <w:rPr>
          <w:rFonts w:ascii="Arial" w:hAnsi="Arial" w:cs="Arial"/>
          <w:sz w:val="20"/>
          <w:szCs w:val="20"/>
        </w:rPr>
        <w:t>Sudha, G., &amp; Reddy, K. S. (2013). Causes of female infertility: A cross-sectional study.</w:t>
      </w:r>
    </w:p>
    <w:p w14:paraId="0C84CFE4" w14:textId="31B16920" w:rsidR="005E055D" w:rsidRPr="005E055D" w:rsidRDefault="005E055D" w:rsidP="00B14767">
      <w:pPr>
        <w:pStyle w:val="NormalWeb"/>
        <w:spacing w:before="0" w:beforeAutospacing="0"/>
        <w:ind w:left="369"/>
        <w:contextualSpacing/>
        <w:jc w:val="both"/>
        <w:rPr>
          <w:rFonts w:ascii="Arial" w:hAnsi="Arial" w:cs="Arial"/>
          <w:sz w:val="20"/>
          <w:szCs w:val="20"/>
        </w:rPr>
      </w:pPr>
      <w:r w:rsidRPr="005E055D">
        <w:rPr>
          <w:rStyle w:val="Emphasis"/>
          <w:rFonts w:ascii="Arial" w:hAnsi="Arial" w:cs="Arial"/>
          <w:sz w:val="20"/>
          <w:szCs w:val="20"/>
        </w:rPr>
        <w:t>International Journal of Latest Research in Science and Technology, 2</w:t>
      </w:r>
      <w:r w:rsidRPr="005E055D">
        <w:rPr>
          <w:rFonts w:ascii="Arial" w:hAnsi="Arial" w:cs="Arial"/>
          <w:sz w:val="20"/>
          <w:szCs w:val="20"/>
        </w:rPr>
        <w:t>(6), 119–123.</w:t>
      </w:r>
    </w:p>
    <w:p w14:paraId="1C2F19F3" w14:textId="77777777" w:rsidR="00B14767" w:rsidRDefault="005E055D" w:rsidP="005E055D">
      <w:pPr>
        <w:pStyle w:val="NormalWeb"/>
        <w:spacing w:before="0" w:beforeAutospacing="0"/>
        <w:contextualSpacing/>
        <w:jc w:val="both"/>
        <w:rPr>
          <w:rFonts w:ascii="Arial" w:hAnsi="Arial" w:cs="Arial"/>
          <w:sz w:val="20"/>
          <w:szCs w:val="20"/>
        </w:rPr>
      </w:pPr>
      <w:r w:rsidRPr="005E055D">
        <w:rPr>
          <w:rFonts w:ascii="Arial" w:hAnsi="Arial" w:cs="Arial"/>
          <w:sz w:val="20"/>
          <w:szCs w:val="20"/>
        </w:rPr>
        <w:t>Templeton, A. A., &amp; Kerr, M. G. (1977). An assessment of laparoscopy as the primary</w:t>
      </w:r>
    </w:p>
    <w:p w14:paraId="5E281533" w14:textId="02E4C952" w:rsidR="005E055D" w:rsidRPr="005E055D" w:rsidRDefault="005E055D" w:rsidP="00B14767">
      <w:pPr>
        <w:pStyle w:val="NormalWeb"/>
        <w:spacing w:before="0" w:beforeAutospacing="0"/>
        <w:ind w:left="369"/>
        <w:contextualSpacing/>
        <w:jc w:val="both"/>
        <w:rPr>
          <w:rFonts w:ascii="Arial" w:hAnsi="Arial" w:cs="Arial"/>
          <w:sz w:val="20"/>
          <w:szCs w:val="20"/>
        </w:rPr>
      </w:pPr>
      <w:r w:rsidRPr="005E055D">
        <w:rPr>
          <w:rFonts w:ascii="Arial" w:hAnsi="Arial" w:cs="Arial"/>
          <w:sz w:val="20"/>
          <w:szCs w:val="20"/>
        </w:rPr>
        <w:t xml:space="preserve">investigation in the subfertile female. </w:t>
      </w:r>
      <w:r w:rsidRPr="005E055D">
        <w:rPr>
          <w:rStyle w:val="Emphasis"/>
          <w:rFonts w:ascii="Arial" w:hAnsi="Arial" w:cs="Arial"/>
          <w:sz w:val="20"/>
          <w:szCs w:val="20"/>
        </w:rPr>
        <w:t>British Journal of Obstetrics and Gynaecology, 84</w:t>
      </w:r>
      <w:r w:rsidRPr="005E055D">
        <w:rPr>
          <w:rFonts w:ascii="Arial" w:hAnsi="Arial" w:cs="Arial"/>
          <w:sz w:val="20"/>
          <w:szCs w:val="20"/>
        </w:rPr>
        <w:t>(10), 760–762.</w:t>
      </w:r>
    </w:p>
    <w:p w14:paraId="1FD65902" w14:textId="77777777" w:rsidR="00B14767" w:rsidRDefault="005E055D" w:rsidP="005E055D">
      <w:pPr>
        <w:pStyle w:val="NormalWeb"/>
        <w:spacing w:before="0" w:beforeAutospacing="0"/>
        <w:contextualSpacing/>
        <w:jc w:val="both"/>
        <w:rPr>
          <w:rFonts w:ascii="Arial" w:hAnsi="Arial" w:cs="Arial"/>
          <w:sz w:val="20"/>
          <w:szCs w:val="20"/>
        </w:rPr>
      </w:pPr>
      <w:r w:rsidRPr="005E055D">
        <w:rPr>
          <w:rFonts w:ascii="Arial" w:hAnsi="Arial" w:cs="Arial"/>
          <w:sz w:val="20"/>
          <w:szCs w:val="20"/>
        </w:rPr>
        <w:t>Thatipelli, R. C., Parunandi, Y., Nousheen, S., Shenkeshi, S., Fathima, H., &amp; Anitha, A.</w:t>
      </w:r>
    </w:p>
    <w:p w14:paraId="42C22848" w14:textId="4C871598" w:rsidR="005E055D" w:rsidRPr="005E055D" w:rsidRDefault="005E055D" w:rsidP="00B14767">
      <w:pPr>
        <w:pStyle w:val="NormalWeb"/>
        <w:spacing w:before="0" w:beforeAutospacing="0"/>
        <w:ind w:left="369"/>
        <w:contextualSpacing/>
        <w:jc w:val="both"/>
        <w:rPr>
          <w:rFonts w:ascii="Arial" w:hAnsi="Arial" w:cs="Arial"/>
          <w:sz w:val="20"/>
          <w:szCs w:val="20"/>
        </w:rPr>
      </w:pPr>
      <w:r w:rsidRPr="005E055D">
        <w:rPr>
          <w:rFonts w:ascii="Arial" w:hAnsi="Arial" w:cs="Arial"/>
          <w:sz w:val="20"/>
          <w:szCs w:val="20"/>
        </w:rPr>
        <w:t xml:space="preserve">(2024). An observational study on causes of female infertility. </w:t>
      </w:r>
      <w:r w:rsidRPr="005E055D">
        <w:rPr>
          <w:rStyle w:val="Emphasis"/>
          <w:rFonts w:ascii="Arial" w:hAnsi="Arial" w:cs="Arial"/>
          <w:sz w:val="20"/>
          <w:szCs w:val="20"/>
        </w:rPr>
        <w:t>International Journal of Reproduction, Contraception, Obstetrics and Gynecology, 13</w:t>
      </w:r>
      <w:r w:rsidRPr="005E055D">
        <w:rPr>
          <w:rFonts w:ascii="Arial" w:hAnsi="Arial" w:cs="Arial"/>
          <w:sz w:val="20"/>
          <w:szCs w:val="20"/>
        </w:rPr>
        <w:t>, 2450–2456.</w:t>
      </w:r>
    </w:p>
    <w:p w14:paraId="0B8CC7D5" w14:textId="77777777" w:rsidR="005E055D" w:rsidRDefault="005E055D" w:rsidP="00B9585C">
      <w:pPr>
        <w:contextualSpacing/>
        <w:jc w:val="both"/>
        <w:rPr>
          <w:rFonts w:ascii="Arial" w:hAnsi="Arial" w:cs="Arial"/>
          <w:color w:val="FF0000"/>
          <w:lang w:eastAsia="en-IN"/>
        </w:rPr>
      </w:pPr>
    </w:p>
    <w:sectPr w:rsidR="005E055D" w:rsidSect="004415CE">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2E57A8" w14:textId="77777777" w:rsidR="0011746A" w:rsidRDefault="0011746A" w:rsidP="00C37E61">
      <w:r>
        <w:separator/>
      </w:r>
    </w:p>
  </w:endnote>
  <w:endnote w:type="continuationSeparator" w:id="0">
    <w:p w14:paraId="419FDACB" w14:textId="77777777" w:rsidR="0011746A" w:rsidRDefault="0011746A"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86158" w14:textId="77777777" w:rsidR="004415CE" w:rsidRDefault="004415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C08B2" w14:textId="77777777" w:rsidR="004415CE" w:rsidRDefault="004415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71BA9E" w14:textId="47FAAC49" w:rsidR="00754C9A" w:rsidRPr="008567EB" w:rsidRDefault="00754C9A" w:rsidP="008567EB">
    <w:pPr>
      <w:pStyle w:val="Footer"/>
    </w:pPr>
    <w:bookmarkStart w:id="0" w:name="_GoBack"/>
    <w:bookmarkEnd w:id="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CC4622" w14:textId="77777777" w:rsidR="0011746A" w:rsidRDefault="0011746A" w:rsidP="00C37E61">
      <w:r>
        <w:separator/>
      </w:r>
    </w:p>
  </w:footnote>
  <w:footnote w:type="continuationSeparator" w:id="0">
    <w:p w14:paraId="606A68E1" w14:textId="77777777" w:rsidR="0011746A" w:rsidRDefault="0011746A"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8B8934" w14:textId="73A5FE44" w:rsidR="004415CE" w:rsidRDefault="004415CE">
    <w:pPr>
      <w:pStyle w:val="Header"/>
    </w:pPr>
    <w:r>
      <w:rPr>
        <w:noProof/>
      </w:rPr>
      <w:pict w14:anchorId="49E510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054516"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6CA25F" w14:textId="52B7C3AA" w:rsidR="004415CE" w:rsidRDefault="004415CE">
    <w:pPr>
      <w:pStyle w:val="Header"/>
    </w:pPr>
    <w:r>
      <w:rPr>
        <w:noProof/>
      </w:rPr>
      <w:pict w14:anchorId="327BCE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054517"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3EA47" w14:textId="730D3ECC" w:rsidR="00296529" w:rsidRPr="00296529" w:rsidRDefault="004415CE" w:rsidP="00296529">
    <w:pPr>
      <w:ind w:left="2160"/>
      <w:jc w:val="center"/>
      <w:rPr>
        <w:rFonts w:ascii="Times New Roman" w:eastAsia="Calibri" w:hAnsi="Times New Roman"/>
        <w:i/>
        <w:sz w:val="18"/>
        <w:szCs w:val="22"/>
      </w:rPr>
    </w:pPr>
    <w:r>
      <w:rPr>
        <w:noProof/>
      </w:rPr>
      <w:pict w14:anchorId="03FBEF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054515"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78DF7776"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2FF6E99F"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2E6D4710"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314C0389"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4C3066A0"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77DDE961" w14:textId="77777777" w:rsidR="00296529" w:rsidRDefault="00754C9A">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F900A70"/>
    <w:multiLevelType w:val="multilevel"/>
    <w:tmpl w:val="1F900A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C5B4998"/>
    <w:multiLevelType w:val="hybridMultilevel"/>
    <w:tmpl w:val="3AE8559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8"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2" w15:restartNumberingAfterBreak="0">
    <w:nsid w:val="71B87918"/>
    <w:multiLevelType w:val="hybridMultilevel"/>
    <w:tmpl w:val="B67C2ED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5"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7"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7"/>
  </w:num>
  <w:num w:numId="3">
    <w:abstractNumId w:val="26"/>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4"/>
  </w:num>
  <w:num w:numId="9">
    <w:abstractNumId w:val="28"/>
  </w:num>
  <w:num w:numId="10">
    <w:abstractNumId w:val="2"/>
  </w:num>
  <w:num w:numId="11">
    <w:abstractNumId w:val="20"/>
  </w:num>
  <w:num w:numId="12">
    <w:abstractNumId w:val="3"/>
  </w:num>
  <w:num w:numId="13">
    <w:abstractNumId w:val="19"/>
  </w:num>
  <w:num w:numId="14">
    <w:abstractNumId w:val="8"/>
  </w:num>
  <w:num w:numId="15">
    <w:abstractNumId w:val="24"/>
  </w:num>
  <w:num w:numId="16">
    <w:abstractNumId w:val="5"/>
  </w:num>
  <w:num w:numId="17">
    <w:abstractNumId w:val="25"/>
  </w:num>
  <w:num w:numId="18">
    <w:abstractNumId w:val="16"/>
  </w:num>
  <w:num w:numId="19">
    <w:abstractNumId w:val="31"/>
  </w:num>
  <w:num w:numId="20">
    <w:abstractNumId w:val="12"/>
  </w:num>
  <w:num w:numId="21">
    <w:abstractNumId w:val="10"/>
  </w:num>
  <w:num w:numId="22">
    <w:abstractNumId w:val="15"/>
  </w:num>
  <w:num w:numId="23">
    <w:abstractNumId w:val="21"/>
  </w:num>
  <w:num w:numId="24">
    <w:abstractNumId w:val="29"/>
  </w:num>
  <w:num w:numId="25">
    <w:abstractNumId w:val="4"/>
  </w:num>
  <w:num w:numId="26">
    <w:abstractNumId w:val="18"/>
  </w:num>
  <w:num w:numId="27">
    <w:abstractNumId w:val="23"/>
  </w:num>
  <w:num w:numId="28">
    <w:abstractNumId w:val="30"/>
  </w:num>
  <w:num w:numId="29">
    <w:abstractNumId w:val="27"/>
  </w:num>
  <w:num w:numId="30">
    <w:abstractNumId w:val="11"/>
  </w:num>
  <w:num w:numId="31">
    <w:abstractNumId w:val="22"/>
  </w:num>
  <w:num w:numId="32">
    <w:abstractNumId w:val="13"/>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30174"/>
    <w:rsid w:val="0004579C"/>
    <w:rsid w:val="00067D1B"/>
    <w:rsid w:val="000955B7"/>
    <w:rsid w:val="000A47FA"/>
    <w:rsid w:val="000A65D3"/>
    <w:rsid w:val="000B1E33"/>
    <w:rsid w:val="000D689F"/>
    <w:rsid w:val="000E7B7B"/>
    <w:rsid w:val="000E7D62"/>
    <w:rsid w:val="00103357"/>
    <w:rsid w:val="0011746A"/>
    <w:rsid w:val="00123C9F"/>
    <w:rsid w:val="00126190"/>
    <w:rsid w:val="00130F17"/>
    <w:rsid w:val="001320BF"/>
    <w:rsid w:val="00141D03"/>
    <w:rsid w:val="001426B4"/>
    <w:rsid w:val="00163BC4"/>
    <w:rsid w:val="0017179F"/>
    <w:rsid w:val="00191062"/>
    <w:rsid w:val="00192B72"/>
    <w:rsid w:val="001A29D8"/>
    <w:rsid w:val="001A5608"/>
    <w:rsid w:val="001A5CAA"/>
    <w:rsid w:val="001B0427"/>
    <w:rsid w:val="001D3A51"/>
    <w:rsid w:val="001E10D2"/>
    <w:rsid w:val="001E25B4"/>
    <w:rsid w:val="001E44FE"/>
    <w:rsid w:val="00200595"/>
    <w:rsid w:val="00200F9A"/>
    <w:rsid w:val="00204835"/>
    <w:rsid w:val="00210804"/>
    <w:rsid w:val="00231920"/>
    <w:rsid w:val="0023195C"/>
    <w:rsid w:val="0024282C"/>
    <w:rsid w:val="002460DC"/>
    <w:rsid w:val="00250985"/>
    <w:rsid w:val="002556F6"/>
    <w:rsid w:val="00283105"/>
    <w:rsid w:val="00284C4C"/>
    <w:rsid w:val="00287E68"/>
    <w:rsid w:val="00296529"/>
    <w:rsid w:val="002A1E26"/>
    <w:rsid w:val="002B27FB"/>
    <w:rsid w:val="002B685A"/>
    <w:rsid w:val="002C57D2"/>
    <w:rsid w:val="002C7401"/>
    <w:rsid w:val="002E0D56"/>
    <w:rsid w:val="00315186"/>
    <w:rsid w:val="0033343E"/>
    <w:rsid w:val="003512C2"/>
    <w:rsid w:val="00371FB6"/>
    <w:rsid w:val="003763C1"/>
    <w:rsid w:val="00376BBE"/>
    <w:rsid w:val="00382A24"/>
    <w:rsid w:val="0039224F"/>
    <w:rsid w:val="003A43A4"/>
    <w:rsid w:val="003A7E18"/>
    <w:rsid w:val="003C4C86"/>
    <w:rsid w:val="003C6258"/>
    <w:rsid w:val="003E2904"/>
    <w:rsid w:val="003E35B4"/>
    <w:rsid w:val="003F5AD1"/>
    <w:rsid w:val="00401927"/>
    <w:rsid w:val="0041027F"/>
    <w:rsid w:val="00412475"/>
    <w:rsid w:val="00423789"/>
    <w:rsid w:val="00440F43"/>
    <w:rsid w:val="004415CE"/>
    <w:rsid w:val="00441B6F"/>
    <w:rsid w:val="00446221"/>
    <w:rsid w:val="00450E62"/>
    <w:rsid w:val="004539DB"/>
    <w:rsid w:val="00471A80"/>
    <w:rsid w:val="004D305E"/>
    <w:rsid w:val="004D4277"/>
    <w:rsid w:val="00502516"/>
    <w:rsid w:val="00505F06"/>
    <w:rsid w:val="00506828"/>
    <w:rsid w:val="0053056E"/>
    <w:rsid w:val="00535BDD"/>
    <w:rsid w:val="00552E1C"/>
    <w:rsid w:val="00554FDA"/>
    <w:rsid w:val="005C784C"/>
    <w:rsid w:val="005D17F6"/>
    <w:rsid w:val="005D7A06"/>
    <w:rsid w:val="005E055D"/>
    <w:rsid w:val="005E5539"/>
    <w:rsid w:val="00602BF5"/>
    <w:rsid w:val="00617FDD"/>
    <w:rsid w:val="00633614"/>
    <w:rsid w:val="00633F68"/>
    <w:rsid w:val="00636EB2"/>
    <w:rsid w:val="006375B8"/>
    <w:rsid w:val="00643CB0"/>
    <w:rsid w:val="006600F5"/>
    <w:rsid w:val="00661CF8"/>
    <w:rsid w:val="0066510A"/>
    <w:rsid w:val="00673F9F"/>
    <w:rsid w:val="0068086B"/>
    <w:rsid w:val="00686953"/>
    <w:rsid w:val="00687DEA"/>
    <w:rsid w:val="00687E67"/>
    <w:rsid w:val="006967F7"/>
    <w:rsid w:val="006A250C"/>
    <w:rsid w:val="006B0FBA"/>
    <w:rsid w:val="006B21D3"/>
    <w:rsid w:val="006B57D0"/>
    <w:rsid w:val="006D30FF"/>
    <w:rsid w:val="006D6940"/>
    <w:rsid w:val="006E087A"/>
    <w:rsid w:val="006E0F55"/>
    <w:rsid w:val="006F11EC"/>
    <w:rsid w:val="0070082C"/>
    <w:rsid w:val="00735C54"/>
    <w:rsid w:val="007369E6"/>
    <w:rsid w:val="00741D53"/>
    <w:rsid w:val="00746E59"/>
    <w:rsid w:val="00754C9A"/>
    <w:rsid w:val="0075599A"/>
    <w:rsid w:val="00761D52"/>
    <w:rsid w:val="0077749E"/>
    <w:rsid w:val="00790ADA"/>
    <w:rsid w:val="007D2288"/>
    <w:rsid w:val="007E088F"/>
    <w:rsid w:val="007F7B32"/>
    <w:rsid w:val="00804BC2"/>
    <w:rsid w:val="0081431A"/>
    <w:rsid w:val="0083216F"/>
    <w:rsid w:val="008567EB"/>
    <w:rsid w:val="00860000"/>
    <w:rsid w:val="00863BD3"/>
    <w:rsid w:val="008641ED"/>
    <w:rsid w:val="0086517F"/>
    <w:rsid w:val="00866D66"/>
    <w:rsid w:val="008671C6"/>
    <w:rsid w:val="00875803"/>
    <w:rsid w:val="008B459E"/>
    <w:rsid w:val="008E13AE"/>
    <w:rsid w:val="008E1506"/>
    <w:rsid w:val="008E710C"/>
    <w:rsid w:val="008F69D6"/>
    <w:rsid w:val="00902823"/>
    <w:rsid w:val="00915CA6"/>
    <w:rsid w:val="00927834"/>
    <w:rsid w:val="009500A6"/>
    <w:rsid w:val="00952F09"/>
    <w:rsid w:val="00957C18"/>
    <w:rsid w:val="009659BA"/>
    <w:rsid w:val="00983040"/>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94063"/>
    <w:rsid w:val="00AA32A7"/>
    <w:rsid w:val="00AA6219"/>
    <w:rsid w:val="00AA74E0"/>
    <w:rsid w:val="00AB703F"/>
    <w:rsid w:val="00AC6BB8"/>
    <w:rsid w:val="00AE008F"/>
    <w:rsid w:val="00B01FCD"/>
    <w:rsid w:val="00B14767"/>
    <w:rsid w:val="00B1776C"/>
    <w:rsid w:val="00B30BC2"/>
    <w:rsid w:val="00B352AE"/>
    <w:rsid w:val="00B52583"/>
    <w:rsid w:val="00B52896"/>
    <w:rsid w:val="00B71396"/>
    <w:rsid w:val="00B918A2"/>
    <w:rsid w:val="00B95236"/>
    <w:rsid w:val="00B9585C"/>
    <w:rsid w:val="00B96BD9"/>
    <w:rsid w:val="00BA1B01"/>
    <w:rsid w:val="00BA2641"/>
    <w:rsid w:val="00BB37AA"/>
    <w:rsid w:val="00BC53A0"/>
    <w:rsid w:val="00BE62AD"/>
    <w:rsid w:val="00BF121F"/>
    <w:rsid w:val="00BF1F80"/>
    <w:rsid w:val="00C166EF"/>
    <w:rsid w:val="00C17EB0"/>
    <w:rsid w:val="00C27F5F"/>
    <w:rsid w:val="00C30A0F"/>
    <w:rsid w:val="00C33C42"/>
    <w:rsid w:val="00C37E61"/>
    <w:rsid w:val="00C479A5"/>
    <w:rsid w:val="00C543B7"/>
    <w:rsid w:val="00C70F1B"/>
    <w:rsid w:val="00C71A47"/>
    <w:rsid w:val="00C7464C"/>
    <w:rsid w:val="00C81C24"/>
    <w:rsid w:val="00C85588"/>
    <w:rsid w:val="00CD6755"/>
    <w:rsid w:val="00CD6856"/>
    <w:rsid w:val="00CE0089"/>
    <w:rsid w:val="00CE5965"/>
    <w:rsid w:val="00CE793C"/>
    <w:rsid w:val="00CF193C"/>
    <w:rsid w:val="00D173F1"/>
    <w:rsid w:val="00D5539D"/>
    <w:rsid w:val="00D74CB0"/>
    <w:rsid w:val="00D8295D"/>
    <w:rsid w:val="00DC2A65"/>
    <w:rsid w:val="00DC41A0"/>
    <w:rsid w:val="00DE15F0"/>
    <w:rsid w:val="00DE5663"/>
    <w:rsid w:val="00DE78AA"/>
    <w:rsid w:val="00E053D0"/>
    <w:rsid w:val="00E15994"/>
    <w:rsid w:val="00E210DE"/>
    <w:rsid w:val="00E3114E"/>
    <w:rsid w:val="00E31A70"/>
    <w:rsid w:val="00E35B02"/>
    <w:rsid w:val="00E43C0A"/>
    <w:rsid w:val="00E55E9D"/>
    <w:rsid w:val="00E66496"/>
    <w:rsid w:val="00E66B35"/>
    <w:rsid w:val="00E66E10"/>
    <w:rsid w:val="00E67EB4"/>
    <w:rsid w:val="00E769F6"/>
    <w:rsid w:val="00E8407C"/>
    <w:rsid w:val="00E84F3C"/>
    <w:rsid w:val="00EA012C"/>
    <w:rsid w:val="00EC6A55"/>
    <w:rsid w:val="00ED0288"/>
    <w:rsid w:val="00EE231C"/>
    <w:rsid w:val="00EE52CB"/>
    <w:rsid w:val="00EF581D"/>
    <w:rsid w:val="00EF7FD8"/>
    <w:rsid w:val="00F06F59"/>
    <w:rsid w:val="00F17988"/>
    <w:rsid w:val="00F469F0"/>
    <w:rsid w:val="00F53273"/>
    <w:rsid w:val="00F755E4"/>
    <w:rsid w:val="00F77D02"/>
    <w:rsid w:val="00FB3A86"/>
    <w:rsid w:val="00FD36C8"/>
    <w:rsid w:val="00FF14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rules v:ext="edit">
        <o:r id="V:Rule1" type="connector" idref="#_x0000_s1026"/>
      </o:rules>
    </o:shapelayout>
  </w:shapeDefaults>
  <w:decimalSymbol w:val="."/>
  <w:listSeparator w:val=","/>
  <w14:docId w14:val="1D42D5CB"/>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NormalWeb">
    <w:name w:val="Normal (Web)"/>
    <w:basedOn w:val="Normal"/>
    <w:uiPriority w:val="99"/>
    <w:semiHidden/>
    <w:unhideWhenUsed/>
    <w:rsid w:val="005E055D"/>
    <w:pPr>
      <w:spacing w:before="100" w:beforeAutospacing="1" w:after="100" w:afterAutospacing="1"/>
    </w:pPr>
    <w:rPr>
      <w:rFonts w:ascii="Times New Roman" w:hAnsi="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9603AC-A489-4F37-830D-4B2B7A8CD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127</TotalTime>
  <Pages>10</Pages>
  <Words>3397</Words>
  <Characters>19369</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22721</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62</cp:revision>
  <cp:lastPrinted>1999-07-06T11:00:00Z</cp:lastPrinted>
  <dcterms:created xsi:type="dcterms:W3CDTF">2014-10-25T14:34:00Z</dcterms:created>
  <dcterms:modified xsi:type="dcterms:W3CDTF">2025-08-07T10:07:00Z</dcterms:modified>
</cp:coreProperties>
</file>