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5E240" w14:textId="41C105E4" w:rsidR="00704040" w:rsidRPr="00704040" w:rsidRDefault="00704040" w:rsidP="001B3FF0">
      <w:pPr>
        <w:spacing w:line="240" w:lineRule="auto"/>
        <w:jc w:val="right"/>
        <w:rPr>
          <w:rFonts w:ascii="Times New Roman" w:hAnsi="Times New Roman" w:cs="Times New Roman"/>
          <w:b/>
          <w:sz w:val="36"/>
          <w:szCs w:val="24"/>
          <w:u w:val="single"/>
          <w:lang w:val="en-US"/>
        </w:rPr>
      </w:pPr>
      <w:r w:rsidRPr="00704040">
        <w:rPr>
          <w:rFonts w:ascii="Times New Roman" w:hAnsi="Times New Roman" w:cs="Times New Roman"/>
          <w:b/>
          <w:sz w:val="36"/>
          <w:szCs w:val="24"/>
          <w:u w:val="single"/>
          <w:lang w:val="en-US"/>
        </w:rPr>
        <w:t>Original Research Article</w:t>
      </w:r>
    </w:p>
    <w:p w14:paraId="5F66A610" w14:textId="1CD1DFDD" w:rsidR="00872BD3" w:rsidRPr="00FC32F4" w:rsidRDefault="00FC32F4" w:rsidP="001B3FF0">
      <w:pPr>
        <w:spacing w:line="240" w:lineRule="auto"/>
        <w:jc w:val="right"/>
        <w:rPr>
          <w:rFonts w:ascii="Times New Roman" w:hAnsi="Times New Roman" w:cs="Times New Roman"/>
          <w:b/>
          <w:sz w:val="24"/>
          <w:szCs w:val="24"/>
          <w:lang w:val="en-US"/>
        </w:rPr>
      </w:pPr>
      <w:r w:rsidRPr="001B6592">
        <w:rPr>
          <w:rFonts w:ascii="Times New Roman" w:hAnsi="Times New Roman" w:cs="Times New Roman"/>
          <w:b/>
          <w:sz w:val="36"/>
          <w:szCs w:val="24"/>
          <w:lang w:val="en-US"/>
        </w:rPr>
        <w:t>A Qualitative Study on Community Mental Health Nurses' Perspectives Regarding the Assessment of Common Mental Disorders in Primary Mental Healthcare in Ghana</w:t>
      </w:r>
      <w:r w:rsidRPr="00FC32F4">
        <w:rPr>
          <w:rFonts w:ascii="Times New Roman" w:hAnsi="Times New Roman" w:cs="Times New Roman"/>
          <w:b/>
          <w:sz w:val="24"/>
          <w:szCs w:val="24"/>
          <w:lang w:val="en-US"/>
        </w:rPr>
        <w:t xml:space="preserve">  </w:t>
      </w:r>
    </w:p>
    <w:p w14:paraId="1E09CEB7" w14:textId="77777777" w:rsidR="004C4FB3" w:rsidRDefault="004C4FB3" w:rsidP="00872BD3">
      <w:pPr>
        <w:spacing w:line="480" w:lineRule="auto"/>
        <w:jc w:val="both"/>
        <w:rPr>
          <w:rFonts w:ascii="Times New Roman" w:hAnsi="Times New Roman" w:cs="Times New Roman"/>
          <w:b/>
          <w:sz w:val="24"/>
          <w:szCs w:val="24"/>
          <w:lang w:val="en-US"/>
        </w:rPr>
      </w:pPr>
    </w:p>
    <w:p w14:paraId="794BFC06" w14:textId="77777777" w:rsidR="00872BD3" w:rsidRPr="00EE62D4" w:rsidRDefault="00872BD3" w:rsidP="00872BD3">
      <w:pPr>
        <w:spacing w:line="480" w:lineRule="auto"/>
        <w:jc w:val="both"/>
        <w:rPr>
          <w:rFonts w:ascii="Arial" w:hAnsi="Arial" w:cs="Arial"/>
          <w:b/>
          <w:sz w:val="24"/>
          <w:szCs w:val="24"/>
          <w:lang w:val="en-US"/>
        </w:rPr>
      </w:pPr>
      <w:r w:rsidRPr="00EE62D4">
        <w:rPr>
          <w:rFonts w:ascii="Arial" w:hAnsi="Arial" w:cs="Arial"/>
          <w:b/>
          <w:sz w:val="24"/>
          <w:szCs w:val="24"/>
          <w:lang w:val="en-US"/>
        </w:rPr>
        <w:t xml:space="preserve">ABSTRACT </w:t>
      </w:r>
    </w:p>
    <w:p w14:paraId="73105F33" w14:textId="77777777" w:rsidR="00E862FB" w:rsidRPr="00EE62D4" w:rsidRDefault="00E862FB" w:rsidP="00872BD3">
      <w:pPr>
        <w:spacing w:line="480" w:lineRule="auto"/>
        <w:jc w:val="both"/>
        <w:rPr>
          <w:rFonts w:ascii="Arial" w:hAnsi="Arial" w:cs="Arial"/>
          <w:b/>
          <w:sz w:val="24"/>
          <w:szCs w:val="24"/>
          <w:lang w:val="en-US"/>
        </w:rPr>
      </w:pPr>
      <w:r w:rsidRPr="00EE62D4">
        <w:rPr>
          <w:rFonts w:ascii="Arial" w:hAnsi="Arial" w:cs="Arial"/>
          <w:b/>
          <w:sz w:val="24"/>
          <w:szCs w:val="24"/>
          <w:lang w:val="en-US"/>
        </w:rPr>
        <w:t xml:space="preserve">Introduction: </w:t>
      </w:r>
      <w:r w:rsidRPr="00EE62D4">
        <w:rPr>
          <w:rFonts w:ascii="Arial" w:hAnsi="Arial" w:cs="Arial"/>
          <w:sz w:val="24"/>
          <w:szCs w:val="24"/>
          <w:lang w:val="en-US"/>
        </w:rPr>
        <w:t>Mental health assessment remains the cornerstone of all mental health professionals caring for people living with mental disorders. Mental health assessment and diagnosis have shifted to general practitioners and community mental health nurses due to the low number of trained psychiatrists and psychologists in low and middle-income countries.</w:t>
      </w:r>
    </w:p>
    <w:p w14:paraId="56210C74" w14:textId="77777777" w:rsidR="003F016A" w:rsidRPr="00EE62D4" w:rsidRDefault="003F016A" w:rsidP="00872BD3">
      <w:pPr>
        <w:spacing w:line="480" w:lineRule="auto"/>
        <w:jc w:val="both"/>
        <w:rPr>
          <w:rFonts w:ascii="Arial" w:hAnsi="Arial" w:cs="Arial"/>
          <w:sz w:val="24"/>
          <w:szCs w:val="24"/>
          <w:lang w:val="en-US"/>
        </w:rPr>
      </w:pPr>
      <w:r w:rsidRPr="00EE62D4">
        <w:rPr>
          <w:rFonts w:ascii="Arial" w:hAnsi="Arial" w:cs="Arial"/>
          <w:b/>
          <w:sz w:val="24"/>
          <w:szCs w:val="24"/>
          <w:lang w:val="en-US"/>
        </w:rPr>
        <w:t>Aim:</w:t>
      </w:r>
      <w:r w:rsidRPr="00EE62D4">
        <w:rPr>
          <w:rFonts w:ascii="Arial" w:hAnsi="Arial" w:cs="Arial"/>
          <w:sz w:val="24"/>
          <w:szCs w:val="24"/>
          <w:lang w:val="en-US"/>
        </w:rPr>
        <w:t xml:space="preserve"> To explore community mental health nurses’ perspectives on the assessment of common mental disorders in primary mental healthcare settings in Ghana</w:t>
      </w:r>
    </w:p>
    <w:p w14:paraId="4CE7B1C1" w14:textId="77777777" w:rsidR="003F016A" w:rsidRPr="00EE62D4" w:rsidRDefault="003F016A" w:rsidP="00872BD3">
      <w:pPr>
        <w:spacing w:line="480" w:lineRule="auto"/>
        <w:jc w:val="both"/>
        <w:rPr>
          <w:rFonts w:ascii="Arial" w:hAnsi="Arial" w:cs="Arial"/>
          <w:sz w:val="24"/>
          <w:szCs w:val="24"/>
          <w:lang w:val="en-US"/>
        </w:rPr>
      </w:pPr>
      <w:r w:rsidRPr="00EE62D4">
        <w:rPr>
          <w:rFonts w:ascii="Arial" w:hAnsi="Arial" w:cs="Arial"/>
          <w:b/>
          <w:sz w:val="24"/>
          <w:szCs w:val="24"/>
          <w:lang w:val="en-US"/>
        </w:rPr>
        <w:t>Study Design</w:t>
      </w:r>
      <w:r w:rsidRPr="00EE62D4">
        <w:rPr>
          <w:rFonts w:ascii="Arial" w:hAnsi="Arial" w:cs="Arial"/>
          <w:sz w:val="24"/>
          <w:szCs w:val="24"/>
          <w:lang w:val="en-US"/>
        </w:rPr>
        <w:t>: The research design used was descriptive qualitative</w:t>
      </w:r>
    </w:p>
    <w:p w14:paraId="6F9B1D5D" w14:textId="77777777" w:rsidR="00872BD3" w:rsidRPr="00EE62D4" w:rsidRDefault="00B35B0B" w:rsidP="00B35B0B">
      <w:pPr>
        <w:spacing w:line="480" w:lineRule="auto"/>
        <w:jc w:val="both"/>
        <w:rPr>
          <w:rFonts w:ascii="Arial" w:hAnsi="Arial" w:cs="Arial"/>
          <w:sz w:val="24"/>
          <w:szCs w:val="24"/>
          <w:lang w:val="en-US"/>
        </w:rPr>
      </w:pPr>
      <w:r w:rsidRPr="00EE62D4">
        <w:rPr>
          <w:rFonts w:ascii="Arial" w:hAnsi="Arial" w:cs="Arial"/>
          <w:b/>
          <w:sz w:val="24"/>
          <w:szCs w:val="24"/>
          <w:lang w:val="en-US"/>
        </w:rPr>
        <w:t>Methodology</w:t>
      </w:r>
      <w:r w:rsidR="00872BD3" w:rsidRPr="00EE62D4">
        <w:rPr>
          <w:rFonts w:ascii="Arial" w:hAnsi="Arial" w:cs="Arial"/>
          <w:sz w:val="24"/>
          <w:szCs w:val="24"/>
          <w:lang w:val="en-US"/>
        </w:rPr>
        <w:t xml:space="preserve">: The research design used was descriptive qualitative. Using a face-to-face interview and non-directive interview guide. The participants were selected using purposive sampling and data were transcribed and analyzed thematically. </w:t>
      </w:r>
    </w:p>
    <w:p w14:paraId="2CC27A56" w14:textId="77777777" w:rsidR="00872BD3" w:rsidRPr="00EE62D4" w:rsidRDefault="00872BD3" w:rsidP="00872BD3">
      <w:pPr>
        <w:spacing w:line="480" w:lineRule="auto"/>
        <w:jc w:val="both"/>
        <w:rPr>
          <w:rFonts w:ascii="Arial" w:hAnsi="Arial" w:cs="Arial"/>
          <w:b/>
          <w:sz w:val="24"/>
          <w:szCs w:val="24"/>
          <w:lang w:val="en-US"/>
        </w:rPr>
      </w:pPr>
      <w:r w:rsidRPr="00EE62D4">
        <w:rPr>
          <w:rFonts w:ascii="Arial" w:hAnsi="Arial" w:cs="Arial"/>
          <w:b/>
          <w:sz w:val="24"/>
          <w:szCs w:val="24"/>
          <w:lang w:val="en-US"/>
        </w:rPr>
        <w:t>Findings:</w:t>
      </w:r>
      <w:r w:rsidRPr="00EE62D4">
        <w:rPr>
          <w:rFonts w:ascii="Arial" w:hAnsi="Arial" w:cs="Arial"/>
          <w:sz w:val="24"/>
          <w:szCs w:val="24"/>
        </w:rPr>
        <w:t xml:space="preserve"> </w:t>
      </w:r>
      <w:r w:rsidR="00B35B0B" w:rsidRPr="00EE62D4">
        <w:rPr>
          <w:rFonts w:ascii="Arial" w:hAnsi="Arial" w:cs="Arial"/>
          <w:sz w:val="24"/>
          <w:szCs w:val="24"/>
          <w:lang w:val="en-US"/>
        </w:rPr>
        <w:t xml:space="preserve">The study identified </w:t>
      </w:r>
      <w:r w:rsidR="00C74ABC" w:rsidRPr="00EE62D4">
        <w:rPr>
          <w:rFonts w:ascii="Arial" w:hAnsi="Arial" w:cs="Arial"/>
          <w:sz w:val="24"/>
          <w:szCs w:val="24"/>
          <w:lang w:val="en-US"/>
        </w:rPr>
        <w:t>five</w:t>
      </w:r>
      <w:r w:rsidR="00B35B0B" w:rsidRPr="00EE62D4">
        <w:rPr>
          <w:rFonts w:ascii="Arial" w:hAnsi="Arial" w:cs="Arial"/>
          <w:sz w:val="24"/>
          <w:szCs w:val="24"/>
          <w:lang w:val="en-US"/>
        </w:rPr>
        <w:t xml:space="preserve"> main themes: techniques in assessment, types of screening tools, planning care after diagnosis, and knowledge regarding the assessment of individuals living with mental illness. Participants described their use of both physical and psychological assessment methods to screen and evaluate these individuals who visit the facility. They emphasized the importance of paying greater attention to patients' appearance, their past physical and medical histories, and </w:t>
      </w:r>
      <w:r w:rsidR="00B35B0B" w:rsidRPr="00EE62D4">
        <w:rPr>
          <w:rFonts w:ascii="Arial" w:hAnsi="Arial" w:cs="Arial"/>
          <w:sz w:val="24"/>
          <w:szCs w:val="24"/>
          <w:lang w:val="en-US"/>
        </w:rPr>
        <w:lastRenderedPageBreak/>
        <w:t>laboratory investigations. Furthermore, participants recognized mental state evaluation as the only valid and reliable tool they were familiar with, even though more accurate and straightforward tools are available. Additionally, participants acknowledged their limited understanding of how to effect</w:t>
      </w:r>
      <w:r w:rsidR="003C193B">
        <w:rPr>
          <w:rFonts w:ascii="Arial" w:hAnsi="Arial" w:cs="Arial"/>
          <w:sz w:val="24"/>
          <w:szCs w:val="24"/>
          <w:lang w:val="en-US"/>
        </w:rPr>
        <w:t>ively assess and screen individuals living with common mental disorders.</w:t>
      </w:r>
    </w:p>
    <w:p w14:paraId="3BDC1154" w14:textId="77777777" w:rsidR="00872BD3" w:rsidRPr="00EE62D4" w:rsidRDefault="00872BD3" w:rsidP="00872BD3">
      <w:pPr>
        <w:spacing w:line="480" w:lineRule="auto"/>
        <w:jc w:val="both"/>
        <w:rPr>
          <w:rFonts w:ascii="Arial" w:hAnsi="Arial" w:cs="Arial"/>
          <w:sz w:val="24"/>
          <w:szCs w:val="24"/>
          <w:lang w:val="en-US"/>
        </w:rPr>
      </w:pPr>
      <w:r w:rsidRPr="00EE62D4">
        <w:rPr>
          <w:rFonts w:ascii="Arial" w:hAnsi="Arial" w:cs="Arial"/>
          <w:b/>
          <w:sz w:val="24"/>
          <w:szCs w:val="24"/>
          <w:lang w:val="en-US"/>
        </w:rPr>
        <w:t>Conclusion:</w:t>
      </w:r>
      <w:r w:rsidRPr="00EE62D4">
        <w:rPr>
          <w:rFonts w:ascii="Arial" w:hAnsi="Arial" w:cs="Arial"/>
          <w:sz w:val="24"/>
          <w:szCs w:val="24"/>
          <w:lang w:val="en-US"/>
        </w:rPr>
        <w:t xml:space="preserve"> In Ghana, Community mental health nurses make up the majority of the personnel in the nation's primary mental health care system. Community mental health nurses give patients committed, high-quality treatment despite the strain brought on by patients' and family members' increasing accessibility. It would be more effective if they were trained to evaluate and screen patients with common mental diseases in primary care settings. To identify prevalent mental illnesses, more assessments and screening tools should be validated.</w:t>
      </w:r>
    </w:p>
    <w:p w14:paraId="0491A66D" w14:textId="77777777" w:rsidR="00872BD3" w:rsidRPr="00EE62D4" w:rsidRDefault="00872BD3" w:rsidP="00872BD3">
      <w:pPr>
        <w:spacing w:line="480" w:lineRule="auto"/>
        <w:jc w:val="both"/>
        <w:rPr>
          <w:rFonts w:ascii="Arial" w:hAnsi="Arial" w:cs="Arial"/>
          <w:sz w:val="24"/>
          <w:szCs w:val="24"/>
          <w:lang w:val="en-US"/>
        </w:rPr>
      </w:pPr>
      <w:r w:rsidRPr="00EE62D4">
        <w:rPr>
          <w:rFonts w:ascii="Arial" w:hAnsi="Arial" w:cs="Arial"/>
          <w:b/>
          <w:sz w:val="24"/>
          <w:szCs w:val="24"/>
          <w:lang w:val="en-US"/>
        </w:rPr>
        <w:t>Keywords</w:t>
      </w:r>
      <w:r w:rsidRPr="00EE62D4">
        <w:rPr>
          <w:rFonts w:ascii="Arial" w:hAnsi="Arial" w:cs="Arial"/>
          <w:sz w:val="24"/>
          <w:szCs w:val="24"/>
          <w:lang w:val="en-US"/>
        </w:rPr>
        <w:t>: assessment, common mental disorders, community psychiatric nurses, primary mental healthcare setting,</w:t>
      </w:r>
      <w:r w:rsidRPr="00EE62D4" w:rsidDel="00B40DFD">
        <w:rPr>
          <w:rFonts w:ascii="Arial" w:hAnsi="Arial" w:cs="Arial"/>
          <w:sz w:val="24"/>
          <w:szCs w:val="24"/>
          <w:lang w:val="en-US"/>
        </w:rPr>
        <w:t xml:space="preserve"> </w:t>
      </w:r>
      <w:r w:rsidRPr="00EE62D4">
        <w:rPr>
          <w:rFonts w:ascii="Arial" w:hAnsi="Arial" w:cs="Arial"/>
          <w:sz w:val="24"/>
          <w:szCs w:val="24"/>
          <w:lang w:val="en-US"/>
        </w:rPr>
        <w:t>screening</w:t>
      </w:r>
    </w:p>
    <w:p w14:paraId="62AA4E15" w14:textId="77777777" w:rsidR="00872BD3" w:rsidRPr="00FC32F4" w:rsidRDefault="00872BD3" w:rsidP="00487A25">
      <w:pPr>
        <w:spacing w:line="480" w:lineRule="auto"/>
        <w:jc w:val="both"/>
        <w:rPr>
          <w:rFonts w:ascii="Times New Roman" w:hAnsi="Times New Roman" w:cs="Times New Roman"/>
          <w:b/>
          <w:sz w:val="24"/>
          <w:szCs w:val="24"/>
          <w:lang w:val="en-US"/>
        </w:rPr>
      </w:pPr>
    </w:p>
    <w:p w14:paraId="3A825518" w14:textId="77777777" w:rsidR="00487A25" w:rsidRPr="00B35B0B" w:rsidRDefault="00B35B0B" w:rsidP="00487A25">
      <w:pPr>
        <w:pStyle w:val="ListParagraph"/>
        <w:numPr>
          <w:ilvl w:val="0"/>
          <w:numId w:val="4"/>
        </w:numPr>
        <w:spacing w:line="480" w:lineRule="auto"/>
        <w:jc w:val="both"/>
        <w:rPr>
          <w:rFonts w:ascii="Arial" w:hAnsi="Arial" w:cs="Arial"/>
          <w:lang w:val="en-US"/>
        </w:rPr>
      </w:pPr>
      <w:r w:rsidRPr="00B35B0B">
        <w:rPr>
          <w:rFonts w:ascii="Arial" w:hAnsi="Arial" w:cs="Arial"/>
          <w:b/>
          <w:lang w:val="en-US"/>
        </w:rPr>
        <w:t xml:space="preserve">INTRODUCTION </w:t>
      </w:r>
    </w:p>
    <w:p w14:paraId="35074EEA" w14:textId="77777777" w:rsidR="00487A25" w:rsidRPr="00B35B0B" w:rsidRDefault="00BD299A" w:rsidP="00487A25">
      <w:pPr>
        <w:spacing w:after="0" w:line="480" w:lineRule="auto"/>
        <w:ind w:firstLine="510"/>
        <w:jc w:val="both"/>
        <w:rPr>
          <w:rFonts w:ascii="Arial" w:hAnsi="Arial" w:cs="Arial"/>
          <w:lang w:val="en-US"/>
        </w:rPr>
      </w:pPr>
      <w:r w:rsidRPr="00B35B0B">
        <w:rPr>
          <w:rFonts w:ascii="Arial" w:hAnsi="Arial" w:cs="Arial"/>
        </w:rPr>
        <w:t>Assessment and screening of common mental disorders have been a challenge for the past decade,, leading to poor diagnoses or misdiagnoses in some low— and middle-income countries (LMICs) in Sub-Saharan Africa (SSA)—</w:t>
      </w:r>
      <w:r w:rsidR="00D40A71">
        <w:rPr>
          <w:rFonts w:ascii="Arial" w:hAnsi="Arial" w:cs="Arial"/>
        </w:rPr>
        <w:t>Ghana, Li</w:t>
      </w:r>
      <w:r w:rsidR="00D40A71" w:rsidRPr="00B35B0B">
        <w:rPr>
          <w:rFonts w:ascii="Arial" w:hAnsi="Arial" w:cs="Arial"/>
        </w:rPr>
        <w:t>beria</w:t>
      </w:r>
      <w:r w:rsidRPr="00B35B0B">
        <w:rPr>
          <w:rFonts w:ascii="Arial" w:hAnsi="Arial" w:cs="Arial"/>
        </w:rPr>
        <w:t xml:space="preserve">, Eritrea,, and Nigeria </w:t>
      </w:r>
      <w:r w:rsidR="00487A25" w:rsidRPr="00B35B0B">
        <w:rPr>
          <w:rFonts w:ascii="Arial" w:hAnsi="Arial" w:cs="Arial"/>
          <w:lang w:val="en-US"/>
        </w:rPr>
        <w:fldChar w:fldCharType="begin" w:fldLock="1"/>
      </w:r>
      <w:r w:rsidR="009071BB" w:rsidRPr="00B35B0B">
        <w:rPr>
          <w:rFonts w:ascii="Arial" w:hAnsi="Arial" w:cs="Arial"/>
          <w:lang w:val="en-US"/>
        </w:rPr>
        <w:instrText>ADDIN CSL_CITATION {"citationItems":[{"id":"ITEM-1","itemData":{"DOI":"10.1371/journal.pone.0156939","author":[{"dropping-particle":"","family":"Ali","given":"Gemma-claire","non-dropping-particle":"","parse-names":false,"suffix":""},{"dropping-particle":"","family":"Ryan","given":"Grace","non-dropping-particle":"","parse-names":false,"suffix":""},{"dropping-particle":"De","family":"Silva","given":"Mary J","non-dropping-particle":"","parse-names":false,"suffix":""}],"container-title":"PLoS ONE","id":"ITEM-1","issue":"6","issued":{"date-parts":[["2016"]]},"page":"1-14","title":"Validated Screening Tools for Common Mental Disorders in Low and Middle Income Countries : A Systematic Review","type":"article-journal","volume":"11"},"uris":["http://www.mendeley.com/documents/?uuid=14588300-10a4-4e88-bbfd-ff4480df2e96"]},{"id":"ITEM-2","itemData":{"author":[{"dropping-particle":"","family":"Snyderman","given":"Danielle","non-dropping-particle":"","parse-names":false,"suffix":""},{"dropping-particle":"","family":"Rovner","given":"Barry W","non-dropping-particle":"","parse-names":false,"suffix":""}],"container-title":"American Family Physician","id":"ITEM-2","issue":"8","issued":{"date-parts":[["2009"]]},"page":"809-810","title":"Mental Status Examination in Primary Care: A Review","type":"article-journal","volume":"80"},"uris":["http://www.mendeley.com/documents/?uuid=d60b470e-8e5e-4db1-afa9-4df22cd464b5"]},{"id":"ITEM-3","itemData":{"DOI":"10.1007/s11606-017-4181-0","ISSN":"15251497","PMID":"28948432","abstract":"Background: Mounting evidence indicates that early recognition and treatment of behavioral health disorders can prevent complications, improve quality of life, and help reduce health care costs. The aim of this systematic literature review was to identify and evaluate publicly available, psychometrically tested tools that primary care physicians (PCPs) can use to screen adult patients for common mental and substance use disorders such as depression, anxiety, and alcohol use disorders. Methods: We followed the Institute of Medicine (IOM) systematic review guidelines and searched PubMed, PsycINFO, Applied Social Sciences Index and Abstracts, Cumulative Index to Nursing and Allied Health Literature, and Health and Psychosocial Instruments databases to identify literature addressing tools for screening of behavioral health conditions. We gathered information on each tool’s psychometrics, applicability in primary care, and characteristics such as number of items and mode of administration. We included tools focused on adults and the most common behavioral health conditions; we excluded tools designed for children, youth, or older adults; holistic health scales; and tools screening for serious but less frequently encountered disorders, such as bipolar disorder. Results: We identified 24 screening tools that met the inclusion criteria. Fifteen tools were subscales stemming from multiple-disorder assessments or tools that assessed more than one mental disorder or more than one substance use disorder in a single instrument. Nine were ultra-short, single-disorder tools. The tools varied in psychometrics and the extent to which they had been administered and studied in primary care settings. Discussion: Tools stemming from the Patient Health Questionnaire had the most testing and application in primary care settings. However, numerous other tools could meet the needs of primary care practices. This review provides information that PCPs can use to select appropriate tools to incorporate into a screening protocol.","author":[{"dropping-particle":"","family":"Mulvaney-Day","given":"Norah","non-dropping-particle":"","parse-names":false,"suffix":""},{"dropping-particle":"","family":"Marshall","given":"Tina","non-dropping-particle":"","parse-names":false,"suffix":""},{"dropping-particle":"","family":"Downey Piscopo","given":"Kathryn","non-dropping-particle":"","parse-names":false,"suffix":""},{"dropping-particle":"","family":"Korsen","given":"Neil","non-dropping-particle":"","parse-names":false,"suffix":""},{"dropping-particle":"","family":"Lynch","given":"Sean","non-dropping-particle":"","parse-names":false,"suffix":""},{"dropping-particle":"","family":"Karnell","given":"Lucy H.","non-dropping-particle":"","parse-names":false,"suffix":""},{"dropping-particle":"","family":"Moran","given":"Garrett E.","non-dropping-particle":"","parse-names":false,"suffix":""},{"dropping-particle":"","family":"Daniels","given":"Allen S.","non-dropping-particle":"","parse-names":false,"suffix":""},{"dropping-particle":"","family":"Ghose","given":"Sushmita Shoma","non-dropping-particle":"","parse-names":false,"suffix":""}],"container-title":"Journal of General Internal Medicine","id":"ITEM-3","issue":"3","issued":{"date-parts":[["2018"]]},"page":"335-346","publisher":"Journal of General Internal Medicine","title":"Screening for Behavioral Health Conditions in Primary Care Settings: A Systematic Review of the Literature","type":"article-journal","volume":"33"},"uris":["http://www.mendeley.com/documents/?uuid=ccd9ad09-404a-4f17-b77c-a03f29230fa8"]},{"id":"ITEM-4","itemData":{"DOI":"10.1186/s12888-022-03694-9","ISSN":"1471244X","PMID":"35073867","abstract":"Postpartum depression and anxiety are highly prevalent worldwide. Fisher et al., estimated the prevalence of depression and anxiety at 15.6% during the antenatal and 19.8% during the postpartum period. Their impact on maternal and child health is well-recognized among the public health community, accounting for high societal costs. The public health impact of these conditions has highlighted the need to focus on the development and provision of effective prevention and treatment strategies. In recent decades, some advances have been made in the development of effective universal and targeted screening programmes for perinatal depression and anxiety disorders. Recent research has shown potential benefits of universal and targeted screening for perinatal depression, to identify and treat undiagnosed cases, and help thwart its deleterious consequences. Ethical implications, however, for these screening programmes, without the provision of treatment have often been emphasized. The present mixed-methods systematic review and meta-analysis was conducted to collate evidence for screening programmes for perinatal depression and anxiety. It aims to answer the following questions, in a global context: For women in the perinatal period, do screening programmes for perinatal depression and anxiety compared with no screening improve maternal mental health and infant outcomes? A series of meta-analyses reveal a reduction in perinatal depression and anxiety among perinatal women undergoing screening programmes. For the outcome of depressive disorder, meta-analysis indicates a positive impact in favour of the intervention group (OR = 0.55, 95% CI: 0.45 to 0.66, n = 9009), with moderate quality of evidence. A significant improvement (high quality) was also observed in symptoms of anxiety among perinatal women (SMD = − 0.18, 95% CI: − 0.25 to − 0.12, n = 3654).","author":[{"dropping-particle":"","family":"Waqas","given":"Ahmed","non-dropping-particle":"","parse-names":false,"suffix":""},{"dropping-particle":"","family":"Koukab","given":"Ahmreen","non-dropping-particle":"","parse-names":false,"suffix":""},{"dropping-particle":"","family":"Meraj","given":"Hafsa","non-dropping-particle":"","parse-names":false,"suffix":""},{"dropping-particle":"","family":"Dua","given":"Tarun","non-dropping-particle":"","parse-names":false,"suffix":""},{"dropping-particle":"","family":"Chowdhary","given":"Neerja","non-dropping-particle":"","parse-names":false,"suffix":""},{"dropping-particle":"","family":"Fatima","given":"Batool","non-dropping-particle":"","parse-names":false,"suffix":""},{"dropping-particle":"","family":"Rahman","given":"Atif","non-dropping-particle":"","parse-names":false,"suffix":""}],"container-title":"BMC Psychiatry","id":"ITEM-4","issue":"1","issued":{"date-parts":[["2022"]]},"page":"1-18","title":"Screening programs for common maternal mental health disorders among perinatal women: report of the systematic review of evidence","type":"article-journal","volume":"22"},"uris":["http://www.mendeley.com/documents/?uuid=26b957c3-72ca-422f-a8f8-dec190ba1c69"]},{"id":"ITEM-5","itemData":{"DOI":"https://doi.org/10.1016/j.jad.2021.11.011","ISSN":"0165-0327","abstract":"Background\nUncertainty remains regarding the validity of screening tools to detect common mental disorders (CMDs) during perinatal periods. This umbrella review aims to provide an up-to-date summary of psychometric properties of tools for the identification of perinatal CMDs.\nMethods\nReviews were identified via Ovid MEDLINE, PsychINFO, EMBASE, Global Health and Cochrane Database of Systematic Reviews electronic databases with no date or language restriction. Pooled sensitivity and specificity estimates and ranges were extracted and summarised using forest plots. Quality assessment was conducted using Measurement Tool to Assess Systematic Reviews (AMSTAR-2).\nResults\nOf 7,891 papers identified, 31 reviews met inclusion criteria. 76 screening tools were identified; most frequently validated were Edinburgh Postnatal Depression Scale (EPDS) (n = 28 reviews), Beck's Depression Inventory (BDI) (n = 13 reviews) and Patient Health Questionnaire (PHQ) (n = 12 reviews). Forest plots demonstrated a pattern of decreasing sensitivity and increasing specificity with increasing cut-off scores. Sub-group analysis of data extracted from low quality reviews demonstrated wider 95% CIs and overall lower specificity. Validity also varied according to ethnicity, socio-economic background and age.\nLimitations\nDespite a low Covered Corrected Area (CCA) score the primary studies included within reviews overlapped; therefore we were unable perform meta-analysis.\nConclusions\nThe evidence suggests that the EPDS, PHQ and BDI are useful across a range of diverse settings but the context of tool application is a key factor determining validity. This review highlights that utilizing screening tools in clinical practice is complex and requires careful consideration of the population, context, and health system it will be used in.","author":[{"dropping-particle":"","family":"Sambrook Smith","given":"M","non-dropping-particle":"","parse-names":false,"suffix":""},{"dropping-particle":"","family":"Cairns","given":"L","non-dropping-particle":"","parse-names":false,"suffix":""},{"dropping-particle":"","family":"Pullen","given":"L S W","non-dropping-particle":"","parse-names":false,"suffix":""},{"dropping-particle":"","family":"Opondo","given":"C","non-dropping-particle":"","parse-names":false,"suffix":""},{"dropping-particle":"","family":"Fellmeth","given":"Gracia","non-dropping-particle":"","parse-names":false,"suffix":""},{"dropping-particle":"","family":"Alderdice","given":"F","non-dropping-particle":"","parse-names":false,"suffix":""}],"container-title":"Journal of Affective Disorders","id":"ITEM-5","issued":{"date-parts":[["2022"]]},"page":"634-643","title":"Validated tools to identify common mental disorders in the perinatal period: A systematic review of systematic reviews","type":"article-journal","volume":"298"},"uris":["http://www.mendeley.com/documents/?uuid=3497839f-9595-4f16-b313-b1809e03ee43"]}],"mendeley":{"formattedCitation":"(Ali et al., 2016; Mulvaney-Day et al., 2018a; Sambrook Smith et al., 2022; Snyderman &amp; Rovner, 2009; Waqas et al., 2022)","plainTextFormattedCitation":"(Ali et al., 2016; Mulvaney-Day et al., 2018a; Sambrook Smith et al., 2022; Snyderman &amp; Rovner, 2009; Waqas et al., 2022)","previouslyFormattedCitation":"(Ali et al., 2016; Mulvaney-Day et al., 2018a; Sambrook Smith et al., 2022; Snyderman &amp; Rovner, 2009; Waqas et al., 2022)"},"properties":{"noteIndex":0},"schema":"https://github.com/citation-style-language/schema/raw/master/csl-citation.json"}</w:instrText>
      </w:r>
      <w:r w:rsidR="00487A25" w:rsidRPr="00B35B0B">
        <w:rPr>
          <w:rFonts w:ascii="Arial" w:hAnsi="Arial" w:cs="Arial"/>
          <w:lang w:val="en-US"/>
        </w:rPr>
        <w:fldChar w:fldCharType="separate"/>
      </w:r>
      <w:r w:rsidR="009071BB" w:rsidRPr="00B35B0B">
        <w:rPr>
          <w:rFonts w:ascii="Arial" w:hAnsi="Arial" w:cs="Arial"/>
          <w:noProof/>
          <w:lang w:val="en-US"/>
        </w:rPr>
        <w:t>(Ali et al., 2016; Mulvaney-Day et al., 2018a; Sambrook Smith et al., 2022; Snyderman &amp; Rovner, 2009; Waqas et al., 2022)</w:t>
      </w:r>
      <w:r w:rsidR="00487A25" w:rsidRPr="00B35B0B">
        <w:rPr>
          <w:rFonts w:ascii="Arial" w:hAnsi="Arial" w:cs="Arial"/>
          <w:lang w:val="en-US"/>
        </w:rPr>
        <w:fldChar w:fldCharType="end"/>
      </w:r>
      <w:r w:rsidR="00487A25" w:rsidRPr="00B35B0B">
        <w:rPr>
          <w:rFonts w:ascii="Arial" w:hAnsi="Arial" w:cs="Arial"/>
          <w:lang w:val="en-US"/>
        </w:rPr>
        <w:t xml:space="preserve">. </w:t>
      </w:r>
      <w:r w:rsidRPr="00B35B0B">
        <w:rPr>
          <w:rFonts w:ascii="Arial" w:hAnsi="Arial" w:cs="Arial"/>
        </w:rPr>
        <w:t xml:space="preserve">As a result of this, clinical diagnosis and treatment are affected, and knowledge of the social, environmental, and biological elements that contribute to mental health symptoms and disorders is also affected </w:t>
      </w:r>
      <w:r w:rsidR="00FD1F80" w:rsidRPr="00B35B0B">
        <w:rPr>
          <w:rFonts w:ascii="Arial" w:hAnsi="Arial" w:cs="Arial"/>
          <w:lang w:val="en-US"/>
        </w:rPr>
        <w:fldChar w:fldCharType="begin" w:fldLock="1"/>
      </w:r>
      <w:r w:rsidR="00361D6B" w:rsidRPr="00B35B0B">
        <w:rPr>
          <w:rFonts w:ascii="Arial" w:hAnsi="Arial" w:cs="Arial"/>
          <w:lang w:val="en-US"/>
        </w:rPr>
        <w:instrText>ADDIN CSL_CITATION {"citationItems":[{"id":"ITEM-1","itemData":{"DOI":"10.3389/fpsyt.2020.00076","ISSN":"16640640","PMID":"32174852","abstract":"Across the landscape of mental health research and diagnosis, there is a diverse range of questionnaires and interviews available for use by clinicians and researchers to determine patient treatment plans or investigate internal and external etiologies. Although individually, these tools have each been assessed for their validity and reliability, there is little research examining the consistency between them in terms of what symptoms they assess, and how they assess those symptoms. Here, we provide an analysis of 126 different questionnaires and interviews commonly used to diagnose and screen for 10 different disorder types including depression, anxiety, obsessive compulsive disorder (OCD), post-traumatic stress disorder (PTSD), attention deficit/hyperactivity disorder (ADHD), autism spectrum disorder (ASD), addiction, bipolar disorder, eating disorder, and schizophrenia, as well as comparator questionnaires and interviews that offer an all-in-one cross-disorder assessment of mental health. We demonstrate substantial inconsistency in the inclusion and emphasis of symptoms assessed within disorders as well as considerable symptom overlap across disorder-specific tools. Within the same disorder, similarity scores across assessment tools ranged from 29% for assessment of bipolar disorder to a maximum of 58% for OCD. Furthermore, when looking across disorders, 60% of symptoms were assessed in at least half of all disorders illustrating the extensive overlap in symptom profiles between disorder-specific assessment tools. Biases in assessment toward emotional, cognitive, physical or behavioral symptoms were also observed, further adding to the heterogeneity across assessments. Analysis of other characteristics such as the time period over which symptoms were assessed, as well as whether there was a focus toward frequency, severity or duration of symptoms also varied substantially across assessment tools. The consequence of this inconsistent and heterogeneous assessment landscape is that it hinders clinical diagnosis and treatment and frustrates understanding of the social, environmental, and biological factors that contribute to mental health symptoms and disorders. Altogether, it underscores the need for standardized assessment tools that are more disorder agnostic and span the full spectrum of mental health symptoms to aid the understanding of underlying etiologies and the discovery of new treatments for psychiatric dysfunction.","author":[{"dropping-particle":"","family":"Newson","given":"Jennifer J.","non-dropping-particle":"","parse-names":false,"suffix":""},{"dropping-particle":"","family":"Hunter","given":"Daniel","non-dropping-particle":"","parse-names":false,"suffix":""},{"dropping-particle":"","family":"Thiagarajan","given":"Tara C.","non-dropping-particle":"","parse-names":false,"suffix":""}],"container-title":"Frontiers in Psychiatry","id":"ITEM-1","issue":"February","issued":{"date-parts":[["2020"]]},"page":"1-24","title":"The Heterogeneity of Mental Health Assessment","type":"article-journal","volume":"11"},"uris":["http://www.mendeley.com/documents/?uuid=2f59737a-4be3-49a6-af9f-70964883aec8"]}],"mendeley":{"formattedCitation":"(Newson et al., 2020)","plainTextFormattedCitation":"(Newson et al., 2020)","previouslyFormattedCitation":"(Newson et al., 2020)"},"properties":{"noteIndex":0},"schema":"https://github.com/citation-style-language/schema/raw/master/csl-citation.json"}</w:instrText>
      </w:r>
      <w:r w:rsidR="00FD1F80" w:rsidRPr="00B35B0B">
        <w:rPr>
          <w:rFonts w:ascii="Arial" w:hAnsi="Arial" w:cs="Arial"/>
          <w:lang w:val="en-US"/>
        </w:rPr>
        <w:fldChar w:fldCharType="separate"/>
      </w:r>
      <w:r w:rsidR="00FD1F80" w:rsidRPr="00B35B0B">
        <w:rPr>
          <w:rFonts w:ascii="Arial" w:hAnsi="Arial" w:cs="Arial"/>
          <w:noProof/>
          <w:lang w:val="en-US"/>
        </w:rPr>
        <w:t>(Newson et al., 2020)</w:t>
      </w:r>
      <w:r w:rsidR="00FD1F80" w:rsidRPr="00B35B0B">
        <w:rPr>
          <w:rFonts w:ascii="Arial" w:hAnsi="Arial" w:cs="Arial"/>
          <w:lang w:val="en-US"/>
        </w:rPr>
        <w:fldChar w:fldCharType="end"/>
      </w:r>
      <w:r w:rsidR="00FD1F80" w:rsidRPr="00B35B0B">
        <w:rPr>
          <w:rFonts w:ascii="Arial" w:hAnsi="Arial" w:cs="Arial"/>
          <w:lang w:val="en-US"/>
        </w:rPr>
        <w:t xml:space="preserve">. </w:t>
      </w:r>
      <w:r w:rsidRPr="00B35B0B">
        <w:rPr>
          <w:rFonts w:ascii="Arial" w:hAnsi="Arial" w:cs="Arial"/>
        </w:rPr>
        <w:t xml:space="preserve">Screening and assessment of mental disorders is important in the quest to improve mental healthcare delivery </w:t>
      </w:r>
      <w:r w:rsidRPr="00B35B0B">
        <w:rPr>
          <w:rFonts w:ascii="Arial" w:hAnsi="Arial" w:cs="Arial"/>
        </w:rPr>
        <w:lastRenderedPageBreak/>
        <w:t>by preventing misdiagnoses of common mental disorders and identifying cases that need a referral,, especially in the primary mental health care facilities</w:t>
      </w:r>
      <w:r w:rsidR="009071BB" w:rsidRPr="00B35B0B">
        <w:rPr>
          <w:rFonts w:ascii="Arial" w:hAnsi="Arial" w:cs="Arial"/>
          <w:lang w:val="en-US"/>
        </w:rPr>
        <w:t xml:space="preserve"> </w:t>
      </w:r>
      <w:r w:rsidR="00487A25" w:rsidRPr="00B35B0B">
        <w:rPr>
          <w:rFonts w:ascii="Arial" w:hAnsi="Arial" w:cs="Arial"/>
          <w:lang w:val="en-US"/>
        </w:rPr>
        <w:fldChar w:fldCharType="begin" w:fldLock="1"/>
      </w:r>
      <w:r w:rsidR="009071BB" w:rsidRPr="00B35B0B">
        <w:rPr>
          <w:rFonts w:ascii="Arial" w:hAnsi="Arial" w:cs="Arial"/>
          <w:lang w:val="en-US"/>
        </w:rPr>
        <w:instrText>ADDIN CSL_CITATION {"citationItems":[{"id":"ITEM-1","itemData":{"DOI":"10.1007/s10880-021-09820-1","ISSN":"15733572","PMID":"34609692","abstract":"Primary care physicians (PCPs) often daily address diagnoses and treatment of mental disorders in their practices. The current study examined the Connected Mind Fast Check (CMFC), a two-tiered electronic screen, assessing six common mental disorders. The eight-item Initial Screen assesses possible symptoms, whereas SAM modules establish provisional diagnoses and areas of clinical concern. With 234 patients from five independent PCP offices, diagnostic accuracy was tested with the SCID-5-RV as the external criterion. Concerningly, many patients were unaware of their current mental disorders and comorbidities. The CMFC Initial Screen evidenced strong sensitivity, identifying with very few missing diagnoses. About two-thirds of provisional SAM diagnoses were confirmed with high specificities. Bipolar Disorder posed the most challenges at both tiers. Importantly, the suicide screen identified all patients with suicide plans and three-fourths with ideation. In general, the CMFC effectively identified provisional diagnoses, impairment, and potential suicidality.","author":[{"dropping-particle":"","family":"Rogers","given":"Richard","non-dropping-particle":"","parse-names":false,"suffix":""},{"dropping-particle":"","family":"Hartigan","given":"Sara E.","non-dropping-particle":"","parse-names":false,"suffix":""},{"dropping-particle":"","family":"Sanders","given":"Courtney E.","non-dropping-particle":"","parse-names":false,"suffix":""}],"container-title":"Journal of Clinical Psychology in Medical Settings","id":"ITEM-1","issue":"4","issued":{"date-parts":[["2021"]]},"page":"882-896","publisher":"Springer US","title":"Identifying Mental Disorders in Primary Care: Diagnostic Accuracy of the Connected Mind Fast Check (CMFC) Electronic Screen","type":"article-journal","volume":"28"},"uris":["http://www.mendeley.com/documents/?uuid=ec57c521-1ab0-4c9b-b719-5ef9ca841451"]}],"mendeley":{"formattedCitation":"(Rogers et al., 2021)","plainTextFormattedCitation":"(Rogers et al., 2021)","previouslyFormattedCitation":"(Rogers et al., 2021)"},"properties":{"noteIndex":0},"schema":"https://github.com/citation-style-language/schema/raw/master/csl-citation.json"}</w:instrText>
      </w:r>
      <w:r w:rsidR="00487A25" w:rsidRPr="00B35B0B">
        <w:rPr>
          <w:rFonts w:ascii="Arial" w:hAnsi="Arial" w:cs="Arial"/>
          <w:lang w:val="en-US"/>
        </w:rPr>
        <w:fldChar w:fldCharType="separate"/>
      </w:r>
      <w:r w:rsidR="009071BB" w:rsidRPr="00B35B0B">
        <w:rPr>
          <w:rFonts w:ascii="Arial" w:hAnsi="Arial" w:cs="Arial"/>
          <w:noProof/>
          <w:lang w:val="en-US"/>
        </w:rPr>
        <w:t>(Rogers et al., 2021)</w:t>
      </w:r>
      <w:r w:rsidR="00487A25" w:rsidRPr="00B35B0B">
        <w:rPr>
          <w:rFonts w:ascii="Arial" w:hAnsi="Arial" w:cs="Arial"/>
          <w:lang w:val="en-US"/>
        </w:rPr>
        <w:fldChar w:fldCharType="end"/>
      </w:r>
      <w:r w:rsidR="00487A25" w:rsidRPr="00B35B0B">
        <w:rPr>
          <w:rFonts w:ascii="Arial" w:hAnsi="Arial" w:cs="Arial"/>
          <w:lang w:val="en-US"/>
        </w:rPr>
        <w:t xml:space="preserve">. </w:t>
      </w:r>
    </w:p>
    <w:p w14:paraId="746B2EA3" w14:textId="77777777" w:rsidR="00487A25" w:rsidRPr="00B35B0B" w:rsidRDefault="00BD299A" w:rsidP="00487A25">
      <w:pPr>
        <w:spacing w:after="0" w:line="480" w:lineRule="auto"/>
        <w:ind w:firstLine="510"/>
        <w:jc w:val="both"/>
        <w:rPr>
          <w:rFonts w:ascii="Arial" w:hAnsi="Arial" w:cs="Arial"/>
          <w:lang w:val="en-US"/>
        </w:rPr>
      </w:pPr>
      <w:r w:rsidRPr="00B35B0B">
        <w:rPr>
          <w:rFonts w:ascii="Arial" w:hAnsi="Arial" w:cs="Arial"/>
        </w:rPr>
        <w:t xml:space="preserve">The majority of community mental healthcare providers in LMICs have poor knowledge in selecting appropriate screening tools and administering multifaceted </w:t>
      </w:r>
      <w:r w:rsidR="004C4FB3" w:rsidRPr="00B35B0B">
        <w:rPr>
          <w:rFonts w:ascii="Arial" w:hAnsi="Arial" w:cs="Arial"/>
        </w:rPr>
        <w:t>diagnostic interviews</w:t>
      </w:r>
      <w:r w:rsidRPr="00B35B0B">
        <w:rPr>
          <w:rFonts w:ascii="Arial" w:hAnsi="Arial" w:cs="Arial"/>
        </w:rPr>
        <w:t xml:space="preserve"> to identify the exact psychological problem </w:t>
      </w:r>
      <w:r w:rsidR="00487A25" w:rsidRPr="00B35B0B">
        <w:rPr>
          <w:rFonts w:ascii="Arial" w:hAnsi="Arial" w:cs="Arial"/>
          <w:lang w:val="en-US"/>
        </w:rPr>
        <w:fldChar w:fldCharType="begin" w:fldLock="1"/>
      </w:r>
      <w:r w:rsidR="00057E40" w:rsidRPr="00B35B0B">
        <w:rPr>
          <w:rFonts w:ascii="Arial" w:hAnsi="Arial" w:cs="Arial"/>
          <w:lang w:val="en-US"/>
        </w:rPr>
        <w:instrText>ADDIN CSL_CITATION {"citationItems":[{"id":"ITEM-1","itemData":{"DOI":"10.1177/1178632917694350","ISSN":"1178-6329","PMID":"28469456","abstract":"This article discusses the provision of mental health services in low- and middle-income countries (LMICs) with a view to understanding the cultural dynamics-how the challenges they pose can be addressed and the opportunities harnessed in specific cultural contexts. The article highlights the need for prioritisation of mental health services by incorporating local population and cultural needs. This can be achieved only through political will and strengthened legislation, improved resource allocation and strategic organisation, integrated packages of care underpinned by professional communication and training, and involvement of patients, informal carers, and the wider community in a therapeutic capacity.","author":[{"dropping-particle":"","family":"Rathod","given":"Shanaya","non-dropping-particle":"","parse-names":false,"suffix":""},{"dropping-particle":"","family":"Pinninti","given":"Narsimha","non-dropping-particle":"","parse-names":false,"suffix":""},{"dropping-particle":"","family":"Irfan","given":"Muhammed","non-dropping-particle":"","parse-names":false,"suffix":""},{"dropping-particle":"","family":"Gorczynski","given":"Paul","non-dropping-particle":"","parse-names":false,"suffix":""},{"dropping-particle":"","family":"Gega","given":"Lina","non-dropping-particle":"","parse-names":false,"suffix":""},{"dropping-particle":"","family":"Rathod","given":"Pranay","non-dropping-particle":"","parse-names":false,"suffix":""},{"dropping-particle":"","family":"Naeem","given":"Farooq","non-dropping-particle":"","parse-names":false,"suffix":""}],"container-title":"Health Services Insights","id":"ITEM-1","issue":"0","issued":{"date-parts":[["2017"]]},"title":"Mental Health Service Provision in Low- and Middle-Income Countries","type":"article-journal","volume":"10"},"uris":["http://www.mendeley.com/documents/?uuid=be62fb9a-caaa-4c33-b4e5-f2299c7dcc96"]},{"id":"ITEM-2","itemData":{"DOI":"10.1186/1752-4458-5-3","ISSN":"17524458","abstract":"Objective: To compare and contrast three models of community mental health services in low-income settings.Data Sources/Study Setting: Primary and secondary data collected before, during, and after site visits to mental health programs in Nigeria, the Philippines, and India.Study Design: Qualitative case study methodology.Data Collection: Data were collected through interviews and observations during site visits to the programs, as well as from reviews of documentary evidence.Principal Findings: A set of narrative topics and program indicators were used to compare and contrast three community mental health programs in low-income countries. This allowed us to identify a diversity of service delivery models, common challenges, and the strengths and weaknesses of each program. More definitive evaluations will require the establishment of data collection methods and information systems that provide data about the clinical and social outcomes of clients, as well as their use of services.Conclusions: Community mental health programs in low-income countries face a number of challenges. Using a case study methodology developed for this purpose, it is possible to compare programs and begin to assess the effectiveness of diverse service delivery models. © 2011 Cohen et al; licensee BioMed Central Ltd.","author":[{"dropping-particle":"","family":"Cohen","given":"Alex","non-dropping-particle":"","parse-names":false,"suffix":""},{"dropping-particle":"","family":"Eaton","given":"Julian","non-dropping-particle":"","parse-names":false,"suffix":""},{"dropping-particle":"","family":"Radtke","given":"Birgit","non-dropping-particle":"","parse-names":false,"suffix":""},{"dropping-particle":"","family":"George","given":"Christina","non-dropping-particle":"","parse-names":false,"suffix":""},{"dropping-particle":"V.","family":"Manuel","given":"Bro","non-dropping-particle":"","parse-names":false,"suffix":""},{"dropping-particle":"","family":"Silva","given":"Mary","non-dropping-particle":"De","parse-names":false,"suffix":""},{"dropping-particle":"","family":"Patel","given":"Vikram","non-dropping-particle":"","parse-names":false,"suffix":""}],"container-title":"International Journal of Mental Health Systems","id":"ITEM-2","issued":{"date-parts":[["2011"]]},"page":"1-10","title":"Three models of community mental health services In low-income countries","type":"article-journal","volume":"5"},"uris":["http://www.mendeley.com/documents/?uuid=283f0d15-0435-4d4f-bc0c-dd20f6bec371"]},{"id":"ITEM-3","itemData":{"ISSN":"2249-4863","abstract":"General primary care workers and family physicians are a crucial work force in managing the mental health of people in any given region. However, the barriers they face in low- and middle-income countries (LMICs) may be worsened by the pandemic. This review aims to bring together evidence about mental health treatment challenges experienced by people in LMICs in primary care settings. The review focuses on the shortage of essential mental healthcare services, stigma and lack of competent primary care professionals in establishing these services and their importance in the COVID-19 pandemic context. The systematic review adhered to the Preferred Reporting Items for Systematic Reviews and Meta-Analyses (PRISMA) guidelines, and the search strategy included keyword search terms (MeSH) to perform a search across three electronic databases - Critical Appraisal Skills Program assessed PubMed, SpringerLink, and Cochrane and quality of the articles. The articles selected were analyzed through thematic analysis to identify the main themes and conclude our findings. Findings indicate that out of 1792 publications found, 14 studies matched the desired criteria for the studies. Endnotes, database search filters, and Covidence data extraction tools were used to generate the relevant articles in this study. This study shows that primary care institutions have financial and management issues in providing mental health services and a shortage of competent mental health experts in primary care, especially mental health–trained family physicians. The study also identifies community stigma as the most prevalent barrier to seeking mental health therapy, reflecting the lack of community health education in LMICs.","author":[{"dropping-particle":"","family":"Rameez","given":"Sahar","non-dropping-particle":"","parse-names":false,"suffix":""},{"dropping-particle":"","family":"Nasir","given":"Almas","non-dropping-particle":"","parse-names":false,"suffix":""}],"container-title":"Journal of Family Medicine and Primary Care","id":"ITEM-3","issue":"8","issued":{"date-parts":[["2023"]]},"title":"Barriers to mental health treatment in primary care practice in low- and middle-income countries in a post-covid era: A systematic review","type":"article-journal","volume":"12"},"uris":["http://www.mendeley.com/documents/?uuid=d02141d6-3595-427f-ab2c-fc15aea3f710"]}],"mendeley":{"formattedCitation":"(Cohen et al., 2011; Rameez &amp; Nasir, 2023; Rathod et al., 2017)","plainTextFormattedCitation":"(Cohen et al., 2011; Rameez &amp; Nasir, 2023; Rathod et al., 2017)","previouslyFormattedCitation":"(Cohen et al., 2011; Rameez &amp; Nasir, 2023; Rathod et al., 2017)"},"properties":{"noteIndex":0},"schema":"https://github.com/citation-style-language/schema/raw/master/csl-citation.json"}</w:instrText>
      </w:r>
      <w:r w:rsidR="00487A25" w:rsidRPr="00B35B0B">
        <w:rPr>
          <w:rFonts w:ascii="Arial" w:hAnsi="Arial" w:cs="Arial"/>
          <w:lang w:val="en-US"/>
        </w:rPr>
        <w:fldChar w:fldCharType="separate"/>
      </w:r>
      <w:r w:rsidR="009071BB" w:rsidRPr="00B35B0B">
        <w:rPr>
          <w:rFonts w:ascii="Arial" w:hAnsi="Arial" w:cs="Arial"/>
          <w:noProof/>
          <w:lang w:val="en-US"/>
        </w:rPr>
        <w:t>(Cohen et al., 2011; Rameez &amp; Nasir, 2023; Rathod et al., 2017)</w:t>
      </w:r>
      <w:r w:rsidR="00487A25" w:rsidRPr="00B35B0B">
        <w:rPr>
          <w:rFonts w:ascii="Arial" w:hAnsi="Arial" w:cs="Arial"/>
          <w:lang w:val="en-US"/>
        </w:rPr>
        <w:fldChar w:fldCharType="end"/>
      </w:r>
      <w:r w:rsidR="00487A25" w:rsidRPr="00B35B0B">
        <w:rPr>
          <w:rFonts w:ascii="Arial" w:hAnsi="Arial" w:cs="Arial"/>
          <w:lang w:val="en-US"/>
        </w:rPr>
        <w:t xml:space="preserve">, </w:t>
      </w:r>
      <w:r w:rsidRPr="00B35B0B">
        <w:rPr>
          <w:rFonts w:ascii="Arial" w:hAnsi="Arial" w:cs="Arial"/>
        </w:rPr>
        <w:t xml:space="preserve">therefore, implementing the appropriate treatment plan for individuals who seek mental health care </w:t>
      </w:r>
      <w:r w:rsidR="00487A25" w:rsidRPr="00B35B0B">
        <w:rPr>
          <w:rFonts w:ascii="Arial" w:hAnsi="Arial" w:cs="Arial"/>
          <w:lang w:val="en-US"/>
        </w:rPr>
        <w:fldChar w:fldCharType="begin" w:fldLock="1"/>
      </w:r>
      <w:r w:rsidR="00576333" w:rsidRPr="00B35B0B">
        <w:rPr>
          <w:rFonts w:ascii="Arial" w:hAnsi="Arial" w:cs="Arial"/>
          <w:lang w:val="en-US"/>
        </w:rPr>
        <w:instrText>ADDIN CSL_CITATION {"citationItems":[{"id":"ITEM-1","itemData":{"DOI":"10.1371/journal.pone.0156939","author":[{"dropping-particle":"","family":"Ali","given":"Gemma-claire","non-dropping-particle":"","parse-names":false,"suffix":""},{"dropping-particle":"","family":"Ryan","given":"Grace","non-dropping-particle":"","parse-names":false,"suffix":""},{"dropping-particle":"De","family":"Silva","given":"Mary J","non-dropping-particle":"","parse-names":false,"suffix":""}],"container-title":"PLoS ONE","id":"ITEM-1","issue":"6","issued":{"date-parts":[["2016"]]},"page":"1-14","title":"Validated Screening Tools for Common Mental Disorders in Low and Middle Income Countries : A Systematic Review","type":"article-journal","volume":"11"},"uris":["http://www.mendeley.com/documents/?uuid=14588300-10a4-4e88-bbfd-ff4480df2e96"]}],"mendeley":{"formattedCitation":"(Ali et al., 2016)","plainTextFormattedCitation":"(Ali et al., 2016)","previouslyFormattedCitation":"(Ali et al., 2016)"},"properties":{"noteIndex":0},"schema":"https://github.com/citation-style-language/schema/raw/master/csl-citation.json"}</w:instrText>
      </w:r>
      <w:r w:rsidR="00487A25" w:rsidRPr="00B35B0B">
        <w:rPr>
          <w:rFonts w:ascii="Arial" w:hAnsi="Arial" w:cs="Arial"/>
          <w:lang w:val="en-US"/>
        </w:rPr>
        <w:fldChar w:fldCharType="separate"/>
      </w:r>
      <w:r w:rsidR="00576333" w:rsidRPr="00B35B0B">
        <w:rPr>
          <w:rFonts w:ascii="Arial" w:hAnsi="Arial" w:cs="Arial"/>
          <w:noProof/>
          <w:lang w:val="en-US"/>
        </w:rPr>
        <w:t>(Ali et al., 2016)</w:t>
      </w:r>
      <w:r w:rsidR="00487A25" w:rsidRPr="00B35B0B">
        <w:rPr>
          <w:rFonts w:ascii="Arial" w:hAnsi="Arial" w:cs="Arial"/>
          <w:lang w:val="en-US"/>
        </w:rPr>
        <w:fldChar w:fldCharType="end"/>
      </w:r>
      <w:r w:rsidR="00487A25" w:rsidRPr="00B35B0B">
        <w:rPr>
          <w:rFonts w:ascii="Arial" w:hAnsi="Arial" w:cs="Arial"/>
          <w:lang w:val="en-US"/>
        </w:rPr>
        <w:t xml:space="preserve">. </w:t>
      </w:r>
      <w:r w:rsidRPr="00B35B0B">
        <w:rPr>
          <w:rFonts w:ascii="Arial" w:hAnsi="Arial" w:cs="Arial"/>
        </w:rPr>
        <w:t xml:space="preserve">Appropriate assessment and screening of common mental disorders in the primary mental healthcare setting helps in improving the quality of care rendered to the individual who visits the mental healthcare facility, decreases the complication associated with the treatment of mental disorders,, and reduces the cost involved in mental healthcare, aside from aiding the mental healthcare providers with correct diagnoses and treatment </w:t>
      </w:r>
      <w:proofErr w:type="spellStart"/>
      <w:r w:rsidRPr="00B35B0B">
        <w:rPr>
          <w:rFonts w:ascii="Arial" w:hAnsi="Arial" w:cs="Arial"/>
        </w:rPr>
        <w:t>planss</w:t>
      </w:r>
      <w:proofErr w:type="spellEnd"/>
      <w:r w:rsidR="00487A25" w:rsidRPr="00B35B0B">
        <w:rPr>
          <w:rFonts w:ascii="Arial" w:hAnsi="Arial" w:cs="Arial"/>
          <w:lang w:val="en-US"/>
        </w:rPr>
        <w:fldChar w:fldCharType="begin" w:fldLock="1"/>
      </w:r>
      <w:r w:rsidR="00576333" w:rsidRPr="00B35B0B">
        <w:rPr>
          <w:rFonts w:ascii="Arial" w:hAnsi="Arial" w:cs="Arial"/>
          <w:lang w:val="en-US"/>
        </w:rPr>
        <w:instrText>ADDIN CSL_CITATION {"citationItems":[{"id":"ITEM-1","itemData":{"DOI":"10.2196/28369","ISSN":"1438-8871","abstract":"Background: Digital mental health interventions stand to play a critical role in managing the mental health impact of the COVID-19 pandemic. Thus, enhancing their uptake is a key priority. General practitioners (GPs) are well positioned to facilitate access to digital interventions, but tools that assist GPs in identifying suitable patients are lacking. Objective: This study aims to evaluate the suitability of a web-based mental health screening and treatment recommendation tool (StepCare) for improving the identification of anxiety and depression in general practice and, subsequently, uptake of digital mental health interventions. Methods: StepCare screens patients for symptoms of depression (9-item Patient Health Questionnaire) and anxiety (7-item Generalized Anxiety Disorder scale) in the GP waiting room. It provides GPs with stepped treatment recommendations that include digital mental health interventions for patients with mild to moderate symptoms. Patients (N=5138) from 85 general practices across Australia were invited to participate in screening. Results: Screening identified depressive or anxious symptoms in 43.09{\\%} (1428/3314) of patients (one-quarter were previously unidentified or untreated). The majority (300/335, 89.6{\\%}) of previously unidentified or untreated patients had mild to moderate symptoms and were candidates for digital mental health interventions. Although less than half were prescribed a digital intervention by their GP, when a digital intervention was prescribed, more than two-thirds of patients reported using it. Conclusions: Implementing web-based mental health screening in general practices can provide important opportunities for GPs to improve the identification of symptoms of mental illness and increase patient access to digital mental health interventions. Although GPs prescribed digital interventions less frequently than in-person psychotherapy or medication, the promising rates of uptake by GP-referred patients suggest that GPs can play a critical role in championing digital interventions and maximizing the associated benefits. ","author":[{"dropping-particle":"","family":"Whitton","given":"Alexis E","non-dropping-particle":"","parse-names":false,"suffix":""},{"dropping-particle":"","family":"Hardy","given":"Rebecca","non-dropping-particle":"","parse-names":false,"suffix":""},{"dropping-particle":"","family":"Cope","given":"Kate","non-dropping-particle":"","parse-names":false,"suffix":""},{"dropping-particle":"","family":"Gieng","given":"Chilin","non-dropping-particle":"","parse-names":false,"suffix":""},{"dropping-particle":"","family":"Gow","given":"Leanne","non-dropping-particle":"","parse-names":false,"suffix":""},{"dropping-particle":"","family":"MacKinnon","given":"Andrew","non-dropping-particle":"","parse-names":false,"suffix":""},{"dropping-particle":"","family":"Gale","given":"Nyree","non-dropping-particle":"","parse-names":false,"suffix":""},{"dropping-particle":"","family":"O'Moore","given":"Kathleen","non-dropping-particle":"","parse-names":false,"suffix":""},{"dropping-particle":"","family":"Anderson","given":"Josephine","non-dropping-particle":"","parse-names":false,"suffix":""},{"dropping-particle":"","family":"Proudfoot","given":"Judith","non-dropping-particle":"","parse-names":false,"suffix":""},{"dropping-particle":"","family":"Cockayne","given":"Nicole","non-dropping-particle":"","parse-names":false,"suffix":""},{"dropping-particle":"","family":"O'Dea","given":"Bridianne","non-dropping-particle":"","parse-names":false,"suffix":""},{"dropping-particle":"","family":"Christensen","given":"Helen","non-dropping-particle":"","parse-names":false,"suffix":""},{"dropping-particle":"","family":"Newby","given":"Jill Maree","non-dropping-particle":"","parse-names":false,"suffix":""}],"container-title":"J Med Internet Res","id":"ITEM-1","issue":"9","issued":{"date-parts":[["2021","9"]]},"page":"e28369","title":"Mental Health Screening in General Practices as a Means for Enhancing Uptake of Digital Mental Health Interventions: Observational Cohort Study","type":"article-journal","volume":"23"},"uris":["http://www.mendeley.com/documents/?uuid=2f66c068-6ebc-491c-88c8-4dabaab04aae"]},{"id":"ITEM-2","itemData":{"DOI":"10.1007/s11606-017-4181-0","ISSN":"1525-1497 (Electronic)","PMID":"28948432","abstract":"BACKGROUND: Mounting evidence indicates that early recognition and treatment of  behavioral health disorders can prevent complications, improve quality of life, and help reduce health care costs. The aim of this systematic literature review was to identify and evaluate publicly available, psychometrically tested tools that primary care physicians (PCPs) can use to screen adult patients for common mental and substance use disorders such as depression, anxiety, and alcohol use disorders. METHODS: We followed the Institute of Medicine (IOM) systematic review guidelines and searched PubMed, PsycINFO, Applied Social Sciences Index and Abstracts, Cumulative Index to Nursing and Allied Health Literature, and Health and Psychosocial Instruments databases to identify literature addressing tools for screening of behavioral health conditions. We gathered information on each tool's psychometrics, applicability in primary care, and characteristics such as number of items and mode of administration. We included tools focused on adults and the most common behavioral health conditions; we excluded tools designed for children, youth, or older adults; holistic health scales; and tools screening for serious but less frequently encountered disorders, such as bipolar disorder. RESULTS: We identified 24 screening tools that met the inclusion criteria. Fifteen tools were subscales stemming from multiple-disorder assessments or tools that assessed more than one mental disorder or more than one substance use disorder in a single instrument. Nine were ultra-short, single-disorder tools. The tools varied in psychometrics and the extent to which they had been administered and studied in primary care settings. DISCUSSION: Tools stemming from the Patient Health Questionnaire had the most testing and application in primary care settings. However, numerous other tools could meet the needs of primary care practices. This review provides information that PCPs can use to select appropriate tools to incorporate into a screening protocol.","author":[{"dropping-particle":"","family":"Mulvaney-Day","given":"Norah","non-dropping-particle":"","parse-names":false,"suffix":""},{"dropping-particle":"","family":"Marshall","given":"Tina","non-dropping-particle":"","parse-names":false,"suffix":""},{"dropping-particle":"","family":"Downey Piscopo","given":"Kathryn","non-dropping-particle":"","parse-names":false,"suffix":""},{"dropping-particle":"","family":"Korsen","given":"Neil","non-dropping-particle":"","parse-names":false,"suffix":""},{"dropping-particle":"","family":"Lynch","given":"Sean","non-dropping-particle":"","parse-names":false,"suffix":""},{"dropping-particle":"","family":"Karnell","given":"Lucy H","non-dropping-particle":"","parse-names":false,"suffix":""},{"dropping-particle":"","family":"Moran","given":"Garrett E","non-dropping-particle":"","parse-names":false,"suffix":""},{"dropping-particle":"","family":"Daniels","given":"Allen S","non-dropping-particle":"","parse-names":false,"suffix":""},{"dropping-particle":"","family":"Ghose","given":"Sushmita Shoma","non-dropping-particle":"","parse-names":false,"suffix":""}],"container-title":"Journal of general internal medicine","id":"ITEM-2","issue":"3","issued":{"date-parts":[["2018","3"]]},"language":"eng","page":"335-346","title":"Screening for Behavioral Health Conditions in Primary Care Settings: A Systematic  Review of the Literature.","type":"article-journal","volume":"33"},"uris":["http://www.mendeley.com/documents/?uuid=3b37d4c6-1fe2-4d54-92f5-07aa0939a261"]}],"mendeley":{"formattedCitation":"(Mulvaney-Day et al., 2018b; Whitton et al., 2021)","plainTextFormattedCitation":"(Mulvaney-Day et al., 2018b; Whitton et al., 2021)","previouslyFormattedCitation":"(Mulvaney-Day et al., 2018b; Whitton et al., 2021)"},"properties":{"noteIndex":0},"schema":"https://github.com/citation-style-language/schema/raw/master/csl-citation.json"}</w:instrText>
      </w:r>
      <w:r w:rsidR="00487A25" w:rsidRPr="00B35B0B">
        <w:rPr>
          <w:rFonts w:ascii="Arial" w:hAnsi="Arial" w:cs="Arial"/>
          <w:lang w:val="en-US"/>
        </w:rPr>
        <w:fldChar w:fldCharType="separate"/>
      </w:r>
      <w:r w:rsidR="00576333" w:rsidRPr="00B35B0B">
        <w:rPr>
          <w:rFonts w:ascii="Arial" w:hAnsi="Arial" w:cs="Arial"/>
          <w:noProof/>
          <w:lang w:val="en-US"/>
        </w:rPr>
        <w:t>(Mulvaney-Day et al., 2018b; Whitton et al., 2021)</w:t>
      </w:r>
      <w:r w:rsidR="00487A25" w:rsidRPr="00B35B0B">
        <w:rPr>
          <w:rFonts w:ascii="Arial" w:hAnsi="Arial" w:cs="Arial"/>
          <w:lang w:val="en-US"/>
        </w:rPr>
        <w:fldChar w:fldCharType="end"/>
      </w:r>
      <w:r w:rsidR="00487A25" w:rsidRPr="00B35B0B">
        <w:rPr>
          <w:rFonts w:ascii="Arial" w:hAnsi="Arial" w:cs="Arial"/>
          <w:lang w:val="en-US"/>
        </w:rPr>
        <w:t xml:space="preserve">. </w:t>
      </w:r>
    </w:p>
    <w:p w14:paraId="4EE915EE" w14:textId="77777777" w:rsidR="00487A25" w:rsidRPr="00B35B0B" w:rsidRDefault="00BD299A" w:rsidP="00487A25">
      <w:pPr>
        <w:spacing w:after="0" w:line="480" w:lineRule="auto"/>
        <w:ind w:firstLine="510"/>
        <w:jc w:val="both"/>
        <w:rPr>
          <w:rFonts w:ascii="Arial" w:hAnsi="Arial" w:cs="Arial"/>
          <w:lang w:val="en-US"/>
        </w:rPr>
      </w:pPr>
      <w:r w:rsidRPr="00B35B0B">
        <w:rPr>
          <w:rFonts w:ascii="Arial" w:hAnsi="Arial" w:cs="Arial"/>
        </w:rPr>
        <w:t xml:space="preserve">In Ghana as well as other LMICs, community mental healthcare providers are the first line of contact for mental health care delivery in most LMICs </w:t>
      </w:r>
      <w:r w:rsidR="00487A25" w:rsidRPr="00B35B0B">
        <w:rPr>
          <w:rFonts w:ascii="Arial" w:hAnsi="Arial" w:cs="Arial"/>
          <w:lang w:val="en-US"/>
        </w:rPr>
        <w:fldChar w:fldCharType="begin" w:fldLock="1"/>
      </w:r>
      <w:r w:rsidR="00576333" w:rsidRPr="00B35B0B">
        <w:rPr>
          <w:rFonts w:ascii="Arial" w:hAnsi="Arial" w:cs="Arial"/>
          <w:lang w:val="en-US"/>
        </w:rPr>
        <w:instrText>ADDIN CSL_CITATION {"citationItems":[{"id":"ITEM-1","itemData":{"DOI":"10.1016/S0140-6736(15)00298-6","ISSN":"1474-547X (Electronic)","PMID":"26410341","abstract":"Stigma and discrimination in relation to mental illnesses have been described as  having worse consequences than the conditions themselves. Most medical literature in this area of research has been descriptive and has focused on attitudes towards people with mental illness rather than on interventions to reduce stigma. In this narrative Review, we summarise what is known globally from published systematic reviews and primary data on effective interventions intended to reduce mental-illness-related stigma or discrimination. The main findings emerging from this narrative overview are that: (1) at the population level there is a fairly consistent pattern of short-term benefits for positive attitude change, and some lesser evidence for knowledge improvement; (2) for people with mental illness, some group-level anti-stigma inventions show promise and merit further assessment; (3) for specific target groups, such as students, social-contact-based interventions usually achieve short-term (but less clearly long-term) attitudinal improvements, and less often produce knowledge gains; (4) this is a heterogeneous field of study with few strong study designs with large sample sizes; (5) research from low-income and middle-income countries is conspicuous by its relative absence; (6) caution needs to be exercised in not overgeneralising lessons from one target group to another; (7) there is a clear need for studies with longer-term follow-up to assess whether initial gains are sustained or attenuated, and whether booster doses of the intervention are needed to maintain progress; (8) few studies in any part of the world have focused on either the service user's perspective of stigma and discrimination or on the behaviour domain of behavioural change, either by people with or without mental illness in the complex processes of stigmatisation. We found that social contact is the most effective type of intervention to improve stigma-related knowledge and attitudes in the short term. However, the evidence for longer-term benefit of such social contact to reduce stigma is weak. In view of the magnitude of challenges that result from mental health stigma and discrimination, a concerted effort is needed to fund methodologically strong research that will provide robust evidence to support decisions on investment in interventions to reduce stigma.","author":[{"dropping-particle":"","family":"Thornicroft","given":"Graham","non-dropping-particle":"","parse-names":false,"suffix":""},{"dropping-particle":"","family":"Mehta","given":"Nisha","non-dropping-particle":"","parse-names":false,"suffix":""},{"dropping-particle":"","family":"Clement","given":"Sarah","non-dropping-particle":"","parse-names":false,"suffix":""},{"dropping-particle":"","family":"Evans-Lacko","given":"Sara","non-dropping-particle":"","parse-names":false,"suffix":""},{"dropping-particle":"","family":"Doherty","given":"Mary","non-dropping-particle":"","parse-names":false,"suffix":""},{"dropping-particle":"","family":"Rose","given":"Diana","non-dropping-particle":"","parse-names":false,"suffix":""},{"dropping-particle":"","family":"Koschorke","given":"Mirja","non-dropping-particle":"","parse-names":false,"suffix":""},{"dropping-particle":"","family":"Shidhaye","given":"Rahul","non-dropping-particle":"","parse-names":false,"suffix":""},{"dropping-particle":"","family":"O'Reilly","given":"Claire","non-dropping-particle":"","parse-names":false,"suffix":""},{"dropping-particle":"","family":"Henderson","given":"Claire","non-dropping-particle":"","parse-names":false,"suffix":""}],"container-title":"Lancet (London, England)","id":"ITEM-1","issue":"10023","issued":{"date-parts":[["2016","3"]]},"language":"eng","page":"1123-1132","publisher-place":"England","title":"Evidence for effective interventions to reduce mental-health-related stigma and  discrimination.","type":"article-journal","volume":"387"},"uris":["http://www.mendeley.com/documents/?uuid=d83fc6ec-ef44-4642-b5bf-2b5bd5a1b6d3"]}],"mendeley":{"formattedCitation":"(Thornicroft et al., 2016)","plainTextFormattedCitation":"(Thornicroft et al., 2016)","previouslyFormattedCitation":"(Thornicroft et al., 2016)"},"properties":{"noteIndex":0},"schema":"https://github.com/citation-style-language/schema/raw/master/csl-citation.json"}</w:instrText>
      </w:r>
      <w:r w:rsidR="00487A25" w:rsidRPr="00B35B0B">
        <w:rPr>
          <w:rFonts w:ascii="Arial" w:hAnsi="Arial" w:cs="Arial"/>
          <w:lang w:val="en-US"/>
        </w:rPr>
        <w:fldChar w:fldCharType="separate"/>
      </w:r>
      <w:r w:rsidR="00576333" w:rsidRPr="00B35B0B">
        <w:rPr>
          <w:rFonts w:ascii="Arial" w:hAnsi="Arial" w:cs="Arial"/>
          <w:noProof/>
          <w:lang w:val="en-US"/>
        </w:rPr>
        <w:t>(Thornicroft et al., 2016)</w:t>
      </w:r>
      <w:r w:rsidR="00487A25" w:rsidRPr="00B35B0B">
        <w:rPr>
          <w:rFonts w:ascii="Arial" w:hAnsi="Arial" w:cs="Arial"/>
          <w:lang w:val="en-US"/>
        </w:rPr>
        <w:fldChar w:fldCharType="end"/>
      </w:r>
      <w:r w:rsidR="00487A25" w:rsidRPr="00B35B0B">
        <w:rPr>
          <w:rFonts w:ascii="Arial" w:hAnsi="Arial" w:cs="Arial"/>
          <w:lang w:val="en-US"/>
        </w:rPr>
        <w:t xml:space="preserve"> </w:t>
      </w:r>
      <w:r w:rsidRPr="00B35B0B">
        <w:rPr>
          <w:rFonts w:ascii="Arial" w:hAnsi="Arial" w:cs="Arial"/>
        </w:rPr>
        <w:t>and are tasked to take up the role of assessing and diagnosing mild to severe forms of common mental disorders</w:t>
      </w:r>
      <w:r w:rsidRPr="00B35B0B">
        <w:rPr>
          <w:rFonts w:ascii="Arial" w:hAnsi="Arial" w:cs="Arial"/>
          <w:lang w:val="en-US"/>
        </w:rPr>
        <w:t xml:space="preserve"> </w:t>
      </w:r>
      <w:r w:rsidR="00487A25" w:rsidRPr="00B35B0B">
        <w:rPr>
          <w:rFonts w:ascii="Arial" w:hAnsi="Arial" w:cs="Arial"/>
          <w:lang w:val="en-US"/>
        </w:rPr>
        <w:fldChar w:fldCharType="begin" w:fldLock="1"/>
      </w:r>
      <w:r w:rsidR="00576333" w:rsidRPr="00B35B0B">
        <w:rPr>
          <w:rFonts w:ascii="Arial" w:hAnsi="Arial" w:cs="Arial"/>
          <w:lang w:val="en-US"/>
        </w:rPr>
        <w:instrText>ADDIN CSL_CITATION {"citationItems":[{"id":"ITEM-1","itemData":{"DOI":"10.1093/heapol/czv114","ISSN":"14602237","PMID":"26608584","abstract":"There is growing interest in the effectiveness of task shifting as a strategy for addressing expanding health care challenges in settings with shortages of qualified health personnel. The aim of this study is to examine the perception of stakeholders about the adequacy of training, supervision and support offered to community mental health workers (CMHWs) in Ghana. To address this aim we designed and administered self-completed, semi-structured questionnaires adapted to three specific stakeholder groups in Ghana. The questionnaires were administered to 11 psychiatrists, 29 health policy implementers/coordinators and 164 CMHWs, across Ghana, including 71 (43.3%) Community Psychiatric Nurses (CPNs), 19 (11.6%) Clinical Psychiatric Officers (CPOs) and 74 (45.1%) Community Mental Health Officers (CMHOs). Almost all the stakeholders believed CMHWs in Ghana receive adequate training for the role they are expected to play although many identify some gaps in the training of these mental health workers for the expanded roles they actually play. There were statistically significant differences between the different CMHW groups and the types of in-service training they said they had attended, the frequency with which their work was supervised, and the frequency with which they received feedback from supervisors. CPOs were more likely to attend all the different kinds of in-service training than CMHOs and CPNs, while CMHOs were more likely than CPOs and CPNs to report that their work is never supervised or that they rarely or never receive feedback from supervisors. There was disparity between what CMHWs said were their experiences and the perception of policy makers with respect to the types of in-service training that is available to CMHWs. There is a need to review the task shifting arrangements, perhaps with a view to expanding it to include more responsibilities, and therefore review the curriculum of the training institution for CMHWs and also to offer them regular in-service training and formal supervision.","author":[{"dropping-particle":"","family":"Agyapong","given":"Vincent I.O.","non-dropping-particle":"","parse-names":false,"suffix":""},{"dropping-particle":"","family":"Osei","given":"Akwasi","non-dropping-particle":"","parse-names":false,"suffix":""},{"dropping-particle":"","family":"Mcloughlin","given":"Declan M.","non-dropping-particle":"","parse-names":false,"suffix":""},{"dropping-particle":"","family":"McAuliffe","given":"Eilish","non-dropping-particle":"","parse-names":false,"suffix":""}],"container-title":"Health Policy and Planning","id":"ITEM-1","issue":"5","issued":{"date-parts":[["2016"]]},"page":"645-655","title":"Task shifting - Perception of stake holders about adequacy of training and supervision for community mental health workers in Ghana","type":"article-journal","volume":"31"},"uris":["http://www.mendeley.com/documents/?uuid=6b2eaebc-719d-477d-9e77-c4b1e3f51f90"]},{"id":"ITEM-2","itemData":{"DOI":"10.1371/journal.pone.0174631","ISBN":"1111111111","ISSN":"19326203","PMID":"28358841","abstract":"Objective To explore the experiences and perceptions of health workers and implementers of taskshifting in rural health facilities in Upper East Region, Ghana. Methods Data was collected through field interviews. A total of sixty eight (68) in-depth interviews were conducted with health workers' in primary health care facilities (health centres); Four in-depth interviews with key persons involved in staff management was conducted to understand how task-shifting is organised including its strengths and challenges. The health workers interview guide was designed with the aim of getting data on official tasks of health workers, additional tasks assigned to them, how they perceive these tasks, and the challenges associated with the practice of task-shifting. Findings Task-shifting is a practice being used across the health facilities in the study area to help reduce the impact of insufficient health workers. Generally, health workers had a comprehensive training that supported the organisation of task-shifting. However, staff members' are sometimes engaged in tasks above their level of training and beyond their actual job descriptions. Adequate training is usually not provided before additional tasks are assigned to staff members. Whilst some health workers perceived the additional tasks they performed as an opportunity to learn new skills, others described these as stressful and overburdening. Conclusion Task-shifting has the potential to contribute to addressing the insufficient health workforce, and thereby improving health delivery system where the procedures are well defined and staff members work in a coordinated and organised manner. The provision of adequate training and supervision for health workers is important in order to improve their expertise before additional tasks are assigned to them so that the quality of care would not be compromised.","author":[{"dropping-particle":"","family":"Okyere","given":"Eunice","non-dropping-particle":"","parse-names":false,"suffix":""},{"dropping-particle":"","family":"Mwanri","given":"Lillian","non-dropping-particle":"","parse-names":false,"suffix":""},{"dropping-particle":"","family":"Ward","given":"Paul","non-dropping-particle":"","parse-names":false,"suffix":""}],"container-title":"PLoS ONE","id":"ITEM-2","issue":"3","issued":{"date-parts":[["2017"]]},"page":"1-22","title":"Is task-shifting a solution to the health workers' shortage in Northern Ghana?","type":"article-journal","volume":"12"},"uris":["http://www.mendeley.com/documents/?uuid=d44e36b7-44dd-42ef-b448-3530338d57a3"]},{"id":"ITEM-3","itemData":{"DOI":"10.1186/1752-4458-5-3","ISSN":"17524458","abstract":"Objective: To compare and contrast three models of community mental health services in low-income settings.Data Sources/Study Setting: Primary and secondary data collected before, during, and after site visits to mental health programs in Nigeria, the Philippines, and India.Study Design: Qualitative case study methodology.Data Collection: Data were collected through interviews and observations during site visits to the programs, as well as from reviews of documentary evidence.Principal Findings: A set of narrative topics and program indicators were used to compare and contrast three community mental health programs in low-income countries. This allowed us to identify a diversity of service delivery models, common challenges, and the strengths and weaknesses of each program. More definitive evaluations will require the establishment of data collection methods and information systems that provide data about the clinical and social outcomes of clients, as well as their use of services.Conclusions: Community mental health programs in low-income countries face a number of challenges. Using a case study methodology developed for this purpose, it is possible to compare programs and begin to assess the effectiveness of diverse service delivery models. © 2011 Cohen et al; licensee BioMed Central Ltd.","author":[{"dropping-particle":"","family":"Cohen","given":"Alex","non-dropping-particle":"","parse-names":false,"suffix":""},{"dropping-particle":"","family":"Eaton","given":"Julian","non-dropping-particle":"","parse-names":false,"suffix":""},{"dropping-particle":"","family":"Radtke","given":"Birgit","non-dropping-particle":"","parse-names":false,"suffix":""},{"dropping-particle":"","family":"George","given":"Christina","non-dropping-particle":"","parse-names":false,"suffix":""},{"dropping-particle":"V.","family":"Manuel","given":"Bro","non-dropping-particle":"","parse-names":false,"suffix":""},{"dropping-particle":"","family":"Silva","given":"Mary","non-dropping-particle":"De","parse-names":false,"suffix":""},{"dropping-particle":"","family":"Patel","given":"Vikram","non-dropping-particle":"","parse-names":false,"suffix":""}],"container-title":"International Journal of Mental Health Systems","id":"ITEM-3","issued":{"date-parts":[["2011"]]},"page":"1-10","title":"Three models of community mental health services In low-income countries","type":"article-journal","volume":"5"},"uris":["http://www.mendeley.com/documents/?uuid=283f0d15-0435-4d4f-bc0c-dd20f6bec371"]}],"mendeley":{"formattedCitation":"(V. I. O. Agyapong et al., 2016; Cohen et al., 2011; Okyere et al., 2017)","manualFormatting":"(Agyapong et al., 2016; Agyapong et al., 2015; Cohen et al., 2011; Okyere et al., 2017)","plainTextFormattedCitation":"(V. I. O. Agyapong et al., 2016; Cohen et al., 2011; Okyere et al., 2017)","previouslyFormattedCitation":"(V. I. O. Agyapong et al., 2016; Cohen et al., 2011; Okyere et al., 2017)"},"properties":{"noteIndex":0},"schema":"https://github.com/citation-style-language/schema/raw/master/csl-citation.json"}</w:instrText>
      </w:r>
      <w:r w:rsidR="00487A25" w:rsidRPr="00B35B0B">
        <w:rPr>
          <w:rFonts w:ascii="Arial" w:hAnsi="Arial" w:cs="Arial"/>
          <w:lang w:val="en-US"/>
        </w:rPr>
        <w:fldChar w:fldCharType="separate"/>
      </w:r>
      <w:r w:rsidR="00487A25" w:rsidRPr="00B35B0B">
        <w:rPr>
          <w:rFonts w:ascii="Arial" w:hAnsi="Arial" w:cs="Arial"/>
          <w:noProof/>
          <w:lang w:val="en-US"/>
        </w:rPr>
        <w:t>(Agyapong et al., 2016; Agyapong et al., 2015; Cohen et al., 2011; Okyere et al., 2017)</w:t>
      </w:r>
      <w:r w:rsidR="00487A25" w:rsidRPr="00B35B0B">
        <w:rPr>
          <w:rFonts w:ascii="Arial" w:hAnsi="Arial" w:cs="Arial"/>
          <w:lang w:val="en-US"/>
        </w:rPr>
        <w:fldChar w:fldCharType="end"/>
      </w:r>
      <w:r w:rsidR="00487A25" w:rsidRPr="00B35B0B">
        <w:rPr>
          <w:rFonts w:ascii="Arial" w:hAnsi="Arial" w:cs="Arial"/>
          <w:lang w:val="en-US"/>
        </w:rPr>
        <w:t xml:space="preserve">. </w:t>
      </w:r>
      <w:r w:rsidRPr="00B35B0B">
        <w:rPr>
          <w:rFonts w:ascii="Arial" w:hAnsi="Arial" w:cs="Arial"/>
        </w:rPr>
        <w:t>This is because policymakers have no option to bridge the huge treatment gap that exists in the country due to the low number of clinical psychiatrists and clinical psychologists per patient ratio that exists in the country</w:t>
      </w:r>
      <w:r w:rsidR="00487A25" w:rsidRPr="00B35B0B">
        <w:rPr>
          <w:rFonts w:ascii="Arial" w:hAnsi="Arial" w:cs="Arial"/>
          <w:lang w:val="en-US"/>
        </w:rPr>
        <w:t xml:space="preserve"> </w:t>
      </w:r>
      <w:r w:rsidR="00487A25" w:rsidRPr="00B35B0B">
        <w:rPr>
          <w:rFonts w:ascii="Arial" w:hAnsi="Arial" w:cs="Arial"/>
          <w:lang w:val="en-US"/>
        </w:rPr>
        <w:fldChar w:fldCharType="begin" w:fldLock="1"/>
      </w:r>
      <w:r w:rsidR="00576333" w:rsidRPr="00B35B0B">
        <w:rPr>
          <w:rFonts w:ascii="Arial" w:hAnsi="Arial" w:cs="Arial"/>
          <w:lang w:val="en-US"/>
        </w:rPr>
        <w:instrText>ADDIN CSL_CITATION {"citationItems":[{"id":"ITEM-1","itemData":{"DOI":"10.1017/S2045796017000075","ISSN":"20457979","abstract":"Aims.: The World Health Organization (WHO)’s Mental Health Atlas series has established itself as the single most comprehensive and most widely used source of information on the global mental health situation. The data derived from the latest Mental Health Atlas survey carried out in 2014 describes the availability and delivery of mental health services in the WHO's Member States, focussing on differences by country's income level. Methods.: The data contained in this paper are mainly derived from questions relating to mental health service availability and uptake, as well as on financial and human resources for mental health. Results are presented as median values and analysed by World Bank income group. Interquartile ranges are also provided as measures of statistical dispersion. Results.: In total, 171 out of WHO's 194 Member States were able to at least partially complete the Atlas questionnaire. The results highlight a wide gap between high and low-medium income countries in a number of areas: for example, high-income countries have 20 times more beds in community-based inpatient units and 30 times more admissions; the rate of patients cared by outpatient facilities is 40 times higher; and there are 66 times more community outpatient contacts and 15 times more mental health staff at outpatient level. Overall resources for mental health are not distributed efficiently: globally about 60% of financial resources and over two-thirds of all available mental health staff are concentrated in mental hospitals, which serve only a small proportion of patients. Results indicate that outpatient care is the only effective means of increasing the coverage for mental disorders and is expanding, but it is strongly influenced by country income level. Two elements of the network of mental health facilities are particularly scarce in low- and middle-income countries: day treatment facilities and community residential facilities. Conclusions.: The WHO Mental Health Atlas 2014 survey provides basic mental health information at the level of WHO's Member States, concerning mental health resources and activities. Atlas promotes the use of information, usually underestimated not only in low- and middle-income countries but also in high-income countries. Information is needed not only for monitoring the scaling up of the mental health system at country level, but also for improving transparency and accountability for users, families and the public.","author":[{"dropping-particle":"","family":"Lora","given":"A.","non-dropping-particle":"","parse-names":false,"suffix":""},{"dropping-particle":"","family":"Hanna","given":"F.","non-dropping-particle":"","parse-names":false,"suffix":""},{"dropping-particle":"","family":"Chisholm","given":"D.","non-dropping-particle":"","parse-names":false,"suffix":""}],"container-title":"Epidemiology and Psychiatric Sciences","id":"ITEM-1","issue":"2020","issued":{"date-parts":[["2017"]]},"page":"1-12","title":"Mental health service availability and delivery at the global level: an analysis by countries’ income level from WHO's Mental Health Atlas 2014","type":"article-journal"},"uris":["http://www.mendeley.com/documents/?uuid=469bb5b2-cf45-4eac-a164-f24fc9b608a0"]}],"mendeley":{"formattedCitation":"(Lora et al., 2017)","plainTextFormattedCitation":"(Lora et al., 2017)","previouslyFormattedCitation":"(Lora et al., 2017)"},"properties":{"noteIndex":0},"schema":"https://github.com/citation-style-language/schema/raw/master/csl-citation.json"}</w:instrText>
      </w:r>
      <w:r w:rsidR="00487A25" w:rsidRPr="00B35B0B">
        <w:rPr>
          <w:rFonts w:ascii="Arial" w:hAnsi="Arial" w:cs="Arial"/>
          <w:lang w:val="en-US"/>
        </w:rPr>
        <w:fldChar w:fldCharType="separate"/>
      </w:r>
      <w:r w:rsidR="00576333" w:rsidRPr="00B35B0B">
        <w:rPr>
          <w:rFonts w:ascii="Arial" w:hAnsi="Arial" w:cs="Arial"/>
          <w:noProof/>
          <w:lang w:val="en-US"/>
        </w:rPr>
        <w:t>(Lora et al., 2017)</w:t>
      </w:r>
      <w:r w:rsidR="00487A25" w:rsidRPr="00B35B0B">
        <w:rPr>
          <w:rFonts w:ascii="Arial" w:hAnsi="Arial" w:cs="Arial"/>
          <w:lang w:val="en-US"/>
        </w:rPr>
        <w:fldChar w:fldCharType="end"/>
      </w:r>
      <w:r w:rsidR="00487A25" w:rsidRPr="00B35B0B">
        <w:rPr>
          <w:rFonts w:ascii="Arial" w:hAnsi="Arial" w:cs="Arial"/>
          <w:lang w:val="en-US"/>
        </w:rPr>
        <w:t xml:space="preserve">. </w:t>
      </w:r>
    </w:p>
    <w:p w14:paraId="5EFB28E5" w14:textId="77777777" w:rsidR="00BD299A" w:rsidRPr="00FC32F4" w:rsidRDefault="00BD299A" w:rsidP="00B35B0B">
      <w:pPr>
        <w:pStyle w:val="NormalWeb"/>
        <w:spacing w:line="480" w:lineRule="auto"/>
        <w:jc w:val="both"/>
      </w:pPr>
      <w:r w:rsidRPr="00B35B0B">
        <w:rPr>
          <w:rFonts w:ascii="Arial" w:hAnsi="Arial" w:cs="Arial"/>
          <w:sz w:val="22"/>
          <w:szCs w:val="22"/>
        </w:rPr>
        <w:t xml:space="preserve">These community mental health nurses lack the required training to assess and treat individuals seeking mental healthcare,, leading to gaps in the treatment of mental health patients </w:t>
      </w:r>
      <w:r w:rsidR="00487A25" w:rsidRPr="00B35B0B">
        <w:rPr>
          <w:rFonts w:ascii="Arial" w:hAnsi="Arial" w:cs="Arial"/>
          <w:sz w:val="22"/>
          <w:szCs w:val="22"/>
          <w:lang w:val="en-US"/>
        </w:rPr>
        <w:fldChar w:fldCharType="begin" w:fldLock="1"/>
      </w:r>
      <w:r w:rsidR="00576333" w:rsidRPr="00B35B0B">
        <w:rPr>
          <w:rFonts w:ascii="Arial" w:hAnsi="Arial" w:cs="Arial"/>
          <w:sz w:val="22"/>
          <w:szCs w:val="22"/>
          <w:lang w:val="en-US"/>
        </w:rPr>
        <w:instrText>ADDIN CSL_CITATION {"citationItems":[{"id":"ITEM-1","itemData":{"DOI":"10.1093/bmb/ldm010","ISSN":"00071420","PMID":"17470476","abstract":"Mental disorders in low- and middle-income countries (LAMIC) do not attract global health policy attention. This article is based on a selective review of research on mental disorders in adults in LAMIC since 2001 and recent analyses of disease burden in developing countries. Mental disorders account for 11.1% of the total burden of disease in LAMIC. Unipolar depressive disorder is the single leading neuropsychiatric cause of disease burden. Alcohol use disorders account for nearly 4% of the attributable disease burden in LAMIC. Mental disorders are closely associated with other public health concerns such as maternal and child health and HIV/AIDS. Poverty, low education, social exclusion, gender disadvantage, conflict and disasters are the major social determinants of mental disorders. Clinical trials demonstrate that locally available, affordable interventions in community and primary care settings are effective for the management of mental disorders. Mental health resources are very scarce and investment in mental health is &lt; 1% of the health budget in many countries. The majority of people with mental disorders do not receive evidence-based care, leading to chronicity, suffering and increased costs of care. Strengthening care and services for people with mental disorders is a priority; this will need additional investment in human resources and piggy backing on existing public health programmes. Campaigns to increase mental health literacy are needed at all levels of the health system. © The Author 2007. Published by Oxford University Press. All rights reserved.","author":[{"dropping-particle":"","family":"Patel","given":"Vikram","non-dropping-particle":"","parse-names":false,"suffix":""}],"container-title":"British Medical Bulletin","id":"ITEM-1","issue":"1","issued":{"date-parts":[["2007"]]},"page":"81-96","title":"Mental health in low- and middle-income countries","type":"article-journal","volume":"81-82"},"uris":["http://www.mendeley.com/documents/?uuid=df260a13-370a-46d2-a339-1222a1faba81"]}],"mendeley":{"formattedCitation":"(Patel, 2007)","plainTextFormattedCitation":"(Patel, 2007)","previouslyFormattedCitation":"(Patel, 2007)"},"properties":{"noteIndex":0},"schema":"https://github.com/citation-style-language/schema/raw/master/csl-citation.json"}</w:instrText>
      </w:r>
      <w:r w:rsidR="00487A25" w:rsidRPr="00B35B0B">
        <w:rPr>
          <w:rFonts w:ascii="Arial" w:hAnsi="Arial" w:cs="Arial"/>
          <w:sz w:val="22"/>
          <w:szCs w:val="22"/>
          <w:lang w:val="en-US"/>
        </w:rPr>
        <w:fldChar w:fldCharType="separate"/>
      </w:r>
      <w:r w:rsidR="00576333" w:rsidRPr="00B35B0B">
        <w:rPr>
          <w:rFonts w:ascii="Arial" w:hAnsi="Arial" w:cs="Arial"/>
          <w:noProof/>
          <w:sz w:val="22"/>
          <w:szCs w:val="22"/>
          <w:lang w:val="en-US"/>
        </w:rPr>
        <w:t>(Patel, 2007)</w:t>
      </w:r>
      <w:r w:rsidR="00487A25" w:rsidRPr="00B35B0B">
        <w:rPr>
          <w:rFonts w:ascii="Arial" w:hAnsi="Arial" w:cs="Arial"/>
          <w:sz w:val="22"/>
          <w:szCs w:val="22"/>
          <w:lang w:val="en-US"/>
        </w:rPr>
        <w:fldChar w:fldCharType="end"/>
      </w:r>
      <w:r w:rsidR="00487A25" w:rsidRPr="00B35B0B">
        <w:rPr>
          <w:rFonts w:ascii="Arial" w:hAnsi="Arial" w:cs="Arial"/>
          <w:sz w:val="22"/>
          <w:szCs w:val="22"/>
          <w:lang w:val="en-US"/>
        </w:rPr>
        <w:t xml:space="preserve">. </w:t>
      </w:r>
      <w:r w:rsidRPr="00B35B0B">
        <w:rPr>
          <w:rFonts w:ascii="Arial" w:hAnsi="Arial" w:cs="Arial"/>
          <w:sz w:val="22"/>
          <w:szCs w:val="22"/>
        </w:rPr>
        <w:t xml:space="preserve">There is, </w:t>
      </w:r>
      <w:r w:rsidR="004C4FB3" w:rsidRPr="00B35B0B">
        <w:rPr>
          <w:rFonts w:ascii="Arial" w:hAnsi="Arial" w:cs="Arial"/>
          <w:sz w:val="22"/>
          <w:szCs w:val="22"/>
        </w:rPr>
        <w:t>however</w:t>
      </w:r>
      <w:r w:rsidRPr="00B35B0B">
        <w:rPr>
          <w:rFonts w:ascii="Arial" w:hAnsi="Arial" w:cs="Arial"/>
          <w:sz w:val="22"/>
          <w:szCs w:val="22"/>
        </w:rPr>
        <w:t>, a paucity of literature on how community mental health nurses assess and manage common mental disorders in the primary mental health setting in the Ghanaian setting</w:t>
      </w:r>
      <w:r w:rsidR="00EE62D4" w:rsidRPr="00B35B0B">
        <w:rPr>
          <w:rFonts w:ascii="Arial" w:hAnsi="Arial" w:cs="Arial"/>
          <w:sz w:val="22"/>
          <w:szCs w:val="22"/>
        </w:rPr>
        <w:t>,</w:t>
      </w:r>
      <w:r w:rsidRPr="00B35B0B">
        <w:rPr>
          <w:rFonts w:ascii="Arial" w:hAnsi="Arial" w:cs="Arial"/>
          <w:sz w:val="22"/>
          <w:szCs w:val="22"/>
        </w:rPr>
        <w:t xml:space="preserve"> for which this current study is imperative</w:t>
      </w:r>
      <w:r w:rsidRPr="00FC32F4">
        <w:t>.</w:t>
      </w:r>
    </w:p>
    <w:p w14:paraId="645CC66F" w14:textId="77777777" w:rsidR="00487A25" w:rsidRPr="00FC32F4" w:rsidRDefault="00487A25" w:rsidP="00487A25">
      <w:pPr>
        <w:spacing w:after="0" w:line="480" w:lineRule="auto"/>
        <w:ind w:firstLine="510"/>
        <w:jc w:val="both"/>
        <w:rPr>
          <w:rFonts w:ascii="Times New Roman" w:hAnsi="Times New Roman" w:cs="Times New Roman"/>
          <w:sz w:val="24"/>
          <w:szCs w:val="24"/>
          <w:lang w:val="en-US"/>
        </w:rPr>
      </w:pPr>
    </w:p>
    <w:p w14:paraId="56358A15" w14:textId="77777777" w:rsidR="00487A25" w:rsidRPr="00D40A71" w:rsidRDefault="00D40A71" w:rsidP="00487A25">
      <w:pPr>
        <w:pStyle w:val="ListParagraph"/>
        <w:numPr>
          <w:ilvl w:val="0"/>
          <w:numId w:val="4"/>
        </w:numPr>
        <w:spacing w:after="0" w:line="480" w:lineRule="auto"/>
        <w:jc w:val="both"/>
        <w:rPr>
          <w:rFonts w:ascii="Arial" w:hAnsi="Arial" w:cs="Arial"/>
          <w:b/>
          <w:szCs w:val="24"/>
          <w:lang w:val="en-US"/>
        </w:rPr>
      </w:pPr>
      <w:r w:rsidRPr="00D40A71">
        <w:rPr>
          <w:rFonts w:ascii="Arial" w:hAnsi="Arial" w:cs="Arial"/>
          <w:b/>
          <w:szCs w:val="24"/>
          <w:lang w:val="en-US"/>
        </w:rPr>
        <w:t>METHODOLOGY</w:t>
      </w:r>
    </w:p>
    <w:p w14:paraId="5EFF27D6" w14:textId="77777777" w:rsidR="00487A25" w:rsidRPr="00D40A71" w:rsidRDefault="00487A25" w:rsidP="00487A25">
      <w:pPr>
        <w:pStyle w:val="ListParagraph"/>
        <w:numPr>
          <w:ilvl w:val="1"/>
          <w:numId w:val="5"/>
        </w:numPr>
        <w:spacing w:after="0" w:line="480" w:lineRule="auto"/>
        <w:jc w:val="both"/>
        <w:rPr>
          <w:rFonts w:ascii="Times New Roman" w:hAnsi="Times New Roman" w:cs="Times New Roman"/>
          <w:b/>
          <w:i/>
          <w:sz w:val="20"/>
          <w:szCs w:val="20"/>
          <w:lang w:val="en-US"/>
        </w:rPr>
      </w:pPr>
      <w:r w:rsidRPr="00D40A71">
        <w:rPr>
          <w:rFonts w:ascii="Times New Roman" w:hAnsi="Times New Roman" w:cs="Times New Roman"/>
          <w:b/>
          <w:i/>
          <w:szCs w:val="24"/>
          <w:lang w:val="en-US"/>
        </w:rPr>
        <w:lastRenderedPageBreak/>
        <w:t xml:space="preserve"> </w:t>
      </w:r>
      <w:r w:rsidRPr="00D40A71">
        <w:rPr>
          <w:rFonts w:ascii="Times New Roman" w:hAnsi="Times New Roman" w:cs="Times New Roman"/>
          <w:b/>
          <w:i/>
          <w:sz w:val="20"/>
          <w:szCs w:val="20"/>
          <w:lang w:val="en-US"/>
        </w:rPr>
        <w:t>Study design and Participants</w:t>
      </w:r>
    </w:p>
    <w:p w14:paraId="7DA81F45" w14:textId="77777777" w:rsidR="00487A25" w:rsidRPr="00D40A71" w:rsidRDefault="00BD299A" w:rsidP="00487A25">
      <w:pPr>
        <w:spacing w:after="0" w:line="480" w:lineRule="auto"/>
        <w:ind w:firstLine="510"/>
        <w:jc w:val="both"/>
        <w:rPr>
          <w:rFonts w:ascii="Arial" w:hAnsi="Arial" w:cs="Arial"/>
          <w:b/>
          <w:i/>
          <w:lang w:val="en-US"/>
        </w:rPr>
      </w:pPr>
      <w:r w:rsidRPr="00D40A71">
        <w:rPr>
          <w:rFonts w:ascii="Arial" w:hAnsi="Arial" w:cs="Arial"/>
        </w:rPr>
        <w:t xml:space="preserve">The goal of understanding the perspectives of community mental health nurses in the screening and assessment of common mental health disorders </w:t>
      </w:r>
      <w:r w:rsidR="00D40A71" w:rsidRPr="00D40A71">
        <w:rPr>
          <w:rFonts w:ascii="Arial" w:hAnsi="Arial" w:cs="Arial"/>
        </w:rPr>
        <w:t>led to</w:t>
      </w:r>
      <w:r w:rsidRPr="00D40A71">
        <w:rPr>
          <w:rFonts w:ascii="Arial" w:hAnsi="Arial" w:cs="Arial"/>
        </w:rPr>
        <w:t xml:space="preserve"> the use of a descriptive qualitative research design for this study. This method allows the researcher to know the concept understudy from community </w:t>
      </w:r>
      <w:r w:rsidR="00D40A71" w:rsidRPr="00D40A71">
        <w:rPr>
          <w:rFonts w:ascii="Arial" w:hAnsi="Arial" w:cs="Arial"/>
        </w:rPr>
        <w:t>mental health</w:t>
      </w:r>
      <w:r w:rsidRPr="00D40A71">
        <w:rPr>
          <w:rFonts w:ascii="Arial" w:hAnsi="Arial" w:cs="Arial"/>
        </w:rPr>
        <w:t xml:space="preserve"> nurses' experiences and </w:t>
      </w:r>
      <w:r w:rsidR="00D40A71" w:rsidRPr="00D40A71">
        <w:rPr>
          <w:rFonts w:ascii="Arial" w:hAnsi="Arial" w:cs="Arial"/>
        </w:rPr>
        <w:t>perceptions</w:t>
      </w:r>
      <w:r w:rsidRPr="00D40A71">
        <w:rPr>
          <w:rFonts w:ascii="Arial" w:hAnsi="Arial" w:cs="Arial"/>
        </w:rPr>
        <w:t xml:space="preserve"> </w:t>
      </w:r>
      <w:r w:rsidR="00487A25" w:rsidRPr="00D40A71">
        <w:rPr>
          <w:rFonts w:ascii="Arial" w:eastAsia="Calibri" w:hAnsi="Arial" w:cs="Arial"/>
          <w:lang w:val="en-US"/>
        </w:rPr>
        <w:fldChar w:fldCharType="begin" w:fldLock="1"/>
      </w:r>
      <w:r w:rsidR="00FD1F80" w:rsidRPr="00D40A71">
        <w:rPr>
          <w:rFonts w:ascii="Arial" w:eastAsia="Calibri" w:hAnsi="Arial" w:cs="Arial"/>
          <w:lang w:val="en-US"/>
        </w:rPr>
        <w:instrText>ADDIN CSL_CITATION {"citationItems":[{"id":"ITEM-1","itemData":{"ISBN":"978-0-8207-0418-0 (Paperback)","abstract":"This comprehensive work from one of the leading thinkers in humanistic psychology provides a thorough discussion of the phenomenological foundations for qualitative research in psychology. Amedeo Giorgi's examination operates out of the intersection of phenomenological philosophy, science, and psychology; such a multidisciplinary approach allows him to challenge several long-standing assumptions about the practice of psychology. Giorgi asserts that empiricism is not the best philosophy for grounding the science of psychology—rather the broader phenomenological theory of science permits more adequate psychological development. Giorgi draws from Husserls philosophical principles the reasons for conducting research in psychology, and then offers practical steps for applying a phenomenological method with real examples of its application. His breakdown of the steps of scientific phenomenological method is incisive, as is his explication of Husserls principles for rigorous science. He explains the philosophic principles behind the phenomenological approach and how it can be applied within a psychological framework. And while Giorgi works out the details of this method within a psychological framework, the method is generic enough to be used by other human sciences. (PsycINFO Database Record (c) 2019 APA, all rights reserved)","author":[{"dropping-particle":"","family":"Giorgi","given":"Amedeo","non-dropping-particle":"","parse-names":false,"suffix":""}],"container-title":"Duquesne University Press","id":"ITEM-1","issued":{"date-parts":[["2009"]]},"number-of-pages":"233, 233","publisher":"Duquesne University Press","publisher-place":"Pittsburgh, PA, US","title":"The descriptive phenomenological method in psychology: A modified Husserlian approach.","type":"book"},"uris":["http://www.mendeley.com/documents/?uuid=d4ec2c96-ec0f-4ed3-83b7-27d98bbaab89"]},{"id":"ITEM-2","itemData":{"DOI":"10.1080/14780887.2013.853855","ISSN":"1478-0887","author":[{"dropping-particle":"","family":"Sousa","given":"Daniel","non-dropping-particle":"","parse-names":false,"suffix":""}],"container-title":"Qualitative Research in Psychology","id":"ITEM-2","issue":"2","issued":{"date-parts":[["2014","4","3"]]},"note":"doi: 10.1080/14780887.2013.853855","page":"211-227","publisher":"Routledge","title":"Validation in Qualitative Research: General Aspects and Specificities of the Descriptive Phenomenological Method","type":"article-journal","volume":"11"},"uris":["http://www.mendeley.com/documents/?uuid=178d021c-b7ae-4ed4-95a4-4c0f83673190"]},{"id":"ITEM-3","itemData":{"DOI":"10.1177/1744987119880234","ISSN":"1744988X","abstract":"Background: Qualitative descriptive designs are common in nursing and healthcare research due to their inherent simplicity, flexibility and utility in diverse healthcare contexts. However, the application of descriptive research is sometimes critiqued in terms of scientific rigor. Inconsistency in decision making within the research process coupled with a lack of transparency has created issues of credibility for this type of approach. It can be difficult to clearly differentiate what constitutes a descriptive research design from the range of other methodologies at the disposal of qualitative researchers. Aims: This paper provides an overview of qualitative descriptive research, orientates to the underlying philosophical perspectives and key characteristics that define this approach and identifies the implications for healthcare practice and policy. Methods and results: Using real-world examples from healthcare research, the paper provides insight to the practical application of descriptive research at all stages of the design process and identifies the critical elements that should be explicit when applying this approach. Conclusions: By adding to the existing knowledge base, this paper enhances the information available to researchers who wish to use the qualitative descriptive approach, influencing the standard of how this approach is employed in healthcare research.","author":[{"dropping-particle":"","family":"Doyle","given":"Louise","non-dropping-particle":"","parse-names":false,"suffix":""},{"dropping-particle":"","family":"McCabe","given":"Catherine","non-dropping-particle":"","parse-names":false,"suffix":""},{"dropping-particle":"","family":"Keogh","given":"Brian","non-dropping-particle":"","parse-names":false,"suffix":""},{"dropping-particle":"","family":"Brady","given":"Annemarie","non-dropping-particle":"","parse-names":false,"suffix":""},{"dropping-particle":"","family":"McCann","given":"Margaret","non-dropping-particle":"","parse-names":false,"suffix":""}],"container-title":"Journal of Research in Nursing","id":"ITEM-3","issue":"5","issued":{"date-parts":[["2020"]]},"page":"443-455","title":"An overview of the qualitative descriptive design within nursing research","type":"article-journal","volume":"25"},"uris":["http://www.mendeley.com/documents/?uuid=f2f45ef4-b964-4509-950f-25e988cf5e4d"]}],"mendeley":{"formattedCitation":"(Doyle et al., 2020; Giorgi, 2009; Sousa, 2014)","plainTextFormattedCitation":"(Doyle et al., 2020; Giorgi, 2009; Sousa, 2014)","previouslyFormattedCitation":"(Doyle et al., 2020; Giorgi, 2009; Sousa, 2014)"},"properties":{"noteIndex":0},"schema":"https://github.com/citation-style-language/schema/raw/master/csl-citation.json"}</w:instrText>
      </w:r>
      <w:r w:rsidR="00487A25" w:rsidRPr="00D40A71">
        <w:rPr>
          <w:rFonts w:ascii="Arial" w:eastAsia="Calibri" w:hAnsi="Arial" w:cs="Arial"/>
          <w:lang w:val="en-US"/>
        </w:rPr>
        <w:fldChar w:fldCharType="separate"/>
      </w:r>
      <w:r w:rsidR="00576333" w:rsidRPr="00D40A71">
        <w:rPr>
          <w:rFonts w:ascii="Arial" w:eastAsia="Calibri" w:hAnsi="Arial" w:cs="Arial"/>
          <w:noProof/>
          <w:lang w:val="en-US"/>
        </w:rPr>
        <w:t>(Doyle et al., 2020; Giorgi, 2009; Sousa, 2014)</w:t>
      </w:r>
      <w:r w:rsidR="00487A25" w:rsidRPr="00D40A71">
        <w:rPr>
          <w:rFonts w:ascii="Arial" w:eastAsia="Calibri" w:hAnsi="Arial" w:cs="Arial"/>
          <w:lang w:val="en-US"/>
        </w:rPr>
        <w:fldChar w:fldCharType="end"/>
      </w:r>
      <w:r w:rsidR="00487A25" w:rsidRPr="00D40A71">
        <w:rPr>
          <w:rFonts w:ascii="Arial" w:eastAsia="Calibri" w:hAnsi="Arial" w:cs="Arial"/>
          <w:lang w:val="en-US"/>
        </w:rPr>
        <w:t xml:space="preserve">. </w:t>
      </w:r>
    </w:p>
    <w:p w14:paraId="35C494CD" w14:textId="77777777" w:rsidR="00487A25" w:rsidRPr="00D40A71" w:rsidRDefault="00BD299A" w:rsidP="00487A25">
      <w:pPr>
        <w:spacing w:after="0" w:line="480" w:lineRule="auto"/>
        <w:jc w:val="both"/>
        <w:rPr>
          <w:rFonts w:ascii="Arial" w:hAnsi="Arial" w:cs="Arial"/>
        </w:rPr>
      </w:pPr>
      <w:r w:rsidRPr="00D40A71">
        <w:rPr>
          <w:rFonts w:ascii="Arial" w:hAnsi="Arial" w:cs="Arial"/>
        </w:rPr>
        <w:t xml:space="preserve">Participants </w:t>
      </w:r>
      <w:r w:rsidR="00D40A71" w:rsidRPr="00D40A71">
        <w:rPr>
          <w:rFonts w:ascii="Arial" w:hAnsi="Arial" w:cs="Arial"/>
        </w:rPr>
        <w:t>in the</w:t>
      </w:r>
      <w:r w:rsidRPr="00D40A71">
        <w:rPr>
          <w:rFonts w:ascii="Arial" w:hAnsi="Arial" w:cs="Arial"/>
        </w:rPr>
        <w:t xml:space="preserve"> study included community mental health nurses who wer</w:t>
      </w:r>
      <w:r w:rsidR="006D5D35">
        <w:rPr>
          <w:rFonts w:ascii="Arial" w:hAnsi="Arial" w:cs="Arial"/>
        </w:rPr>
        <w:t xml:space="preserve">e registered nurses with the nursing and midwifery council of Ghana. </w:t>
      </w:r>
      <w:r w:rsidRPr="00D40A71">
        <w:rPr>
          <w:rFonts w:ascii="Arial" w:hAnsi="Arial" w:cs="Arial"/>
        </w:rPr>
        <w:t xml:space="preserve">The community mental health nurses were identified using purposive sampling to take part in the interview. Participants with two years of working experience and involvement in the assessment and diagnosing of common mental disorders in primary mental health settings were included in the study. </w:t>
      </w:r>
      <w:r w:rsidR="00D40A71">
        <w:rPr>
          <w:rFonts w:ascii="Arial" w:hAnsi="Arial" w:cs="Arial"/>
        </w:rPr>
        <w:t>T</w:t>
      </w:r>
      <w:r w:rsidRPr="00D40A71">
        <w:rPr>
          <w:rFonts w:ascii="Arial" w:hAnsi="Arial" w:cs="Arial"/>
        </w:rPr>
        <w:t>wo years of working experience gives the nurse ample time to go through the transition from a new graduate nurs</w:t>
      </w:r>
      <w:r w:rsidR="00D40A71">
        <w:rPr>
          <w:rFonts w:ascii="Arial" w:hAnsi="Arial" w:cs="Arial"/>
        </w:rPr>
        <w:t xml:space="preserve">e </w:t>
      </w:r>
      <w:r w:rsidRPr="00D40A71">
        <w:rPr>
          <w:rFonts w:ascii="Arial" w:hAnsi="Arial" w:cs="Arial"/>
        </w:rPr>
        <w:t xml:space="preserve">to an </w:t>
      </w:r>
      <w:r w:rsidR="00D40A71" w:rsidRPr="00D40A71">
        <w:rPr>
          <w:rFonts w:ascii="Arial" w:hAnsi="Arial" w:cs="Arial"/>
        </w:rPr>
        <w:t>experienced</w:t>
      </w:r>
      <w:r w:rsidRPr="00D40A71">
        <w:rPr>
          <w:rFonts w:ascii="Arial" w:hAnsi="Arial" w:cs="Arial"/>
        </w:rPr>
        <w:t xml:space="preserve"> nurse through mentorship and coaching, socializing with the working environment,, and growing professionally</w:t>
      </w:r>
      <w:r w:rsidR="00D40A71">
        <w:rPr>
          <w:rFonts w:ascii="Arial" w:hAnsi="Arial" w:cs="Arial"/>
        </w:rPr>
        <w:t xml:space="preserve"> </w:t>
      </w:r>
      <w:r w:rsidR="00361D6B" w:rsidRPr="00D40A71">
        <w:rPr>
          <w:rFonts w:ascii="Arial" w:hAnsi="Arial" w:cs="Arial"/>
        </w:rPr>
        <w:fldChar w:fldCharType="begin" w:fldLock="1"/>
      </w:r>
      <w:r w:rsidR="00915356" w:rsidRPr="00D40A71">
        <w:rPr>
          <w:rFonts w:ascii="Arial" w:hAnsi="Arial" w:cs="Arial"/>
        </w:rPr>
        <w:instrText>ADDIN CSL_CITATION {"citationItems":[{"id":"ITEM-1","itemData":{"DOI":"10.1016/j.nepr.2021.103031","ISSN":"14715953","PMID":"33773484","abstract":"The transition from student to novice is a difficult time. Although the novice nurse is excited to start working, the nurse struggles with acclimating to a new role with new responsibilities and the need to reconcile disparities between what was taught in school and what is practiced in the real world. To lessen the impact of the transition experience, health care organizations have implemented transition-to-practice programs including orientations, preceptorships, and residencies. Despite these efforts, if the novice nurse does not find these programs helpful, there is still a risk that the transition experience will not conclude with successful results. This integrative review examined qualitative studies that explored the transition-to-practice experience of novice nurses who participated in a transition-to-practice program provided by their place of employment. Thirteen articles met the criteria for this integrative review; seven themes emerged from the commonalities in the studies: socialization, professional growth, feeling supported, transition challenges, reflections, transition shock, and feelings. Though the transition period includes unique experiences for each novice nurse, the common feelings and needs identified in these studies require nurse educators and the healthcare organizations to ensure that novice nurses are prepared and given the tools to successfully transition to professional nursing practice.","author":[{"dropping-particle":"","family":"Hampton","given":"Kimberly B.","non-dropping-particle":"","parse-names":false,"suffix":""},{"dropping-particle":"","family":"Smeltzer","given":"Suzanne C.","non-dropping-particle":"","parse-names":false,"suffix":""},{"dropping-particle":"","family":"Ross","given":"Jennifer Gunberg","non-dropping-particle":"","parse-names":false,"suffix":""}],"container-title":"Nurse Education in Practice","id":"ITEM-1","issue":"March","issued":{"date-parts":[["2021"]]},"page":"103031","publisher":"Elsevier Ltd","title":"The transition from nursing student to practicing nurse: An integrative review of transition to practice programs","type":"article-journal","volume":"52"},"uris":["http://www.mendeley.com/documents/?uuid=f763a391-27cd-477a-a266-4ce6080533bc"]}],"mendeley":{"formattedCitation":"(Hampton et al., 2021)","plainTextFormattedCitation":"(Hampton et al., 2021)","previouslyFormattedCitation":"(Hampton et al., 2021)"},"properties":{"noteIndex":0},"schema":"https://github.com/citation-style-language/schema/raw/master/csl-citation.json"}</w:instrText>
      </w:r>
      <w:r w:rsidR="00361D6B" w:rsidRPr="00D40A71">
        <w:rPr>
          <w:rFonts w:ascii="Arial" w:hAnsi="Arial" w:cs="Arial"/>
        </w:rPr>
        <w:fldChar w:fldCharType="separate"/>
      </w:r>
      <w:r w:rsidR="00361D6B" w:rsidRPr="00D40A71">
        <w:rPr>
          <w:rFonts w:ascii="Arial" w:hAnsi="Arial" w:cs="Arial"/>
        </w:rPr>
        <w:t>(Hampton et al., 2021)</w:t>
      </w:r>
      <w:r w:rsidR="00361D6B" w:rsidRPr="00D40A71">
        <w:rPr>
          <w:rFonts w:ascii="Arial" w:hAnsi="Arial" w:cs="Arial"/>
        </w:rPr>
        <w:fldChar w:fldCharType="end"/>
      </w:r>
      <w:r w:rsidR="003B325A" w:rsidRPr="00D40A71">
        <w:rPr>
          <w:rFonts w:ascii="Arial" w:hAnsi="Arial" w:cs="Arial"/>
        </w:rPr>
        <w:t>.</w:t>
      </w:r>
    </w:p>
    <w:p w14:paraId="518D4454" w14:textId="77777777" w:rsidR="00487A25" w:rsidRPr="00FC32F4" w:rsidRDefault="00487A25" w:rsidP="00487A25">
      <w:pPr>
        <w:spacing w:after="0" w:line="480" w:lineRule="auto"/>
        <w:jc w:val="both"/>
        <w:rPr>
          <w:rFonts w:ascii="Times New Roman" w:eastAsia="Calibri" w:hAnsi="Times New Roman" w:cs="Times New Roman"/>
          <w:sz w:val="24"/>
          <w:szCs w:val="24"/>
          <w:lang w:val="en-US"/>
        </w:rPr>
      </w:pPr>
    </w:p>
    <w:p w14:paraId="33832BC6" w14:textId="77777777" w:rsidR="00487A25" w:rsidRPr="00D40A71" w:rsidRDefault="00487A25" w:rsidP="00487A25">
      <w:pPr>
        <w:pStyle w:val="ListParagraph"/>
        <w:numPr>
          <w:ilvl w:val="1"/>
          <w:numId w:val="5"/>
        </w:numPr>
        <w:spacing w:after="0" w:line="480" w:lineRule="auto"/>
        <w:jc w:val="both"/>
        <w:rPr>
          <w:rFonts w:ascii="Arial" w:eastAsia="Calibri" w:hAnsi="Arial" w:cs="Arial"/>
          <w:b/>
          <w:bCs/>
          <w:i/>
          <w:szCs w:val="24"/>
          <w:lang w:val="en-US"/>
        </w:rPr>
      </w:pPr>
      <w:r w:rsidRPr="00D40A71">
        <w:rPr>
          <w:rFonts w:ascii="Arial" w:eastAsia="Calibri" w:hAnsi="Arial" w:cs="Arial"/>
          <w:b/>
          <w:bCs/>
          <w:i/>
          <w:szCs w:val="24"/>
          <w:lang w:val="en-US"/>
        </w:rPr>
        <w:t xml:space="preserve"> Setting </w:t>
      </w:r>
    </w:p>
    <w:p w14:paraId="4A331BED" w14:textId="77777777" w:rsidR="00915356" w:rsidRPr="00D40A71" w:rsidRDefault="00BD299A" w:rsidP="00D40A71">
      <w:pPr>
        <w:pStyle w:val="NormalWeb"/>
        <w:spacing w:line="480" w:lineRule="auto"/>
        <w:jc w:val="both"/>
        <w:rPr>
          <w:rFonts w:ascii="Arial" w:hAnsi="Arial" w:cs="Arial"/>
          <w:sz w:val="22"/>
          <w:szCs w:val="22"/>
        </w:rPr>
      </w:pPr>
      <w:r w:rsidRPr="00D40A71">
        <w:rPr>
          <w:rFonts w:ascii="Arial" w:hAnsi="Arial" w:cs="Arial"/>
          <w:sz w:val="22"/>
          <w:szCs w:val="22"/>
        </w:rPr>
        <w:t xml:space="preserve">The study was conducted at the various district and municipal community mental health units in the Ashanti Region of Ghana. The </w:t>
      </w:r>
      <w:r w:rsidR="004C4FB3" w:rsidRPr="00D40A71">
        <w:rPr>
          <w:rFonts w:ascii="Arial" w:hAnsi="Arial" w:cs="Arial"/>
          <w:sz w:val="22"/>
          <w:szCs w:val="22"/>
        </w:rPr>
        <w:t>staff of</w:t>
      </w:r>
      <w:r w:rsidRPr="00D40A71">
        <w:rPr>
          <w:rFonts w:ascii="Arial" w:hAnsi="Arial" w:cs="Arial"/>
          <w:sz w:val="22"/>
          <w:szCs w:val="22"/>
        </w:rPr>
        <w:t xml:space="preserve"> the units were mainly community mental health nurses and community mental health officers. Individuals living with mental illness were treated as </w:t>
      </w:r>
      <w:r w:rsidR="004C4FB3" w:rsidRPr="00D40A71">
        <w:rPr>
          <w:rFonts w:ascii="Arial" w:hAnsi="Arial" w:cs="Arial"/>
          <w:sz w:val="22"/>
          <w:szCs w:val="22"/>
        </w:rPr>
        <w:t>outpatient cases</w:t>
      </w:r>
      <w:r w:rsidRPr="00D40A71">
        <w:rPr>
          <w:rFonts w:ascii="Arial" w:hAnsi="Arial" w:cs="Arial"/>
          <w:sz w:val="22"/>
          <w:szCs w:val="22"/>
        </w:rPr>
        <w:t xml:space="preserve"> and only detained at the general wards when the condition </w:t>
      </w:r>
      <w:r w:rsidR="004C4FB3" w:rsidRPr="00D40A71">
        <w:rPr>
          <w:rFonts w:ascii="Arial" w:hAnsi="Arial" w:cs="Arial"/>
          <w:sz w:val="22"/>
          <w:szCs w:val="22"/>
        </w:rPr>
        <w:t>was</w:t>
      </w:r>
      <w:r w:rsidRPr="00D40A71">
        <w:rPr>
          <w:rFonts w:ascii="Arial" w:hAnsi="Arial" w:cs="Arial"/>
          <w:sz w:val="22"/>
          <w:szCs w:val="22"/>
        </w:rPr>
        <w:t xml:space="preserve"> extreme. People living with schizophrenia, anxiety, depression, dementia,, and epilepsy report to these community mental health units for mental health care </w:t>
      </w:r>
      <w:r w:rsidR="00915356" w:rsidRPr="00D40A71">
        <w:rPr>
          <w:rFonts w:ascii="Arial" w:hAnsi="Arial" w:cs="Arial"/>
          <w:sz w:val="22"/>
          <w:szCs w:val="22"/>
        </w:rPr>
        <w:fldChar w:fldCharType="begin" w:fldLock="1"/>
      </w:r>
      <w:r w:rsidR="003547D4" w:rsidRPr="00D40A71">
        <w:rPr>
          <w:rFonts w:ascii="Arial" w:hAnsi="Arial" w:cs="Arial"/>
          <w:sz w:val="22"/>
          <w:szCs w:val="22"/>
        </w:rPr>
        <w:instrText>ADDIN CSL_CITATION {"citationItems":[{"id":"ITEM-1","itemData":{"DOI":"10.1186/s13033-016-0061-y","ISSN":"1752-4458","abstract":"In Ghana, about 13 % of the adult population is estimated to be affected by mental health disorders of varying forms. In managing these patients, psychotropic medications are mostly employed. Since most of these conditions are chronic cases, the medications are consumed for prolonged periods of time. However, there exists an absence of information on efficacy, side effects, accessibility and prescription practices of psychotropic medication utilization from the viewpoint of the practitioners who are primarily involved in prescribing, dispensing and administering these medications.","author":[{"dropping-particle":"","family":"Oppong","given":"Samuel","non-dropping-particle":"","parse-names":false,"suffix":""},{"dropping-particle":"","family":"Kretchy","given":"Irene A","non-dropping-particle":"","parse-names":false,"suffix":""},{"dropping-particle":"","family":"Imbeah","given":"Emelia P","non-dropping-particle":"","parse-names":false,"suffix":""},{"dropping-particle":"","family":"Afrane","given":"Barima A","non-dropping-particle":"","parse-names":false,"suffix":""}],"container-title":"International Journal of Mental Health Systems","id":"ITEM-1","issue":"1","issued":{"date-parts":[["2016"]]},"page":"28","title":"Managing mental illness in Ghana: the state of commonly prescribed psychotropic medicines","type":"article-journal","volume":"10"},"uris":["http://www.mendeley.com/documents/?uuid=b1f25c6b-760e-4ae0-b015-6799bb667a91"]},{"id":"ITEM-2","itemData":{"DOI":"10.1371/journal.pone.0258105","ISBN":"1111111111","ISSN":"19326203","PMID":"34624044","abstract":"Introduction Over the past two decades, there have been several global interventions including the Sustainable Development Goals (SDGs), aimed at improving health outcomes. Despite efforts by countries to achieve the SDG targets, mental health challenges remain major public health concerns globally. We examined the prevalence and predictors of depression, anxiety, and stress as well as the comorbidities of these mental health issues among adults. Materials and methods This was a community-based cross-sectional study conducted among 2456 adults in four districts of the Volta Region of Ghana using data from the UHAS-Yonsei University Partnership Project. We analysed the data using frequency, percentage, mean, standard deviation, correlation, and binary logistic regression. Results Overall, 51.8% of the participants had at least one of the mental health issues examined. The prevalence of a mental health issue was 25.2%, 53.3%, and 9.7% for depression, anxiety, and stress respectively. Participants constituting 8.3% experienced all three mental health issues as comorbidities. Participants’ level of formal education and income significantly predicted depression, anxiety, and stress respectively at the multivariable level. Adults with a tertiary level of education were, for instance, 68% (AOR = 0.32, 95%CI = 0.15–0.66), 65% (AOR = 0.35, 95%CI = 0.17–0.73), and 50% (AOR = 0.50, 95%CI = 0.33–0.76) less likely to experience depression, anxiety, and stress, respectively compared with those who had no formal education. Conclusion The majority of our study participants either experienced depression, anxiety, or stress. There were quite high comorbidities of the mental health issues among the adult population. To accelerate progress towards the achievement of SDG 3.4 target of promoting mental health and wellbeing for all by the year 2030, there is a need for effective implementation of the country’s 2012 Mental Health Act which makes provisions for the establishment of a Mental Health Fund. This could improve the financial circumstances of indigenes as income has been realised in the present study as an important factor influencing depression, anxiety, and stress among the adult population.","author":[{"dropping-particle":"","family":"Amu","given":"Hubert","non-dropping-particle":"","parse-names":false,"suffix":""},{"dropping-particle":"","family":"Osei","given":"Eric","non-dropping-particle":"","parse-names":false,"suffix":""},{"dropping-particle":"","family":"Kofie","given":"Philip","non-dropping-particle":"","parse-names":false,"suffix":""},{"dropping-particle":"","family":"Owusu","given":"Richard","non-dropping-particle":"","parse-names":false,"suffix":""},{"dropping-particle":"","family":"Bosoka","given":"Samuel Adolf","non-dropping-particle":"","parse-names":false,"suffix":""},{"dropping-particle":"","family":"Konlan","given":"Kennedy Diema","non-dropping-particle":"","parse-names":false,"suffix":""},{"dropping-particle":"","family":"Kim","given":"Eunji","non-dropping-particle":"","parse-names":false,"suffix":""},{"dropping-particle":"","family":"Orish","given":"Verner Ndudiri","non-dropping-particle":"","parse-names":false,"suffix":""},{"dropping-particle":"","family":"Maalman","given":"Raymond Saa Eru","non-dropping-particle":"","parse-names":false,"suffix":""},{"dropping-particle":"","family":"Manu","given":"Emmanuel","non-dropping-particle":"","parse-names":false,"suffix":""},{"dropping-particle":"","family":"Parbey","given":"Phyllis Atta","non-dropping-particle":"","parse-names":false,"suffix":""},{"dropping-particle":"","family":"Saah","given":"Farrukh Ishaque","non-dropping-particle":"","parse-names":false,"suffix":""},{"dropping-particle":"","family":"Mumuni","given":"Hadiru","non-dropping-particle":"","parse-names":false,"suffix":""},{"dropping-particle":"","family":"Appiah","given":"Prince Kubi","non-dropping-particle":"","parse-names":false,"suffix":""},{"dropping-particle":"","family":"Komesuor","given":"Joyce","non-dropping-particle":"","parse-names":false,"suffix":""},{"dropping-particle":"","family":"Ayanore","given":"Martin Amogre","non-dropping-particle":"","parse-names":false,"suffix":""},{"dropping-particle":"","family":"Amenuvegbe","given":"Gregory Kofi","non-dropping-particle":"","parse-names":false,"suffix":""},{"dropping-particle":"","family":"Kim","given":"Siwoo","non-dropping-particle":"","parse-names":false,"suffix":""},{"dropping-particle":"","family":"Jung","given":"Hajun","non-dropping-particle":"","parse-names":false,"suffix":""},{"dropping-particle":"","family":"Adjuik","given":"Martin","non-dropping-particle":"","parse-names":false,"suffix":""},{"dropping-particle":"","family":"Tarkang","given":"Elvis Enowbeyang","non-dropping-particle":"","parse-names":false,"suffix":""},{"dropping-particle":"","family":"Alhassan","given":"Robert Kaba","non-dropping-particle":"","parse-names":false,"suffix":""},{"dropping-particle":"","family":"Donkor","given":"Ernestina Safoa","non-dropping-particle":"","parse-names":false,"suffix":""},{"dropping-particle":"","family":"Zottor","given":"Francis Bruno","non-dropping-particle":"","parse-names":false,"suffix":""},{"dropping-particle":"","family":"Kweku","given":"Margaret","non-dropping-particle":"","parse-names":false,"suffix":""},{"dropping-particle":"","family":"Amuna","given":"Paul","non-dropping-particle":"","parse-names":false,"suffix":""},{"dropping-particle":"","family":"Kim","given":"So Yoo","non-dropping-particle":"","parse-names":false,"suffix":""},{"dropping-particle":"","family":"Gyapong","given":"John Owusu","non-dropping-particle":"","parse-names":false,"suffix":""}],"container-title":"PLoS ONE","id":"ITEM-2","issue":"10 October","issued":{"date-parts":[["2021"]]},"page":"1-17","title":"Prevalence and predictors of depression, anxiety, and stress among adults in Ghana: A community-based cross-sectional study","type":"article-journal","volume":"16"},"uris":["http://www.mendeley.com/documents/?uuid=7a4df2ee-a789-465c-9173-7d3c9b04f346"]}],"mendeley":{"formattedCitation":"(Amu et al., 2021; Oppong et al., 2016a)","plainTextFormattedCitation":"(Amu et al., 2021; Oppong et al., 2016a)","previouslyFormattedCitation":"(Amu et al., 2021; Oppong et al., 2016a)"},"properties":{"noteIndex":0},"schema":"https://github.com/citation-style-language/schema/raw/master/csl-citation.json"}</w:instrText>
      </w:r>
      <w:r w:rsidR="00915356" w:rsidRPr="00D40A71">
        <w:rPr>
          <w:rFonts w:ascii="Arial" w:hAnsi="Arial" w:cs="Arial"/>
          <w:sz w:val="22"/>
          <w:szCs w:val="22"/>
        </w:rPr>
        <w:fldChar w:fldCharType="separate"/>
      </w:r>
      <w:r w:rsidR="00915356" w:rsidRPr="00D40A71">
        <w:rPr>
          <w:rFonts w:ascii="Arial" w:hAnsi="Arial" w:cs="Arial"/>
          <w:sz w:val="22"/>
          <w:szCs w:val="22"/>
        </w:rPr>
        <w:t>(Amu et al., 2021; Oppong et al., 2016a)</w:t>
      </w:r>
      <w:r w:rsidR="00915356" w:rsidRPr="00D40A71">
        <w:rPr>
          <w:rFonts w:ascii="Arial" w:hAnsi="Arial" w:cs="Arial"/>
          <w:sz w:val="22"/>
          <w:szCs w:val="22"/>
        </w:rPr>
        <w:fldChar w:fldCharType="end"/>
      </w:r>
      <w:r w:rsidR="00915356" w:rsidRPr="00D40A71">
        <w:rPr>
          <w:rFonts w:ascii="Arial" w:hAnsi="Arial" w:cs="Arial"/>
          <w:sz w:val="22"/>
          <w:szCs w:val="22"/>
        </w:rPr>
        <w:t>.</w:t>
      </w:r>
      <w:r w:rsidR="004C4FB3">
        <w:rPr>
          <w:rFonts w:ascii="Arial" w:eastAsia="Calibri" w:hAnsi="Arial" w:cs="Arial"/>
          <w:bCs/>
          <w:sz w:val="22"/>
          <w:szCs w:val="22"/>
          <w:lang w:val="en-US"/>
        </w:rPr>
        <w:t xml:space="preserve"> </w:t>
      </w:r>
      <w:r w:rsidR="003C193B">
        <w:rPr>
          <w:rFonts w:ascii="Arial" w:eastAsia="Calibri" w:hAnsi="Arial" w:cs="Arial"/>
          <w:bCs/>
          <w:sz w:val="22"/>
          <w:szCs w:val="22"/>
          <w:lang w:val="en-US"/>
        </w:rPr>
        <w:t>Activities</w:t>
      </w:r>
      <w:r w:rsidRPr="00D40A71">
        <w:rPr>
          <w:rFonts w:ascii="Arial" w:hAnsi="Arial" w:cs="Arial"/>
          <w:sz w:val="22"/>
          <w:szCs w:val="22"/>
        </w:rPr>
        <w:t xml:space="preserve"> carried out at the unit involve two days of managing new cases and </w:t>
      </w:r>
      <w:r w:rsidR="004C4FB3" w:rsidRPr="00D40A71">
        <w:rPr>
          <w:rFonts w:ascii="Arial" w:hAnsi="Arial" w:cs="Arial"/>
          <w:sz w:val="22"/>
          <w:szCs w:val="22"/>
        </w:rPr>
        <w:t>reviewing</w:t>
      </w:r>
      <w:r w:rsidRPr="00D40A71">
        <w:rPr>
          <w:rFonts w:ascii="Arial" w:hAnsi="Arial" w:cs="Arial"/>
          <w:sz w:val="22"/>
          <w:szCs w:val="22"/>
        </w:rPr>
        <w:t xml:space="preserve"> cases; the rest of the days are set aside for home tracing, follow-up of defaulters</w:t>
      </w:r>
      <w:r w:rsidR="004C4FB3" w:rsidRPr="00D40A71">
        <w:rPr>
          <w:rFonts w:ascii="Arial" w:hAnsi="Arial" w:cs="Arial"/>
          <w:sz w:val="22"/>
          <w:szCs w:val="22"/>
        </w:rPr>
        <w:t>,</w:t>
      </w:r>
      <w:r w:rsidRPr="00D40A71">
        <w:rPr>
          <w:rFonts w:ascii="Arial" w:hAnsi="Arial" w:cs="Arial"/>
          <w:sz w:val="22"/>
          <w:szCs w:val="22"/>
        </w:rPr>
        <w:t xml:space="preserve"> and health education at various institutions. </w:t>
      </w:r>
      <w:r w:rsidR="004C4FB3" w:rsidRPr="00D40A71">
        <w:rPr>
          <w:rFonts w:ascii="Arial" w:hAnsi="Arial" w:cs="Arial"/>
          <w:sz w:val="22"/>
          <w:szCs w:val="22"/>
        </w:rPr>
        <w:t>These</w:t>
      </w:r>
      <w:r w:rsidRPr="00D40A71">
        <w:rPr>
          <w:rFonts w:ascii="Arial" w:hAnsi="Arial" w:cs="Arial"/>
          <w:sz w:val="22"/>
          <w:szCs w:val="22"/>
        </w:rPr>
        <w:t xml:space="preserve"> units were established based on the Mental Health Act 846. </w:t>
      </w:r>
    </w:p>
    <w:p w14:paraId="25C33A80" w14:textId="77777777" w:rsidR="00487A25" w:rsidRPr="00D40A71" w:rsidRDefault="00D40A71" w:rsidP="00915356">
      <w:pPr>
        <w:spacing w:after="0" w:line="480" w:lineRule="auto"/>
        <w:jc w:val="both"/>
        <w:rPr>
          <w:rFonts w:ascii="Arial" w:eastAsia="Calibri" w:hAnsi="Arial" w:cs="Arial"/>
          <w:b/>
          <w:i/>
          <w:lang w:val="en-US"/>
        </w:rPr>
      </w:pPr>
      <w:r w:rsidRPr="00D40A71">
        <w:rPr>
          <w:rFonts w:ascii="Arial" w:eastAsia="Calibri" w:hAnsi="Arial" w:cs="Arial"/>
          <w:b/>
          <w:i/>
          <w:lang w:val="en-US"/>
        </w:rPr>
        <w:lastRenderedPageBreak/>
        <w:t>2.3</w:t>
      </w:r>
      <w:r>
        <w:rPr>
          <w:rFonts w:ascii="Arial" w:eastAsia="Calibri" w:hAnsi="Arial" w:cs="Arial"/>
          <w:b/>
          <w:i/>
          <w:lang w:val="en-US"/>
        </w:rPr>
        <w:t xml:space="preserve"> </w:t>
      </w:r>
      <w:r w:rsidR="00487A25" w:rsidRPr="00D40A71">
        <w:rPr>
          <w:rFonts w:ascii="Arial" w:eastAsia="Calibri" w:hAnsi="Arial" w:cs="Arial"/>
          <w:b/>
          <w:i/>
          <w:lang w:val="en-US"/>
        </w:rPr>
        <w:t xml:space="preserve">Data collection </w:t>
      </w:r>
    </w:p>
    <w:p w14:paraId="4DA80D73" w14:textId="77777777" w:rsidR="00BD299A" w:rsidRPr="00D40A71" w:rsidRDefault="00BD299A" w:rsidP="00D40A71">
      <w:pPr>
        <w:pStyle w:val="NormalWeb"/>
        <w:spacing w:line="480" w:lineRule="auto"/>
        <w:jc w:val="both"/>
        <w:rPr>
          <w:rFonts w:ascii="Arial" w:hAnsi="Arial" w:cs="Arial"/>
          <w:sz w:val="22"/>
        </w:rPr>
      </w:pPr>
      <w:r w:rsidRPr="00D40A71">
        <w:rPr>
          <w:rFonts w:ascii="Arial" w:hAnsi="Arial" w:cs="Arial"/>
          <w:sz w:val="22"/>
        </w:rPr>
        <w:t xml:space="preserve">Participants' phenomenal experiences in the assessment and screening </w:t>
      </w:r>
      <w:r w:rsidR="004C4FB3" w:rsidRPr="00D40A71">
        <w:rPr>
          <w:rFonts w:ascii="Arial" w:hAnsi="Arial" w:cs="Arial"/>
          <w:sz w:val="22"/>
        </w:rPr>
        <w:t>of mental</w:t>
      </w:r>
      <w:r w:rsidRPr="00D40A71">
        <w:rPr>
          <w:rFonts w:ascii="Arial" w:hAnsi="Arial" w:cs="Arial"/>
          <w:sz w:val="22"/>
        </w:rPr>
        <w:t xml:space="preserve"> disorders were collected through a face-to-face interview using a non-directive interview guide from January to March 2021. A face-to-face interview was employed since it allowed for careful observation of nonverbal clues while also listening to the participants. It also allowed for more probing or explanation of the replies of the participant</w:t>
      </w:r>
      <w:r w:rsidR="00487A25" w:rsidRPr="00D40A71">
        <w:rPr>
          <w:rFonts w:ascii="Arial" w:eastAsia="Calibri" w:hAnsi="Arial" w:cs="Arial"/>
          <w:sz w:val="22"/>
          <w:lang w:val="en-US"/>
        </w:rPr>
        <w:fldChar w:fldCharType="begin" w:fldLock="1"/>
      </w:r>
      <w:r w:rsidR="00576333" w:rsidRPr="00D40A71">
        <w:rPr>
          <w:rFonts w:ascii="Arial" w:eastAsia="Calibri" w:hAnsi="Arial" w:cs="Arial"/>
          <w:sz w:val="22"/>
          <w:lang w:val="en-US"/>
        </w:rPr>
        <w:instrText>ADDIN CSL_CITATION {"citationItems":[{"id":"ITEM-1","itemData":{"DOI":"10.5901/mjss.2014.v5n16p60","ISSN":"20392117","abstract":"Interviewing is one of the data collection methods which are employed when one adopts the qualitative methodology to conduct research. This article relies on extensive literature review to critique interviewing as a data collection method. Although interviews have various forms and styles, it is important to note that there is no one interview style that fits every occasion or all respondents. The interviewer must work diligently to ensure the validity and reliability of the interview data otherwise, interviewers themselves, can turn out to be weaknesses due to their own bias, subjectivities and lack of interviewing skills. It is also important to note that interviewers themselves become part of the \"interviewing picture\" by asking questions and responding to the respondent and sometimes even sharing their experiences with interviewees; working with the interview data, selecting from it, interpreting and describing and analysing it regardless of their discipline and dedication in keeping the interview data as the product of the respondent. Weaknesses of interviewing have been both discussed and critiqued from different theoretical perspectives which are \"postmodern, feminist, sociolinguistic\" \"conversation analytic\", \"ethnomethodological perspectives\" and even data analysis.","author":[{"dropping-particle":"","family":"Hofisi","given":"Costa","non-dropping-particle":"","parse-names":false,"suffix":""},{"dropping-particle":"","family":"Hofisi","given":"Miriam","non-dropping-particle":"","parse-names":false,"suffix":""},{"dropping-particle":"","family":"Mago","given":"Stephen","non-dropping-particle":"","parse-names":false,"suffix":""}],"container-title":"Mediterranean Journal of Social Sciences","id":"ITEM-1","issue":"16","issued":{"date-parts":[["2014"]]},"page":"60-64","title":"Critiquing interviewing as a data collection method","type":"article-journal","volume":"5"},"uris":["http://www.mendeley.com/documents/?uuid=f2faebbe-78af-45b9-aa06-f7469cd00cc8"]}],"mendeley":{"formattedCitation":"(Hofisi et al., 2014)","plainTextFormattedCitation":"(Hofisi et al., 2014)","previouslyFormattedCitation":"(Hofisi et al., 2014)"},"properties":{"noteIndex":0},"schema":"https://github.com/citation-style-language/schema/raw/master/csl-citation.json"}</w:instrText>
      </w:r>
      <w:r w:rsidR="00487A25" w:rsidRPr="00D40A71">
        <w:rPr>
          <w:rFonts w:ascii="Arial" w:eastAsia="Calibri" w:hAnsi="Arial" w:cs="Arial"/>
          <w:sz w:val="22"/>
          <w:lang w:val="en-US"/>
        </w:rPr>
        <w:fldChar w:fldCharType="separate"/>
      </w:r>
      <w:r w:rsidR="00576333" w:rsidRPr="00D40A71">
        <w:rPr>
          <w:rFonts w:ascii="Arial" w:eastAsia="Calibri" w:hAnsi="Arial" w:cs="Arial"/>
          <w:noProof/>
          <w:sz w:val="22"/>
          <w:lang w:val="en-US"/>
        </w:rPr>
        <w:t>(Hofisi et al., 2014)</w:t>
      </w:r>
      <w:r w:rsidR="00487A25" w:rsidRPr="00D40A71">
        <w:rPr>
          <w:rFonts w:ascii="Arial" w:eastAsia="Calibri" w:hAnsi="Arial" w:cs="Arial"/>
          <w:sz w:val="22"/>
          <w:lang w:val="en-US"/>
        </w:rPr>
        <w:fldChar w:fldCharType="end"/>
      </w:r>
      <w:r w:rsidR="00487A25" w:rsidRPr="00D40A71">
        <w:rPr>
          <w:rFonts w:ascii="Arial" w:eastAsia="Calibri" w:hAnsi="Arial" w:cs="Arial"/>
          <w:sz w:val="22"/>
          <w:lang w:val="en-US"/>
        </w:rPr>
        <w:t xml:space="preserve">. </w:t>
      </w:r>
      <w:bookmarkStart w:id="0" w:name="_Toc76557229"/>
      <w:r w:rsidRPr="00D40A71">
        <w:rPr>
          <w:rFonts w:ascii="Arial" w:hAnsi="Arial" w:cs="Arial"/>
          <w:sz w:val="22"/>
        </w:rPr>
        <w:t xml:space="preserve">The time and venue of the interview were determined depending on the preferences of the participant. </w:t>
      </w:r>
      <w:r w:rsidR="004C4FB3" w:rsidRPr="00D40A71">
        <w:rPr>
          <w:rFonts w:ascii="Arial" w:hAnsi="Arial" w:cs="Arial"/>
          <w:sz w:val="22"/>
        </w:rPr>
        <w:t>Before</w:t>
      </w:r>
      <w:r w:rsidRPr="00D40A71">
        <w:rPr>
          <w:rFonts w:ascii="Arial" w:hAnsi="Arial" w:cs="Arial"/>
          <w:sz w:val="22"/>
        </w:rPr>
        <w:t xml:space="preserve"> obtaining their written informed permission to participate in the investigation, the participants were provided written information about the study as well as oral information during the interview. The interviews lasted between 30 and 45d 45 minutes; four interviews were conducted in the hospital consulting rooms, one at the nurse’s </w:t>
      </w:r>
      <w:proofErr w:type="gramStart"/>
      <w:r w:rsidRPr="00D40A71">
        <w:rPr>
          <w:rFonts w:ascii="Arial" w:hAnsi="Arial" w:cs="Arial"/>
          <w:sz w:val="22"/>
        </w:rPr>
        <w:t>restroom,,</w:t>
      </w:r>
      <w:proofErr w:type="gramEnd"/>
      <w:r w:rsidRPr="00D40A71">
        <w:rPr>
          <w:rFonts w:ascii="Arial" w:hAnsi="Arial" w:cs="Arial"/>
          <w:sz w:val="22"/>
        </w:rPr>
        <w:t xml:space="preserve"> and one at the home of the participant. A field note was kept to write down important information and nonverbal </w:t>
      </w:r>
      <w:r w:rsidR="004C4FB3" w:rsidRPr="00D40A71">
        <w:rPr>
          <w:rFonts w:ascii="Arial" w:hAnsi="Arial" w:cs="Arial"/>
          <w:sz w:val="22"/>
        </w:rPr>
        <w:t>behaviours</w:t>
      </w:r>
      <w:r w:rsidR="004C4FB3">
        <w:rPr>
          <w:rFonts w:ascii="Arial" w:hAnsi="Arial" w:cs="Arial"/>
          <w:sz w:val="22"/>
        </w:rPr>
        <w:t xml:space="preserve"> </w:t>
      </w:r>
      <w:r w:rsidRPr="00D40A71">
        <w:rPr>
          <w:rFonts w:ascii="Arial" w:hAnsi="Arial" w:cs="Arial"/>
          <w:sz w:val="22"/>
        </w:rPr>
        <w:t xml:space="preserve">expressed by participants during an interview for data analysis and interpretation. A total of 14 participants were interviewed for the study. On the 14th participant, data saturation was reached when no new information was obtained. Responses were </w:t>
      </w:r>
      <w:r w:rsidR="004C4FB3" w:rsidRPr="00D40A71">
        <w:rPr>
          <w:rFonts w:ascii="Arial" w:hAnsi="Arial" w:cs="Arial"/>
          <w:sz w:val="22"/>
        </w:rPr>
        <w:t>audiotaped and</w:t>
      </w:r>
      <w:r w:rsidRPr="00D40A71">
        <w:rPr>
          <w:rFonts w:ascii="Arial" w:hAnsi="Arial" w:cs="Arial"/>
          <w:sz w:val="22"/>
        </w:rPr>
        <w:t xml:space="preserve"> were subsequently transcribed word by word.</w:t>
      </w:r>
    </w:p>
    <w:p w14:paraId="4318E386" w14:textId="77777777" w:rsidR="00487A25" w:rsidRPr="00FC32F4" w:rsidRDefault="00487A25" w:rsidP="00BD299A">
      <w:pPr>
        <w:spacing w:after="0" w:line="480" w:lineRule="auto"/>
        <w:ind w:firstLine="510"/>
        <w:jc w:val="both"/>
        <w:rPr>
          <w:rFonts w:ascii="Times New Roman" w:eastAsia="Calibri" w:hAnsi="Times New Roman" w:cs="Times New Roman"/>
          <w:i/>
          <w:sz w:val="24"/>
          <w:szCs w:val="24"/>
          <w:lang w:val="en-US"/>
        </w:rPr>
      </w:pPr>
      <w:r w:rsidRPr="00FC32F4">
        <w:rPr>
          <w:rFonts w:ascii="Times New Roman" w:eastAsia="Times New Roman" w:hAnsi="Times New Roman" w:cs="Times New Roman"/>
          <w:b/>
          <w:i/>
          <w:sz w:val="24"/>
          <w:szCs w:val="24"/>
          <w:lang w:val="en-US"/>
        </w:rPr>
        <w:t xml:space="preserve"> </w:t>
      </w:r>
      <w:r w:rsidR="00D40A71">
        <w:rPr>
          <w:rFonts w:ascii="Times New Roman" w:eastAsia="Times New Roman" w:hAnsi="Times New Roman" w:cs="Times New Roman"/>
          <w:b/>
          <w:i/>
          <w:sz w:val="24"/>
          <w:szCs w:val="24"/>
          <w:lang w:val="en-US"/>
        </w:rPr>
        <w:t xml:space="preserve">2.4 </w:t>
      </w:r>
      <w:r w:rsidRPr="00AA73D6">
        <w:rPr>
          <w:rFonts w:ascii="Times New Roman" w:eastAsia="Times New Roman" w:hAnsi="Times New Roman" w:cs="Times New Roman"/>
          <w:b/>
          <w:lang w:val="en-US"/>
        </w:rPr>
        <w:t>Data analysis</w:t>
      </w:r>
      <w:bookmarkEnd w:id="0"/>
      <w:r w:rsidRPr="00FC32F4">
        <w:rPr>
          <w:rFonts w:ascii="Times New Roman" w:eastAsia="Times New Roman" w:hAnsi="Times New Roman" w:cs="Times New Roman"/>
          <w:b/>
          <w:i/>
          <w:sz w:val="24"/>
          <w:szCs w:val="24"/>
          <w:lang w:val="en-US"/>
        </w:rPr>
        <w:t xml:space="preserve"> </w:t>
      </w:r>
    </w:p>
    <w:p w14:paraId="2CDD50FD" w14:textId="77777777" w:rsidR="00487A25" w:rsidRPr="00D40A71" w:rsidRDefault="00487A25" w:rsidP="00D40A71">
      <w:pPr>
        <w:spacing w:after="0" w:line="480" w:lineRule="auto"/>
        <w:ind w:firstLine="510"/>
        <w:jc w:val="both"/>
        <w:rPr>
          <w:rFonts w:ascii="Arial" w:eastAsia="Calibri" w:hAnsi="Arial" w:cs="Arial"/>
          <w:szCs w:val="24"/>
          <w:lang w:val="en-US"/>
        </w:rPr>
      </w:pPr>
      <w:r w:rsidRPr="00D40A71">
        <w:rPr>
          <w:rFonts w:ascii="Arial" w:eastAsia="Calibri" w:hAnsi="Arial" w:cs="Arial"/>
          <w:szCs w:val="24"/>
          <w:lang w:val="en-US"/>
        </w:rPr>
        <w:t xml:space="preserve">This study was analyzed thematically using Clark and Braun’s 6-step approach </w:t>
      </w:r>
      <w:r w:rsidRPr="00D40A71">
        <w:rPr>
          <w:rFonts w:ascii="Arial" w:eastAsia="Calibri" w:hAnsi="Arial" w:cs="Arial"/>
          <w:szCs w:val="24"/>
          <w:lang w:val="en-US"/>
        </w:rPr>
        <w:fldChar w:fldCharType="begin" w:fldLock="1"/>
      </w:r>
      <w:r w:rsidR="00576333" w:rsidRPr="00D40A71">
        <w:rPr>
          <w:rFonts w:ascii="Arial" w:eastAsia="Calibri" w:hAnsi="Arial" w:cs="Arial"/>
          <w:szCs w:val="24"/>
          <w:lang w:val="en-US"/>
        </w:rPr>
        <w:instrText>ADDIN CSL_CITATION {"citationItems":[{"id":"ITEM-1","itemData":{"DOI":"10.1191/1478088706qp063oa","abstract":" Thematic analysis is a poorly demarcated, rarely acknowledged, yet widely used qualitative analytic method within psychology. In this paper, we argue that it offers an accessible and theoretically flexible approach to analysing qualitative data. We outline what thematic analysis is, locating it in relation to other qualitative analytic methods that search for themes or patterns, and in relation to different epistemological and ontological positions. We then provide clear guidelines to those wanting to start thematic analysis, or conduct it in a more deliberate and rigorous way, and consider potential pitfalls in conducting thematic analysis. Finally, we outline the disadvantages and advantages of thematic analysis. We conclude by advocating thematic analysis as a useful and flexible method for qualitative research in and beyond psychology. ","author":[{"dropping-particle":"","family":"Braun","given":"Virginia","non-dropping-particle":"","parse-names":false,"suffix":""},{"dropping-particle":"","family":"Clarke","given":"Victoria","non-dropping-particle":"","parse-names":false,"suffix":""}],"container-title":"Qualitative Research in Psychology","id":"ITEM-1","issue":"2","issued":{"date-parts":[["2006"]]},"page":"77-101","publisher":"Routledge","title":"Using thematic analysis in psychology","type":"article-journal","volume":"3"},"uris":["http://www.mendeley.com/documents/?uuid=c1c160e9-e7e4-4e41-a34c-d385da54cea7"]}],"mendeley":{"formattedCitation":"(Braun &amp; Clarke, 2006)","plainTextFormattedCitation":"(Braun &amp; Clarke, 2006)","previouslyFormattedCitation":"(Braun &amp; Clarke, 2006)"},"properties":{"noteIndex":0},"schema":"https://github.com/citation-style-language/schema/raw/master/csl-citation.json"}</w:instrText>
      </w:r>
      <w:r w:rsidRPr="00D40A71">
        <w:rPr>
          <w:rFonts w:ascii="Arial" w:eastAsia="Calibri" w:hAnsi="Arial" w:cs="Arial"/>
          <w:szCs w:val="24"/>
          <w:lang w:val="en-US"/>
        </w:rPr>
        <w:fldChar w:fldCharType="separate"/>
      </w:r>
      <w:r w:rsidR="00576333" w:rsidRPr="00D40A71">
        <w:rPr>
          <w:rFonts w:ascii="Arial" w:eastAsia="Calibri" w:hAnsi="Arial" w:cs="Arial"/>
          <w:noProof/>
          <w:szCs w:val="24"/>
          <w:lang w:val="en-US"/>
        </w:rPr>
        <w:t>(Braun &amp; Clarke, 2006)</w:t>
      </w:r>
      <w:r w:rsidRPr="00D40A71">
        <w:rPr>
          <w:rFonts w:ascii="Arial" w:eastAsia="Calibri" w:hAnsi="Arial" w:cs="Arial"/>
          <w:szCs w:val="24"/>
          <w:lang w:val="en-US"/>
        </w:rPr>
        <w:fldChar w:fldCharType="end"/>
      </w:r>
      <w:r w:rsidRPr="00D40A71">
        <w:rPr>
          <w:rFonts w:ascii="Arial" w:eastAsia="Calibri" w:hAnsi="Arial" w:cs="Arial"/>
          <w:szCs w:val="24"/>
          <w:lang w:val="en-US"/>
        </w:rPr>
        <w:t xml:space="preserve">. </w:t>
      </w:r>
      <w:r w:rsidR="00BD299A" w:rsidRPr="00D40A71">
        <w:rPr>
          <w:rFonts w:ascii="Arial" w:hAnsi="Arial" w:cs="Arial"/>
          <w:szCs w:val="24"/>
        </w:rPr>
        <w:t xml:space="preserve">The steps included </w:t>
      </w:r>
      <w:r w:rsidR="004C4FB3" w:rsidRPr="00D40A71">
        <w:rPr>
          <w:rFonts w:ascii="Arial" w:hAnsi="Arial" w:cs="Arial"/>
          <w:szCs w:val="24"/>
        </w:rPr>
        <w:t>familiarizing with</w:t>
      </w:r>
      <w:r w:rsidR="00BD299A" w:rsidRPr="00D40A71">
        <w:rPr>
          <w:rFonts w:ascii="Arial" w:hAnsi="Arial" w:cs="Arial"/>
          <w:szCs w:val="24"/>
        </w:rPr>
        <w:t xml:space="preserve"> the audio data, actively listening to the raw data, and coding and </w:t>
      </w:r>
      <w:r w:rsidR="004C4FB3" w:rsidRPr="00D40A71">
        <w:rPr>
          <w:rFonts w:ascii="Arial" w:hAnsi="Arial" w:cs="Arial"/>
          <w:szCs w:val="24"/>
        </w:rPr>
        <w:t>identifying and</w:t>
      </w:r>
      <w:r w:rsidR="00BD299A" w:rsidRPr="00D40A71">
        <w:rPr>
          <w:rFonts w:ascii="Arial" w:hAnsi="Arial" w:cs="Arial"/>
          <w:szCs w:val="24"/>
        </w:rPr>
        <w:t xml:space="preserve"> sub-themes. After repeated listening of audio data, transcription was done. The next step was to generate initial coding; this was also done inductively to reflect pertinent issues arising from the transcribed data collected. After coding</w:t>
      </w:r>
      <w:r w:rsidR="003C193B" w:rsidRPr="00D40A71">
        <w:rPr>
          <w:rFonts w:ascii="Arial" w:hAnsi="Arial" w:cs="Arial"/>
          <w:szCs w:val="24"/>
        </w:rPr>
        <w:t>,</w:t>
      </w:r>
      <w:r w:rsidR="00BD299A" w:rsidRPr="00D40A71">
        <w:rPr>
          <w:rFonts w:ascii="Arial" w:hAnsi="Arial" w:cs="Arial"/>
          <w:szCs w:val="24"/>
        </w:rPr>
        <w:t xml:space="preserve"> the next step was done to look out for themes. Themes were selected through a thorough analysis, comparing and graphically showing how codes relate to each other. The fourth step was to review the theme</w:t>
      </w:r>
      <w:r w:rsidR="004C4FB3" w:rsidRPr="00D40A71">
        <w:rPr>
          <w:rFonts w:ascii="Arial" w:hAnsi="Arial" w:cs="Arial"/>
          <w:szCs w:val="24"/>
        </w:rPr>
        <w:t>,</w:t>
      </w:r>
      <w:r w:rsidR="00BD299A" w:rsidRPr="00D40A71">
        <w:rPr>
          <w:rFonts w:ascii="Arial" w:hAnsi="Arial" w:cs="Arial"/>
          <w:szCs w:val="24"/>
        </w:rPr>
        <w:t xml:space="preserve"> making sure that all relevant codes placed with the theme fit; this ensured that data coherently supported the themes generated. Defining and naming the </w:t>
      </w:r>
      <w:r w:rsidR="00BD299A" w:rsidRPr="00D40A71">
        <w:rPr>
          <w:rFonts w:ascii="Arial" w:hAnsi="Arial" w:cs="Arial"/>
          <w:szCs w:val="24"/>
        </w:rPr>
        <w:lastRenderedPageBreak/>
        <w:t xml:space="preserve">themes identified and creating a narrative description of each theme is the fifth step,, and the last step was done by presenting the final analysis of the theme and sub-themes identified </w:t>
      </w:r>
      <w:r w:rsidRPr="00D40A71">
        <w:rPr>
          <w:rFonts w:ascii="Arial" w:eastAsia="Calibri" w:hAnsi="Arial" w:cs="Arial"/>
          <w:szCs w:val="24"/>
          <w:lang w:val="en-US"/>
        </w:rPr>
        <w:fldChar w:fldCharType="begin" w:fldLock="1"/>
      </w:r>
      <w:r w:rsidR="00576333" w:rsidRPr="00D40A71">
        <w:rPr>
          <w:rFonts w:ascii="Arial" w:eastAsia="Calibri" w:hAnsi="Arial" w:cs="Arial"/>
          <w:szCs w:val="24"/>
          <w:lang w:val="en-US"/>
        </w:rPr>
        <w:instrText>ADDIN CSL_CITATION {"citationItems":[{"id":"ITEM-1","itemData":{"DOI":"10.1080/0142159X.2020.1755030","ISSN":"1466187X","PMID":"32356468","abstract":"Thematic analysis is a widely used, yet often misunderstood, method of qualitative data analysis. It is a useful and accessible tool for qualitative researchers, but confusion regarding the method’s philosophical underpinnings and imprecision in how it has been described have complicated its use and acceptance among researchers. In this Guide, we outline what thematic analysis is, positioning it in relation to other methods of qualitative analysis, and describe when it is appropriate to use the method under a variety of epistemological frameworks. We also provide a detailed definition of a theme, as this term is often misapplied. Next, we describe the most commonly used six-step framework for conducting thematic analysis, illustrating each step using examples from our own research. Finally, we discuss advantages and disadvantages of this method and alert researchers to pitfalls to avoid when using thematic analysis. We aim to highlight thematic analysis as a powerful and flexible method of qualitative analysis and to empower researchers at all levels of experience to conduct thematic analysis in rigorous and thoughtful way.","author":[{"dropping-particle":"","family":"Kiger","given":"Michelle E.","non-dropping-particle":"","parse-names":false,"suffix":""},{"dropping-particle":"","family":"Varpio","given":"Lara","non-dropping-particle":"","parse-names":false,"suffix":""}],"container-title":"Medical Teacher","id":"ITEM-1","issue":"8","issued":{"date-parts":[["2020"]]},"page":"846-854","publisher":"Taylor &amp; Francis","title":"Thematic analysis of qualitative data: AMEE Guide No. 131","type":"article-journal","volume":"42"},"uris":["http://www.mendeley.com/documents/?uuid=49a1b232-8575-497f-a72c-8e8f3a86a953"]}],"mendeley":{"formattedCitation":"(Kiger &amp; Varpio, 2020)","plainTextFormattedCitation":"(Kiger &amp; Varpio, 2020)","previouslyFormattedCitation":"(Kiger &amp; Varpio, 2020)"},"properties":{"noteIndex":0},"schema":"https://github.com/citation-style-language/schema/raw/master/csl-citation.json"}</w:instrText>
      </w:r>
      <w:r w:rsidRPr="00D40A71">
        <w:rPr>
          <w:rFonts w:ascii="Arial" w:eastAsia="Calibri" w:hAnsi="Arial" w:cs="Arial"/>
          <w:szCs w:val="24"/>
          <w:lang w:val="en-US"/>
        </w:rPr>
        <w:fldChar w:fldCharType="separate"/>
      </w:r>
      <w:r w:rsidR="00576333" w:rsidRPr="00D40A71">
        <w:rPr>
          <w:rFonts w:ascii="Arial" w:eastAsia="Calibri" w:hAnsi="Arial" w:cs="Arial"/>
          <w:noProof/>
          <w:szCs w:val="24"/>
          <w:lang w:val="en-US"/>
        </w:rPr>
        <w:t>(Kiger &amp; Varpio, 2020)</w:t>
      </w:r>
      <w:r w:rsidRPr="00D40A71">
        <w:rPr>
          <w:rFonts w:ascii="Arial" w:eastAsia="Calibri" w:hAnsi="Arial" w:cs="Arial"/>
          <w:szCs w:val="24"/>
          <w:lang w:val="en-US"/>
        </w:rPr>
        <w:fldChar w:fldCharType="end"/>
      </w:r>
      <w:r w:rsidRPr="00D40A71">
        <w:rPr>
          <w:rFonts w:ascii="Arial" w:eastAsia="Calibri" w:hAnsi="Arial" w:cs="Arial"/>
          <w:szCs w:val="24"/>
          <w:lang w:val="en-US"/>
        </w:rPr>
        <w:t xml:space="preserve">.  </w:t>
      </w:r>
    </w:p>
    <w:p w14:paraId="4178D46C" w14:textId="77777777" w:rsidR="00487A25" w:rsidRPr="00D40A71" w:rsidRDefault="00BD299A" w:rsidP="00D40A71">
      <w:pPr>
        <w:pStyle w:val="NormalWeb"/>
        <w:spacing w:line="480" w:lineRule="auto"/>
        <w:jc w:val="both"/>
        <w:rPr>
          <w:rFonts w:ascii="Arial" w:hAnsi="Arial" w:cs="Arial"/>
          <w:sz w:val="22"/>
        </w:rPr>
      </w:pPr>
      <w:bookmarkStart w:id="1" w:name="_Toc76557230"/>
      <w:r w:rsidRPr="00D40A71">
        <w:rPr>
          <w:rFonts w:ascii="Arial" w:hAnsi="Arial" w:cs="Arial"/>
          <w:sz w:val="22"/>
        </w:rPr>
        <w:t>These steps assisted in identifying the important topics or themes detected from the audio recording transcripts. Transcripts were read over and over again for familiarization to get insight and a deeper grasp of the participants' perspectives on the issue to establish the natural meaning stated by the participants. As a result, thematic analysis was critical in detecting, evaluating, and presenting patterns in the data. It also aided in the organization and detailed description of the data. In the presentation of the study findings, quotations were utilized to support the identified themes.</w:t>
      </w:r>
    </w:p>
    <w:p w14:paraId="537A1D42" w14:textId="77777777" w:rsidR="00487A25" w:rsidRPr="00AA73D6" w:rsidRDefault="00487A25" w:rsidP="00D40A71">
      <w:pPr>
        <w:pStyle w:val="ListParagraph"/>
        <w:numPr>
          <w:ilvl w:val="1"/>
          <w:numId w:val="7"/>
        </w:numPr>
        <w:spacing w:after="0" w:line="480" w:lineRule="auto"/>
        <w:jc w:val="both"/>
        <w:rPr>
          <w:rFonts w:ascii="Times New Roman" w:eastAsia="Calibri" w:hAnsi="Times New Roman" w:cs="Times New Roman"/>
          <w:b/>
          <w:szCs w:val="24"/>
          <w:lang w:val="en-US"/>
        </w:rPr>
      </w:pPr>
      <w:r w:rsidRPr="00AA73D6">
        <w:rPr>
          <w:rFonts w:ascii="Times New Roman" w:eastAsia="Calibri" w:hAnsi="Times New Roman" w:cs="Times New Roman"/>
          <w:b/>
          <w:szCs w:val="24"/>
          <w:lang w:val="en-US"/>
        </w:rPr>
        <w:t xml:space="preserve">Trustworthiness </w:t>
      </w:r>
    </w:p>
    <w:p w14:paraId="0EC147A5" w14:textId="77777777" w:rsidR="00487A25" w:rsidRPr="00AA73D6" w:rsidRDefault="00487A25" w:rsidP="00AA73D6">
      <w:pPr>
        <w:spacing w:line="480" w:lineRule="auto"/>
        <w:ind w:firstLine="510"/>
        <w:jc w:val="both"/>
        <w:rPr>
          <w:rFonts w:ascii="Arial" w:eastAsia="Calibri" w:hAnsi="Arial" w:cs="Arial"/>
          <w:szCs w:val="24"/>
          <w:lang w:val="en-US"/>
        </w:rPr>
      </w:pPr>
      <w:r w:rsidRPr="00AA73D6">
        <w:rPr>
          <w:rFonts w:ascii="Arial" w:eastAsia="Calibri" w:hAnsi="Arial" w:cs="Arial"/>
          <w:szCs w:val="24"/>
          <w:lang w:val="en-US"/>
        </w:rPr>
        <w:t xml:space="preserve">Guba and Lincoln’s approach was used to establish trustworthiness by emphasizing confirmability, credibility, dependability, and transferability </w:t>
      </w:r>
      <w:r w:rsidRPr="00AA73D6">
        <w:rPr>
          <w:rFonts w:ascii="Arial" w:eastAsia="Calibri" w:hAnsi="Arial" w:cs="Arial"/>
          <w:szCs w:val="24"/>
          <w:lang w:val="en-US"/>
        </w:rPr>
        <w:fldChar w:fldCharType="begin" w:fldLock="1"/>
      </w:r>
      <w:r w:rsidR="00576333" w:rsidRPr="00AA73D6">
        <w:rPr>
          <w:rFonts w:ascii="Arial" w:eastAsia="Calibri" w:hAnsi="Arial" w:cs="Arial"/>
          <w:szCs w:val="24"/>
          <w:lang w:val="en-US"/>
        </w:rPr>
        <w:instrText>ADDIN CSL_CITATION {"citationItems":[{"id":"ITEM-1","itemData":{"abstract":"In this chapter we analyze four paradigms that currently are competing, or until recently competed, for acceptance as the paradigm of choice in informing and guiding inquiry, especially qualitative inquiry: positivism, postpositivism, critical theory and","author":[{"dropping-particle":"","family":"Egon G","given":"Guba","non-dropping-particle":"","parse-names":false,"suffix":""},{"dropping-particle":"","family":"Yvonna S","given":"Lincoln","non-dropping-particle":"","parse-names":false,"suffix":""}],"container-title":"Handbook of qualitative research","id":"ITEM-1","issued":{"date-parts":[["1994"]]},"page":"105-117","title":"Competing paradigms in qualitative research","type":"article-journal"},"uris":["http://www.mendeley.com/documents/?uuid=2ccd36ea-3534-4b47-901d-5b4aaa409e8a"]},{"id":"ITEM-2","itemData":{"author":[{"dropping-particle":"","family":"Krefting","given":"Laura","non-dropping-particle":"","parse-names":false,"suffix":""}],"container-title":"American Journal oj Occupational Therapy","id":"ITEM-2","issue":"3","issued":{"date-parts":[["1991"]]},"page":"214-222","title":"Rigor in Qualitative Research: The Assessment of Trustworthiness","type":"article-journal","volume":"45"},"uris":["http://www.mendeley.com/documents/?uuid=e42f34f2-8efd-4e21-9e2c-c5f64ba49c3b"]}],"mendeley":{"formattedCitation":"(Egon G &amp; Yvonna S, 1994; Krefting, 1991)","manualFormatting":"(Egon &amp; Yvonna, 1994; Krefting, 1991)","plainTextFormattedCitation":"(Egon G &amp; Yvonna S, 1994; Krefting, 1991)","previouslyFormattedCitation":"(Egon G &amp; Yvonna S, 1994; Krefting, 1991)"},"properties":{"noteIndex":0},"schema":"https://github.com/citation-style-language/schema/raw/master/csl-citation.json"}</w:instrText>
      </w:r>
      <w:r w:rsidRPr="00AA73D6">
        <w:rPr>
          <w:rFonts w:ascii="Arial" w:eastAsia="Calibri" w:hAnsi="Arial" w:cs="Arial"/>
          <w:szCs w:val="24"/>
          <w:lang w:val="en-US"/>
        </w:rPr>
        <w:fldChar w:fldCharType="separate"/>
      </w:r>
      <w:r w:rsidRPr="00AA73D6">
        <w:rPr>
          <w:rFonts w:ascii="Arial" w:eastAsia="Calibri" w:hAnsi="Arial" w:cs="Arial"/>
          <w:noProof/>
          <w:szCs w:val="24"/>
          <w:lang w:val="en-US"/>
        </w:rPr>
        <w:t>(Egon &amp; Yvonna, 1994; Krefting, 1991)</w:t>
      </w:r>
      <w:r w:rsidRPr="00AA73D6">
        <w:rPr>
          <w:rFonts w:ascii="Arial" w:eastAsia="Calibri" w:hAnsi="Arial" w:cs="Arial"/>
          <w:szCs w:val="24"/>
          <w:lang w:val="en-US"/>
        </w:rPr>
        <w:fldChar w:fldCharType="end"/>
      </w:r>
      <w:r w:rsidRPr="00AA73D6">
        <w:rPr>
          <w:rFonts w:ascii="Arial" w:eastAsia="Calibri" w:hAnsi="Arial" w:cs="Arial"/>
          <w:szCs w:val="24"/>
          <w:lang w:val="en-US"/>
        </w:rPr>
        <w:t xml:space="preserve">. This helped to strengthen the reliability and validity of data collection, interpretation and analysis of the study. The transferability of the study was achieved by ensuring that the selected participants represented community psychiatric nurses.  Literature shows that community mental health nurses take up the role of managing common mental disorders in Ghana, and hence, the findings from this study can be applied to all the district community psychiatric units in Ghana </w:t>
      </w:r>
      <w:r w:rsidRPr="00AA73D6">
        <w:rPr>
          <w:rFonts w:ascii="Arial" w:eastAsia="Calibri" w:hAnsi="Arial" w:cs="Arial"/>
          <w:szCs w:val="24"/>
          <w:lang w:val="en-US"/>
        </w:rPr>
        <w:fldChar w:fldCharType="begin" w:fldLock="1"/>
      </w:r>
      <w:r w:rsidR="00576333" w:rsidRPr="00AA73D6">
        <w:rPr>
          <w:rFonts w:ascii="Arial" w:eastAsia="Calibri" w:hAnsi="Arial" w:cs="Arial"/>
          <w:szCs w:val="24"/>
          <w:lang w:val="en-US"/>
        </w:rPr>
        <w:instrText>ADDIN CSL_CITATION {"citationItems":[{"id":"ITEM-1","itemData":{"DOI":"10.3402/gha.v8.28955","ISBN":"1654-9880","ISSN":"1654-9880","PMID":"26455492","abstract":"BACKGROUND: Because of the absence of adequate numbers of psychiatrists, the bulk of mental health care at the community level in Ghana is provided by community mental health workers (CMHWs). OBJECTIVE: To examine the role and scope of practice of CMHWs in Ghana from their own perspectives and to make recommendations to improve the care they provide. DESIGN: We conducted a cross-sectional survey of 164 CMHWs from all the 10 administrative regions of Ghana, comprising 71 (43.3%) community psychiatric nurses (CPNs), 19 (11.6%) clinical psychiatric officers (CPOs), and 74 (45.1%) community mental health officers (CMHOs). RESULTS: Overall, only 39 (23.8%) CMHWs worked closely with psychiatrists, 64 (39%) worked closely with social workers, 46 (28%) worked closely with psychologists and 13 (7.9%) worked closely with occupational therapists. A lower proportion of CMHOs worked closely with psychiatrists, psychologists, and social workers compared with CPOs and CPNs. There was no significant difference in the proportion of the different CMHW types who expressed confidence in their ability to diagnose any of the commonly named mental health conditions except personality disorders. However, a lower proportion of CMHOs than CPOs and CPNs expressed confidence in their ability to treat all the disorders. The CMHWs ranked schizophrenia as the most frequently treated mental health condition and there was no statistically significant difference in the reported frequency with which the three groups of CMHWs treated any of the mental health conditions. CONCLUSIONS: Mental health policy makers and coordinators need to thoroughly review the training curriculum and also evaluate the job descriptions of all CMHWs in Ghana to ensure that they are consistent with the demands and health-care needs of patients they care for in their communities. For example, as CMHOs and CPNs prescribe medication even though they are not expected to do so, it may be worth exploring the merits of including the prescription of common psychotropic medication in their training curriculum and job descriptions.","author":[{"dropping-particle":"","family":"Agyapong","given":"V I","non-dropping-particle":"","parse-names":false,"suffix":""},{"dropping-particle":"","family":"Osei","given":"A","non-dropping-particle":"","parse-names":false,"suffix":""},{"dropping-particle":"","family":"Farren","given":"C K","non-dropping-particle":"","parse-names":false,"suffix":""},{"dropping-particle":"","family":"McAuliffe","given":"E","non-dropping-particle":"","parse-names":false,"suffix":""}],"container-title":"Glob Health Action","id":"ITEM-1","issue":"May","issued":{"date-parts":[["2015"]]},"page":"28955","title":"Task shifting--Ghana's community mental health workers' experiences and perceptions of their roles and scope of practice","type":"article-journal","volume":"8"},"uris":["http://www.mendeley.com/documents/?uuid=98cc666e-c245-423b-bc2c-6580dc499e82"]}],"mendeley":{"formattedCitation":"(V. I. Agyapong et al., 2015)","manualFormatting":"(Agyapong et al., 2015)","plainTextFormattedCitation":"(V. I. Agyapong et al., 2015)","previouslyFormattedCitation":"(V. I. Agyapong et al., 2015)"},"properties":{"noteIndex":0},"schema":"https://github.com/citation-style-language/schema/raw/master/csl-citation.json"}</w:instrText>
      </w:r>
      <w:r w:rsidRPr="00AA73D6">
        <w:rPr>
          <w:rFonts w:ascii="Arial" w:eastAsia="Calibri" w:hAnsi="Arial" w:cs="Arial"/>
          <w:szCs w:val="24"/>
          <w:lang w:val="en-US"/>
        </w:rPr>
        <w:fldChar w:fldCharType="separate"/>
      </w:r>
      <w:r w:rsidRPr="00AA73D6">
        <w:rPr>
          <w:rFonts w:ascii="Arial" w:eastAsia="Calibri" w:hAnsi="Arial" w:cs="Arial"/>
          <w:noProof/>
          <w:szCs w:val="24"/>
          <w:lang w:val="en-US"/>
        </w:rPr>
        <w:t>(Agyapong et al., 2015)</w:t>
      </w:r>
      <w:r w:rsidRPr="00AA73D6">
        <w:rPr>
          <w:rFonts w:ascii="Arial" w:eastAsia="Calibri" w:hAnsi="Arial" w:cs="Arial"/>
          <w:szCs w:val="24"/>
          <w:lang w:val="en-US"/>
        </w:rPr>
        <w:fldChar w:fldCharType="end"/>
      </w:r>
      <w:r w:rsidRPr="00AA73D6">
        <w:rPr>
          <w:rFonts w:ascii="Arial" w:eastAsia="Calibri" w:hAnsi="Arial" w:cs="Arial"/>
          <w:szCs w:val="24"/>
          <w:lang w:val="en-US"/>
        </w:rPr>
        <w:t xml:space="preserve">. Confirmability was achieved throughout the study from the start of a research project to the development of the report, as an audit trail was kept to allow for easy reconnaissance. Dependability was also achieved by establishing external auditing and peer debriefing which involved an outsider with experience in qualitative research examining the research process (audit trail, audio-recording, transcripts and handwritten notes) to confirm its accuracy </w:t>
      </w:r>
      <w:r w:rsidRPr="00AA73D6">
        <w:rPr>
          <w:rFonts w:ascii="Arial" w:eastAsia="Calibri" w:hAnsi="Arial" w:cs="Arial"/>
          <w:szCs w:val="24"/>
          <w:lang w:val="en-US"/>
        </w:rPr>
        <w:fldChar w:fldCharType="begin" w:fldLock="1"/>
      </w:r>
      <w:r w:rsidR="00576333" w:rsidRPr="00AA73D6">
        <w:rPr>
          <w:rFonts w:ascii="Arial" w:eastAsia="Calibri" w:hAnsi="Arial" w:cs="Arial"/>
          <w:szCs w:val="24"/>
          <w:lang w:val="en-US"/>
        </w:rPr>
        <w:instrText>ADDIN CSL_CITATION {"citationItems":[{"id":"ITEM-1","itemData":{"abstract":"In this chapter we analyze four paradigms that currently are competing, or until recently competed, for acceptance as the paradigm of choice in informing and guiding inquiry, especially qualitative inquiry: positivism, postpositivism, critical theory and","author":[{"dropping-particle":"","family":"Egon G","given":"Guba","non-dropping-particle":"","parse-names":false,"suffix":""},{"dropping-particle":"","family":"Yvonna S","given":"Lincoln","non-dropping-particle":"","parse-names":false,"suffix":""}],"container-title":"Handbook of qualitative research","id":"ITEM-1","issued":{"date-parts":[["1994"]]},"page":"105-117","title":"Competing paradigms in qualitative research","type":"article-journal"},"uris":["http://www.mendeley.com/documents/?uuid=2ccd36ea-3534-4b47-901d-5b4aaa409e8a"]}],"mendeley":{"formattedCitation":"(Egon G &amp; Yvonna S, 1994)","manualFormatting":"(Egon &amp; Yvonna, 1994)","plainTextFormattedCitation":"(Egon G &amp; Yvonna S, 1994)","previouslyFormattedCitation":"(Egon G &amp; Yvonna S, 1994)"},"properties":{"noteIndex":0},"schema":"https://github.com/citation-style-language/schema/raw/master/csl-citation.json"}</w:instrText>
      </w:r>
      <w:r w:rsidRPr="00AA73D6">
        <w:rPr>
          <w:rFonts w:ascii="Arial" w:eastAsia="Calibri" w:hAnsi="Arial" w:cs="Arial"/>
          <w:szCs w:val="24"/>
          <w:lang w:val="en-US"/>
        </w:rPr>
        <w:fldChar w:fldCharType="separate"/>
      </w:r>
      <w:r w:rsidRPr="00AA73D6">
        <w:rPr>
          <w:rFonts w:ascii="Arial" w:eastAsia="Calibri" w:hAnsi="Arial" w:cs="Arial"/>
          <w:noProof/>
          <w:szCs w:val="24"/>
          <w:lang w:val="en-US"/>
        </w:rPr>
        <w:t>(Egon &amp; Yvonna, 1994)</w:t>
      </w:r>
      <w:r w:rsidRPr="00AA73D6">
        <w:rPr>
          <w:rFonts w:ascii="Arial" w:eastAsia="Calibri" w:hAnsi="Arial" w:cs="Arial"/>
          <w:szCs w:val="24"/>
          <w:lang w:val="en-US"/>
        </w:rPr>
        <w:fldChar w:fldCharType="end"/>
      </w:r>
      <w:r w:rsidRPr="00AA73D6">
        <w:rPr>
          <w:rFonts w:ascii="Arial" w:eastAsia="Calibri" w:hAnsi="Arial" w:cs="Arial"/>
          <w:szCs w:val="24"/>
          <w:lang w:val="en-US"/>
        </w:rPr>
        <w:t xml:space="preserve">. The researcher interacted severally with the transcribed data for familiarization and deeper insights into the identified </w:t>
      </w:r>
      <w:r w:rsidRPr="00AA73D6">
        <w:rPr>
          <w:rFonts w:ascii="Arial" w:eastAsia="Calibri" w:hAnsi="Arial" w:cs="Arial"/>
          <w:szCs w:val="24"/>
          <w:lang w:val="en-US"/>
        </w:rPr>
        <w:lastRenderedPageBreak/>
        <w:t>themes and subsequently discussed the study findings with the participants to allow them to affirm their responses (member checking/participant validation)</w:t>
      </w:r>
    </w:p>
    <w:p w14:paraId="27E6302D" w14:textId="77777777" w:rsidR="00487A25" w:rsidRPr="00AA73D6" w:rsidRDefault="00487A25" w:rsidP="00487A25">
      <w:pPr>
        <w:spacing w:after="0" w:line="480" w:lineRule="auto"/>
        <w:jc w:val="both"/>
        <w:rPr>
          <w:rFonts w:ascii="Times New Roman" w:eastAsia="Calibri" w:hAnsi="Times New Roman" w:cs="Times New Roman"/>
          <w:b/>
          <w:sz w:val="24"/>
          <w:szCs w:val="24"/>
          <w:lang w:val="en-US"/>
        </w:rPr>
      </w:pPr>
    </w:p>
    <w:bookmarkEnd w:id="1"/>
    <w:p w14:paraId="44D300C5" w14:textId="77777777" w:rsidR="00AA73D6" w:rsidRDefault="00AA73D6" w:rsidP="004F5417">
      <w:pPr>
        <w:spacing w:after="0" w:line="480" w:lineRule="auto"/>
        <w:jc w:val="both"/>
        <w:rPr>
          <w:rFonts w:ascii="Arial" w:eastAsia="Calibri" w:hAnsi="Arial" w:cs="Arial"/>
          <w:bCs/>
          <w:szCs w:val="24"/>
        </w:rPr>
      </w:pPr>
    </w:p>
    <w:p w14:paraId="6DD157E9" w14:textId="77777777" w:rsidR="0068332A" w:rsidRDefault="0068332A" w:rsidP="004F5417">
      <w:pPr>
        <w:spacing w:after="0" w:line="480" w:lineRule="auto"/>
        <w:jc w:val="both"/>
        <w:rPr>
          <w:rFonts w:ascii="Arial" w:eastAsia="Calibri" w:hAnsi="Arial" w:cs="Arial"/>
          <w:bCs/>
          <w:szCs w:val="24"/>
        </w:rPr>
      </w:pPr>
    </w:p>
    <w:p w14:paraId="13267764" w14:textId="77777777" w:rsidR="0068332A" w:rsidRDefault="0068332A" w:rsidP="004F5417">
      <w:pPr>
        <w:spacing w:after="0" w:line="480" w:lineRule="auto"/>
        <w:jc w:val="both"/>
        <w:rPr>
          <w:rFonts w:ascii="Arial" w:eastAsia="Calibri" w:hAnsi="Arial" w:cs="Arial"/>
          <w:bCs/>
          <w:szCs w:val="24"/>
        </w:rPr>
      </w:pPr>
    </w:p>
    <w:p w14:paraId="45BEE09D" w14:textId="77777777" w:rsidR="0068332A" w:rsidRDefault="0068332A" w:rsidP="004F5417">
      <w:pPr>
        <w:spacing w:after="0" w:line="480" w:lineRule="auto"/>
        <w:jc w:val="both"/>
        <w:rPr>
          <w:rFonts w:ascii="Arial" w:eastAsia="Calibri" w:hAnsi="Arial" w:cs="Arial"/>
          <w:bCs/>
          <w:szCs w:val="24"/>
        </w:rPr>
      </w:pPr>
    </w:p>
    <w:p w14:paraId="46BBC419" w14:textId="77777777" w:rsidR="0068332A" w:rsidRDefault="0068332A" w:rsidP="004F5417">
      <w:pPr>
        <w:spacing w:after="0" w:line="480" w:lineRule="auto"/>
        <w:jc w:val="both"/>
        <w:rPr>
          <w:rFonts w:ascii="Arial" w:eastAsia="Calibri" w:hAnsi="Arial" w:cs="Arial"/>
          <w:bCs/>
          <w:szCs w:val="24"/>
        </w:rPr>
      </w:pPr>
    </w:p>
    <w:p w14:paraId="2C5EBD7D" w14:textId="77777777" w:rsidR="00AA73D6" w:rsidRPr="00AA73D6" w:rsidRDefault="00AA73D6" w:rsidP="00AA73D6">
      <w:pPr>
        <w:pStyle w:val="ListParagraph"/>
        <w:numPr>
          <w:ilvl w:val="0"/>
          <w:numId w:val="5"/>
        </w:numPr>
        <w:spacing w:after="0" w:line="480" w:lineRule="auto"/>
        <w:jc w:val="both"/>
        <w:rPr>
          <w:rFonts w:ascii="Arial" w:eastAsia="Calibri" w:hAnsi="Arial" w:cs="Arial"/>
          <w:b/>
          <w:sz w:val="24"/>
          <w:szCs w:val="24"/>
          <w:lang w:val="en-CA"/>
        </w:rPr>
      </w:pPr>
      <w:r w:rsidRPr="00AA73D6">
        <w:rPr>
          <w:rFonts w:ascii="Arial" w:eastAsia="Calibri" w:hAnsi="Arial" w:cs="Arial"/>
          <w:b/>
          <w:sz w:val="24"/>
          <w:szCs w:val="24"/>
          <w:lang w:val="en-CA"/>
        </w:rPr>
        <w:t>RESULTS</w:t>
      </w:r>
    </w:p>
    <w:p w14:paraId="4998260C" w14:textId="77777777" w:rsidR="00CF3465" w:rsidRPr="00AA73D6" w:rsidRDefault="00AA73D6" w:rsidP="00AA73D6">
      <w:pPr>
        <w:spacing w:after="0" w:line="480" w:lineRule="auto"/>
        <w:jc w:val="both"/>
        <w:rPr>
          <w:rFonts w:ascii="Arial" w:eastAsia="Calibri" w:hAnsi="Arial" w:cs="Arial"/>
          <w:b/>
          <w:sz w:val="24"/>
          <w:szCs w:val="24"/>
          <w:lang w:val="en-CA"/>
        </w:rPr>
      </w:pPr>
      <w:r w:rsidRPr="00AA73D6">
        <w:rPr>
          <w:rFonts w:ascii="Arial" w:eastAsia="Calibri" w:hAnsi="Arial" w:cs="Arial"/>
          <w:b/>
          <w:sz w:val="24"/>
          <w:szCs w:val="24"/>
          <w:lang w:val="en-CA"/>
        </w:rPr>
        <w:t xml:space="preserve">3.1 </w:t>
      </w:r>
      <w:r w:rsidR="00CF3465" w:rsidRPr="00AA73D6">
        <w:rPr>
          <w:rFonts w:ascii="Arial" w:eastAsia="Calibri" w:hAnsi="Arial" w:cs="Arial"/>
          <w:b/>
          <w:sz w:val="24"/>
          <w:szCs w:val="24"/>
          <w:lang w:val="en-CA"/>
        </w:rPr>
        <w:t xml:space="preserve">Demographic data of participant </w:t>
      </w:r>
    </w:p>
    <w:p w14:paraId="6CF878B1" w14:textId="77777777" w:rsidR="00BD299A" w:rsidRPr="00AA73D6" w:rsidRDefault="00BD299A" w:rsidP="00E850C6">
      <w:pPr>
        <w:keepNext/>
        <w:keepLines/>
        <w:spacing w:after="0" w:line="360" w:lineRule="auto"/>
        <w:jc w:val="both"/>
        <w:outlineLvl w:val="4"/>
        <w:rPr>
          <w:rFonts w:ascii="Arial" w:eastAsia="Calibri" w:hAnsi="Arial" w:cs="Arial"/>
          <w:szCs w:val="24"/>
          <w:lang w:val="en-CA"/>
        </w:rPr>
      </w:pPr>
      <w:bookmarkStart w:id="2" w:name="_Toc76557292"/>
      <w:r w:rsidRPr="00AA73D6">
        <w:rPr>
          <w:rFonts w:ascii="Arial" w:eastAsia="Calibri" w:hAnsi="Arial" w:cs="Arial"/>
          <w:szCs w:val="24"/>
          <w:lang w:val="en-CA"/>
        </w:rPr>
        <w:t>Four out o</w:t>
      </w:r>
      <w:r w:rsidR="00AA73D6" w:rsidRPr="00AA73D6">
        <w:rPr>
          <w:rFonts w:ascii="Arial" w:eastAsia="Calibri" w:hAnsi="Arial" w:cs="Arial"/>
          <w:szCs w:val="24"/>
          <w:lang w:val="en-CA"/>
        </w:rPr>
        <w:t>f the fourteen participants</w:t>
      </w:r>
      <w:r w:rsidR="00E5434B">
        <w:rPr>
          <w:rFonts w:ascii="Arial" w:eastAsia="Calibri" w:hAnsi="Arial" w:cs="Arial"/>
          <w:szCs w:val="24"/>
          <w:lang w:val="en-CA"/>
        </w:rPr>
        <w:t xml:space="preserve"> ten</w:t>
      </w:r>
      <w:r w:rsidRPr="00AA73D6">
        <w:rPr>
          <w:rFonts w:ascii="Arial" w:eastAsia="Calibri" w:hAnsi="Arial" w:cs="Arial"/>
          <w:szCs w:val="24"/>
          <w:lang w:val="en-CA"/>
        </w:rPr>
        <w:t xml:space="preserve"> had </w:t>
      </w:r>
      <w:r w:rsidR="00AA73D6" w:rsidRPr="00AA73D6">
        <w:rPr>
          <w:rFonts w:ascii="Arial" w:eastAsia="Calibri" w:hAnsi="Arial" w:cs="Arial"/>
          <w:szCs w:val="24"/>
          <w:lang w:val="en-CA"/>
        </w:rPr>
        <w:t>five years</w:t>
      </w:r>
      <w:r w:rsidRPr="00AA73D6">
        <w:rPr>
          <w:rFonts w:ascii="Arial" w:eastAsia="Calibri" w:hAnsi="Arial" w:cs="Arial"/>
          <w:szCs w:val="24"/>
          <w:lang w:val="en-CA"/>
        </w:rPr>
        <w:t xml:space="preserve"> of working experience as community mental health nurses, with the responsibility of treating common mental disorders in the primary mental health setting. The educational background of the participants also sho</w:t>
      </w:r>
      <w:r w:rsidR="00E5434B">
        <w:rPr>
          <w:rFonts w:ascii="Arial" w:eastAsia="Calibri" w:hAnsi="Arial" w:cs="Arial"/>
          <w:szCs w:val="24"/>
          <w:lang w:val="en-CA"/>
        </w:rPr>
        <w:t>wed ten out of the fourteen</w:t>
      </w:r>
      <w:r w:rsidRPr="00AA73D6">
        <w:rPr>
          <w:rFonts w:ascii="Arial" w:eastAsia="Calibri" w:hAnsi="Arial" w:cs="Arial"/>
          <w:szCs w:val="24"/>
          <w:lang w:val="en-CA"/>
        </w:rPr>
        <w:t xml:space="preserve"> had a diploma in registered mental health nursing. Table one shows demographic characteristics of participants.</w:t>
      </w:r>
    </w:p>
    <w:p w14:paraId="133B1271" w14:textId="77777777" w:rsidR="00BD299A" w:rsidRPr="00FC32F4" w:rsidRDefault="00BD299A" w:rsidP="00E850C6">
      <w:pPr>
        <w:keepNext/>
        <w:keepLines/>
        <w:spacing w:after="0" w:line="360" w:lineRule="auto"/>
        <w:jc w:val="both"/>
        <w:outlineLvl w:val="4"/>
        <w:rPr>
          <w:rFonts w:ascii="Times New Roman" w:eastAsia="Calibri" w:hAnsi="Times New Roman" w:cs="Times New Roman"/>
          <w:sz w:val="24"/>
          <w:szCs w:val="24"/>
          <w:lang w:val="en-CA"/>
        </w:rPr>
      </w:pPr>
    </w:p>
    <w:p w14:paraId="5C3F4181" w14:textId="77777777" w:rsidR="00E850C6" w:rsidRPr="00AA73D6" w:rsidRDefault="00E850C6" w:rsidP="00E850C6">
      <w:pPr>
        <w:keepNext/>
        <w:keepLines/>
        <w:spacing w:after="0" w:line="360" w:lineRule="auto"/>
        <w:jc w:val="both"/>
        <w:outlineLvl w:val="4"/>
        <w:rPr>
          <w:rFonts w:ascii="Arial" w:eastAsiaTheme="majorEastAsia" w:hAnsi="Arial" w:cs="Arial"/>
          <w:b/>
          <w:color w:val="000000" w:themeColor="text1"/>
          <w:szCs w:val="24"/>
          <w:lang w:val="en-US"/>
        </w:rPr>
      </w:pPr>
      <w:r w:rsidRPr="00AA73D6">
        <w:rPr>
          <w:rFonts w:ascii="Arial" w:eastAsiaTheme="majorEastAsia" w:hAnsi="Arial" w:cs="Arial"/>
          <w:b/>
          <w:color w:val="000000" w:themeColor="text1"/>
          <w:szCs w:val="24"/>
          <w:lang w:val="en-US"/>
        </w:rPr>
        <w:t>Table 1: Demographic characteristics of respondents</w:t>
      </w:r>
      <w:bookmarkEnd w:id="2"/>
      <w:r w:rsidRPr="00AA73D6">
        <w:rPr>
          <w:rFonts w:ascii="Arial" w:eastAsiaTheme="majorEastAsia" w:hAnsi="Arial" w:cs="Arial"/>
          <w:b/>
          <w:color w:val="000000" w:themeColor="text1"/>
          <w:szCs w:val="24"/>
          <w:lang w:val="en-US"/>
        </w:rPr>
        <w:t xml:space="preserve"> </w:t>
      </w:r>
    </w:p>
    <w:tbl>
      <w:tblPr>
        <w:tblW w:w="9462" w:type="dxa"/>
        <w:tblLook w:val="04A0" w:firstRow="1" w:lastRow="0" w:firstColumn="1" w:lastColumn="0" w:noHBand="0" w:noVBand="1"/>
      </w:tblPr>
      <w:tblGrid>
        <w:gridCol w:w="4731"/>
        <w:gridCol w:w="4731"/>
      </w:tblGrid>
      <w:tr w:rsidR="00E850C6" w:rsidRPr="00AA73D6" w14:paraId="20EF4B04" w14:textId="77777777" w:rsidTr="00DD2DDB">
        <w:trPr>
          <w:trHeight w:val="360"/>
        </w:trPr>
        <w:tc>
          <w:tcPr>
            <w:tcW w:w="4731" w:type="dxa"/>
            <w:tcBorders>
              <w:top w:val="single" w:sz="4" w:space="0" w:color="auto"/>
              <w:left w:val="nil"/>
              <w:bottom w:val="single" w:sz="4" w:space="0" w:color="auto"/>
              <w:right w:val="nil"/>
            </w:tcBorders>
          </w:tcPr>
          <w:p w14:paraId="01C0E482" w14:textId="77777777" w:rsidR="00E850C6" w:rsidRPr="00AA73D6" w:rsidRDefault="00E850C6" w:rsidP="00E850C6">
            <w:pPr>
              <w:spacing w:after="0" w:line="276" w:lineRule="auto"/>
              <w:jc w:val="both"/>
              <w:rPr>
                <w:rFonts w:ascii="Arial" w:hAnsi="Arial" w:cs="Arial"/>
                <w:b/>
                <w:color w:val="000000" w:themeColor="text1"/>
                <w:szCs w:val="24"/>
                <w:lang w:val="en-CA"/>
              </w:rPr>
            </w:pPr>
            <w:r w:rsidRPr="00AA73D6">
              <w:rPr>
                <w:rFonts w:ascii="Arial" w:hAnsi="Arial" w:cs="Arial"/>
                <w:b/>
                <w:color w:val="000000" w:themeColor="text1"/>
                <w:szCs w:val="24"/>
                <w:lang w:val="en-CA"/>
              </w:rPr>
              <w:t xml:space="preserve">Age </w:t>
            </w:r>
          </w:p>
        </w:tc>
        <w:tc>
          <w:tcPr>
            <w:tcW w:w="4731" w:type="dxa"/>
            <w:tcBorders>
              <w:top w:val="single" w:sz="4" w:space="0" w:color="auto"/>
              <w:left w:val="nil"/>
              <w:bottom w:val="single" w:sz="4" w:space="0" w:color="auto"/>
              <w:right w:val="nil"/>
            </w:tcBorders>
          </w:tcPr>
          <w:p w14:paraId="600AFF41" w14:textId="77777777" w:rsidR="00E850C6" w:rsidRPr="00AA73D6" w:rsidRDefault="00E850C6" w:rsidP="00E850C6">
            <w:pPr>
              <w:spacing w:after="0" w:line="276" w:lineRule="auto"/>
              <w:jc w:val="both"/>
              <w:rPr>
                <w:rFonts w:ascii="Arial" w:hAnsi="Arial" w:cs="Arial"/>
                <w:color w:val="000000" w:themeColor="text1"/>
                <w:szCs w:val="24"/>
                <w:lang w:val="en-CA"/>
              </w:rPr>
            </w:pPr>
          </w:p>
        </w:tc>
      </w:tr>
      <w:tr w:rsidR="00E850C6" w:rsidRPr="00AA73D6" w14:paraId="1572391D" w14:textId="77777777" w:rsidTr="00DD2DDB">
        <w:trPr>
          <w:trHeight w:val="360"/>
        </w:trPr>
        <w:tc>
          <w:tcPr>
            <w:tcW w:w="4731" w:type="dxa"/>
            <w:tcBorders>
              <w:top w:val="single" w:sz="4" w:space="0" w:color="auto"/>
              <w:left w:val="nil"/>
              <w:bottom w:val="nil"/>
              <w:right w:val="nil"/>
            </w:tcBorders>
          </w:tcPr>
          <w:p w14:paraId="171DA03D" w14:textId="77777777" w:rsidR="00E850C6" w:rsidRPr="00AA73D6" w:rsidRDefault="00E850C6" w:rsidP="00E850C6">
            <w:pPr>
              <w:spacing w:after="0" w:line="276" w:lineRule="auto"/>
              <w:jc w:val="both"/>
              <w:rPr>
                <w:rFonts w:ascii="Arial" w:hAnsi="Arial" w:cs="Arial"/>
                <w:color w:val="000000" w:themeColor="text1"/>
                <w:szCs w:val="24"/>
                <w:lang w:val="en-CA"/>
              </w:rPr>
            </w:pPr>
            <w:r w:rsidRPr="00AA73D6">
              <w:rPr>
                <w:rFonts w:ascii="Arial" w:hAnsi="Arial" w:cs="Arial"/>
                <w:color w:val="000000" w:themeColor="text1"/>
                <w:szCs w:val="24"/>
                <w:lang w:val="en-CA"/>
              </w:rPr>
              <w:t xml:space="preserve">20-25 years </w:t>
            </w:r>
          </w:p>
        </w:tc>
        <w:tc>
          <w:tcPr>
            <w:tcW w:w="4731" w:type="dxa"/>
            <w:tcBorders>
              <w:top w:val="single" w:sz="4" w:space="0" w:color="auto"/>
              <w:left w:val="nil"/>
              <w:bottom w:val="nil"/>
              <w:right w:val="nil"/>
            </w:tcBorders>
          </w:tcPr>
          <w:p w14:paraId="6698F815" w14:textId="77777777" w:rsidR="00E850C6" w:rsidRPr="00AA73D6" w:rsidRDefault="00240016" w:rsidP="00E850C6">
            <w:pPr>
              <w:spacing w:after="0" w:line="276" w:lineRule="auto"/>
              <w:jc w:val="both"/>
              <w:rPr>
                <w:rFonts w:ascii="Arial" w:hAnsi="Arial" w:cs="Arial"/>
                <w:color w:val="000000" w:themeColor="text1"/>
                <w:szCs w:val="24"/>
                <w:lang w:val="en-CA"/>
              </w:rPr>
            </w:pPr>
            <w:r w:rsidRPr="00AA73D6">
              <w:rPr>
                <w:rFonts w:ascii="Arial" w:hAnsi="Arial" w:cs="Arial"/>
                <w:color w:val="000000" w:themeColor="text1"/>
                <w:szCs w:val="24"/>
                <w:lang w:val="en-CA"/>
              </w:rPr>
              <w:t>4</w:t>
            </w:r>
          </w:p>
        </w:tc>
      </w:tr>
      <w:tr w:rsidR="00E850C6" w:rsidRPr="00AA73D6" w14:paraId="247E1BFD" w14:textId="77777777" w:rsidTr="00DD2DDB">
        <w:trPr>
          <w:trHeight w:val="375"/>
        </w:trPr>
        <w:tc>
          <w:tcPr>
            <w:tcW w:w="4731" w:type="dxa"/>
            <w:tcBorders>
              <w:top w:val="nil"/>
              <w:left w:val="nil"/>
              <w:bottom w:val="nil"/>
              <w:right w:val="nil"/>
            </w:tcBorders>
          </w:tcPr>
          <w:p w14:paraId="5A05CE32" w14:textId="77777777" w:rsidR="00E850C6" w:rsidRPr="00AA73D6" w:rsidRDefault="00E850C6" w:rsidP="00E850C6">
            <w:pPr>
              <w:spacing w:after="0" w:line="276" w:lineRule="auto"/>
              <w:jc w:val="both"/>
              <w:rPr>
                <w:rFonts w:ascii="Arial" w:hAnsi="Arial" w:cs="Arial"/>
                <w:color w:val="000000" w:themeColor="text1"/>
                <w:szCs w:val="24"/>
                <w:lang w:val="en-CA"/>
              </w:rPr>
            </w:pPr>
            <w:r w:rsidRPr="00AA73D6">
              <w:rPr>
                <w:rFonts w:ascii="Arial" w:hAnsi="Arial" w:cs="Arial"/>
                <w:color w:val="000000" w:themeColor="text1"/>
                <w:szCs w:val="24"/>
                <w:lang w:val="en-CA"/>
              </w:rPr>
              <w:t xml:space="preserve">25-30years </w:t>
            </w:r>
          </w:p>
        </w:tc>
        <w:tc>
          <w:tcPr>
            <w:tcW w:w="4731" w:type="dxa"/>
            <w:tcBorders>
              <w:top w:val="nil"/>
              <w:left w:val="nil"/>
              <w:bottom w:val="nil"/>
              <w:right w:val="nil"/>
            </w:tcBorders>
          </w:tcPr>
          <w:p w14:paraId="2BC44B00" w14:textId="77777777" w:rsidR="00E850C6" w:rsidRPr="00AA73D6" w:rsidRDefault="00240016" w:rsidP="00E850C6">
            <w:pPr>
              <w:spacing w:after="0" w:line="276" w:lineRule="auto"/>
              <w:jc w:val="both"/>
              <w:rPr>
                <w:rFonts w:ascii="Arial" w:hAnsi="Arial" w:cs="Arial"/>
                <w:color w:val="000000" w:themeColor="text1"/>
                <w:szCs w:val="24"/>
                <w:lang w:val="en-CA"/>
              </w:rPr>
            </w:pPr>
            <w:r w:rsidRPr="00AA73D6">
              <w:rPr>
                <w:rFonts w:ascii="Arial" w:hAnsi="Arial" w:cs="Arial"/>
                <w:color w:val="000000" w:themeColor="text1"/>
                <w:szCs w:val="24"/>
                <w:lang w:val="en-CA"/>
              </w:rPr>
              <w:t>8</w:t>
            </w:r>
          </w:p>
        </w:tc>
      </w:tr>
      <w:tr w:rsidR="00E850C6" w:rsidRPr="00AA73D6" w14:paraId="27C5D851" w14:textId="77777777" w:rsidTr="00DD2DDB">
        <w:trPr>
          <w:trHeight w:val="360"/>
        </w:trPr>
        <w:tc>
          <w:tcPr>
            <w:tcW w:w="4731" w:type="dxa"/>
            <w:tcBorders>
              <w:top w:val="nil"/>
              <w:left w:val="nil"/>
              <w:bottom w:val="nil"/>
              <w:right w:val="nil"/>
            </w:tcBorders>
          </w:tcPr>
          <w:p w14:paraId="15047C59" w14:textId="77777777" w:rsidR="00E850C6" w:rsidRPr="00AA73D6" w:rsidRDefault="00E850C6" w:rsidP="00E850C6">
            <w:pPr>
              <w:spacing w:after="0" w:line="276" w:lineRule="auto"/>
              <w:jc w:val="both"/>
              <w:rPr>
                <w:rFonts w:ascii="Arial" w:hAnsi="Arial" w:cs="Arial"/>
                <w:color w:val="000000" w:themeColor="text1"/>
                <w:szCs w:val="24"/>
                <w:lang w:val="en-CA"/>
              </w:rPr>
            </w:pPr>
            <w:r w:rsidRPr="00AA73D6">
              <w:rPr>
                <w:rFonts w:ascii="Arial" w:hAnsi="Arial" w:cs="Arial"/>
                <w:color w:val="000000" w:themeColor="text1"/>
                <w:szCs w:val="24"/>
                <w:lang w:val="en-CA"/>
              </w:rPr>
              <w:t xml:space="preserve">30-40 years </w:t>
            </w:r>
          </w:p>
        </w:tc>
        <w:tc>
          <w:tcPr>
            <w:tcW w:w="4731" w:type="dxa"/>
            <w:tcBorders>
              <w:top w:val="nil"/>
              <w:left w:val="nil"/>
              <w:bottom w:val="nil"/>
              <w:right w:val="nil"/>
            </w:tcBorders>
          </w:tcPr>
          <w:p w14:paraId="68232817" w14:textId="77777777" w:rsidR="00E850C6" w:rsidRPr="00AA73D6" w:rsidRDefault="00240016" w:rsidP="00E850C6">
            <w:pPr>
              <w:spacing w:after="0" w:line="276" w:lineRule="auto"/>
              <w:jc w:val="both"/>
              <w:rPr>
                <w:rFonts w:ascii="Arial" w:hAnsi="Arial" w:cs="Arial"/>
                <w:color w:val="000000" w:themeColor="text1"/>
                <w:szCs w:val="24"/>
                <w:lang w:val="en-CA"/>
              </w:rPr>
            </w:pPr>
            <w:r w:rsidRPr="00AA73D6">
              <w:rPr>
                <w:rFonts w:ascii="Arial" w:hAnsi="Arial" w:cs="Arial"/>
                <w:color w:val="000000" w:themeColor="text1"/>
                <w:szCs w:val="24"/>
                <w:lang w:val="en-CA"/>
              </w:rPr>
              <w:t>2</w:t>
            </w:r>
          </w:p>
        </w:tc>
      </w:tr>
      <w:tr w:rsidR="00E850C6" w:rsidRPr="00AA73D6" w14:paraId="1D6CABBB" w14:textId="77777777" w:rsidTr="00DD2DDB">
        <w:trPr>
          <w:trHeight w:val="360"/>
        </w:trPr>
        <w:tc>
          <w:tcPr>
            <w:tcW w:w="4731" w:type="dxa"/>
            <w:tcBorders>
              <w:top w:val="single" w:sz="4" w:space="0" w:color="auto"/>
              <w:left w:val="nil"/>
              <w:bottom w:val="single" w:sz="4" w:space="0" w:color="auto"/>
              <w:right w:val="nil"/>
            </w:tcBorders>
          </w:tcPr>
          <w:p w14:paraId="6C086CB8" w14:textId="77777777" w:rsidR="00E850C6" w:rsidRPr="00AA73D6" w:rsidRDefault="00E850C6" w:rsidP="00E850C6">
            <w:pPr>
              <w:spacing w:after="0" w:line="276" w:lineRule="auto"/>
              <w:jc w:val="both"/>
              <w:rPr>
                <w:rFonts w:ascii="Arial" w:hAnsi="Arial" w:cs="Arial"/>
                <w:b/>
                <w:color w:val="000000" w:themeColor="text1"/>
                <w:szCs w:val="24"/>
                <w:lang w:val="en-CA"/>
              </w:rPr>
            </w:pPr>
            <w:r w:rsidRPr="00AA73D6">
              <w:rPr>
                <w:rFonts w:ascii="Arial" w:hAnsi="Arial" w:cs="Arial"/>
                <w:b/>
                <w:color w:val="000000" w:themeColor="text1"/>
                <w:szCs w:val="24"/>
                <w:lang w:val="en-CA"/>
              </w:rPr>
              <w:t xml:space="preserve">Years of service </w:t>
            </w:r>
          </w:p>
        </w:tc>
        <w:tc>
          <w:tcPr>
            <w:tcW w:w="4731" w:type="dxa"/>
            <w:tcBorders>
              <w:top w:val="single" w:sz="4" w:space="0" w:color="auto"/>
              <w:left w:val="nil"/>
              <w:bottom w:val="single" w:sz="4" w:space="0" w:color="auto"/>
              <w:right w:val="nil"/>
            </w:tcBorders>
          </w:tcPr>
          <w:p w14:paraId="1A3FD21F" w14:textId="77777777" w:rsidR="00E850C6" w:rsidRPr="00AA73D6" w:rsidRDefault="00E850C6" w:rsidP="00E850C6">
            <w:pPr>
              <w:spacing w:after="0" w:line="276" w:lineRule="auto"/>
              <w:jc w:val="both"/>
              <w:rPr>
                <w:rFonts w:ascii="Arial" w:hAnsi="Arial" w:cs="Arial"/>
                <w:color w:val="000000" w:themeColor="text1"/>
                <w:szCs w:val="24"/>
                <w:lang w:val="en-CA"/>
              </w:rPr>
            </w:pPr>
          </w:p>
        </w:tc>
      </w:tr>
      <w:tr w:rsidR="00E850C6" w:rsidRPr="00AA73D6" w14:paraId="51FCA9B3" w14:textId="77777777" w:rsidTr="00DD2DDB">
        <w:trPr>
          <w:trHeight w:val="360"/>
        </w:trPr>
        <w:tc>
          <w:tcPr>
            <w:tcW w:w="4731" w:type="dxa"/>
            <w:tcBorders>
              <w:top w:val="single" w:sz="4" w:space="0" w:color="auto"/>
              <w:left w:val="nil"/>
              <w:bottom w:val="nil"/>
              <w:right w:val="nil"/>
            </w:tcBorders>
          </w:tcPr>
          <w:p w14:paraId="6D04EECF" w14:textId="77777777" w:rsidR="00E850C6" w:rsidRPr="00AA73D6" w:rsidRDefault="00E850C6" w:rsidP="00E850C6">
            <w:pPr>
              <w:spacing w:after="0" w:line="276" w:lineRule="auto"/>
              <w:jc w:val="both"/>
              <w:rPr>
                <w:rFonts w:ascii="Arial" w:hAnsi="Arial" w:cs="Arial"/>
                <w:color w:val="000000" w:themeColor="text1"/>
                <w:szCs w:val="24"/>
                <w:lang w:val="en-CA"/>
              </w:rPr>
            </w:pPr>
            <w:r w:rsidRPr="00AA73D6">
              <w:rPr>
                <w:rFonts w:ascii="Arial" w:hAnsi="Arial" w:cs="Arial"/>
                <w:color w:val="000000" w:themeColor="text1"/>
                <w:szCs w:val="24"/>
                <w:lang w:val="en-CA"/>
              </w:rPr>
              <w:t>2-5 years</w:t>
            </w:r>
          </w:p>
        </w:tc>
        <w:tc>
          <w:tcPr>
            <w:tcW w:w="4731" w:type="dxa"/>
            <w:tcBorders>
              <w:top w:val="single" w:sz="4" w:space="0" w:color="auto"/>
              <w:left w:val="nil"/>
              <w:bottom w:val="nil"/>
              <w:right w:val="nil"/>
            </w:tcBorders>
          </w:tcPr>
          <w:p w14:paraId="714A7F25" w14:textId="77777777" w:rsidR="00E850C6" w:rsidRPr="00AA73D6" w:rsidRDefault="00240016" w:rsidP="00E850C6">
            <w:pPr>
              <w:spacing w:after="0" w:line="276" w:lineRule="auto"/>
              <w:jc w:val="both"/>
              <w:rPr>
                <w:rFonts w:ascii="Arial" w:hAnsi="Arial" w:cs="Arial"/>
                <w:color w:val="000000" w:themeColor="text1"/>
                <w:szCs w:val="24"/>
                <w:lang w:val="en-CA"/>
              </w:rPr>
            </w:pPr>
            <w:r w:rsidRPr="00AA73D6">
              <w:rPr>
                <w:rFonts w:ascii="Arial" w:hAnsi="Arial" w:cs="Arial"/>
                <w:color w:val="000000" w:themeColor="text1"/>
                <w:szCs w:val="24"/>
                <w:lang w:val="en-CA"/>
              </w:rPr>
              <w:t>4</w:t>
            </w:r>
          </w:p>
        </w:tc>
      </w:tr>
      <w:tr w:rsidR="00E850C6" w:rsidRPr="00AA73D6" w14:paraId="1B264955" w14:textId="77777777" w:rsidTr="00DD2DDB">
        <w:trPr>
          <w:trHeight w:val="375"/>
        </w:trPr>
        <w:tc>
          <w:tcPr>
            <w:tcW w:w="4731" w:type="dxa"/>
            <w:tcBorders>
              <w:top w:val="nil"/>
              <w:left w:val="nil"/>
              <w:bottom w:val="nil"/>
              <w:right w:val="nil"/>
            </w:tcBorders>
          </w:tcPr>
          <w:p w14:paraId="65070A39" w14:textId="77777777" w:rsidR="00E850C6" w:rsidRPr="00AA73D6" w:rsidRDefault="00E850C6" w:rsidP="00E850C6">
            <w:pPr>
              <w:spacing w:after="0" w:line="276" w:lineRule="auto"/>
              <w:jc w:val="both"/>
              <w:rPr>
                <w:rFonts w:ascii="Arial" w:hAnsi="Arial" w:cs="Arial"/>
                <w:color w:val="000000" w:themeColor="text1"/>
                <w:szCs w:val="24"/>
                <w:lang w:val="en-CA"/>
              </w:rPr>
            </w:pPr>
            <w:r w:rsidRPr="00AA73D6">
              <w:rPr>
                <w:rFonts w:ascii="Arial" w:hAnsi="Arial" w:cs="Arial"/>
                <w:color w:val="000000" w:themeColor="text1"/>
                <w:szCs w:val="24"/>
                <w:lang w:val="en-CA"/>
              </w:rPr>
              <w:t xml:space="preserve">5 years and above </w:t>
            </w:r>
          </w:p>
        </w:tc>
        <w:tc>
          <w:tcPr>
            <w:tcW w:w="4731" w:type="dxa"/>
            <w:tcBorders>
              <w:top w:val="nil"/>
              <w:left w:val="nil"/>
              <w:bottom w:val="nil"/>
              <w:right w:val="nil"/>
            </w:tcBorders>
          </w:tcPr>
          <w:p w14:paraId="5A201083" w14:textId="77777777" w:rsidR="00E850C6" w:rsidRPr="00AA73D6" w:rsidRDefault="00240016" w:rsidP="00E850C6">
            <w:pPr>
              <w:spacing w:after="0" w:line="276" w:lineRule="auto"/>
              <w:jc w:val="both"/>
              <w:rPr>
                <w:rFonts w:ascii="Arial" w:hAnsi="Arial" w:cs="Arial"/>
                <w:color w:val="000000" w:themeColor="text1"/>
                <w:szCs w:val="24"/>
                <w:lang w:val="en-CA"/>
              </w:rPr>
            </w:pPr>
            <w:r w:rsidRPr="00AA73D6">
              <w:rPr>
                <w:rFonts w:ascii="Arial" w:hAnsi="Arial" w:cs="Arial"/>
                <w:color w:val="000000" w:themeColor="text1"/>
                <w:szCs w:val="24"/>
                <w:lang w:val="en-CA"/>
              </w:rPr>
              <w:t>10</w:t>
            </w:r>
          </w:p>
        </w:tc>
      </w:tr>
      <w:tr w:rsidR="00E850C6" w:rsidRPr="00AA73D6" w14:paraId="402BDF12" w14:textId="77777777" w:rsidTr="00DD2DDB">
        <w:trPr>
          <w:trHeight w:val="360"/>
        </w:trPr>
        <w:tc>
          <w:tcPr>
            <w:tcW w:w="4731" w:type="dxa"/>
            <w:tcBorders>
              <w:top w:val="single" w:sz="4" w:space="0" w:color="auto"/>
              <w:left w:val="nil"/>
              <w:bottom w:val="nil"/>
              <w:right w:val="nil"/>
            </w:tcBorders>
          </w:tcPr>
          <w:p w14:paraId="26D81041" w14:textId="77777777" w:rsidR="00E850C6" w:rsidRPr="00AA73D6" w:rsidRDefault="00E850C6" w:rsidP="00E850C6">
            <w:pPr>
              <w:spacing w:after="0" w:line="276" w:lineRule="auto"/>
              <w:jc w:val="both"/>
              <w:rPr>
                <w:rFonts w:ascii="Arial" w:hAnsi="Arial" w:cs="Arial"/>
                <w:b/>
                <w:color w:val="000000" w:themeColor="text1"/>
                <w:szCs w:val="24"/>
                <w:lang w:val="en-CA"/>
              </w:rPr>
            </w:pPr>
            <w:r w:rsidRPr="00AA73D6">
              <w:rPr>
                <w:rFonts w:ascii="Arial" w:hAnsi="Arial" w:cs="Arial"/>
                <w:b/>
                <w:color w:val="000000" w:themeColor="text1"/>
                <w:szCs w:val="24"/>
                <w:lang w:val="en-CA"/>
              </w:rPr>
              <w:t xml:space="preserve">Educational level </w:t>
            </w:r>
          </w:p>
        </w:tc>
        <w:tc>
          <w:tcPr>
            <w:tcW w:w="4731" w:type="dxa"/>
            <w:tcBorders>
              <w:top w:val="single" w:sz="4" w:space="0" w:color="auto"/>
              <w:left w:val="nil"/>
              <w:bottom w:val="nil"/>
              <w:right w:val="nil"/>
            </w:tcBorders>
          </w:tcPr>
          <w:p w14:paraId="49F4674D" w14:textId="77777777" w:rsidR="00E850C6" w:rsidRPr="00AA73D6" w:rsidRDefault="00E850C6" w:rsidP="00E850C6">
            <w:pPr>
              <w:spacing w:after="0" w:line="276" w:lineRule="auto"/>
              <w:jc w:val="both"/>
              <w:rPr>
                <w:rFonts w:ascii="Arial" w:hAnsi="Arial" w:cs="Arial"/>
                <w:color w:val="000000" w:themeColor="text1"/>
                <w:szCs w:val="24"/>
                <w:lang w:val="en-CA"/>
              </w:rPr>
            </w:pPr>
          </w:p>
        </w:tc>
      </w:tr>
      <w:tr w:rsidR="00E850C6" w:rsidRPr="00AA73D6" w14:paraId="51BAC1D0" w14:textId="77777777" w:rsidTr="00DD2DDB">
        <w:trPr>
          <w:trHeight w:val="360"/>
        </w:trPr>
        <w:tc>
          <w:tcPr>
            <w:tcW w:w="4731" w:type="dxa"/>
            <w:tcBorders>
              <w:top w:val="nil"/>
              <w:left w:val="nil"/>
              <w:bottom w:val="nil"/>
              <w:right w:val="nil"/>
            </w:tcBorders>
          </w:tcPr>
          <w:p w14:paraId="6E19972B" w14:textId="77777777" w:rsidR="00E850C6" w:rsidRPr="00AA73D6" w:rsidRDefault="00E850C6" w:rsidP="00E850C6">
            <w:pPr>
              <w:spacing w:after="0" w:line="276" w:lineRule="auto"/>
              <w:jc w:val="both"/>
              <w:rPr>
                <w:rFonts w:ascii="Arial" w:hAnsi="Arial" w:cs="Arial"/>
                <w:color w:val="000000" w:themeColor="text1"/>
                <w:szCs w:val="24"/>
                <w:lang w:val="en-CA"/>
              </w:rPr>
            </w:pPr>
            <w:r w:rsidRPr="00AA73D6">
              <w:rPr>
                <w:rFonts w:ascii="Arial" w:hAnsi="Arial" w:cs="Arial"/>
                <w:color w:val="000000" w:themeColor="text1"/>
                <w:szCs w:val="24"/>
                <w:lang w:val="en-CA"/>
              </w:rPr>
              <w:t>Diploma</w:t>
            </w:r>
          </w:p>
        </w:tc>
        <w:tc>
          <w:tcPr>
            <w:tcW w:w="4731" w:type="dxa"/>
            <w:tcBorders>
              <w:top w:val="nil"/>
              <w:left w:val="nil"/>
              <w:bottom w:val="nil"/>
              <w:right w:val="nil"/>
            </w:tcBorders>
          </w:tcPr>
          <w:p w14:paraId="66C94075" w14:textId="77777777" w:rsidR="00E850C6" w:rsidRPr="00AA73D6" w:rsidRDefault="00240016" w:rsidP="00E850C6">
            <w:pPr>
              <w:spacing w:after="0" w:line="276" w:lineRule="auto"/>
              <w:jc w:val="both"/>
              <w:rPr>
                <w:rFonts w:ascii="Arial" w:hAnsi="Arial" w:cs="Arial"/>
                <w:color w:val="000000" w:themeColor="text1"/>
                <w:szCs w:val="24"/>
                <w:lang w:val="en-CA"/>
              </w:rPr>
            </w:pPr>
            <w:r w:rsidRPr="00AA73D6">
              <w:rPr>
                <w:rFonts w:ascii="Arial" w:hAnsi="Arial" w:cs="Arial"/>
                <w:color w:val="000000" w:themeColor="text1"/>
                <w:szCs w:val="24"/>
                <w:lang w:val="en-CA"/>
              </w:rPr>
              <w:t>10</w:t>
            </w:r>
          </w:p>
        </w:tc>
      </w:tr>
      <w:tr w:rsidR="00E850C6" w:rsidRPr="00AA73D6" w14:paraId="1562BC7C" w14:textId="77777777" w:rsidTr="00DD2DDB">
        <w:trPr>
          <w:trHeight w:val="360"/>
        </w:trPr>
        <w:tc>
          <w:tcPr>
            <w:tcW w:w="4731" w:type="dxa"/>
            <w:tcBorders>
              <w:top w:val="nil"/>
              <w:left w:val="nil"/>
              <w:bottom w:val="nil"/>
              <w:right w:val="nil"/>
            </w:tcBorders>
          </w:tcPr>
          <w:p w14:paraId="04AA2554" w14:textId="77777777" w:rsidR="00E850C6" w:rsidRPr="00AA73D6" w:rsidRDefault="00E850C6" w:rsidP="00E850C6">
            <w:pPr>
              <w:spacing w:after="0" w:line="276" w:lineRule="auto"/>
              <w:jc w:val="both"/>
              <w:rPr>
                <w:rFonts w:ascii="Arial" w:hAnsi="Arial" w:cs="Arial"/>
                <w:color w:val="000000" w:themeColor="text1"/>
                <w:szCs w:val="24"/>
                <w:lang w:val="en-CA"/>
              </w:rPr>
            </w:pPr>
            <w:r w:rsidRPr="00AA73D6">
              <w:rPr>
                <w:rFonts w:ascii="Arial" w:hAnsi="Arial" w:cs="Arial"/>
                <w:color w:val="000000" w:themeColor="text1"/>
                <w:szCs w:val="24"/>
                <w:lang w:val="en-CA"/>
              </w:rPr>
              <w:t>First degree</w:t>
            </w:r>
          </w:p>
        </w:tc>
        <w:tc>
          <w:tcPr>
            <w:tcW w:w="4731" w:type="dxa"/>
            <w:tcBorders>
              <w:top w:val="nil"/>
              <w:left w:val="nil"/>
              <w:bottom w:val="nil"/>
              <w:right w:val="nil"/>
            </w:tcBorders>
          </w:tcPr>
          <w:p w14:paraId="0E66B60D" w14:textId="77777777" w:rsidR="00E850C6" w:rsidRPr="00AA73D6" w:rsidRDefault="00240016" w:rsidP="00E850C6">
            <w:pPr>
              <w:spacing w:after="0" w:line="276" w:lineRule="auto"/>
              <w:jc w:val="both"/>
              <w:rPr>
                <w:rFonts w:ascii="Arial" w:hAnsi="Arial" w:cs="Arial"/>
                <w:color w:val="000000" w:themeColor="text1"/>
                <w:szCs w:val="24"/>
                <w:lang w:val="en-CA"/>
              </w:rPr>
            </w:pPr>
            <w:r w:rsidRPr="00AA73D6">
              <w:rPr>
                <w:rFonts w:ascii="Arial" w:hAnsi="Arial" w:cs="Arial"/>
                <w:color w:val="000000" w:themeColor="text1"/>
                <w:szCs w:val="24"/>
                <w:lang w:val="en-CA"/>
              </w:rPr>
              <w:t>4</w:t>
            </w:r>
          </w:p>
        </w:tc>
      </w:tr>
      <w:tr w:rsidR="00E850C6" w:rsidRPr="00AA73D6" w14:paraId="30B7A3B6" w14:textId="77777777" w:rsidTr="00DD2DDB">
        <w:trPr>
          <w:trHeight w:val="375"/>
        </w:trPr>
        <w:tc>
          <w:tcPr>
            <w:tcW w:w="4731" w:type="dxa"/>
            <w:tcBorders>
              <w:top w:val="nil"/>
              <w:left w:val="nil"/>
              <w:bottom w:val="single" w:sz="4" w:space="0" w:color="auto"/>
              <w:right w:val="nil"/>
            </w:tcBorders>
          </w:tcPr>
          <w:p w14:paraId="07E59786" w14:textId="77777777" w:rsidR="00E850C6" w:rsidRPr="00AA73D6" w:rsidRDefault="00E850C6" w:rsidP="00E850C6">
            <w:pPr>
              <w:spacing w:after="0" w:line="276" w:lineRule="auto"/>
              <w:jc w:val="both"/>
              <w:rPr>
                <w:rFonts w:ascii="Arial" w:hAnsi="Arial" w:cs="Arial"/>
                <w:color w:val="000000" w:themeColor="text1"/>
                <w:szCs w:val="24"/>
                <w:lang w:val="en-CA"/>
              </w:rPr>
            </w:pPr>
            <w:r w:rsidRPr="00AA73D6">
              <w:rPr>
                <w:rFonts w:ascii="Arial" w:hAnsi="Arial" w:cs="Arial"/>
                <w:color w:val="000000" w:themeColor="text1"/>
                <w:szCs w:val="24"/>
                <w:lang w:val="en-CA"/>
              </w:rPr>
              <w:t>Second degree</w:t>
            </w:r>
          </w:p>
        </w:tc>
        <w:tc>
          <w:tcPr>
            <w:tcW w:w="4731" w:type="dxa"/>
            <w:tcBorders>
              <w:top w:val="nil"/>
              <w:left w:val="nil"/>
              <w:bottom w:val="single" w:sz="4" w:space="0" w:color="auto"/>
              <w:right w:val="nil"/>
            </w:tcBorders>
          </w:tcPr>
          <w:p w14:paraId="0DF2A52F" w14:textId="77777777" w:rsidR="00E850C6" w:rsidRPr="00AA73D6" w:rsidRDefault="00E850C6" w:rsidP="00E850C6">
            <w:pPr>
              <w:spacing w:after="0" w:line="276" w:lineRule="auto"/>
              <w:jc w:val="both"/>
              <w:rPr>
                <w:rFonts w:ascii="Arial" w:hAnsi="Arial" w:cs="Arial"/>
                <w:color w:val="000000" w:themeColor="text1"/>
                <w:szCs w:val="24"/>
                <w:lang w:val="en-CA"/>
              </w:rPr>
            </w:pPr>
            <w:r w:rsidRPr="00AA73D6">
              <w:rPr>
                <w:rFonts w:ascii="Arial" w:hAnsi="Arial" w:cs="Arial"/>
                <w:color w:val="000000" w:themeColor="text1"/>
                <w:szCs w:val="24"/>
                <w:lang w:val="en-CA"/>
              </w:rPr>
              <w:t>0</w:t>
            </w:r>
          </w:p>
        </w:tc>
      </w:tr>
    </w:tbl>
    <w:p w14:paraId="10105A55" w14:textId="77777777" w:rsidR="004F5417" w:rsidRPr="00AA73D6" w:rsidRDefault="004F5417" w:rsidP="00E850C6">
      <w:pPr>
        <w:keepNext/>
        <w:keepLines/>
        <w:spacing w:after="0" w:line="480" w:lineRule="auto"/>
        <w:jc w:val="both"/>
        <w:outlineLvl w:val="1"/>
        <w:rPr>
          <w:rFonts w:ascii="Arial" w:eastAsiaTheme="majorEastAsia" w:hAnsi="Arial" w:cs="Arial"/>
          <w:b/>
          <w:bCs/>
          <w:color w:val="000000" w:themeColor="text1"/>
          <w:szCs w:val="24"/>
          <w:lang w:val="en-US"/>
        </w:rPr>
      </w:pPr>
    </w:p>
    <w:p w14:paraId="5E6620DB" w14:textId="77777777" w:rsidR="004F5417" w:rsidRPr="00FC32F4" w:rsidRDefault="00AA73D6" w:rsidP="00E850C6">
      <w:pPr>
        <w:keepNext/>
        <w:keepLines/>
        <w:spacing w:after="0" w:line="480" w:lineRule="auto"/>
        <w:jc w:val="both"/>
        <w:outlineLvl w:val="1"/>
        <w:rPr>
          <w:rFonts w:ascii="Times New Roman" w:eastAsiaTheme="majorEastAsia" w:hAnsi="Times New Roman" w:cs="Times New Roman"/>
          <w:b/>
          <w:bCs/>
          <w:color w:val="000000" w:themeColor="text1"/>
          <w:sz w:val="24"/>
          <w:szCs w:val="24"/>
          <w:lang w:val="en-US"/>
        </w:rPr>
      </w:pPr>
      <w:r>
        <w:rPr>
          <w:rFonts w:ascii="Times New Roman" w:eastAsiaTheme="majorEastAsia" w:hAnsi="Times New Roman" w:cs="Times New Roman"/>
          <w:b/>
          <w:bCs/>
          <w:color w:val="000000" w:themeColor="text1"/>
          <w:sz w:val="24"/>
          <w:szCs w:val="24"/>
          <w:lang w:val="en-US"/>
        </w:rPr>
        <w:t xml:space="preserve">3.2 </w:t>
      </w:r>
      <w:r w:rsidRPr="00AA73D6">
        <w:rPr>
          <w:rFonts w:ascii="Arial" w:eastAsiaTheme="majorEastAsia" w:hAnsi="Arial" w:cs="Arial"/>
          <w:b/>
          <w:bCs/>
          <w:color w:val="000000" w:themeColor="text1"/>
          <w:szCs w:val="24"/>
          <w:lang w:val="en-US"/>
        </w:rPr>
        <w:t>THEMES AND SUB-THEMES</w:t>
      </w:r>
      <w:r w:rsidRPr="00AA73D6">
        <w:rPr>
          <w:rFonts w:ascii="Times New Roman" w:eastAsiaTheme="majorEastAsia" w:hAnsi="Times New Roman" w:cs="Times New Roman"/>
          <w:b/>
          <w:bCs/>
          <w:color w:val="000000" w:themeColor="text1"/>
          <w:szCs w:val="24"/>
          <w:lang w:val="en-US"/>
        </w:rPr>
        <w:t xml:space="preserve"> </w:t>
      </w:r>
    </w:p>
    <w:p w14:paraId="0F075152" w14:textId="48F9899F" w:rsidR="00BD299A" w:rsidRPr="00AA73D6" w:rsidRDefault="00BD299A" w:rsidP="00487A25">
      <w:pPr>
        <w:keepNext/>
        <w:keepLines/>
        <w:spacing w:after="0" w:line="360" w:lineRule="auto"/>
        <w:jc w:val="both"/>
        <w:outlineLvl w:val="4"/>
        <w:rPr>
          <w:rFonts w:ascii="Arial" w:eastAsia="Calibri" w:hAnsi="Arial" w:cs="Arial"/>
          <w:szCs w:val="24"/>
          <w:lang w:val="en-CA"/>
        </w:rPr>
      </w:pPr>
      <w:bookmarkStart w:id="3" w:name="_Toc76557293"/>
      <w:bookmarkStart w:id="4" w:name="_Toc76557236"/>
      <w:r w:rsidRPr="00AA73D6">
        <w:rPr>
          <w:rFonts w:ascii="Arial" w:eastAsia="Calibri" w:hAnsi="Arial" w:cs="Arial"/>
          <w:szCs w:val="24"/>
          <w:lang w:val="en-CA"/>
        </w:rPr>
        <w:t>Transcribed data from the interview revealed four main themes and seven sub-themes (Table</w:t>
      </w:r>
      <w:r w:rsidR="00FD4682">
        <w:rPr>
          <w:rFonts w:ascii="Arial" w:eastAsia="Calibri" w:hAnsi="Arial" w:cs="Arial"/>
          <w:szCs w:val="24"/>
          <w:lang w:val="en-CA"/>
        </w:rPr>
        <w:t>2</w:t>
      </w:r>
      <w:r w:rsidRPr="00AA73D6">
        <w:rPr>
          <w:rFonts w:ascii="Arial" w:eastAsia="Calibri" w:hAnsi="Arial" w:cs="Arial"/>
          <w:szCs w:val="24"/>
          <w:lang w:val="en-CA"/>
        </w:rPr>
        <w:t xml:space="preserve">) relating to the assessment of common mental disorders in primary mental health settings by community psychiatric nurses. </w:t>
      </w:r>
    </w:p>
    <w:p w14:paraId="26C76F83" w14:textId="77777777" w:rsidR="00BD299A" w:rsidRPr="00AA73D6" w:rsidRDefault="00BD299A" w:rsidP="00487A25">
      <w:pPr>
        <w:keepNext/>
        <w:keepLines/>
        <w:spacing w:after="0" w:line="360" w:lineRule="auto"/>
        <w:jc w:val="both"/>
        <w:outlineLvl w:val="4"/>
        <w:rPr>
          <w:rFonts w:ascii="Arial" w:eastAsia="Calibri" w:hAnsi="Arial" w:cs="Arial"/>
          <w:szCs w:val="24"/>
          <w:lang w:val="en-CA"/>
        </w:rPr>
      </w:pPr>
    </w:p>
    <w:p w14:paraId="4C0DBB52" w14:textId="5686FA0D" w:rsidR="00487A25" w:rsidRPr="00AA73D6" w:rsidRDefault="00487A25" w:rsidP="00487A25">
      <w:pPr>
        <w:keepNext/>
        <w:keepLines/>
        <w:spacing w:after="0" w:line="360" w:lineRule="auto"/>
        <w:jc w:val="both"/>
        <w:outlineLvl w:val="4"/>
        <w:rPr>
          <w:rFonts w:ascii="Arial" w:eastAsiaTheme="majorEastAsia" w:hAnsi="Arial" w:cs="Arial"/>
          <w:b/>
          <w:szCs w:val="24"/>
          <w:lang w:val="en-CA"/>
        </w:rPr>
      </w:pPr>
      <w:r w:rsidRPr="00AA73D6">
        <w:rPr>
          <w:rFonts w:ascii="Arial" w:eastAsiaTheme="majorEastAsia" w:hAnsi="Arial" w:cs="Arial"/>
          <w:b/>
          <w:szCs w:val="24"/>
          <w:shd w:val="clear" w:color="auto" w:fill="FFFFFF"/>
          <w:lang w:val="en-US"/>
        </w:rPr>
        <w:t xml:space="preserve">Table </w:t>
      </w:r>
      <w:r w:rsidR="008F6553">
        <w:rPr>
          <w:rFonts w:ascii="Arial" w:eastAsiaTheme="majorEastAsia" w:hAnsi="Arial" w:cs="Arial"/>
          <w:b/>
          <w:szCs w:val="24"/>
          <w:shd w:val="clear" w:color="auto" w:fill="FFFFFF"/>
          <w:lang w:val="en-US"/>
        </w:rPr>
        <w:t>2</w:t>
      </w:r>
      <w:r w:rsidRPr="00AA73D6">
        <w:rPr>
          <w:rFonts w:ascii="Arial" w:eastAsiaTheme="majorEastAsia" w:hAnsi="Arial" w:cs="Arial"/>
          <w:b/>
          <w:szCs w:val="24"/>
          <w:shd w:val="clear" w:color="auto" w:fill="FFFFFF"/>
          <w:lang w:val="en-US"/>
        </w:rPr>
        <w:t xml:space="preserve">: </w:t>
      </w:r>
      <w:r w:rsidRPr="00AA73D6">
        <w:rPr>
          <w:rFonts w:ascii="Arial" w:eastAsiaTheme="majorEastAsia" w:hAnsi="Arial" w:cs="Arial"/>
          <w:b/>
          <w:szCs w:val="24"/>
          <w:lang w:val="en-US"/>
        </w:rPr>
        <w:t>Assessing</w:t>
      </w:r>
      <w:r w:rsidRPr="00AA73D6">
        <w:rPr>
          <w:rFonts w:ascii="Arial" w:eastAsiaTheme="majorEastAsia" w:hAnsi="Arial" w:cs="Arial"/>
          <w:b/>
          <w:szCs w:val="24"/>
          <w:shd w:val="clear" w:color="auto" w:fill="FFFFFF"/>
          <w:lang w:val="en-US"/>
        </w:rPr>
        <w:t xml:space="preserve"> patients living with mental illness, themes and sub-themes</w:t>
      </w:r>
      <w:bookmarkEnd w:id="3"/>
      <w:r w:rsidRPr="00AA73D6">
        <w:rPr>
          <w:rFonts w:ascii="Arial" w:eastAsiaTheme="majorEastAsia" w:hAnsi="Arial" w:cs="Arial"/>
          <w:b/>
          <w:szCs w:val="24"/>
          <w:shd w:val="clear" w:color="auto" w:fill="FFFFFF"/>
          <w:lang w:val="en-US"/>
        </w:rPr>
        <w:t xml:space="preserve"> </w:t>
      </w:r>
    </w:p>
    <w:tbl>
      <w:tblPr>
        <w:tblpPr w:leftFromText="180" w:rightFromText="180" w:vertAnchor="text" w:horzAnchor="margin" w:tblpX="-151" w:tblpY="244"/>
        <w:tblW w:w="9338" w:type="dxa"/>
        <w:tblLook w:val="04A0" w:firstRow="1" w:lastRow="0" w:firstColumn="1" w:lastColumn="0" w:noHBand="0" w:noVBand="1"/>
      </w:tblPr>
      <w:tblGrid>
        <w:gridCol w:w="4644"/>
        <w:gridCol w:w="4668"/>
        <w:gridCol w:w="26"/>
      </w:tblGrid>
      <w:tr w:rsidR="00487A25" w:rsidRPr="00AA73D6" w14:paraId="1F5E500C" w14:textId="77777777" w:rsidTr="006D34CD">
        <w:trPr>
          <w:gridAfter w:val="1"/>
          <w:wAfter w:w="26" w:type="dxa"/>
          <w:trHeight w:val="273"/>
        </w:trPr>
        <w:tc>
          <w:tcPr>
            <w:tcW w:w="4644" w:type="dxa"/>
            <w:tcBorders>
              <w:left w:val="nil"/>
              <w:bottom w:val="single" w:sz="4" w:space="0" w:color="auto"/>
              <w:right w:val="nil"/>
            </w:tcBorders>
          </w:tcPr>
          <w:p w14:paraId="45D8249C" w14:textId="77777777" w:rsidR="00487A25" w:rsidRPr="00AA73D6" w:rsidRDefault="00487A25" w:rsidP="006D34CD">
            <w:pPr>
              <w:spacing w:after="0" w:line="360" w:lineRule="auto"/>
              <w:jc w:val="both"/>
              <w:rPr>
                <w:rFonts w:ascii="Arial" w:hAnsi="Arial" w:cs="Arial"/>
                <w:b/>
                <w:szCs w:val="24"/>
                <w:lang w:val="en-CA"/>
              </w:rPr>
            </w:pPr>
            <w:r w:rsidRPr="00AA73D6">
              <w:rPr>
                <w:rFonts w:ascii="Arial" w:hAnsi="Arial" w:cs="Arial"/>
                <w:b/>
                <w:szCs w:val="24"/>
                <w:lang w:val="en-CA"/>
              </w:rPr>
              <w:t>Themes</w:t>
            </w:r>
          </w:p>
        </w:tc>
        <w:tc>
          <w:tcPr>
            <w:tcW w:w="4668" w:type="dxa"/>
            <w:tcBorders>
              <w:left w:val="nil"/>
              <w:bottom w:val="single" w:sz="4" w:space="0" w:color="auto"/>
              <w:right w:val="nil"/>
            </w:tcBorders>
          </w:tcPr>
          <w:p w14:paraId="10015D20" w14:textId="77777777" w:rsidR="00487A25" w:rsidRPr="00AA73D6" w:rsidRDefault="00487A25" w:rsidP="006D34CD">
            <w:pPr>
              <w:spacing w:after="0" w:line="360" w:lineRule="auto"/>
              <w:jc w:val="both"/>
              <w:rPr>
                <w:rFonts w:ascii="Arial" w:hAnsi="Arial" w:cs="Arial"/>
                <w:b/>
                <w:szCs w:val="24"/>
                <w:lang w:val="en-CA"/>
              </w:rPr>
            </w:pPr>
            <w:r w:rsidRPr="00AA73D6">
              <w:rPr>
                <w:rFonts w:ascii="Arial" w:hAnsi="Arial" w:cs="Arial"/>
                <w:b/>
                <w:szCs w:val="24"/>
                <w:lang w:val="en-CA"/>
              </w:rPr>
              <w:t xml:space="preserve">Sub-themes  </w:t>
            </w:r>
          </w:p>
        </w:tc>
      </w:tr>
      <w:tr w:rsidR="00487A25" w:rsidRPr="00AA73D6" w14:paraId="21BDBCF4" w14:textId="77777777" w:rsidTr="006D34CD">
        <w:trPr>
          <w:gridAfter w:val="1"/>
          <w:wAfter w:w="26" w:type="dxa"/>
          <w:trHeight w:val="1092"/>
        </w:trPr>
        <w:tc>
          <w:tcPr>
            <w:tcW w:w="4644" w:type="dxa"/>
            <w:tcBorders>
              <w:top w:val="single" w:sz="4" w:space="0" w:color="auto"/>
              <w:left w:val="nil"/>
              <w:bottom w:val="single" w:sz="4" w:space="0" w:color="auto"/>
              <w:right w:val="nil"/>
            </w:tcBorders>
          </w:tcPr>
          <w:p w14:paraId="0031916A" w14:textId="77777777" w:rsidR="00487A25" w:rsidRPr="00AA73D6" w:rsidRDefault="00487A25" w:rsidP="006D34CD">
            <w:pPr>
              <w:spacing w:after="0" w:line="360" w:lineRule="auto"/>
              <w:jc w:val="both"/>
              <w:rPr>
                <w:rFonts w:ascii="Arial" w:hAnsi="Arial" w:cs="Arial"/>
                <w:b/>
                <w:szCs w:val="24"/>
                <w:lang w:val="en-CA"/>
              </w:rPr>
            </w:pPr>
            <w:r w:rsidRPr="00AA73D6">
              <w:rPr>
                <w:rFonts w:ascii="Arial" w:hAnsi="Arial" w:cs="Arial"/>
                <w:b/>
                <w:szCs w:val="24"/>
                <w:lang w:val="en-CA"/>
              </w:rPr>
              <w:t xml:space="preserve">Techniques in Assessing </w:t>
            </w:r>
          </w:p>
          <w:p w14:paraId="08A433B4" w14:textId="77777777" w:rsidR="00487A25" w:rsidRPr="00AA73D6" w:rsidRDefault="00487A25" w:rsidP="006D34CD">
            <w:pPr>
              <w:spacing w:after="0" w:line="360" w:lineRule="auto"/>
              <w:jc w:val="both"/>
              <w:rPr>
                <w:rFonts w:ascii="Arial" w:hAnsi="Arial" w:cs="Arial"/>
                <w:b/>
                <w:szCs w:val="24"/>
                <w:lang w:val="en-CA"/>
              </w:rPr>
            </w:pPr>
          </w:p>
        </w:tc>
        <w:tc>
          <w:tcPr>
            <w:tcW w:w="4668" w:type="dxa"/>
            <w:tcBorders>
              <w:top w:val="single" w:sz="4" w:space="0" w:color="auto"/>
              <w:left w:val="nil"/>
              <w:bottom w:val="single" w:sz="4" w:space="0" w:color="auto"/>
              <w:right w:val="nil"/>
            </w:tcBorders>
          </w:tcPr>
          <w:p w14:paraId="1E60299B" w14:textId="77777777" w:rsidR="00487A25" w:rsidRPr="00AA73D6" w:rsidRDefault="00487A25" w:rsidP="00372998">
            <w:pPr>
              <w:pStyle w:val="ListParagraph"/>
              <w:numPr>
                <w:ilvl w:val="0"/>
                <w:numId w:val="6"/>
              </w:numPr>
              <w:spacing w:after="0" w:line="360" w:lineRule="auto"/>
              <w:jc w:val="both"/>
              <w:rPr>
                <w:rFonts w:ascii="Arial" w:hAnsi="Arial" w:cs="Arial"/>
                <w:i/>
                <w:szCs w:val="24"/>
                <w:lang w:val="en-CA"/>
              </w:rPr>
            </w:pPr>
            <w:r w:rsidRPr="00AA73D6">
              <w:rPr>
                <w:rFonts w:ascii="Arial" w:hAnsi="Arial" w:cs="Arial"/>
                <w:i/>
                <w:szCs w:val="24"/>
                <w:lang w:val="en-CA"/>
              </w:rPr>
              <w:t>The use of physical assessment,</w:t>
            </w:r>
          </w:p>
          <w:p w14:paraId="6A28DD6A" w14:textId="77777777" w:rsidR="00487A25" w:rsidRPr="00AA73D6" w:rsidRDefault="00487A25" w:rsidP="00372998">
            <w:pPr>
              <w:pStyle w:val="ListParagraph"/>
              <w:numPr>
                <w:ilvl w:val="0"/>
                <w:numId w:val="6"/>
              </w:numPr>
              <w:spacing w:after="0" w:line="360" w:lineRule="auto"/>
              <w:jc w:val="both"/>
              <w:rPr>
                <w:rFonts w:ascii="Arial" w:hAnsi="Arial" w:cs="Arial"/>
                <w:i/>
                <w:szCs w:val="24"/>
                <w:lang w:val="en-CA"/>
              </w:rPr>
            </w:pPr>
            <w:r w:rsidRPr="00AA73D6">
              <w:rPr>
                <w:rFonts w:ascii="Arial" w:hAnsi="Arial" w:cs="Arial"/>
                <w:i/>
                <w:szCs w:val="24"/>
                <w:lang w:val="en-CA"/>
              </w:rPr>
              <w:t>Past and present history</w:t>
            </w:r>
          </w:p>
          <w:p w14:paraId="3CC30C5A" w14:textId="77777777" w:rsidR="00487A25" w:rsidRPr="00AA73D6" w:rsidRDefault="00487A25" w:rsidP="00372998">
            <w:pPr>
              <w:pStyle w:val="ListParagraph"/>
              <w:numPr>
                <w:ilvl w:val="0"/>
                <w:numId w:val="6"/>
              </w:numPr>
              <w:spacing w:after="0" w:line="360" w:lineRule="auto"/>
              <w:jc w:val="both"/>
              <w:rPr>
                <w:rFonts w:ascii="Arial" w:hAnsi="Arial" w:cs="Arial"/>
                <w:i/>
                <w:szCs w:val="24"/>
                <w:lang w:val="en-CA"/>
              </w:rPr>
            </w:pPr>
            <w:r w:rsidRPr="00AA73D6">
              <w:rPr>
                <w:rFonts w:ascii="Arial" w:hAnsi="Arial" w:cs="Arial"/>
                <w:i/>
                <w:szCs w:val="24"/>
                <w:lang w:val="en-CA"/>
              </w:rPr>
              <w:t xml:space="preserve">Laboratory investigations </w:t>
            </w:r>
          </w:p>
        </w:tc>
      </w:tr>
      <w:tr w:rsidR="00487A25" w:rsidRPr="00AA73D6" w14:paraId="05FD1FD7" w14:textId="77777777" w:rsidTr="006D34CD">
        <w:trPr>
          <w:gridAfter w:val="1"/>
          <w:wAfter w:w="26" w:type="dxa"/>
          <w:trHeight w:val="546"/>
        </w:trPr>
        <w:tc>
          <w:tcPr>
            <w:tcW w:w="4644" w:type="dxa"/>
            <w:tcBorders>
              <w:top w:val="single" w:sz="4" w:space="0" w:color="auto"/>
              <w:left w:val="nil"/>
              <w:bottom w:val="single" w:sz="4" w:space="0" w:color="auto"/>
              <w:right w:val="nil"/>
            </w:tcBorders>
          </w:tcPr>
          <w:p w14:paraId="07069178" w14:textId="77777777" w:rsidR="00487A25" w:rsidRPr="00AA73D6" w:rsidRDefault="00487A25" w:rsidP="006D34CD">
            <w:pPr>
              <w:spacing w:after="0" w:line="360" w:lineRule="auto"/>
              <w:jc w:val="both"/>
              <w:rPr>
                <w:rFonts w:ascii="Arial" w:hAnsi="Arial" w:cs="Arial"/>
                <w:b/>
                <w:szCs w:val="24"/>
                <w:lang w:val="en-CA"/>
              </w:rPr>
            </w:pPr>
            <w:r w:rsidRPr="00AA73D6">
              <w:rPr>
                <w:rFonts w:ascii="Arial" w:hAnsi="Arial" w:cs="Arial"/>
                <w:b/>
                <w:szCs w:val="24"/>
                <w:lang w:val="en-CA"/>
              </w:rPr>
              <w:t xml:space="preserve">Types of screening tools </w:t>
            </w:r>
          </w:p>
        </w:tc>
        <w:tc>
          <w:tcPr>
            <w:tcW w:w="4668" w:type="dxa"/>
            <w:tcBorders>
              <w:top w:val="single" w:sz="4" w:space="0" w:color="auto"/>
              <w:left w:val="nil"/>
              <w:bottom w:val="single" w:sz="4" w:space="0" w:color="auto"/>
              <w:right w:val="nil"/>
            </w:tcBorders>
          </w:tcPr>
          <w:p w14:paraId="22075E3F" w14:textId="77777777" w:rsidR="00487A25" w:rsidRPr="00AA73D6" w:rsidRDefault="00487A25" w:rsidP="00487A25">
            <w:pPr>
              <w:numPr>
                <w:ilvl w:val="0"/>
                <w:numId w:val="2"/>
              </w:numPr>
              <w:spacing w:after="0" w:line="360" w:lineRule="auto"/>
              <w:contextualSpacing/>
              <w:jc w:val="both"/>
              <w:rPr>
                <w:rFonts w:ascii="Arial" w:hAnsi="Arial" w:cs="Arial"/>
                <w:i/>
                <w:szCs w:val="24"/>
                <w:lang w:val="en-CA"/>
              </w:rPr>
            </w:pPr>
            <w:r w:rsidRPr="00AA73D6">
              <w:rPr>
                <w:rFonts w:ascii="Arial" w:hAnsi="Arial" w:cs="Arial"/>
                <w:i/>
                <w:szCs w:val="24"/>
                <w:lang w:val="en-CA"/>
              </w:rPr>
              <w:t xml:space="preserve">Mental state examination. </w:t>
            </w:r>
          </w:p>
          <w:p w14:paraId="0FB74C77" w14:textId="77777777" w:rsidR="00487A25" w:rsidRPr="00AA73D6" w:rsidRDefault="00487A25" w:rsidP="00487A25">
            <w:pPr>
              <w:numPr>
                <w:ilvl w:val="0"/>
                <w:numId w:val="2"/>
              </w:numPr>
              <w:spacing w:after="0" w:line="360" w:lineRule="auto"/>
              <w:contextualSpacing/>
              <w:jc w:val="both"/>
              <w:rPr>
                <w:rFonts w:ascii="Arial" w:hAnsi="Arial" w:cs="Arial"/>
                <w:i/>
                <w:szCs w:val="24"/>
                <w:lang w:val="en-CA"/>
              </w:rPr>
            </w:pPr>
            <w:r w:rsidRPr="00AA73D6">
              <w:rPr>
                <w:rFonts w:ascii="Arial" w:hAnsi="Arial" w:cs="Arial"/>
                <w:i/>
                <w:szCs w:val="24"/>
                <w:lang w:val="en-CA"/>
              </w:rPr>
              <w:t xml:space="preserve">History taking </w:t>
            </w:r>
          </w:p>
        </w:tc>
      </w:tr>
      <w:tr w:rsidR="00487A25" w:rsidRPr="00AA73D6" w14:paraId="1F9AFDF5" w14:textId="77777777" w:rsidTr="006D34CD">
        <w:trPr>
          <w:gridAfter w:val="1"/>
          <w:wAfter w:w="26" w:type="dxa"/>
          <w:trHeight w:val="520"/>
        </w:trPr>
        <w:tc>
          <w:tcPr>
            <w:tcW w:w="4644" w:type="dxa"/>
            <w:tcBorders>
              <w:top w:val="single" w:sz="4" w:space="0" w:color="auto"/>
              <w:left w:val="nil"/>
              <w:bottom w:val="nil"/>
              <w:right w:val="nil"/>
            </w:tcBorders>
          </w:tcPr>
          <w:p w14:paraId="5ABB2DD5" w14:textId="77777777" w:rsidR="00487A25" w:rsidRPr="00AA73D6" w:rsidRDefault="00487A25" w:rsidP="006D34CD">
            <w:pPr>
              <w:spacing w:after="0" w:line="360" w:lineRule="auto"/>
              <w:jc w:val="both"/>
              <w:rPr>
                <w:rFonts w:ascii="Arial" w:hAnsi="Arial" w:cs="Arial"/>
                <w:b/>
                <w:szCs w:val="24"/>
                <w:lang w:val="en-CA"/>
              </w:rPr>
            </w:pPr>
            <w:r w:rsidRPr="00AA73D6">
              <w:rPr>
                <w:rFonts w:ascii="Arial" w:hAnsi="Arial" w:cs="Arial"/>
                <w:b/>
                <w:szCs w:val="24"/>
                <w:lang w:val="en-CA"/>
              </w:rPr>
              <w:t>Plan of care after diagnosis</w:t>
            </w:r>
          </w:p>
        </w:tc>
        <w:tc>
          <w:tcPr>
            <w:tcW w:w="4668" w:type="dxa"/>
            <w:tcBorders>
              <w:top w:val="single" w:sz="4" w:space="0" w:color="auto"/>
              <w:left w:val="nil"/>
              <w:bottom w:val="nil"/>
              <w:right w:val="nil"/>
            </w:tcBorders>
          </w:tcPr>
          <w:p w14:paraId="59DA1D18" w14:textId="77777777" w:rsidR="00487A25" w:rsidRPr="00AA73D6" w:rsidRDefault="00487A25" w:rsidP="00487A25">
            <w:pPr>
              <w:numPr>
                <w:ilvl w:val="0"/>
                <w:numId w:val="3"/>
              </w:numPr>
              <w:spacing w:after="0" w:line="360" w:lineRule="auto"/>
              <w:contextualSpacing/>
              <w:jc w:val="both"/>
              <w:rPr>
                <w:rFonts w:ascii="Arial" w:hAnsi="Arial" w:cs="Arial"/>
                <w:i/>
                <w:szCs w:val="24"/>
                <w:lang w:val="en-CA"/>
              </w:rPr>
            </w:pPr>
            <w:r w:rsidRPr="00AA73D6">
              <w:rPr>
                <w:rFonts w:ascii="Arial" w:hAnsi="Arial" w:cs="Arial"/>
                <w:i/>
                <w:szCs w:val="24"/>
                <w:lang w:val="en-CA"/>
              </w:rPr>
              <w:t xml:space="preserve">The plan of care is mostly teamwork </w:t>
            </w:r>
          </w:p>
        </w:tc>
      </w:tr>
      <w:tr w:rsidR="00487A25" w:rsidRPr="00AA73D6" w14:paraId="7D22E3E1" w14:textId="77777777" w:rsidTr="006D34CD">
        <w:trPr>
          <w:trHeight w:val="414"/>
        </w:trPr>
        <w:tc>
          <w:tcPr>
            <w:tcW w:w="4644" w:type="dxa"/>
            <w:tcBorders>
              <w:top w:val="single" w:sz="4" w:space="0" w:color="auto"/>
              <w:left w:val="nil"/>
              <w:bottom w:val="single" w:sz="4" w:space="0" w:color="auto"/>
              <w:right w:val="nil"/>
            </w:tcBorders>
          </w:tcPr>
          <w:p w14:paraId="180D6A7C" w14:textId="77777777" w:rsidR="00487A25" w:rsidRPr="00AA73D6" w:rsidRDefault="00487A25" w:rsidP="006D34CD">
            <w:pPr>
              <w:spacing w:after="0" w:line="360" w:lineRule="auto"/>
              <w:jc w:val="both"/>
              <w:rPr>
                <w:rFonts w:ascii="Arial" w:hAnsi="Arial" w:cs="Arial"/>
                <w:b/>
                <w:szCs w:val="24"/>
                <w:lang w:val="en-CA"/>
              </w:rPr>
            </w:pPr>
            <w:r w:rsidRPr="00AA73D6">
              <w:rPr>
                <w:rFonts w:ascii="Arial" w:hAnsi="Arial" w:cs="Arial"/>
                <w:b/>
                <w:szCs w:val="24"/>
                <w:lang w:val="en-CA"/>
              </w:rPr>
              <w:t xml:space="preserve">Knowledge of the assessment of patients </w:t>
            </w:r>
          </w:p>
        </w:tc>
        <w:tc>
          <w:tcPr>
            <w:tcW w:w="4694" w:type="dxa"/>
            <w:gridSpan w:val="2"/>
            <w:tcBorders>
              <w:top w:val="single" w:sz="4" w:space="0" w:color="auto"/>
              <w:left w:val="nil"/>
              <w:bottom w:val="single" w:sz="4" w:space="0" w:color="auto"/>
              <w:right w:val="nil"/>
            </w:tcBorders>
          </w:tcPr>
          <w:p w14:paraId="55BADFA7" w14:textId="77777777" w:rsidR="00487A25" w:rsidRPr="00AA73D6" w:rsidRDefault="00487A25" w:rsidP="00487A25">
            <w:pPr>
              <w:numPr>
                <w:ilvl w:val="0"/>
                <w:numId w:val="3"/>
              </w:numPr>
              <w:spacing w:after="0" w:line="360" w:lineRule="auto"/>
              <w:contextualSpacing/>
              <w:jc w:val="both"/>
              <w:rPr>
                <w:rFonts w:ascii="Arial" w:hAnsi="Arial" w:cs="Arial"/>
                <w:i/>
                <w:szCs w:val="24"/>
                <w:lang w:val="en-CA"/>
              </w:rPr>
            </w:pPr>
            <w:r w:rsidRPr="00AA73D6">
              <w:rPr>
                <w:rFonts w:ascii="Arial" w:hAnsi="Arial" w:cs="Arial"/>
                <w:i/>
                <w:szCs w:val="24"/>
                <w:lang w:val="en-CA"/>
              </w:rPr>
              <w:t xml:space="preserve">Lack of training </w:t>
            </w:r>
          </w:p>
        </w:tc>
      </w:tr>
    </w:tbl>
    <w:p w14:paraId="3E8D2341" w14:textId="77777777" w:rsidR="00487A25" w:rsidRPr="00AA73D6" w:rsidRDefault="00487A25" w:rsidP="00487A25">
      <w:pPr>
        <w:spacing w:after="0" w:line="480" w:lineRule="auto"/>
        <w:jc w:val="both"/>
        <w:rPr>
          <w:rFonts w:ascii="Arial" w:eastAsia="Calibri" w:hAnsi="Arial" w:cs="Arial"/>
          <w:szCs w:val="24"/>
          <w:lang w:val="en-CA"/>
        </w:rPr>
      </w:pPr>
    </w:p>
    <w:p w14:paraId="478E3979" w14:textId="77777777" w:rsidR="004F5417" w:rsidRPr="00FC32F4" w:rsidRDefault="004F5417" w:rsidP="00487A25">
      <w:pPr>
        <w:spacing w:after="0" w:line="480" w:lineRule="auto"/>
        <w:jc w:val="both"/>
        <w:rPr>
          <w:rFonts w:ascii="Times New Roman" w:eastAsiaTheme="majorEastAsia" w:hAnsi="Times New Roman" w:cs="Times New Roman"/>
          <w:b/>
          <w:i/>
          <w:sz w:val="24"/>
          <w:szCs w:val="24"/>
          <w:lang w:val="en-CA"/>
        </w:rPr>
      </w:pPr>
    </w:p>
    <w:p w14:paraId="363FAE06" w14:textId="77777777" w:rsidR="00487A25" w:rsidRPr="0095110D" w:rsidRDefault="0095110D" w:rsidP="0095110D">
      <w:pPr>
        <w:spacing w:after="0" w:line="480" w:lineRule="auto"/>
        <w:jc w:val="both"/>
        <w:rPr>
          <w:rFonts w:ascii="Times New Roman" w:eastAsia="Calibri" w:hAnsi="Times New Roman" w:cs="Times New Roman"/>
          <w:sz w:val="24"/>
          <w:szCs w:val="24"/>
          <w:lang w:val="en-CA"/>
        </w:rPr>
      </w:pPr>
      <w:r>
        <w:rPr>
          <w:rFonts w:ascii="Times New Roman" w:eastAsiaTheme="majorEastAsia" w:hAnsi="Times New Roman" w:cs="Times New Roman"/>
          <w:b/>
          <w:i/>
          <w:sz w:val="24"/>
          <w:szCs w:val="24"/>
          <w:lang w:val="en-CA"/>
        </w:rPr>
        <w:t>3.2.1</w:t>
      </w:r>
      <w:r w:rsidR="00487A25" w:rsidRPr="0095110D">
        <w:rPr>
          <w:rFonts w:ascii="Times New Roman" w:eastAsiaTheme="majorEastAsia" w:hAnsi="Times New Roman" w:cs="Times New Roman"/>
          <w:b/>
          <w:i/>
          <w:sz w:val="24"/>
          <w:szCs w:val="24"/>
          <w:lang w:val="en-CA"/>
        </w:rPr>
        <w:t xml:space="preserve"> </w:t>
      </w:r>
      <w:r w:rsidR="00487A25" w:rsidRPr="0095110D">
        <w:rPr>
          <w:rFonts w:ascii="Times New Roman" w:eastAsiaTheme="majorEastAsia" w:hAnsi="Times New Roman" w:cs="Times New Roman"/>
          <w:b/>
          <w:szCs w:val="24"/>
          <w:lang w:val="en-CA"/>
        </w:rPr>
        <w:t>Techniques in Assessing</w:t>
      </w:r>
      <w:bookmarkEnd w:id="4"/>
      <w:r w:rsidR="00487A25" w:rsidRPr="0095110D">
        <w:rPr>
          <w:rFonts w:ascii="Times New Roman" w:eastAsiaTheme="majorEastAsia" w:hAnsi="Times New Roman" w:cs="Times New Roman"/>
          <w:b/>
          <w:i/>
          <w:szCs w:val="24"/>
          <w:lang w:val="en-CA"/>
        </w:rPr>
        <w:t xml:space="preserve"> </w:t>
      </w:r>
    </w:p>
    <w:p w14:paraId="4403F891" w14:textId="77777777" w:rsidR="00487A25" w:rsidRPr="00AA73D6" w:rsidRDefault="00BD299A" w:rsidP="00487A25">
      <w:pPr>
        <w:spacing w:after="0" w:line="480" w:lineRule="auto"/>
        <w:ind w:firstLine="510"/>
        <w:jc w:val="both"/>
        <w:rPr>
          <w:rFonts w:ascii="Arial" w:hAnsi="Arial" w:cs="Arial"/>
          <w:szCs w:val="24"/>
          <w:lang w:val="en-CA"/>
        </w:rPr>
      </w:pPr>
      <w:r w:rsidRPr="00AA73D6">
        <w:rPr>
          <w:rFonts w:ascii="Arial" w:hAnsi="Arial" w:cs="Arial"/>
          <w:szCs w:val="24"/>
          <w:lang w:val="en-CA"/>
        </w:rPr>
        <w:t>One of the most crucial duties for any community mental nurse is the ability to assess a patient, as it aids in the planning of the patient's care, diagnosis, and selection of suitable therapy for the patient's well-being. The physical and psychological components of psychiatric examination are both included in a full assessment. In answer to a question on how participants assess/screen a patient that comes to their facility, participants said: participant</w:t>
      </w:r>
      <w:r w:rsidR="00AA73D6" w:rsidRPr="00AA73D6">
        <w:rPr>
          <w:rFonts w:ascii="Arial" w:hAnsi="Arial" w:cs="Arial"/>
          <w:szCs w:val="24"/>
          <w:lang w:val="en-CA"/>
        </w:rPr>
        <w:t xml:space="preserve"> 2 intimated as follows, </w:t>
      </w:r>
    </w:p>
    <w:p w14:paraId="6763AB17" w14:textId="77777777" w:rsidR="00487A25" w:rsidRPr="00AA73D6" w:rsidRDefault="00AA73D6" w:rsidP="00487A25">
      <w:pPr>
        <w:spacing w:line="480" w:lineRule="auto"/>
        <w:ind w:left="720"/>
        <w:jc w:val="both"/>
        <w:rPr>
          <w:rFonts w:ascii="Arial" w:hAnsi="Arial" w:cs="Arial"/>
          <w:i/>
          <w:szCs w:val="24"/>
          <w:lang w:val="en-CA"/>
        </w:rPr>
      </w:pPr>
      <w:r w:rsidRPr="00AA73D6">
        <w:rPr>
          <w:rFonts w:ascii="Arial" w:hAnsi="Arial" w:cs="Arial"/>
          <w:i/>
          <w:szCs w:val="24"/>
          <w:lang w:val="en-CA"/>
        </w:rPr>
        <w:t>“Ok,</w:t>
      </w:r>
      <w:r w:rsidR="00BD299A" w:rsidRPr="00AA73D6">
        <w:rPr>
          <w:rFonts w:ascii="Arial" w:hAnsi="Arial" w:cs="Arial"/>
          <w:i/>
          <w:szCs w:val="24"/>
          <w:lang w:val="en-CA"/>
        </w:rPr>
        <w:t xml:space="preserve"> with assessment, I will say we tackle them from some parameters. We take the physical appearance as to how the person appears</w:t>
      </w:r>
      <w:r w:rsidR="00EE62D4" w:rsidRPr="00AA73D6">
        <w:rPr>
          <w:rFonts w:ascii="Arial" w:hAnsi="Arial" w:cs="Arial"/>
          <w:i/>
          <w:szCs w:val="24"/>
          <w:lang w:val="en-CA"/>
        </w:rPr>
        <w:t>,</w:t>
      </w:r>
      <w:r w:rsidR="00BD299A" w:rsidRPr="00AA73D6">
        <w:rPr>
          <w:rFonts w:ascii="Arial" w:hAnsi="Arial" w:cs="Arial"/>
          <w:i/>
          <w:szCs w:val="24"/>
          <w:lang w:val="en-CA"/>
        </w:rPr>
        <w:t xml:space="preserve"> and also, so do the psychological </w:t>
      </w:r>
      <w:proofErr w:type="gramStart"/>
      <w:r w:rsidR="00BD299A" w:rsidRPr="00AA73D6">
        <w:rPr>
          <w:rFonts w:ascii="Arial" w:hAnsi="Arial" w:cs="Arial"/>
          <w:i/>
          <w:szCs w:val="24"/>
          <w:lang w:val="en-CA"/>
        </w:rPr>
        <w:t>evaluation,,</w:t>
      </w:r>
      <w:proofErr w:type="gramEnd"/>
      <w:r w:rsidR="00BD299A" w:rsidRPr="00AA73D6">
        <w:rPr>
          <w:rFonts w:ascii="Arial" w:hAnsi="Arial" w:cs="Arial"/>
          <w:i/>
          <w:szCs w:val="24"/>
          <w:lang w:val="en-CA"/>
        </w:rPr>
        <w:t xml:space="preserve"> which is the mental state examination. We know some conditions are precipitated by some general medical </w:t>
      </w:r>
      <w:proofErr w:type="gramStart"/>
      <w:r w:rsidR="00BD299A" w:rsidRPr="00AA73D6">
        <w:rPr>
          <w:rFonts w:ascii="Arial" w:hAnsi="Arial" w:cs="Arial"/>
          <w:i/>
          <w:szCs w:val="24"/>
          <w:lang w:val="en-CA"/>
        </w:rPr>
        <w:t>conditions,,</w:t>
      </w:r>
      <w:proofErr w:type="gramEnd"/>
      <w:r w:rsidR="00BD299A" w:rsidRPr="00AA73D6">
        <w:rPr>
          <w:rFonts w:ascii="Arial" w:hAnsi="Arial" w:cs="Arial"/>
          <w:i/>
          <w:szCs w:val="24"/>
          <w:lang w:val="en-CA"/>
        </w:rPr>
        <w:t xml:space="preserve"> so we also do some routine labs to </w:t>
      </w:r>
      <w:r w:rsidR="00BD299A" w:rsidRPr="00AA73D6">
        <w:rPr>
          <w:rFonts w:ascii="Arial" w:hAnsi="Arial" w:cs="Arial"/>
          <w:i/>
          <w:szCs w:val="24"/>
          <w:lang w:val="en-CA"/>
        </w:rPr>
        <w:lastRenderedPageBreak/>
        <w:t>rule out certain kinds of conditions that are not based on general medical conditions” [Participant 2]..</w:t>
      </w:r>
      <w:r w:rsidR="00487A25" w:rsidRPr="00AA73D6">
        <w:rPr>
          <w:rFonts w:ascii="Arial" w:hAnsi="Arial" w:cs="Arial"/>
          <w:i/>
          <w:szCs w:val="24"/>
          <w:lang w:val="en-CA"/>
        </w:rPr>
        <w:t>.</w:t>
      </w:r>
    </w:p>
    <w:p w14:paraId="75A77814" w14:textId="77777777" w:rsidR="00487A25" w:rsidRPr="00AA73D6" w:rsidRDefault="00487A25" w:rsidP="00487A25">
      <w:pPr>
        <w:spacing w:after="0" w:line="480" w:lineRule="auto"/>
        <w:ind w:firstLine="510"/>
        <w:jc w:val="both"/>
        <w:rPr>
          <w:rFonts w:ascii="Arial" w:hAnsi="Arial" w:cs="Arial"/>
          <w:szCs w:val="24"/>
          <w:lang w:val="en-CA"/>
        </w:rPr>
      </w:pPr>
      <w:r w:rsidRPr="00AA73D6">
        <w:rPr>
          <w:rFonts w:ascii="Arial" w:hAnsi="Arial" w:cs="Arial"/>
          <w:szCs w:val="24"/>
          <w:lang w:val="en-CA"/>
        </w:rPr>
        <w:t>In certain circumstances, the individual seeking mental healthcare's past and current medical and psychiatric history is considered in the assessment.</w:t>
      </w:r>
    </w:p>
    <w:p w14:paraId="34B69898" w14:textId="77777777" w:rsidR="00487A25" w:rsidRPr="00AA73D6" w:rsidRDefault="00487A25" w:rsidP="00487A25">
      <w:pPr>
        <w:spacing w:after="0" w:line="480" w:lineRule="auto"/>
        <w:ind w:left="720"/>
        <w:jc w:val="both"/>
        <w:rPr>
          <w:rFonts w:ascii="Arial" w:hAnsi="Arial" w:cs="Arial"/>
          <w:i/>
          <w:szCs w:val="24"/>
          <w:lang w:val="en-CA"/>
        </w:rPr>
      </w:pPr>
      <w:r w:rsidRPr="00AA73D6">
        <w:rPr>
          <w:rFonts w:ascii="Arial" w:hAnsi="Arial" w:cs="Arial"/>
          <w:i/>
          <w:szCs w:val="24"/>
          <w:lang w:val="en-CA"/>
        </w:rPr>
        <w:t>“Usually, we do take a full history, which involves your present or presenting complaints, present medical and mental history, family history, the socio-economic history of the patient and their habits. So, we take all these histories and then, we do a mental status examination” [Participant</w:t>
      </w:r>
      <w:r w:rsidR="00F532F7" w:rsidRPr="00AA73D6">
        <w:rPr>
          <w:rFonts w:ascii="Arial" w:hAnsi="Arial" w:cs="Arial"/>
          <w:i/>
          <w:szCs w:val="24"/>
          <w:lang w:val="en-CA"/>
        </w:rPr>
        <w:t xml:space="preserve"> 11</w:t>
      </w:r>
      <w:r w:rsidRPr="00AA73D6">
        <w:rPr>
          <w:rFonts w:ascii="Arial" w:hAnsi="Arial" w:cs="Arial"/>
          <w:i/>
          <w:szCs w:val="24"/>
          <w:lang w:val="en-CA"/>
        </w:rPr>
        <w:t>].</w:t>
      </w:r>
      <w:bookmarkStart w:id="5" w:name="_Toc76557237"/>
    </w:p>
    <w:p w14:paraId="5C08C679" w14:textId="77777777" w:rsidR="00487A25" w:rsidRPr="00AA73D6" w:rsidRDefault="00487A25" w:rsidP="00487A25">
      <w:pPr>
        <w:spacing w:after="0" w:line="480" w:lineRule="auto"/>
        <w:ind w:firstLine="510"/>
        <w:jc w:val="both"/>
        <w:rPr>
          <w:rFonts w:ascii="Arial" w:hAnsi="Arial" w:cs="Arial"/>
          <w:szCs w:val="24"/>
          <w:lang w:val="en-CA"/>
        </w:rPr>
      </w:pPr>
      <w:r w:rsidRPr="00AA73D6">
        <w:rPr>
          <w:rFonts w:ascii="Arial" w:hAnsi="Arial" w:cs="Arial"/>
          <w:szCs w:val="24"/>
          <w:lang w:val="en-CA"/>
        </w:rPr>
        <w:t>The majority of participants also describe doing laboratory tests to rule out any type of medical or physical issue. According to a participant, this helps to avoid the wrong diagnosis:</w:t>
      </w:r>
    </w:p>
    <w:p w14:paraId="57B30631" w14:textId="77777777" w:rsidR="00487A25" w:rsidRPr="00AA73D6" w:rsidRDefault="00487A25" w:rsidP="00487A25">
      <w:pPr>
        <w:spacing w:after="0" w:line="480" w:lineRule="auto"/>
        <w:ind w:left="720"/>
        <w:jc w:val="both"/>
        <w:rPr>
          <w:rFonts w:ascii="Arial" w:hAnsi="Arial" w:cs="Arial"/>
          <w:i/>
          <w:szCs w:val="24"/>
          <w:lang w:val="en-CA"/>
        </w:rPr>
      </w:pPr>
      <w:r w:rsidRPr="00AA73D6">
        <w:rPr>
          <w:rFonts w:ascii="Arial" w:hAnsi="Arial" w:cs="Arial"/>
          <w:i/>
          <w:szCs w:val="24"/>
          <w:lang w:val="en-CA"/>
        </w:rPr>
        <w:t>“Sometimes, when a patient is referred from the physical outpatient department, we mostly request certain laboratory investigations to make sure that the cause is not from any kind of physical condition” [Participant 4].</w:t>
      </w:r>
    </w:p>
    <w:p w14:paraId="0A0177C5" w14:textId="77777777" w:rsidR="00487A25" w:rsidRPr="00AA73D6" w:rsidRDefault="00487A25" w:rsidP="00487A25">
      <w:pPr>
        <w:spacing w:after="0" w:line="480" w:lineRule="auto"/>
        <w:jc w:val="both"/>
        <w:rPr>
          <w:rFonts w:ascii="Arial" w:eastAsiaTheme="majorEastAsia" w:hAnsi="Arial" w:cs="Arial"/>
          <w:b/>
          <w:i/>
          <w:szCs w:val="24"/>
          <w:lang w:val="en-CA"/>
        </w:rPr>
      </w:pPr>
    </w:p>
    <w:p w14:paraId="755C7E9B" w14:textId="77777777" w:rsidR="00487A25" w:rsidRPr="0095110D" w:rsidRDefault="0095110D" w:rsidP="0095110D">
      <w:pPr>
        <w:pStyle w:val="ListParagraph"/>
        <w:spacing w:after="0" w:line="480" w:lineRule="auto"/>
        <w:ind w:left="360"/>
        <w:jc w:val="both"/>
        <w:rPr>
          <w:rFonts w:ascii="Arial" w:hAnsi="Arial" w:cs="Arial"/>
          <w:sz w:val="20"/>
          <w:szCs w:val="24"/>
          <w:lang w:val="en-CA"/>
        </w:rPr>
      </w:pPr>
      <w:r>
        <w:rPr>
          <w:rFonts w:ascii="Arial" w:eastAsiaTheme="majorEastAsia" w:hAnsi="Arial" w:cs="Arial"/>
          <w:b/>
          <w:sz w:val="20"/>
          <w:szCs w:val="24"/>
          <w:lang w:val="en-CA"/>
        </w:rPr>
        <w:t>3.2.2</w:t>
      </w:r>
      <w:r w:rsidR="00487A25" w:rsidRPr="0095110D">
        <w:rPr>
          <w:rFonts w:ascii="Arial" w:eastAsiaTheme="majorEastAsia" w:hAnsi="Arial" w:cs="Arial"/>
          <w:b/>
          <w:sz w:val="20"/>
          <w:szCs w:val="24"/>
          <w:lang w:val="en-CA"/>
        </w:rPr>
        <w:t xml:space="preserve"> Types of assessment tools</w:t>
      </w:r>
      <w:bookmarkEnd w:id="5"/>
    </w:p>
    <w:p w14:paraId="7871E96E" w14:textId="77777777" w:rsidR="00487A25" w:rsidRPr="00AA73D6" w:rsidRDefault="00487A25" w:rsidP="00487A25">
      <w:pPr>
        <w:spacing w:line="480" w:lineRule="auto"/>
        <w:ind w:firstLine="510"/>
        <w:jc w:val="both"/>
        <w:rPr>
          <w:rFonts w:ascii="Arial" w:hAnsi="Arial" w:cs="Arial"/>
          <w:szCs w:val="24"/>
          <w:lang w:val="en-CA"/>
        </w:rPr>
      </w:pPr>
      <w:r w:rsidRPr="00AA73D6">
        <w:rPr>
          <w:rFonts w:ascii="Arial" w:hAnsi="Arial" w:cs="Arial"/>
          <w:szCs w:val="24"/>
          <w:lang w:val="en-CA"/>
        </w:rPr>
        <w:t>The majority of the participants only knew of two types of tools that are used to assess patients who came to their hospital. Other tools that can be employed in assessing mental health patients were mentioned by the participants emphatically. However, because the participants had never been exposed to such tools or utilized them previously, this remained a notion.</w:t>
      </w:r>
    </w:p>
    <w:p w14:paraId="45151B2B" w14:textId="77777777" w:rsidR="00487A25" w:rsidRPr="00AA73D6" w:rsidRDefault="00487A25" w:rsidP="00487A25">
      <w:pPr>
        <w:spacing w:line="480" w:lineRule="auto"/>
        <w:ind w:left="720"/>
        <w:jc w:val="both"/>
        <w:rPr>
          <w:rFonts w:ascii="Arial" w:hAnsi="Arial" w:cs="Arial"/>
          <w:i/>
          <w:szCs w:val="24"/>
          <w:lang w:val="en-CA"/>
        </w:rPr>
      </w:pPr>
      <w:r w:rsidRPr="00AA73D6">
        <w:rPr>
          <w:rFonts w:ascii="Arial" w:hAnsi="Arial" w:cs="Arial"/>
          <w:i/>
          <w:szCs w:val="24"/>
          <w:lang w:val="en-CA"/>
        </w:rPr>
        <w:t>“Over here, we use locally made tools.  That’s what we use for the history taking and the mental state examination. By locally made tools, we mean tools that we know of from school, which I will say are different from some of the internationally accepted ones that we have read and heard about.”  [Participant</w:t>
      </w:r>
      <w:r w:rsidR="00F532F7" w:rsidRPr="00AA73D6">
        <w:rPr>
          <w:rFonts w:ascii="Arial" w:hAnsi="Arial" w:cs="Arial"/>
          <w:i/>
          <w:szCs w:val="24"/>
          <w:lang w:val="en-CA"/>
        </w:rPr>
        <w:t xml:space="preserve"> 6</w:t>
      </w:r>
      <w:r w:rsidRPr="00AA73D6">
        <w:rPr>
          <w:rFonts w:ascii="Arial" w:hAnsi="Arial" w:cs="Arial"/>
          <w:i/>
          <w:szCs w:val="24"/>
          <w:lang w:val="en-CA"/>
        </w:rPr>
        <w:t>].</w:t>
      </w:r>
    </w:p>
    <w:p w14:paraId="55C0245A" w14:textId="77777777" w:rsidR="00487A25" w:rsidRPr="00AA73D6" w:rsidRDefault="00487A25" w:rsidP="00487A25">
      <w:pPr>
        <w:spacing w:after="0" w:line="480" w:lineRule="auto"/>
        <w:jc w:val="both"/>
        <w:rPr>
          <w:rFonts w:ascii="Arial" w:hAnsi="Arial" w:cs="Arial"/>
          <w:szCs w:val="24"/>
          <w:lang w:val="en-CA"/>
        </w:rPr>
      </w:pPr>
      <w:r w:rsidRPr="00AA73D6">
        <w:rPr>
          <w:rFonts w:ascii="Arial" w:hAnsi="Arial" w:cs="Arial"/>
          <w:szCs w:val="24"/>
          <w:lang w:val="en-CA"/>
        </w:rPr>
        <w:t xml:space="preserve">Another participant said: </w:t>
      </w:r>
    </w:p>
    <w:p w14:paraId="473F6178" w14:textId="77777777" w:rsidR="00487A25" w:rsidRPr="00AA73D6" w:rsidRDefault="00487A25" w:rsidP="00487A25">
      <w:pPr>
        <w:spacing w:after="0" w:line="480" w:lineRule="auto"/>
        <w:ind w:left="720"/>
        <w:jc w:val="both"/>
        <w:rPr>
          <w:rFonts w:ascii="Arial" w:hAnsi="Arial" w:cs="Arial"/>
          <w:i/>
          <w:szCs w:val="24"/>
          <w:lang w:val="en-CA"/>
        </w:rPr>
      </w:pPr>
      <w:r w:rsidRPr="00AA73D6">
        <w:rPr>
          <w:rFonts w:ascii="Arial" w:hAnsi="Arial" w:cs="Arial"/>
          <w:i/>
          <w:szCs w:val="24"/>
          <w:lang w:val="en-CA"/>
        </w:rPr>
        <w:lastRenderedPageBreak/>
        <w:t>“At our level, we mostly depend on the history and mental state examination as the only tool in assessing the mental state of all patients who visit the facility</w:t>
      </w:r>
      <w:r w:rsidR="00FC32F4" w:rsidRPr="00AA73D6">
        <w:rPr>
          <w:rFonts w:ascii="Arial" w:hAnsi="Arial" w:cs="Arial"/>
          <w:i/>
          <w:szCs w:val="24"/>
          <w:lang w:val="en-CA"/>
        </w:rPr>
        <w:t>,</w:t>
      </w:r>
      <w:r w:rsidRPr="00AA73D6">
        <w:rPr>
          <w:rFonts w:ascii="Arial" w:hAnsi="Arial" w:cs="Arial"/>
          <w:i/>
          <w:szCs w:val="24"/>
          <w:lang w:val="en-CA"/>
        </w:rPr>
        <w:t xml:space="preserve"> even though we have heard of others.” [Participant</w:t>
      </w:r>
      <w:r w:rsidR="00F532F7" w:rsidRPr="00AA73D6">
        <w:rPr>
          <w:rFonts w:ascii="Arial" w:hAnsi="Arial" w:cs="Arial"/>
          <w:i/>
          <w:szCs w:val="24"/>
          <w:lang w:val="en-CA"/>
        </w:rPr>
        <w:t xml:space="preserve"> 9</w:t>
      </w:r>
      <w:r w:rsidRPr="00AA73D6">
        <w:rPr>
          <w:rFonts w:ascii="Arial" w:hAnsi="Arial" w:cs="Arial"/>
          <w:i/>
          <w:szCs w:val="24"/>
          <w:lang w:val="en-CA"/>
        </w:rPr>
        <w:t>].</w:t>
      </w:r>
    </w:p>
    <w:p w14:paraId="658B0B16" w14:textId="77777777" w:rsidR="00487A25" w:rsidRPr="00AA73D6" w:rsidRDefault="00487A25" w:rsidP="00487A25">
      <w:pPr>
        <w:spacing w:after="0" w:line="480" w:lineRule="auto"/>
        <w:ind w:firstLine="510"/>
        <w:jc w:val="both"/>
        <w:rPr>
          <w:rFonts w:ascii="Arial" w:hAnsi="Arial" w:cs="Arial"/>
          <w:szCs w:val="24"/>
          <w:lang w:val="en-CA"/>
        </w:rPr>
      </w:pPr>
      <w:r w:rsidRPr="00AA73D6">
        <w:rPr>
          <w:rFonts w:ascii="Arial" w:hAnsi="Arial" w:cs="Arial"/>
          <w:szCs w:val="24"/>
          <w:lang w:val="en-CA"/>
        </w:rPr>
        <w:t>When asked if they utilize the above-mentioned evaluation techniques in assessing and diagnosing all types of patients who come with minor to severe mental health issues, one participant stated:</w:t>
      </w:r>
    </w:p>
    <w:p w14:paraId="22354AAC" w14:textId="77777777" w:rsidR="00487A25" w:rsidRPr="00AA73D6" w:rsidRDefault="00487A25" w:rsidP="00487A25">
      <w:pPr>
        <w:spacing w:after="0" w:line="480" w:lineRule="auto"/>
        <w:ind w:left="720"/>
        <w:jc w:val="both"/>
        <w:rPr>
          <w:rFonts w:ascii="Arial" w:hAnsi="Arial" w:cs="Arial"/>
          <w:i/>
          <w:szCs w:val="24"/>
          <w:lang w:val="en-CA"/>
        </w:rPr>
      </w:pPr>
      <w:r w:rsidRPr="00AA73D6">
        <w:rPr>
          <w:rFonts w:ascii="Arial" w:hAnsi="Arial" w:cs="Arial"/>
          <w:i/>
          <w:szCs w:val="24"/>
          <w:lang w:val="en-CA"/>
        </w:rPr>
        <w:t>“Yes! For all the patients, that is the baseline tool we use, and during reviews, we do a mini-mental state examination</w:t>
      </w:r>
      <w:r w:rsidR="00FC32F4" w:rsidRPr="00AA73D6">
        <w:rPr>
          <w:rFonts w:ascii="Arial" w:hAnsi="Arial" w:cs="Arial"/>
          <w:i/>
          <w:szCs w:val="24"/>
          <w:lang w:val="en-CA"/>
        </w:rPr>
        <w:t>,</w:t>
      </w:r>
      <w:r w:rsidRPr="00AA73D6">
        <w:rPr>
          <w:rFonts w:ascii="Arial" w:hAnsi="Arial" w:cs="Arial"/>
          <w:i/>
          <w:szCs w:val="24"/>
          <w:lang w:val="en-CA"/>
        </w:rPr>
        <w:t xml:space="preserve"> and then based on the complaints they bring, we do a full or broad mental state examination to enquire about their problems” [Participant</w:t>
      </w:r>
      <w:r w:rsidR="00F532F7" w:rsidRPr="00AA73D6">
        <w:rPr>
          <w:rFonts w:ascii="Arial" w:hAnsi="Arial" w:cs="Arial"/>
          <w:i/>
          <w:szCs w:val="24"/>
          <w:lang w:val="en-CA"/>
        </w:rPr>
        <w:t xml:space="preserve"> 14</w:t>
      </w:r>
      <w:r w:rsidRPr="00AA73D6">
        <w:rPr>
          <w:rFonts w:ascii="Arial" w:hAnsi="Arial" w:cs="Arial"/>
          <w:i/>
          <w:szCs w:val="24"/>
          <w:lang w:val="en-CA"/>
        </w:rPr>
        <w:t>].</w:t>
      </w:r>
      <w:bookmarkStart w:id="6" w:name="_Toc76557238"/>
    </w:p>
    <w:p w14:paraId="717E6FBD" w14:textId="77777777" w:rsidR="00487A25" w:rsidRPr="00AA73D6" w:rsidRDefault="00487A25" w:rsidP="00487A25">
      <w:pPr>
        <w:spacing w:after="0" w:line="480" w:lineRule="auto"/>
        <w:jc w:val="both"/>
        <w:rPr>
          <w:rFonts w:ascii="Arial" w:eastAsiaTheme="majorEastAsia" w:hAnsi="Arial" w:cs="Arial"/>
          <w:b/>
          <w:i/>
          <w:szCs w:val="24"/>
          <w:lang w:val="en-CA"/>
        </w:rPr>
      </w:pPr>
    </w:p>
    <w:p w14:paraId="1A919BE6" w14:textId="77777777" w:rsidR="00487A25" w:rsidRPr="0095110D" w:rsidRDefault="0095110D" w:rsidP="0095110D">
      <w:pPr>
        <w:pStyle w:val="ListParagraph"/>
        <w:spacing w:after="0" w:line="480" w:lineRule="auto"/>
        <w:ind w:left="360"/>
        <w:jc w:val="both"/>
        <w:rPr>
          <w:rFonts w:ascii="Arial" w:hAnsi="Arial" w:cs="Arial"/>
          <w:szCs w:val="24"/>
          <w:lang w:val="en-CA"/>
        </w:rPr>
      </w:pPr>
      <w:r w:rsidRPr="0095110D">
        <w:rPr>
          <w:rFonts w:ascii="Arial" w:eastAsiaTheme="majorEastAsia" w:hAnsi="Arial" w:cs="Arial"/>
          <w:b/>
          <w:szCs w:val="24"/>
          <w:lang w:val="en-CA"/>
        </w:rPr>
        <w:t>3.2.3</w:t>
      </w:r>
      <w:r w:rsidR="00487A25" w:rsidRPr="00AA73D6">
        <w:rPr>
          <w:rFonts w:ascii="Arial" w:eastAsiaTheme="majorEastAsia" w:hAnsi="Arial" w:cs="Arial"/>
          <w:b/>
          <w:i/>
          <w:szCs w:val="24"/>
          <w:lang w:val="en-CA"/>
        </w:rPr>
        <w:t xml:space="preserve"> </w:t>
      </w:r>
      <w:r w:rsidR="00487A25" w:rsidRPr="0095110D">
        <w:rPr>
          <w:rFonts w:ascii="Arial" w:eastAsiaTheme="majorEastAsia" w:hAnsi="Arial" w:cs="Arial"/>
          <w:b/>
          <w:szCs w:val="24"/>
          <w:lang w:val="en-CA"/>
        </w:rPr>
        <w:t>Plan for patient care after diagnosis</w:t>
      </w:r>
      <w:bookmarkEnd w:id="6"/>
    </w:p>
    <w:p w14:paraId="5F16924E" w14:textId="77777777" w:rsidR="00487A25" w:rsidRPr="00AA73D6" w:rsidRDefault="00487A25" w:rsidP="00487A25">
      <w:pPr>
        <w:autoSpaceDE w:val="0"/>
        <w:autoSpaceDN w:val="0"/>
        <w:adjustRightInd w:val="0"/>
        <w:spacing w:after="0" w:line="480" w:lineRule="auto"/>
        <w:ind w:firstLine="510"/>
        <w:jc w:val="both"/>
        <w:rPr>
          <w:rFonts w:ascii="Arial" w:hAnsi="Arial" w:cs="Arial"/>
          <w:szCs w:val="24"/>
          <w:lang w:val="en-CA"/>
        </w:rPr>
      </w:pPr>
      <w:r w:rsidRPr="00AA73D6">
        <w:rPr>
          <w:rFonts w:ascii="Arial" w:hAnsi="Arial" w:cs="Arial"/>
          <w:szCs w:val="24"/>
          <w:lang w:val="en-CA"/>
        </w:rPr>
        <w:t>The plan of care is an important part of the treatment delivered to patients with mental illnesses, according to the WHO Mental Health Gap Action Programme – Intervention Guide (</w:t>
      </w:r>
      <w:proofErr w:type="spellStart"/>
      <w:r w:rsidRPr="00AA73D6">
        <w:rPr>
          <w:rFonts w:ascii="Arial" w:hAnsi="Arial" w:cs="Arial"/>
          <w:szCs w:val="24"/>
          <w:lang w:val="en-CA"/>
        </w:rPr>
        <w:t>mhGAP</w:t>
      </w:r>
      <w:proofErr w:type="spellEnd"/>
      <w:r w:rsidRPr="00AA73D6">
        <w:rPr>
          <w:rFonts w:ascii="Arial" w:hAnsi="Arial" w:cs="Arial"/>
          <w:szCs w:val="24"/>
          <w:lang w:val="en-CA"/>
        </w:rPr>
        <w:t>-IG) concept of assessment. Preparing a mental health treatment plan should be a continuous process that includes cooperation, patient and family input, and a firm exchange of views about the best approaches to treat the specific pati</w:t>
      </w:r>
      <w:r w:rsidR="00FC32F4" w:rsidRPr="00AA73D6">
        <w:rPr>
          <w:rFonts w:ascii="Arial" w:hAnsi="Arial" w:cs="Arial"/>
          <w:szCs w:val="24"/>
          <w:lang w:val="en-CA"/>
        </w:rPr>
        <w:t xml:space="preserve">ent. One participant commented </w:t>
      </w:r>
      <w:r w:rsidRPr="00AA73D6">
        <w:rPr>
          <w:rFonts w:ascii="Arial" w:hAnsi="Arial" w:cs="Arial"/>
          <w:szCs w:val="24"/>
          <w:lang w:val="en-CA"/>
        </w:rPr>
        <w:t>on how community mental health nurses prepare for their patient’s care:</w:t>
      </w:r>
    </w:p>
    <w:p w14:paraId="7FF7ACAC" w14:textId="77777777" w:rsidR="00487A25" w:rsidRPr="00AA73D6" w:rsidRDefault="00FC32F4" w:rsidP="00487A25">
      <w:pPr>
        <w:autoSpaceDE w:val="0"/>
        <w:autoSpaceDN w:val="0"/>
        <w:adjustRightInd w:val="0"/>
        <w:spacing w:after="0" w:line="480" w:lineRule="auto"/>
        <w:ind w:left="720"/>
        <w:jc w:val="both"/>
        <w:rPr>
          <w:rFonts w:ascii="Arial" w:hAnsi="Arial" w:cs="Arial"/>
          <w:b/>
          <w:i/>
          <w:szCs w:val="24"/>
          <w:lang w:val="en-CA"/>
        </w:rPr>
      </w:pPr>
      <w:r w:rsidRPr="00AA73D6">
        <w:rPr>
          <w:rFonts w:ascii="Arial" w:hAnsi="Arial" w:cs="Arial"/>
          <w:i/>
          <w:szCs w:val="24"/>
          <w:lang w:val="en-CA"/>
        </w:rPr>
        <w:t xml:space="preserve">“After the diagnosis is made, this is what we do. Sometimes, when a patient arrives, a general physician at the facility will conduct an initial assessment and then refer the patient to us. After they refer, we do our assessment and diagnosis. If there is a need for us to add other medical management, we liaise with them so that we work concurrently with the psychological aspect. So, we do plan. Sometimes, after diagnoses, we provide medication. We educate them on the condition, the medication, and the side effects of the medication. We have a psychologist here. So, when the patient is stable, we refer them to a clinical psychologist. Or when they [patient] come for review, we advise them to continue with the other psychotherapy. We also do home visits as part of the management plan”. </w:t>
      </w:r>
      <w:r w:rsidR="00F532F7" w:rsidRPr="00AA73D6">
        <w:rPr>
          <w:rFonts w:ascii="Arial" w:hAnsi="Arial" w:cs="Arial"/>
          <w:i/>
          <w:szCs w:val="24"/>
          <w:lang w:val="en-CA"/>
        </w:rPr>
        <w:t>[Participant 12</w:t>
      </w:r>
      <w:r w:rsidR="00487A25" w:rsidRPr="00AA73D6">
        <w:rPr>
          <w:rFonts w:ascii="Arial" w:hAnsi="Arial" w:cs="Arial"/>
          <w:i/>
          <w:szCs w:val="24"/>
          <w:lang w:val="en-CA"/>
        </w:rPr>
        <w:t>].</w:t>
      </w:r>
      <w:bookmarkStart w:id="7" w:name="_Toc76557239"/>
    </w:p>
    <w:p w14:paraId="5BA849BB" w14:textId="77777777" w:rsidR="00487A25" w:rsidRPr="00AA73D6" w:rsidRDefault="00487A25" w:rsidP="00487A25">
      <w:pPr>
        <w:autoSpaceDE w:val="0"/>
        <w:autoSpaceDN w:val="0"/>
        <w:adjustRightInd w:val="0"/>
        <w:spacing w:after="0" w:line="480" w:lineRule="auto"/>
        <w:jc w:val="both"/>
        <w:rPr>
          <w:rFonts w:ascii="Arial" w:eastAsiaTheme="majorEastAsia" w:hAnsi="Arial" w:cs="Arial"/>
          <w:b/>
          <w:i/>
          <w:szCs w:val="24"/>
          <w:lang w:val="en-CA"/>
        </w:rPr>
      </w:pPr>
    </w:p>
    <w:p w14:paraId="62215F87" w14:textId="77777777" w:rsidR="00487A25" w:rsidRPr="0095110D" w:rsidRDefault="00487A25" w:rsidP="0095110D">
      <w:pPr>
        <w:pStyle w:val="ListParagraph"/>
        <w:numPr>
          <w:ilvl w:val="2"/>
          <w:numId w:val="8"/>
        </w:numPr>
        <w:autoSpaceDE w:val="0"/>
        <w:autoSpaceDN w:val="0"/>
        <w:adjustRightInd w:val="0"/>
        <w:spacing w:after="0" w:line="480" w:lineRule="auto"/>
        <w:jc w:val="both"/>
        <w:rPr>
          <w:rFonts w:ascii="Arial" w:hAnsi="Arial" w:cs="Arial"/>
          <w:b/>
          <w:szCs w:val="24"/>
          <w:lang w:val="en-CA"/>
        </w:rPr>
      </w:pPr>
      <w:r w:rsidRPr="0095110D">
        <w:rPr>
          <w:rFonts w:ascii="Arial" w:eastAsiaTheme="majorEastAsia" w:hAnsi="Arial" w:cs="Arial"/>
          <w:b/>
          <w:szCs w:val="24"/>
          <w:lang w:val="en-CA"/>
        </w:rPr>
        <w:t>Knowledge of the assessment of patients</w:t>
      </w:r>
      <w:bookmarkEnd w:id="7"/>
    </w:p>
    <w:p w14:paraId="355A9AA8" w14:textId="77777777" w:rsidR="00487A25" w:rsidRPr="00AA73D6" w:rsidRDefault="00487A25" w:rsidP="00487A25">
      <w:pPr>
        <w:autoSpaceDE w:val="0"/>
        <w:autoSpaceDN w:val="0"/>
        <w:adjustRightInd w:val="0"/>
        <w:spacing w:after="0" w:line="480" w:lineRule="auto"/>
        <w:ind w:firstLine="510"/>
        <w:jc w:val="both"/>
        <w:rPr>
          <w:rFonts w:ascii="Arial" w:hAnsi="Arial" w:cs="Arial"/>
          <w:szCs w:val="24"/>
          <w:lang w:val="en-CA"/>
        </w:rPr>
      </w:pPr>
      <w:r w:rsidRPr="00AA73D6">
        <w:rPr>
          <w:rFonts w:ascii="Arial" w:hAnsi="Arial" w:cs="Arial"/>
          <w:szCs w:val="24"/>
          <w:lang w:val="en-CA"/>
        </w:rPr>
        <w:t xml:space="preserve">Participants were </w:t>
      </w:r>
      <w:r w:rsidR="00EA2977" w:rsidRPr="00AA73D6">
        <w:rPr>
          <w:rFonts w:ascii="Arial" w:hAnsi="Arial" w:cs="Arial"/>
          <w:szCs w:val="24"/>
          <w:lang w:val="en-CA"/>
        </w:rPr>
        <w:t>questioned</w:t>
      </w:r>
      <w:r w:rsidR="00FC32F4" w:rsidRPr="00AA73D6">
        <w:rPr>
          <w:rFonts w:ascii="Arial" w:hAnsi="Arial" w:cs="Arial"/>
          <w:szCs w:val="24"/>
          <w:lang w:val="en-CA"/>
        </w:rPr>
        <w:t xml:space="preserve"> about </w:t>
      </w:r>
      <w:r w:rsidRPr="00AA73D6">
        <w:rPr>
          <w:rFonts w:ascii="Arial" w:hAnsi="Arial" w:cs="Arial"/>
          <w:szCs w:val="24"/>
          <w:lang w:val="en-CA"/>
        </w:rPr>
        <w:t>their expertise and confidence in evaluating individuals who come to their institution for mental health treatment. The majority of the participants lacked the necessary skills to properly assess mental health patients. They relied heavily on the knowledge they gained throughout their mental health nursing diploma. They were, on the other hand, confident in their abilities to care for individuals with mental illnesses.</w:t>
      </w:r>
      <w:r w:rsidR="00FC32F4" w:rsidRPr="00AA73D6">
        <w:rPr>
          <w:rFonts w:ascii="Arial" w:hAnsi="Arial" w:cs="Arial"/>
          <w:szCs w:val="24"/>
          <w:lang w:val="en-CA"/>
        </w:rPr>
        <w:t xml:space="preserve"> A participant with more than five </w:t>
      </w:r>
      <w:r w:rsidRPr="00AA73D6">
        <w:rPr>
          <w:rFonts w:ascii="Arial" w:hAnsi="Arial" w:cs="Arial"/>
          <w:szCs w:val="24"/>
          <w:lang w:val="en-CA"/>
        </w:rPr>
        <w:t>years of expertise echoed her sentiments, saying</w:t>
      </w:r>
      <w:r w:rsidR="00FC32F4" w:rsidRPr="00AA73D6">
        <w:rPr>
          <w:rFonts w:ascii="Arial" w:hAnsi="Arial" w:cs="Arial"/>
          <w:szCs w:val="24"/>
          <w:lang w:val="en-CA"/>
        </w:rPr>
        <w:t>,</w:t>
      </w:r>
      <w:r w:rsidRPr="00AA73D6">
        <w:rPr>
          <w:rFonts w:ascii="Arial" w:hAnsi="Arial" w:cs="Arial"/>
          <w:szCs w:val="24"/>
          <w:lang w:val="en-CA"/>
        </w:rPr>
        <w:t xml:space="preserve"> </w:t>
      </w:r>
    </w:p>
    <w:p w14:paraId="6FEBE5FC" w14:textId="77777777" w:rsidR="00487A25" w:rsidRPr="00AA73D6" w:rsidRDefault="00487A25" w:rsidP="00487A25">
      <w:pPr>
        <w:spacing w:line="480" w:lineRule="auto"/>
        <w:ind w:left="720"/>
        <w:jc w:val="both"/>
        <w:rPr>
          <w:rFonts w:ascii="Arial" w:hAnsi="Arial" w:cs="Arial"/>
          <w:i/>
          <w:szCs w:val="24"/>
          <w:lang w:val="en-CA"/>
        </w:rPr>
      </w:pPr>
      <w:r w:rsidRPr="00AA73D6">
        <w:rPr>
          <w:rFonts w:ascii="Arial" w:hAnsi="Arial" w:cs="Arial"/>
          <w:i/>
          <w:szCs w:val="24"/>
          <w:lang w:val="en-CA"/>
        </w:rPr>
        <w:t>“We are trained to do nursing assessments on the patient but we go beyond that.  I will also say we periodically receive training on how to assess and manage patients. Normally, this comes at least every two years. Last three months ago, for instance, we had a resourced person from a Teaching Hospital who educated us on the changing dynamics of how we assess mental health patients” [Participant 5].</w:t>
      </w:r>
    </w:p>
    <w:p w14:paraId="47E2F546" w14:textId="77777777" w:rsidR="00487A25" w:rsidRPr="00AA73D6" w:rsidRDefault="00487A25" w:rsidP="00487A25">
      <w:pPr>
        <w:spacing w:after="0" w:line="480" w:lineRule="auto"/>
        <w:jc w:val="both"/>
        <w:rPr>
          <w:rFonts w:ascii="Arial" w:hAnsi="Arial" w:cs="Arial"/>
          <w:szCs w:val="24"/>
          <w:lang w:val="en-CA"/>
        </w:rPr>
      </w:pPr>
      <w:r w:rsidRPr="00AA73D6">
        <w:rPr>
          <w:rFonts w:ascii="Arial" w:hAnsi="Arial" w:cs="Arial"/>
          <w:szCs w:val="24"/>
          <w:lang w:val="en-CA"/>
        </w:rPr>
        <w:t xml:space="preserve">Another participant said </w:t>
      </w:r>
    </w:p>
    <w:p w14:paraId="68E85AAA" w14:textId="77777777" w:rsidR="00F532F7" w:rsidRPr="00AA73D6" w:rsidRDefault="00487A25" w:rsidP="00FC32F4">
      <w:pPr>
        <w:tabs>
          <w:tab w:val="left" w:pos="1455"/>
        </w:tabs>
        <w:spacing w:after="0" w:line="480" w:lineRule="auto"/>
        <w:ind w:left="720"/>
        <w:jc w:val="both"/>
        <w:rPr>
          <w:rFonts w:ascii="Arial" w:hAnsi="Arial" w:cs="Arial"/>
          <w:b/>
          <w:i/>
          <w:szCs w:val="24"/>
          <w:lang w:val="en-CA"/>
        </w:rPr>
      </w:pPr>
      <w:r w:rsidRPr="00AA73D6">
        <w:rPr>
          <w:rFonts w:ascii="Arial" w:hAnsi="Arial" w:cs="Arial"/>
          <w:i/>
          <w:szCs w:val="24"/>
          <w:lang w:val="en-CA"/>
        </w:rPr>
        <w:t xml:space="preserve">“I have read more about how specifically other forms of assessment and screening tools can help identify certain mental disorders easily but we don't have much knowledge to use them. Sometimes when we go for workshops and we ask them they tell us it has not been accepted to be used here in our country.” </w:t>
      </w:r>
      <w:r w:rsidRPr="00AA73D6">
        <w:rPr>
          <w:rFonts w:ascii="Arial" w:hAnsi="Arial" w:cs="Arial"/>
          <w:bCs/>
          <w:i/>
          <w:szCs w:val="24"/>
          <w:lang w:val="en-CA"/>
        </w:rPr>
        <w:t>[Participant 3].</w:t>
      </w:r>
    </w:p>
    <w:p w14:paraId="34EB1C9A" w14:textId="77777777" w:rsidR="00F532F7" w:rsidRPr="00AA73D6" w:rsidRDefault="00F532F7" w:rsidP="00487A25">
      <w:pPr>
        <w:tabs>
          <w:tab w:val="left" w:pos="1455"/>
        </w:tabs>
        <w:spacing w:after="0" w:line="480" w:lineRule="auto"/>
        <w:jc w:val="both"/>
        <w:rPr>
          <w:rFonts w:ascii="Arial" w:hAnsi="Arial" w:cs="Arial"/>
          <w:b/>
          <w:szCs w:val="24"/>
          <w:lang w:val="en-CA"/>
        </w:rPr>
      </w:pPr>
    </w:p>
    <w:p w14:paraId="3AB5088D" w14:textId="77777777" w:rsidR="00487A25" w:rsidRPr="0095110D" w:rsidRDefault="0095110D" w:rsidP="0095110D">
      <w:pPr>
        <w:pStyle w:val="ListParagraph"/>
        <w:numPr>
          <w:ilvl w:val="0"/>
          <w:numId w:val="5"/>
        </w:numPr>
        <w:tabs>
          <w:tab w:val="left" w:pos="1455"/>
        </w:tabs>
        <w:spacing w:after="0" w:line="480" w:lineRule="auto"/>
        <w:jc w:val="both"/>
        <w:rPr>
          <w:rFonts w:ascii="Arial" w:hAnsi="Arial" w:cs="Arial"/>
          <w:b/>
          <w:sz w:val="24"/>
          <w:szCs w:val="24"/>
          <w:lang w:val="en-CA"/>
        </w:rPr>
      </w:pPr>
      <w:r w:rsidRPr="0095110D">
        <w:rPr>
          <w:rFonts w:ascii="Arial" w:hAnsi="Arial" w:cs="Arial"/>
          <w:b/>
          <w:sz w:val="24"/>
          <w:szCs w:val="24"/>
          <w:lang w:val="en-CA"/>
        </w:rPr>
        <w:t xml:space="preserve">DISCUSSION </w:t>
      </w:r>
    </w:p>
    <w:p w14:paraId="4E15E370" w14:textId="77777777" w:rsidR="00487A25" w:rsidRPr="00AA73D6" w:rsidRDefault="00843EC1" w:rsidP="00487A25">
      <w:pPr>
        <w:spacing w:after="0" w:line="480" w:lineRule="auto"/>
        <w:ind w:firstLine="510"/>
        <w:jc w:val="both"/>
        <w:rPr>
          <w:rFonts w:ascii="Arial" w:hAnsi="Arial" w:cs="Arial"/>
          <w:szCs w:val="24"/>
          <w:lang w:val="en-CA"/>
        </w:rPr>
      </w:pPr>
      <w:r w:rsidRPr="00AA73D6">
        <w:rPr>
          <w:rFonts w:ascii="Arial" w:hAnsi="Arial" w:cs="Arial"/>
          <w:szCs w:val="24"/>
          <w:lang w:val="en-CA"/>
        </w:rPr>
        <w:t>Community mental nurses use observation of the patient's appearance and a critical look at their hygiene, grooming, and general appearance as the first physical examination strategy</w:t>
      </w:r>
      <w:r w:rsidR="00487A25" w:rsidRPr="00AA73D6">
        <w:rPr>
          <w:rFonts w:ascii="Arial" w:hAnsi="Arial" w:cs="Arial"/>
          <w:szCs w:val="24"/>
          <w:lang w:val="en-CA"/>
        </w:rPr>
        <w:t xml:space="preserve">. </w:t>
      </w:r>
      <w:r w:rsidR="00487A25" w:rsidRPr="00AA73D6">
        <w:rPr>
          <w:rFonts w:ascii="Arial" w:hAnsi="Arial" w:cs="Arial"/>
          <w:szCs w:val="24"/>
          <w:lang w:val="en-CA"/>
        </w:rPr>
        <w:fldChar w:fldCharType="begin" w:fldLock="1"/>
      </w:r>
      <w:r w:rsidR="00576333" w:rsidRPr="00AA73D6">
        <w:rPr>
          <w:rFonts w:ascii="Arial" w:hAnsi="Arial" w:cs="Arial"/>
          <w:szCs w:val="24"/>
          <w:lang w:val="en-CA"/>
        </w:rPr>
        <w:instrText>ADDIN CSL_CITATION {"citationItems":[{"id":"ITEM-1","itemData":{"DOI":"10.1002/pnp.168","ISSN":"13677543","abstract":"The Royal College of Psychiatrists recommends that every psychiatric inpatient should have a thorough physical examination within 24 hours of admission. Here, the authors present their cross-sectional audit to assess the timing and quality of physical examinations within an inner London inpatient mental health unit.","author":[{"dropping-particle":"","family":"Vanezis","given":"Andrew Peter","non-dropping-particle":"","parse-names":false,"suffix":""},{"dropping-particle":"","family":"Manns","given":"Dudley","non-dropping-particle":"","parse-names":false,"suffix":""}],"container-title":"Progress in Neurology and Psychiatry","id":"ITEM-1","issue":"4","issued":{"date-parts":[["2010"]]},"page":"19-23","title":"Physical examinations of mental health service users","type":"article-journal","volume":"14"},"uris":["http://www.mendeley.com/documents/?uuid=432c9fda-608e-4c28-8dc6-62fe083ec022"]}],"mendeley":{"formattedCitation":"(Vanezis &amp; Manns, 2010)","manualFormatting":"Vanezis and Manns (2010)","plainTextFormattedCitation":"(Vanezis &amp; Manns, 2010)","previouslyFormattedCitation":"(Vanezis &amp; Manns, 2010)"},"properties":{"noteIndex":0},"schema":"https://github.com/citation-style-language/schema/raw/master/csl-citation.json"}</w:instrText>
      </w:r>
      <w:r w:rsidR="00487A25" w:rsidRPr="00AA73D6">
        <w:rPr>
          <w:rFonts w:ascii="Arial" w:hAnsi="Arial" w:cs="Arial"/>
          <w:szCs w:val="24"/>
          <w:lang w:val="en-CA"/>
        </w:rPr>
        <w:fldChar w:fldCharType="separate"/>
      </w:r>
      <w:r w:rsidR="00487A25" w:rsidRPr="00AA73D6">
        <w:rPr>
          <w:rFonts w:ascii="Arial" w:hAnsi="Arial" w:cs="Arial"/>
          <w:noProof/>
          <w:szCs w:val="24"/>
          <w:lang w:val="en-CA"/>
        </w:rPr>
        <w:t>Vanezis and Manns (2010)</w:t>
      </w:r>
      <w:r w:rsidR="00487A25" w:rsidRPr="00AA73D6">
        <w:rPr>
          <w:rFonts w:ascii="Arial" w:hAnsi="Arial" w:cs="Arial"/>
          <w:szCs w:val="24"/>
          <w:lang w:val="en-CA"/>
        </w:rPr>
        <w:fldChar w:fldCharType="end"/>
      </w:r>
      <w:r w:rsidR="00487A25" w:rsidRPr="00AA73D6">
        <w:rPr>
          <w:rFonts w:ascii="Arial" w:hAnsi="Arial" w:cs="Arial"/>
          <w:szCs w:val="24"/>
          <w:lang w:val="en-CA"/>
        </w:rPr>
        <w:t xml:space="preserve"> </w:t>
      </w:r>
      <w:r w:rsidR="005C064B" w:rsidRPr="00AA73D6">
        <w:rPr>
          <w:rFonts w:ascii="Arial" w:hAnsi="Arial" w:cs="Arial"/>
          <w:szCs w:val="24"/>
          <w:lang w:val="en-CA"/>
        </w:rPr>
        <w:t>validated this remark in their audit report, insisting that there must be an 'external inspection' of mental health patients. This approach aids in the evaluation of a patient's nutritional health, self-care, neck lumps, facial expression, dentition, gait, and extrapyramidal symptoms, among other aspects of the patient</w:t>
      </w:r>
      <w:r w:rsidR="00487A25" w:rsidRPr="00AA73D6">
        <w:rPr>
          <w:rFonts w:ascii="Arial" w:hAnsi="Arial" w:cs="Arial"/>
          <w:szCs w:val="24"/>
          <w:lang w:val="en-CA"/>
        </w:rPr>
        <w:t>.</w:t>
      </w:r>
    </w:p>
    <w:p w14:paraId="38C30DD7" w14:textId="77777777" w:rsidR="00487A25" w:rsidRPr="00AA73D6" w:rsidRDefault="00487A25" w:rsidP="00487A25">
      <w:pPr>
        <w:spacing w:after="0" w:line="480" w:lineRule="auto"/>
        <w:ind w:firstLine="510"/>
        <w:jc w:val="both"/>
        <w:rPr>
          <w:rFonts w:ascii="Arial" w:hAnsi="Arial" w:cs="Arial"/>
          <w:szCs w:val="24"/>
          <w:lang w:val="en-CA"/>
        </w:rPr>
      </w:pPr>
      <w:r w:rsidRPr="00AA73D6">
        <w:rPr>
          <w:rFonts w:ascii="Arial" w:hAnsi="Arial" w:cs="Arial"/>
          <w:szCs w:val="24"/>
          <w:lang w:val="en-US"/>
        </w:rPr>
        <w:lastRenderedPageBreak/>
        <w:t>Based on the findings, the majority of the par</w:t>
      </w:r>
      <w:r w:rsidR="00843EC1" w:rsidRPr="00AA73D6">
        <w:rPr>
          <w:rFonts w:ascii="Arial" w:hAnsi="Arial" w:cs="Arial"/>
          <w:szCs w:val="24"/>
          <w:lang w:val="en-US"/>
        </w:rPr>
        <w:t>ticipants emphasized the need for</w:t>
      </w:r>
      <w:r w:rsidRPr="00AA73D6">
        <w:rPr>
          <w:rFonts w:ascii="Arial" w:hAnsi="Arial" w:cs="Arial"/>
          <w:szCs w:val="24"/>
          <w:lang w:val="en-US"/>
        </w:rPr>
        <w:t xml:space="preserve"> getting the patient's past and present history. Taking the past and present histories of individuals with mental illnesses aids in determining a proper diagnosis for the signs and symptoms that the client will show. It also aids in the identification of </w:t>
      </w:r>
      <w:r w:rsidR="00843EC1" w:rsidRPr="00AA73D6">
        <w:rPr>
          <w:rFonts w:ascii="Arial" w:hAnsi="Arial" w:cs="Arial"/>
          <w:szCs w:val="24"/>
          <w:lang w:val="en-US"/>
        </w:rPr>
        <w:t>a patient's pre</w:t>
      </w:r>
      <w:r w:rsidRPr="00AA73D6">
        <w:rPr>
          <w:rFonts w:ascii="Arial" w:hAnsi="Arial" w:cs="Arial"/>
          <w:szCs w:val="24"/>
          <w:lang w:val="en-US"/>
        </w:rPr>
        <w:t xml:space="preserve">morbid personality, which is crucial in the diagnosis and therapy of the majority of mental health diseases. The findings of the study are consistent with those of  </w:t>
      </w:r>
      <w:r w:rsidRPr="00AA73D6">
        <w:rPr>
          <w:rFonts w:ascii="Arial" w:hAnsi="Arial" w:cs="Arial"/>
          <w:szCs w:val="24"/>
          <w:lang w:val="en-US"/>
        </w:rPr>
        <w:fldChar w:fldCharType="begin" w:fldLock="1"/>
      </w:r>
      <w:r w:rsidR="00576333" w:rsidRPr="00AA73D6">
        <w:rPr>
          <w:rFonts w:ascii="Arial" w:hAnsi="Arial" w:cs="Arial"/>
          <w:szCs w:val="24"/>
          <w:lang w:val="en-US"/>
        </w:rPr>
        <w:instrText>ADDIN CSL_CITATION {"citationItems":[{"id":"ITEM-1","itemData":{"ISSN":"25899171","author":[{"dropping-particle":"","family":"Kavirayani","given":"Krishna","non-dropping-particle":"","parse-names":false,"suffix":""},{"dropping-particle":"","family":"Maddirevula","given":"Nagarjuna","non-dropping-particle":"","parse-names":false,"suffix":""}],"container-title":"Archives of Mental Health","id":"ITEM-1","issued":{"date-parts":[["2014","6","2"]]},"language":"English","note":"Indian Psychiatric Society-Andhra Pradesh State Branch","page":"13","title":"History taking : an invaluable tool in expert hands","type":"article-journal","volume":"15"},"uris":["http://www.mendeley.com/documents/?uuid=91448dc0-9c60-4899-8ec5-8a07fd037a2e"]}],"mendeley":{"formattedCitation":"(Kavirayani &amp; Maddirevula, 2014)","manualFormatting":"Kavirayani and  Maddirevula (2014)","plainTextFormattedCitation":"(Kavirayani &amp; Maddirevula, 2014)","previouslyFormattedCitation":"(Kavirayani &amp; Maddirevula, 2014)"},"properties":{"noteIndex":0},"schema":"https://github.com/citation-style-language/schema/raw/master/csl-citation.json"}</w:instrText>
      </w:r>
      <w:r w:rsidRPr="00AA73D6">
        <w:rPr>
          <w:rFonts w:ascii="Arial" w:hAnsi="Arial" w:cs="Arial"/>
          <w:szCs w:val="24"/>
          <w:lang w:val="en-US"/>
        </w:rPr>
        <w:fldChar w:fldCharType="separate"/>
      </w:r>
      <w:r w:rsidRPr="00AA73D6">
        <w:rPr>
          <w:rFonts w:ascii="Arial" w:hAnsi="Arial" w:cs="Arial"/>
          <w:noProof/>
          <w:szCs w:val="24"/>
          <w:lang w:val="en-US"/>
        </w:rPr>
        <w:t>Kavirayani and  Maddirevula (2014)</w:t>
      </w:r>
      <w:r w:rsidRPr="00AA73D6">
        <w:rPr>
          <w:rFonts w:ascii="Arial" w:hAnsi="Arial" w:cs="Arial"/>
          <w:szCs w:val="24"/>
          <w:lang w:val="en-US"/>
        </w:rPr>
        <w:fldChar w:fldCharType="end"/>
      </w:r>
      <w:r w:rsidRPr="00AA73D6">
        <w:rPr>
          <w:rFonts w:ascii="Arial" w:hAnsi="Arial" w:cs="Arial"/>
          <w:szCs w:val="24"/>
          <w:lang w:val="en-US"/>
        </w:rPr>
        <w:t xml:space="preserve"> who found that taking a thorough history allows for both pharmacological and psychological therapies that a person in need of mental healthcare will require. </w:t>
      </w:r>
      <w:r w:rsidRPr="00AA73D6">
        <w:rPr>
          <w:rFonts w:ascii="Arial" w:hAnsi="Arial" w:cs="Arial"/>
          <w:szCs w:val="24"/>
          <w:lang w:val="en-US"/>
        </w:rPr>
        <w:fldChar w:fldCharType="begin" w:fldLock="1"/>
      </w:r>
      <w:r w:rsidR="00576333" w:rsidRPr="00AA73D6">
        <w:rPr>
          <w:rFonts w:ascii="Arial" w:hAnsi="Arial" w:cs="Arial"/>
          <w:szCs w:val="24"/>
          <w:lang w:val="en-US"/>
        </w:rPr>
        <w:instrText>ADDIN CSL_CITATION {"citationItems":[{"id":"ITEM-1","itemData":{"ISSN":"25899171","author":[{"dropping-particle":"","family":"Kavirayani","given":"Krishna","non-dropping-particle":"","parse-names":false,"suffix":""},{"dropping-particle":"","family":"Maddirevula","given":"Nagarjuna","non-dropping-particle":"","parse-names":false,"suffix":""}],"container-title":"Archives of Mental Health","id":"ITEM-1","issued":{"date-parts":[["2014","6","2"]]},"language":"English","note":"Indian Psychiatric Society-Andhra Pradesh State Branch","page":"13","title":"History taking : an invaluable tool in expert hands","type":"article-journal","volume":"15"},"uris":["http://www.mendeley.com/documents/?uuid=91448dc0-9c60-4899-8ec5-8a07fd037a2e"]}],"mendeley":{"formattedCitation":"(Kavirayani &amp; Maddirevula, 2014)","manualFormatting":"Kavirayani and Maddirevula (2014)","plainTextFormattedCitation":"(Kavirayani &amp; Maddirevula, 2014)","previouslyFormattedCitation":"(Kavirayani &amp; Maddirevula, 2014)"},"properties":{"noteIndex":0},"schema":"https://github.com/citation-style-language/schema/raw/master/csl-citation.json"}</w:instrText>
      </w:r>
      <w:r w:rsidRPr="00AA73D6">
        <w:rPr>
          <w:rFonts w:ascii="Arial" w:hAnsi="Arial" w:cs="Arial"/>
          <w:szCs w:val="24"/>
          <w:lang w:val="en-US"/>
        </w:rPr>
        <w:fldChar w:fldCharType="separate"/>
      </w:r>
      <w:r w:rsidRPr="00AA73D6">
        <w:rPr>
          <w:rFonts w:ascii="Arial" w:hAnsi="Arial" w:cs="Arial"/>
          <w:noProof/>
          <w:szCs w:val="24"/>
          <w:lang w:val="en-US"/>
        </w:rPr>
        <w:t>Kavirayani and Maddirevula (2014)</w:t>
      </w:r>
      <w:r w:rsidRPr="00AA73D6">
        <w:rPr>
          <w:rFonts w:ascii="Arial" w:hAnsi="Arial" w:cs="Arial"/>
          <w:szCs w:val="24"/>
          <w:lang w:val="en-US"/>
        </w:rPr>
        <w:fldChar w:fldCharType="end"/>
      </w:r>
      <w:r w:rsidRPr="00AA73D6">
        <w:rPr>
          <w:rFonts w:ascii="Arial" w:hAnsi="Arial" w:cs="Arial"/>
          <w:szCs w:val="24"/>
          <w:lang w:val="en-US"/>
        </w:rPr>
        <w:t xml:space="preserve">, who contributed to the conversation, </w:t>
      </w:r>
      <w:r w:rsidR="00843EC1" w:rsidRPr="00AA73D6">
        <w:rPr>
          <w:rFonts w:ascii="Arial" w:hAnsi="Arial" w:cs="Arial"/>
          <w:szCs w:val="24"/>
          <w:lang w:val="en-US"/>
        </w:rPr>
        <w:t>stressed</w:t>
      </w:r>
      <w:r w:rsidRPr="00AA73D6">
        <w:rPr>
          <w:rFonts w:ascii="Arial" w:hAnsi="Arial" w:cs="Arial"/>
          <w:szCs w:val="24"/>
          <w:lang w:val="en-US"/>
        </w:rPr>
        <w:t xml:space="preserve"> the need for health personnel</w:t>
      </w:r>
      <w:r w:rsidR="00843EC1" w:rsidRPr="00AA73D6">
        <w:rPr>
          <w:rFonts w:ascii="Arial" w:hAnsi="Arial" w:cs="Arial"/>
          <w:szCs w:val="24"/>
          <w:lang w:val="en-US"/>
        </w:rPr>
        <w:t>, noting</w:t>
      </w:r>
      <w:r w:rsidRPr="00AA73D6">
        <w:rPr>
          <w:rFonts w:ascii="Arial" w:hAnsi="Arial" w:cs="Arial"/>
          <w:szCs w:val="24"/>
          <w:lang w:val="en-US"/>
        </w:rPr>
        <w:t xml:space="preserve"> that patients are not educated to give a history of their disease. As a result, while dealing with mental health patients, getting a thorough history from them should be a top focus. </w:t>
      </w:r>
    </w:p>
    <w:p w14:paraId="2DF6B5E4" w14:textId="77777777" w:rsidR="00487A25" w:rsidRPr="00AA73D6" w:rsidRDefault="00487A25" w:rsidP="00487A25">
      <w:pPr>
        <w:spacing w:after="0" w:line="480" w:lineRule="auto"/>
        <w:ind w:firstLine="510"/>
        <w:jc w:val="both"/>
        <w:rPr>
          <w:rFonts w:ascii="Arial" w:hAnsi="Arial" w:cs="Arial"/>
          <w:szCs w:val="24"/>
          <w:lang w:val="en-CA"/>
        </w:rPr>
      </w:pPr>
      <w:r w:rsidRPr="00AA73D6">
        <w:rPr>
          <w:rFonts w:ascii="Arial" w:hAnsi="Arial" w:cs="Arial"/>
          <w:szCs w:val="24"/>
          <w:lang w:val="en-US"/>
        </w:rPr>
        <w:t xml:space="preserve">This means that primary mental health professionals must have the requisite abilities to conduct a thorough history to address the patient's </w:t>
      </w:r>
      <w:r w:rsidR="00EE62D4">
        <w:rPr>
          <w:rFonts w:ascii="Arial" w:hAnsi="Arial" w:cs="Arial"/>
          <w:szCs w:val="24"/>
          <w:lang w:val="en-US"/>
        </w:rPr>
        <w:t>needs</w:t>
      </w:r>
      <w:r w:rsidRPr="00AA73D6">
        <w:rPr>
          <w:rFonts w:ascii="Arial" w:hAnsi="Arial" w:cs="Arial"/>
          <w:szCs w:val="24"/>
          <w:lang w:val="en-US"/>
        </w:rPr>
        <w:t xml:space="preserve">. </w:t>
      </w:r>
      <w:r w:rsidR="00EE62D4">
        <w:rPr>
          <w:rFonts w:ascii="Arial" w:hAnsi="Arial" w:cs="Arial"/>
          <w:szCs w:val="24"/>
          <w:lang w:val="en-US"/>
        </w:rPr>
        <w:t xml:space="preserve">Individuals living with mental illness must go through </w:t>
      </w:r>
      <w:r w:rsidR="00EE62D4" w:rsidRPr="00AA73D6">
        <w:rPr>
          <w:rFonts w:ascii="Arial" w:hAnsi="Arial" w:cs="Arial"/>
          <w:szCs w:val="24"/>
          <w:lang w:val="en-US"/>
        </w:rPr>
        <w:t>laboratory</w:t>
      </w:r>
      <w:r w:rsidRPr="00AA73D6">
        <w:rPr>
          <w:rFonts w:ascii="Arial" w:hAnsi="Arial" w:cs="Arial"/>
          <w:szCs w:val="24"/>
          <w:lang w:val="en-US"/>
        </w:rPr>
        <w:t xml:space="preserve"> examination to rule out any other medical conditions. </w:t>
      </w:r>
      <w:r w:rsidR="00F532F7" w:rsidRPr="00AA73D6">
        <w:rPr>
          <w:rFonts w:ascii="Arial" w:hAnsi="Arial" w:cs="Arial"/>
          <w:szCs w:val="24"/>
          <w:lang w:val="en-US"/>
        </w:rPr>
        <w:t xml:space="preserve">In this study, </w:t>
      </w:r>
      <w:r w:rsidR="00843EC1" w:rsidRPr="00AA73D6">
        <w:rPr>
          <w:rFonts w:ascii="Arial" w:hAnsi="Arial" w:cs="Arial"/>
          <w:szCs w:val="24"/>
          <w:lang w:val="en-US"/>
        </w:rPr>
        <w:t>community mental</w:t>
      </w:r>
      <w:r w:rsidR="00F532F7" w:rsidRPr="0095110D">
        <w:rPr>
          <w:rFonts w:ascii="Arial" w:hAnsi="Arial" w:cs="Arial"/>
          <w:szCs w:val="24"/>
          <w:lang w:val="en-US"/>
        </w:rPr>
        <w:t xml:space="preserve"> health </w:t>
      </w:r>
      <w:r w:rsidR="00843EC1" w:rsidRPr="0095110D">
        <w:rPr>
          <w:rFonts w:ascii="Arial" w:hAnsi="Arial" w:cs="Arial"/>
          <w:szCs w:val="24"/>
          <w:lang w:val="en-US"/>
        </w:rPr>
        <w:t xml:space="preserve">nurses </w:t>
      </w:r>
      <w:r w:rsidR="00843EC1" w:rsidRPr="00AA73D6">
        <w:rPr>
          <w:rFonts w:ascii="Arial" w:hAnsi="Arial" w:cs="Arial"/>
          <w:szCs w:val="24"/>
          <w:lang w:val="en-US"/>
        </w:rPr>
        <w:t>stressed</w:t>
      </w:r>
      <w:r w:rsidRPr="00AA73D6">
        <w:rPr>
          <w:rFonts w:ascii="Arial" w:hAnsi="Arial" w:cs="Arial"/>
          <w:szCs w:val="24"/>
          <w:lang w:val="en-US"/>
        </w:rPr>
        <w:t xml:space="preserve"> the importance of this method, stating that it allows them to correctly identify mental health patients that visit their facility. </w:t>
      </w:r>
      <w:r w:rsidRPr="00AA73D6">
        <w:rPr>
          <w:rFonts w:ascii="Arial" w:hAnsi="Arial" w:cs="Arial"/>
          <w:szCs w:val="24"/>
          <w:lang w:val="en-US"/>
        </w:rPr>
        <w:fldChar w:fldCharType="begin" w:fldLock="1"/>
      </w:r>
      <w:r w:rsidR="00576333" w:rsidRPr="00AA73D6">
        <w:rPr>
          <w:rFonts w:ascii="Arial" w:hAnsi="Arial" w:cs="Arial"/>
          <w:szCs w:val="24"/>
          <w:lang w:val="en-US"/>
        </w:rPr>
        <w:instrText>ADDIN CSL_CITATION {"citationItems":[{"id":"ITEM-1","itemData":{"DOI":"10.1093/schbul/sbu099","ISBN":"9199621401","ISSN":"17451701","PMID":"25103207","abstract":"Introduction: A barrier to preventative treatments for psychosis is the absence of accurate identification of persons at highest risk. A blood test that could substantially increase diagnostic accuracy would enhance development of psychosis prevention interventions. Methods: The North American Prodrome Longitudinal Study project is a multisite endeavor that aims to better understand predictors and mechanisms for the development of psychosis. In this study, we measured expression of plasma analytes reflecting inflammation, oxidative stress, hormones, and metabolism. A \"greedy algorithm\" selected analytes that best distinguished persons with clinical high-risk symptoms who developed psychosis (CHR-P; n = 32) from unaffected comparison (UC) subjects (n = 35) and from those who did not develop psychosis during a 2-year follow-up (CHR-NP; n = 40). Results: The classifier included 15 analytes (selected from 117), with an area under the receiver operating curve for CHR-P vs UC of 0.91 and CHR-P vs CHR-NP of 0.88. Randomly scrambled group membership followed by reconstructions of the entire classifier method yielded consistently weak classifiers, indicating that the true classifier is highly unlikely to be a chance occurrence. Such randomization methods robustly imply the assays contain consistent information distinguishing the groups which was not obscured by the data normalization method and was revealed by classifier construction. These results support the hypothesis that inflammation, oxidative stress, and dysregulation of hypothalamic-pituitary axes may be prominent in the earliest stages of psychosis. Conclusion: If confirmed in other groups of persons at elevated risk of psychosis, a multiplex blood assay has the potential for high clinical utility.","author":[{"dropping-particle":"","family":"Perkins","given":"Diana O.","non-dropping-particle":"","parse-names":false,"suffix":""},{"dropping-particle":"","family":"Jeffries","given":"Clark D.","non-dropping-particle":"","parse-names":false,"suffix":""},{"dropping-particle":"","family":"Addington","given":"Jean","non-dropping-particle":"","parse-names":false,"suffix":""},{"dropping-particle":"","family":"Bearden","given":"Carrie E.","non-dropping-particle":"","parse-names":false,"suffix":""},{"dropping-particle":"","family":"Cadenhead","given":"Kristin S.","non-dropping-particle":"","parse-names":false,"suffix":""},{"dropping-particle":"","family":"Cannon","given":"Tyrone D.","non-dropping-particle":"","parse-names":false,"suffix":""},{"dropping-particle":"","family":"Cornblatt","given":"Barbara A.","non-dropping-particle":"","parse-names":false,"suffix":""},{"dropping-particle":"","family":"Mathalon","given":"Daniel H.","non-dropping-particle":"","parse-names":false,"suffix":""},{"dropping-particle":"","family":"McGlashan","given":"Thomas H.","non-dropping-particle":"","parse-names":false,"suffix":""},{"dropping-particle":"","family":"Seidman","given":"Larry J.","non-dropping-particle":"","parse-names":false,"suffix":""},{"dropping-particle":"","family":"Tsuang","given":"Ming T.","non-dropping-particle":"","parse-names":false,"suffix":""},{"dropping-particle":"","family":"Walker","given":"Elaine F.","non-dropping-particle":"","parse-names":false,"suffix":""},{"dropping-particle":"","family":"Woods","given":"Scott W.","non-dropping-particle":"","parse-names":false,"suffix":""},{"dropping-particle":"","family":"Heinssen","given":"Robert","non-dropping-particle":"","parse-names":false,"suffix":""}],"container-title":"Schizophrenia Bulletin","id":"ITEM-1","issue":"2","issued":{"date-parts":[["2015"]]},"page":"419-428","title":"Towards a Psychosis Risk Blood Diagnostic for Persons Experiencing High-Risk Symptoms: Preliminary Results from the NAPLS Project","type":"article-journal","volume":"41"},"uris":["http://www.mendeley.com/documents/?uuid=9b702700-6ff1-4976-a417-d53428982436"]}],"mendeley":{"formattedCitation":"(Perkins et al., 2015)","manualFormatting":"Perkins et al. (2015)","plainTextFormattedCitation":"(Perkins et al., 2015)","previouslyFormattedCitation":"(Perkins et al., 2015)"},"properties":{"noteIndex":0},"schema":"https://github.com/citation-style-language/schema/raw/master/csl-citation.json"}</w:instrText>
      </w:r>
      <w:r w:rsidRPr="00AA73D6">
        <w:rPr>
          <w:rFonts w:ascii="Arial" w:hAnsi="Arial" w:cs="Arial"/>
          <w:szCs w:val="24"/>
          <w:lang w:val="en-US"/>
        </w:rPr>
        <w:fldChar w:fldCharType="separate"/>
      </w:r>
      <w:r w:rsidRPr="00AA73D6">
        <w:rPr>
          <w:rFonts w:ascii="Arial" w:hAnsi="Arial" w:cs="Arial"/>
          <w:noProof/>
          <w:szCs w:val="24"/>
          <w:lang w:val="en-US"/>
        </w:rPr>
        <w:t>Perkins et al. (2015)</w:t>
      </w:r>
      <w:r w:rsidRPr="00AA73D6">
        <w:rPr>
          <w:rFonts w:ascii="Arial" w:hAnsi="Arial" w:cs="Arial"/>
          <w:szCs w:val="24"/>
          <w:lang w:val="en-US"/>
        </w:rPr>
        <w:fldChar w:fldCharType="end"/>
      </w:r>
      <w:r w:rsidRPr="00AA73D6">
        <w:rPr>
          <w:rFonts w:ascii="Arial" w:hAnsi="Arial" w:cs="Arial"/>
          <w:szCs w:val="24"/>
          <w:lang w:val="en-US"/>
        </w:rPr>
        <w:t xml:space="preserve"> found that blood component plasma was used in the identification of psychotic illnesses as part of a laboratory inquiry on mental health patients. Following their research, they concluded that a more thorough clinical examination is required to provide an appropriate diagnosis of a mental health patient. </w:t>
      </w:r>
      <w:r w:rsidRPr="00AA73D6">
        <w:rPr>
          <w:rFonts w:ascii="Arial" w:hAnsi="Arial" w:cs="Arial"/>
          <w:szCs w:val="24"/>
          <w:lang w:val="en-US"/>
        </w:rPr>
        <w:fldChar w:fldCharType="begin" w:fldLock="1"/>
      </w:r>
      <w:r w:rsidR="00576333" w:rsidRPr="00AA73D6">
        <w:rPr>
          <w:rFonts w:ascii="Arial" w:hAnsi="Arial" w:cs="Arial"/>
          <w:szCs w:val="24"/>
          <w:lang w:val="en-US"/>
        </w:rPr>
        <w:instrText>ADDIN CSL_CITATION {"citationItems":[{"id":"ITEM-1","itemData":{"DOI":"10.4103/0019-5545.183781","ISSN":"19983794","abstract":"Background: There are widespread perceptions that excessive and unnecessary investigations are done in many patients with mental illnesses. There are no studies from India looking into this issue. Aims: (i) To study the frequency and pattern of various investigations such as electroencephalography (EEG), computerized tomography (CT) scan of head, magnetic resolution imaging (MRI) scan of brain, and blood investigations carried out by the previous doctors on patients seeking treatment in three different settings. (ii) To study the socio-demographic and clinical correlates of investigations carried out on these patients. Study Design and Settings: A cross-sectional study in a community outreach clinic, a district level psychiatric hospital, and psychiatry outpatient clinic of a medical college. Materials and Methods: 160 newly registered patients seeking treatment at these settings were assessed using a semi-structured pro forma regarding various investigations that they had undergone before seeking the current consultation. Frequency of investigations was analyzed. Results: About 47.5% of patients had at least one of the three brain investigations done. EEG, CT head, and MRI brain had been done in 37.5%, 20.0%, and 8.8% of the patients, respectively. Only 1.8% of the patients had blood tests done before current consultation. Conclusion: This study results raise question whether certain investigations such as EEG and CT head were carried out excessively and blood investigations were done infrequently. Further studies on larger samples with prospective study design to evaluate the appropriateness of current practices of carrying out investigations in patients presenting with psychiatric symptoms are required.","author":[{"dropping-particle":"","family":"Gupta","given":"Dhanesh K.","non-dropping-particle":"","parse-names":false,"suffix":""},{"dropping-particle":"","family":"Suthar","given":"Navratan","non-dropping-particle":"","parse-names":false,"suffix":""},{"dropping-particle":"","family":"Singh","given":"Vikram","non-dropping-particle":"","parse-names":false,"suffix":""},{"dropping-particle":"","family":"Bihari","given":"Mitesh","non-dropping-particle":"","parse-names":false,"suffix":""},{"dropping-particle":"","family":"Kumar","given":"Vijay","non-dropping-particle":"","parse-names":false,"suffix":""},{"dropping-particle":"","family":"Verma","given":"Kamal K.","non-dropping-particle":"","parse-names":false,"suffix":""},{"dropping-particle":"","family":"Sidana","given":"Roop","non-dropping-particle":"","parse-names":false,"suffix":""},{"dropping-particle":"","family":"Sengupta","given":"Somnath","non-dropping-particle":"","parse-names":false,"suffix":""},{"dropping-particle":"","family":"Bhadoriya","given":"Mahender Singh","non-dropping-particle":"","parse-names":false,"suffix":""}],"container-title":"Indian Journal of Psychiatry","id":"ITEM-1","issue":"2","issued":{"date-parts":[["2016"]]},"page":"183-189","title":"Frequency and pattern of radiological and laboratory investigations in patients with mental illnesses: A study from North Rajasthan","type":"article-journal","volume":"58"},"uris":["http://www.mendeley.com/documents/?uuid=dbe777b3-b56d-42c9-9da9-a2ea48d12ef7"]}],"mendeley":{"formattedCitation":"(Gupta et al., 2016)","manualFormatting":"Gupta et al. (2016)","plainTextFormattedCitation":"(Gupta et al., 2016)","previouslyFormattedCitation":"(Gupta et al., 2016)"},"properties":{"noteIndex":0},"schema":"https://github.com/citation-style-language/schema/raw/master/csl-citation.json"}</w:instrText>
      </w:r>
      <w:r w:rsidRPr="00AA73D6">
        <w:rPr>
          <w:rFonts w:ascii="Arial" w:hAnsi="Arial" w:cs="Arial"/>
          <w:szCs w:val="24"/>
          <w:lang w:val="en-US"/>
        </w:rPr>
        <w:fldChar w:fldCharType="separate"/>
      </w:r>
      <w:r w:rsidRPr="00AA73D6">
        <w:rPr>
          <w:rFonts w:ascii="Arial" w:hAnsi="Arial" w:cs="Arial"/>
          <w:noProof/>
          <w:szCs w:val="24"/>
          <w:lang w:val="en-US"/>
        </w:rPr>
        <w:t>Gupta et al. (2016)</w:t>
      </w:r>
      <w:r w:rsidRPr="00AA73D6">
        <w:rPr>
          <w:rFonts w:ascii="Arial" w:hAnsi="Arial" w:cs="Arial"/>
          <w:szCs w:val="24"/>
          <w:lang w:val="en-US"/>
        </w:rPr>
        <w:fldChar w:fldCharType="end"/>
      </w:r>
      <w:r w:rsidRPr="00AA73D6">
        <w:rPr>
          <w:rFonts w:ascii="Arial" w:hAnsi="Arial" w:cs="Arial"/>
          <w:szCs w:val="24"/>
          <w:lang w:val="en-US"/>
        </w:rPr>
        <w:t xml:space="preserve"> also </w:t>
      </w:r>
      <w:r w:rsidR="00EE62D4" w:rsidRPr="00AA73D6">
        <w:rPr>
          <w:rFonts w:ascii="Arial" w:hAnsi="Arial" w:cs="Arial"/>
          <w:szCs w:val="24"/>
          <w:lang w:val="en-US"/>
        </w:rPr>
        <w:t>held</w:t>
      </w:r>
      <w:r w:rsidRPr="00AA73D6">
        <w:rPr>
          <w:rFonts w:ascii="Arial" w:hAnsi="Arial" w:cs="Arial"/>
          <w:szCs w:val="24"/>
          <w:lang w:val="en-US"/>
        </w:rPr>
        <w:t xml:space="preserve"> that using a reasonable and systematic approach to selecting appropriate investigations aids mental healthcare clinicians in making accurate diagnoses, providing cost-efficient care, and developing successful treatment strategies. On the other hand, inappropriate or indiscriminate use of laboratory investigations is likely to result in an inaccurate diagnosis, thereby jeopardizing the efficacy or cost-effectiveness of care for service consumers </w:t>
      </w:r>
      <w:r w:rsidRPr="00AA73D6">
        <w:rPr>
          <w:rFonts w:ascii="Arial" w:hAnsi="Arial" w:cs="Arial"/>
          <w:szCs w:val="24"/>
          <w:lang w:val="en-US"/>
        </w:rPr>
        <w:fldChar w:fldCharType="begin" w:fldLock="1"/>
      </w:r>
      <w:r w:rsidR="00576333" w:rsidRPr="00AA73D6">
        <w:rPr>
          <w:rFonts w:ascii="Arial" w:hAnsi="Arial" w:cs="Arial"/>
          <w:szCs w:val="24"/>
          <w:lang w:val="en-US"/>
        </w:rPr>
        <w:instrText>ADDIN CSL_CITATION {"citationItems":[{"id":"ITEM-1","itemData":{"DOI":"10.2147/JMDH.S264671","ISSN":"11782390","abstract":"Background: The increase of medical laboratory test errors represents the increase of all defects within the process. An error can be any defect during the entire process, from ordering to reporting. It may have negative effects on patient care, by contributing to inappropriate treatment, an increase in lengths of hospital stay, and dissatisfaction with healthcare services. Therefore, this study aimed to determine factors affecting the quality of laboratory results through the entire process. Methods: A cross-sectional study was conducted at Hawassa University hospital from October 2018 to May 2019. Data were collected by using structured questionnaires and checklist and entered and analyzed using SPSS version 21. P-values less than 0.05 were considered statistically significant. Results: A total of 455 individuals participated in this study. During the actual observational assessment, 72.5% of laboratory professionals identify their patients correctly and 62.5% of them label the sample before collection. In multivariate logistic regression, labeling of sample before collection (AOR=1.357, 95% CI=1.09, 1.58, P-0.017), use of unmixed (AOR=4.364, 95% CI=1.950, 20.036, P-0.049) and hemolyzed blood for testing (AOR=1.403, 95% CI=1.096, 1.692 P-0.021) were associated with laboratory test errors. The clinical service providers who requested the test believed, lack of efficient laboratory service (P=0.005), unable to use manuals (P=0.025), and incorrect interpretation of reference booklets were associated with laboratory errors. Patient residence and frequency of first and second visits of the hospital were statistically associated with laboratory errors. Conclusion: The occurrence of laboratory errors in our study was demonstrated by the distribu-tion pattern, the preanalytical, analytical, and post-analytical steps. But changes have occurred in the types and frequencies of errors in these phases of testing by laboratory professionals, clinicians, and patients in the current study. Therefore, the hospital administrations, laboratory professionals and clinicians should work harder and closer to solve the identified problems.","author":[{"dropping-particle":"","family":"Fenta","given":"Demissie Assegu","non-dropping-particle":"","parse-names":false,"suffix":""},{"dropping-particle":"","family":"Ali","given":"Musa Mohammed","non-dropping-particle":"","parse-names":false,"suffix":""}],"container-title":"Journal of Multidisciplinary Healthcare","id":"ITEM-1","issued":{"date-parts":[["2020"]]},"page":"809-821","title":"Factors affecting quality of laboratory result during ordering, handling, and testing of the patient’s specimen at hawassa university college of medicine and health science comprehensive specialized hospital","type":"article-journal","volume":"13"},"uris":["http://www.mendeley.com/documents/?uuid=1a352e91-1f89-452c-89c6-254e3f66f096"]},{"id":"ITEM-2","itemData":{"DOI":"10.1309/AJCPH1SKQ1HNWGHF","ISSN":"19437722","PMID":"20855635","abstract":"Accreditation is emerging as a preferred framework for building quality medical laboratory systems in resource-limited settings. Despite the low numbers of laboratories accredited to date, accreditation has the potential to improve the quality of health care for patients through the reduction of testing errors and attendant decreases in inappropriate treatment. Accredited laboratories can become more accountable and less dependent on external support. Efforts made to achieve accreditation may also lead to improvements in the management of laboratory networks by focusing attention on areas of greatest need and accelerating improvement in areas such as supply chain, training, and instrument maintenance. Laboratory accreditation may also have a positive influence on performance in other areas of health care systems by allowing laboratories to demonstrate high standards of service delivery. Accreditation may, thus, provide an effective mechanism for health system improvement yielding long-term benefits in the quality, cost-effectiveness, and sustainability of public health programs. Further studies are needed to strengthen the evidence on the benefits of accreditation and to justify the resources needed to implement accreditation programs aimed at improving the performance of laboratory systems. © American Society for Clinical Pathology.","author":[{"dropping-particle":"","family":"Peter","given":"Trevor F.","non-dropping-particle":"","parse-names":false,"suffix":""},{"dropping-particle":"","family":"Rotz","given":"Philip D.","non-dropping-particle":"","parse-names":false,"suffix":""},{"dropping-particle":"","family":"Blair","given":"Duncan H.","non-dropping-particle":"","parse-names":false,"suffix":""},{"dropping-particle":"","family":"Khine","given":"Aye Aye","non-dropping-particle":"","parse-names":false,"suffix":""},{"dropping-particle":"","family":"Freeman","given":"Richard R.","non-dropping-particle":"","parse-names":false,"suffix":""},{"dropping-particle":"","family":"Murtagh","given":"Maurine M.","non-dropping-particle":"","parse-names":false,"suffix":""}],"container-title":"American Journal of Clinical Pathology","id":"ITEM-2","issue":"4","issued":{"date-parts":[["2010"]]},"page":"550-555","title":"Impact of laboratory accreditation on patient care and the health system","type":"article-journal","volume":"134"},"uris":["http://www.mendeley.com/documents/?uuid=f1987d41-48d7-421c-8492-b99e7bd25a74"]}],"mendeley":{"formattedCitation":"(Fenta &amp; Ali, 2020; Peter et al., 2010)","plainTextFormattedCitation":"(Fenta &amp; Ali, 2020; Peter et al., 2010)","previouslyFormattedCitation":"(Fenta &amp; Ali, 2020; Peter et al., 2010)"},"properties":{"noteIndex":0},"schema":"https://github.com/citation-style-language/schema/raw/master/csl-citation.json"}</w:instrText>
      </w:r>
      <w:r w:rsidRPr="00AA73D6">
        <w:rPr>
          <w:rFonts w:ascii="Arial" w:hAnsi="Arial" w:cs="Arial"/>
          <w:szCs w:val="24"/>
          <w:lang w:val="en-US"/>
        </w:rPr>
        <w:fldChar w:fldCharType="separate"/>
      </w:r>
      <w:r w:rsidR="00576333" w:rsidRPr="00AA73D6">
        <w:rPr>
          <w:rFonts w:ascii="Arial" w:hAnsi="Arial" w:cs="Arial"/>
          <w:noProof/>
          <w:szCs w:val="24"/>
          <w:lang w:val="en-US"/>
        </w:rPr>
        <w:t>(Fenta &amp; Ali, 2020; Peter et al., 2010)</w:t>
      </w:r>
      <w:r w:rsidRPr="00AA73D6">
        <w:rPr>
          <w:rFonts w:ascii="Arial" w:hAnsi="Arial" w:cs="Arial"/>
          <w:szCs w:val="24"/>
          <w:lang w:val="en-US"/>
        </w:rPr>
        <w:fldChar w:fldCharType="end"/>
      </w:r>
      <w:r w:rsidRPr="00AA73D6">
        <w:rPr>
          <w:rFonts w:ascii="Arial" w:hAnsi="Arial" w:cs="Arial"/>
          <w:szCs w:val="24"/>
          <w:lang w:val="en-US"/>
        </w:rPr>
        <w:t xml:space="preserve">.  </w:t>
      </w:r>
    </w:p>
    <w:p w14:paraId="6CACBBED" w14:textId="77777777" w:rsidR="00487A25" w:rsidRPr="00AA73D6" w:rsidRDefault="00487A25" w:rsidP="00545CA2">
      <w:pPr>
        <w:spacing w:after="0" w:line="480" w:lineRule="auto"/>
        <w:ind w:firstLine="510"/>
        <w:jc w:val="both"/>
        <w:rPr>
          <w:rFonts w:ascii="Arial" w:hAnsi="Arial" w:cs="Arial"/>
          <w:szCs w:val="24"/>
          <w:lang w:val="en-US"/>
        </w:rPr>
      </w:pPr>
      <w:r w:rsidRPr="00AA73D6">
        <w:rPr>
          <w:rFonts w:ascii="Arial" w:hAnsi="Arial" w:cs="Arial"/>
          <w:szCs w:val="24"/>
          <w:lang w:val="en-US"/>
        </w:rPr>
        <w:t xml:space="preserve">Primary mental health care clinicians have highlighted concerns about the screening instruments they employ. </w:t>
      </w:r>
      <w:r w:rsidR="00545CA2" w:rsidRPr="00AA73D6">
        <w:rPr>
          <w:rFonts w:ascii="Arial" w:hAnsi="Arial" w:cs="Arial"/>
          <w:szCs w:val="24"/>
          <w:lang w:val="en-US"/>
        </w:rPr>
        <w:t>This fear arose from the clinicians' lack of understanding of other important assessment instruments</w:t>
      </w:r>
      <w:r w:rsidRPr="00AA73D6">
        <w:rPr>
          <w:rFonts w:ascii="Arial" w:hAnsi="Arial" w:cs="Arial"/>
          <w:szCs w:val="24"/>
          <w:lang w:val="en-US"/>
        </w:rPr>
        <w:t xml:space="preserve">. </w:t>
      </w:r>
      <w:r w:rsidRPr="00AA73D6">
        <w:rPr>
          <w:rFonts w:ascii="Arial" w:hAnsi="Arial" w:cs="Arial"/>
          <w:szCs w:val="24"/>
          <w:lang w:val="en-US"/>
        </w:rPr>
        <w:fldChar w:fldCharType="begin" w:fldLock="1"/>
      </w:r>
      <w:r w:rsidR="003547D4" w:rsidRPr="00AA73D6">
        <w:rPr>
          <w:rFonts w:ascii="Arial" w:hAnsi="Arial" w:cs="Arial"/>
          <w:szCs w:val="24"/>
          <w:lang w:val="en-US"/>
        </w:rPr>
        <w:instrText>ADDIN CSL_CITATION {"citationItems":[{"id":"ITEM-1","itemData":{"DOI":"10.1186/s13033-016-0061-y","ISSN":"17524458","PMID":"27051464","abstract":"BACKGROUND In Ghana, about 13 % of the adult population is estimated to be affected by mental health disorders of varying forms. In managing these patients, psychotropic medications are mostly employed. Since most of these conditions are chronic cases, the medications are consumed for prolonged periods of time. However, there exists an absence of information on efficacy, side effects, accessibility and prescription practices of psychotropic medication utilization from the viewpoint of the practitioners who are primarily involved in prescribing, dispensing and administering these medications. METHOD Qualitative study composed of semi-structured interviews were conducted with twenty three (23) participants from Accra psychiatry, Pantang and Ankaful hospitals. These were fifteen (15) nurses, six (6) clinicians and two (2) pharmacists. All interviews were recorded digitally and analyzed thematically. RESULTS The commonly prescribed psychotropic medications were grouped into four classes. These were antipsychotics, antidepressants, anticonvulsants and hypnosedatives. Although each facility had at least one drug belonging to each class, there were frequent shortages recorded across the board. Also, drugs were free when supplied by government, and expensive when obtained from outside. When subsidized, the average cost of a day's supply of the most common antipsychotic was 4 % of the daily minimum wage. The procurement system for the medications was fraught with challenges such as inadequate financing, poor procurement practices and bureaucracies with the process which affected the availability and quality of medications. CONCLUSION The commonly prescribed psychotropic medications are in conformity with the recommendations of the WHO guidelines and the standard treatment guidelines of Ghana. However, the accessibility and quality of medications in the sector are inadequate. To improve mental health services in the country, it is important to ensure the adequate and regular provision of quality medicines in the mental health sector.","author":[{"dropping-particle":"","family":"Oppong","given":"Samuel","non-dropping-particle":"","parse-names":false,"suffix":""},{"dropping-particle":"","family":"Kretchy","given":"Irene A.","non-dropping-particle":"","parse-names":false,"suffix":""},{"dropping-particle":"","family":"Imbeah","given":"Emelia P.","non-dropping-particle":"","parse-names":false,"suffix":""},{"dropping-particle":"","family":"Afrane","given":"Barima A.","non-dropping-particle":"","parse-names":false,"suffix":""}],"container-title":"International Journal of Mental Health Systems","id":"ITEM-1","issue":"1","issued":{"date-parts":[["2016"]]},"page":"1-10","publisher":"BioMed Central","title":"Managing mental illness in Ghana: The state of commonly prescribed psychotropic medicines","type":"article-journal","volume":"10"},"uris":["http://www.mendeley.com/documents/?uuid=9a0182ad-ad1a-4307-a09a-d7035f199c2e"]}],"mendeley":{"formattedCitation":"(Oppong et al., 2016b)","manualFormatting":"Oppong et al. (2016","plainTextFormattedCitation":"(Oppong et al., 2016b)","previouslyFormattedCitation":"(Oppong et al., 2016b)"},"properties":{"noteIndex":0},"schema":"https://github.com/citation-style-language/schema/raw/master/csl-citation.json"}</w:instrText>
      </w:r>
      <w:r w:rsidRPr="00AA73D6">
        <w:rPr>
          <w:rFonts w:ascii="Arial" w:hAnsi="Arial" w:cs="Arial"/>
          <w:szCs w:val="24"/>
          <w:lang w:val="en-US"/>
        </w:rPr>
        <w:fldChar w:fldCharType="separate"/>
      </w:r>
      <w:r w:rsidRPr="00AA73D6">
        <w:rPr>
          <w:rFonts w:ascii="Arial" w:hAnsi="Arial" w:cs="Arial"/>
          <w:noProof/>
          <w:szCs w:val="24"/>
          <w:lang w:val="en-US"/>
        </w:rPr>
        <w:t>Oppong et al. (2016</w:t>
      </w:r>
      <w:r w:rsidRPr="00AA73D6">
        <w:rPr>
          <w:rFonts w:ascii="Arial" w:hAnsi="Arial" w:cs="Arial"/>
          <w:szCs w:val="24"/>
          <w:lang w:val="en-US"/>
        </w:rPr>
        <w:fldChar w:fldCharType="end"/>
      </w:r>
      <w:r w:rsidRPr="00AA73D6">
        <w:rPr>
          <w:rFonts w:ascii="Arial" w:hAnsi="Arial" w:cs="Arial"/>
          <w:szCs w:val="24"/>
          <w:lang w:val="en-US"/>
        </w:rPr>
        <w:t xml:space="preserve">) used a semi-structured interview to </w:t>
      </w:r>
      <w:r w:rsidRPr="00AA73D6">
        <w:rPr>
          <w:rFonts w:ascii="Arial" w:hAnsi="Arial" w:cs="Arial"/>
          <w:szCs w:val="24"/>
          <w:lang w:val="en-US"/>
        </w:rPr>
        <w:lastRenderedPageBreak/>
        <w:t xml:space="preserve">analyze the management of mental diseases in Ghana and </w:t>
      </w:r>
      <w:r w:rsidR="00545CA2" w:rsidRPr="00AA73D6">
        <w:rPr>
          <w:rFonts w:ascii="Arial" w:hAnsi="Arial" w:cs="Arial"/>
          <w:szCs w:val="24"/>
          <w:lang w:val="en-US"/>
        </w:rPr>
        <w:t>ultimately arrived at</w:t>
      </w:r>
      <w:r w:rsidRPr="00AA73D6">
        <w:rPr>
          <w:rFonts w:ascii="Arial" w:hAnsi="Arial" w:cs="Arial"/>
          <w:szCs w:val="24"/>
          <w:lang w:val="en-US"/>
        </w:rPr>
        <w:t xml:space="preserve"> the same conclusion. According to the findings, daily nurse reports on patients were utilized as a substitute for physician assessment instruments for reviewing the health status of mental illness patients.</w:t>
      </w:r>
      <w:r w:rsidRPr="00AA73D6">
        <w:rPr>
          <w:rFonts w:ascii="Arial" w:hAnsi="Arial" w:cs="Arial"/>
          <w:szCs w:val="24"/>
        </w:rPr>
        <w:t xml:space="preserve"> </w:t>
      </w:r>
      <w:r w:rsidRPr="00AA73D6">
        <w:rPr>
          <w:rFonts w:ascii="Arial" w:hAnsi="Arial" w:cs="Arial"/>
          <w:szCs w:val="24"/>
          <w:lang w:val="en-CA"/>
        </w:rPr>
        <w:t>The study found that there were no validated screening methods available for clinical mental hea</w:t>
      </w:r>
      <w:r w:rsidR="00545CA2" w:rsidRPr="00AA73D6">
        <w:rPr>
          <w:rFonts w:ascii="Arial" w:hAnsi="Arial" w:cs="Arial"/>
          <w:szCs w:val="24"/>
          <w:lang w:val="en-CA"/>
        </w:rPr>
        <w:t>lthcare clinicians to utilize when</w:t>
      </w:r>
      <w:r w:rsidRPr="00AA73D6">
        <w:rPr>
          <w:rFonts w:ascii="Arial" w:hAnsi="Arial" w:cs="Arial"/>
          <w:szCs w:val="24"/>
          <w:lang w:val="en-CA"/>
        </w:rPr>
        <w:t xml:space="preserve"> screening people with mental illnesses. Physicians and nurses in Ghana commonly utilize the mental state physical examination to make diagnoses</w:t>
      </w:r>
      <w:r w:rsidRPr="00AA73D6">
        <w:rPr>
          <w:rFonts w:ascii="Arial" w:hAnsi="Arial" w:cs="Arial"/>
          <w:szCs w:val="24"/>
          <w:lang w:val="en-US"/>
        </w:rPr>
        <w:t xml:space="preserve">. From dementia to delirium and schizophrenia, bipolar illness, and childhood problems, the ease with which this instrument can detect and diagnose certain neurologic and psychiatric diseases is remarkable. It also contains a quick standardized tool, such as the Mini-Mental State Examination (MMSE) </w:t>
      </w:r>
      <w:r w:rsidRPr="00AA73D6">
        <w:rPr>
          <w:rFonts w:ascii="Arial" w:hAnsi="Arial" w:cs="Arial"/>
          <w:szCs w:val="24"/>
          <w:lang w:val="en-US"/>
        </w:rPr>
        <w:fldChar w:fldCharType="begin" w:fldLock="1"/>
      </w:r>
      <w:r w:rsidR="00576333" w:rsidRPr="00AA73D6">
        <w:rPr>
          <w:rFonts w:ascii="Arial" w:hAnsi="Arial" w:cs="Arial"/>
          <w:szCs w:val="24"/>
          <w:lang w:val="en-US"/>
        </w:rPr>
        <w:instrText>ADDIN CSL_CITATION {"citationItems":[{"id":"ITEM-1","itemData":{"author":[{"dropping-particle":"","family":"Snyderman","given":"Danielle","non-dropping-particle":"","parse-names":false,"suffix":""},{"dropping-particle":"","family":"Rovner","given":"Barry W","non-dropping-particle":"","parse-names":false,"suffix":""}],"container-title":"American Family Physician","id":"ITEM-1","issue":"8","issued":{"date-parts":[["2009"]]},"page":"809-810","title":"Mental Status Examination in Primary Care: A Review","type":"article-journal","volume":"80"},"uris":["http://www.mendeley.com/documents/?uuid=d60b470e-8e5e-4db1-afa9-4df22cd464b5"]}],"mendeley":{"formattedCitation":"(Snyderman &amp; Rovner, 2009)","plainTextFormattedCitation":"(Snyderman &amp; Rovner, 2009)","previouslyFormattedCitation":"(Snyderman &amp; Rovner, 2009)"},"properties":{"noteIndex":0},"schema":"https://github.com/citation-style-language/schema/raw/master/csl-citation.json"}</w:instrText>
      </w:r>
      <w:r w:rsidRPr="00AA73D6">
        <w:rPr>
          <w:rFonts w:ascii="Arial" w:hAnsi="Arial" w:cs="Arial"/>
          <w:szCs w:val="24"/>
          <w:lang w:val="en-US"/>
        </w:rPr>
        <w:fldChar w:fldCharType="separate"/>
      </w:r>
      <w:r w:rsidR="00576333" w:rsidRPr="00AA73D6">
        <w:rPr>
          <w:rFonts w:ascii="Arial" w:hAnsi="Arial" w:cs="Arial"/>
          <w:noProof/>
          <w:szCs w:val="24"/>
          <w:lang w:val="en-US"/>
        </w:rPr>
        <w:t>(Snyderman &amp; Rovner, 2009)</w:t>
      </w:r>
      <w:r w:rsidRPr="00AA73D6">
        <w:rPr>
          <w:rFonts w:ascii="Arial" w:hAnsi="Arial" w:cs="Arial"/>
          <w:szCs w:val="24"/>
          <w:lang w:val="en-US"/>
        </w:rPr>
        <w:fldChar w:fldCharType="end"/>
      </w:r>
      <w:r w:rsidRPr="00AA73D6">
        <w:rPr>
          <w:rFonts w:ascii="Arial" w:hAnsi="Arial" w:cs="Arial"/>
          <w:szCs w:val="24"/>
          <w:lang w:val="en-US"/>
        </w:rPr>
        <w:t>.</w:t>
      </w:r>
    </w:p>
    <w:p w14:paraId="39B2539B" w14:textId="77777777" w:rsidR="00487A25" w:rsidRPr="00AA73D6" w:rsidRDefault="00487A25" w:rsidP="00487A25">
      <w:pPr>
        <w:spacing w:after="0" w:line="480" w:lineRule="auto"/>
        <w:ind w:firstLine="510"/>
        <w:jc w:val="both"/>
        <w:rPr>
          <w:rFonts w:ascii="Arial" w:hAnsi="Arial" w:cs="Arial"/>
          <w:szCs w:val="24"/>
          <w:lang w:val="en-CA"/>
        </w:rPr>
      </w:pPr>
      <w:r w:rsidRPr="00AA73D6">
        <w:rPr>
          <w:rFonts w:ascii="Arial" w:hAnsi="Arial" w:cs="Arial"/>
          <w:szCs w:val="24"/>
          <w:lang w:val="en-CA"/>
        </w:rPr>
        <w:t xml:space="preserve">In most countries, the Global Mental Health Assessment Tool–Primary Care version (GMHAT/PC) has been established as valid and practicable, and it has been translated into Arabic, French, Dutch, Chinese, and Hindi </w:t>
      </w:r>
      <w:r w:rsidRPr="00AA73D6">
        <w:rPr>
          <w:rFonts w:ascii="Arial" w:hAnsi="Arial" w:cs="Arial"/>
          <w:szCs w:val="24"/>
          <w:lang w:val="en-CA"/>
        </w:rPr>
        <w:fldChar w:fldCharType="begin" w:fldLock="1"/>
      </w:r>
      <w:r w:rsidR="00576333" w:rsidRPr="00AA73D6">
        <w:rPr>
          <w:rFonts w:ascii="Arial" w:hAnsi="Arial" w:cs="Arial"/>
          <w:szCs w:val="24"/>
          <w:lang w:val="en-CA"/>
        </w:rPr>
        <w:instrText>ADDIN CSL_CITATION {"citationItems":[{"id":"ITEM-1","itemData":{"author":[{"dropping-particle":"","family":"Tejada","given":"Paola","non-dropping-particle":"","parse-names":false,"suffix":""},{"dropping-particle":"","family":"García","given":"Jefferson","non-dropping-particle":"","parse-names":false,"suffix":""},{"dropping-particle":"","family":"Sharma","given":"Vimal","non-dropping-particle":"","parse-names":false,"suffix":""},{"dropping-particle":"","family":"Jaramillo","given":"Luís Eduardo","non-dropping-particle":"","parse-names":false,"suffix":""}],"container-title":"European Journal of Psychiatry","id":"ITEM-1","issue":"January","issued":{"date-parts":[["2016"]]},"page":"195-204","title":"The Global Mental Health Assessment Tool Primary Care and General Health Setting Version ( GMHAT / PC ) – Spanish version : A validity and feasibility study","type":"article-journal","volume":"30"},"uris":["http://www.mendeley.com/documents/?uuid=c2624b03-b053-4a8d-b1b2-d09af578528d"]}],"mendeley":{"formattedCitation":"(Tejada et al., 2016)","plainTextFormattedCitation":"(Tejada et al., 2016)","previouslyFormattedCitation":"(Tejada et al., 2016)"},"properties":{"noteIndex":0},"schema":"https://github.com/citation-style-language/schema/raw/master/csl-citation.json"}</w:instrText>
      </w:r>
      <w:r w:rsidRPr="00AA73D6">
        <w:rPr>
          <w:rFonts w:ascii="Arial" w:hAnsi="Arial" w:cs="Arial"/>
          <w:szCs w:val="24"/>
          <w:lang w:val="en-CA"/>
        </w:rPr>
        <w:fldChar w:fldCharType="separate"/>
      </w:r>
      <w:r w:rsidR="00576333" w:rsidRPr="00AA73D6">
        <w:rPr>
          <w:rFonts w:ascii="Arial" w:hAnsi="Arial" w:cs="Arial"/>
          <w:noProof/>
          <w:szCs w:val="24"/>
          <w:lang w:val="en-CA"/>
        </w:rPr>
        <w:t>(Tejada et al., 2016)</w:t>
      </w:r>
      <w:r w:rsidRPr="00AA73D6">
        <w:rPr>
          <w:rFonts w:ascii="Arial" w:hAnsi="Arial" w:cs="Arial"/>
          <w:szCs w:val="24"/>
          <w:lang w:val="en-CA"/>
        </w:rPr>
        <w:fldChar w:fldCharType="end"/>
      </w:r>
      <w:r w:rsidRPr="00AA73D6">
        <w:rPr>
          <w:rFonts w:ascii="Arial" w:hAnsi="Arial" w:cs="Arial"/>
          <w:szCs w:val="24"/>
          <w:lang w:val="en-CA"/>
        </w:rPr>
        <w:t>. Because no study on the use of the GMHAT/PC has been completed in Ghana, there is limited understanding of the validity and practicality of the instrument, making it challenging to use by mental healthcare clinicians in Ghana. Given the cultural differences across the situations where the GMHAT/PC has been demonstrated to be valid and useful, relying on their findings is not recommended.</w:t>
      </w:r>
    </w:p>
    <w:p w14:paraId="093E395A" w14:textId="77777777" w:rsidR="00487A25" w:rsidRPr="00AA73D6" w:rsidRDefault="00897CE2" w:rsidP="00487A25">
      <w:pPr>
        <w:spacing w:after="0" w:line="480" w:lineRule="auto"/>
        <w:ind w:firstLine="510"/>
        <w:jc w:val="both"/>
        <w:rPr>
          <w:rFonts w:ascii="Arial" w:hAnsi="Arial" w:cs="Arial"/>
          <w:szCs w:val="24"/>
          <w:lang w:val="en-CA"/>
        </w:rPr>
      </w:pPr>
      <w:r w:rsidRPr="00AA73D6">
        <w:rPr>
          <w:rFonts w:ascii="Arial" w:hAnsi="Arial" w:cs="Arial"/>
          <w:szCs w:val="24"/>
          <w:lang w:val="en-US"/>
        </w:rPr>
        <w:t xml:space="preserve">We found that teamwork and collaboration influenced participants' ability to properly plan the care of mental health patients. This is because nurses collaborate with other health care providers and the patients' families to plan their patients' treatment. To meet the goal of caring for a patient with mental illness, there must be proof of the patient's reintegration into society, which is achieved via collaboration with social workers, clinical psychologists, and the patient's family </w:t>
      </w:r>
      <w:proofErr w:type="gramStart"/>
      <w:r w:rsidRPr="00AA73D6">
        <w:rPr>
          <w:rFonts w:ascii="Arial" w:hAnsi="Arial" w:cs="Arial"/>
          <w:szCs w:val="24"/>
          <w:lang w:val="en-US"/>
        </w:rPr>
        <w:t>members.</w:t>
      </w:r>
      <w:r w:rsidR="00487A25" w:rsidRPr="00AA73D6">
        <w:rPr>
          <w:rFonts w:ascii="Arial" w:hAnsi="Arial" w:cs="Arial"/>
          <w:szCs w:val="24"/>
          <w:lang w:val="en-US"/>
        </w:rPr>
        <w:t>.</w:t>
      </w:r>
      <w:proofErr w:type="gramEnd"/>
      <w:r w:rsidR="00487A25" w:rsidRPr="00AA73D6">
        <w:rPr>
          <w:rFonts w:ascii="Arial" w:hAnsi="Arial" w:cs="Arial"/>
          <w:szCs w:val="24"/>
          <w:lang w:val="en-US"/>
        </w:rPr>
        <w:t xml:space="preserve"> This finding is supported by </w:t>
      </w:r>
      <w:r w:rsidR="00487A25" w:rsidRPr="00AA73D6">
        <w:rPr>
          <w:rFonts w:ascii="Arial" w:hAnsi="Arial" w:cs="Arial"/>
          <w:szCs w:val="24"/>
          <w:lang w:val="en-US"/>
        </w:rPr>
        <w:fldChar w:fldCharType="begin" w:fldLock="1"/>
      </w:r>
      <w:r w:rsidR="003547D4" w:rsidRPr="00AA73D6">
        <w:rPr>
          <w:rFonts w:ascii="Arial" w:hAnsi="Arial" w:cs="Arial"/>
          <w:szCs w:val="24"/>
          <w:lang w:val="en-US"/>
        </w:rPr>
        <w:instrText>ADDIN CSL_CITATION {"citationItems":[{"id":"ITEM-1","itemData":{"DOI":"10.1186/s13033-016-0061-y","ISSN":"17524458","PMID":"27051464","abstract":"BACKGROUND In Ghana, about 13 % of the adult population is estimated to be affected by mental health disorders of varying forms. In managing these patients, psychotropic medications are mostly employed. Since most of these conditions are chronic cases, the medications are consumed for prolonged periods of time. However, there exists an absence of information on efficacy, side effects, accessibility and prescription practices of psychotropic medication utilization from the viewpoint of the practitioners who are primarily involved in prescribing, dispensing and administering these medications. METHOD Qualitative study composed of semi-structured interviews were conducted with twenty three (23) participants from Accra psychiatry, Pantang and Ankaful hospitals. These were fifteen (15) nurses, six (6) clinicians and two (2) pharmacists. All interviews were recorded digitally and analyzed thematically. RESULTS The commonly prescribed psychotropic medications were grouped into four classes. These were antipsychotics, antidepressants, anticonvulsants and hypnosedatives. Although each facility had at least one drug belonging to each class, there were frequent shortages recorded across the board. Also, drugs were free when supplied by government, and expensive when obtained from outside. When subsidized, the average cost of a day's supply of the most common antipsychotic was 4 % of the daily minimum wage. The procurement system for the medications was fraught with challenges such as inadequate financing, poor procurement practices and bureaucracies with the process which affected the availability and quality of medications. CONCLUSION The commonly prescribed psychotropic medications are in conformity with the recommendations of the WHO guidelines and the standard treatment guidelines of Ghana. However, the accessibility and quality of medications in the sector are inadequate. To improve mental health services in the country, it is important to ensure the adequate and regular provision of quality medicines in the mental health sector.","author":[{"dropping-particle":"","family":"Oppong","given":"Samuel","non-dropping-particle":"","parse-names":false,"suffix":""},{"dropping-particle":"","family":"Kretchy","given":"Irene A.","non-dropping-particle":"","parse-names":false,"suffix":""},{"dropping-particle":"","family":"Imbeah","given":"Emelia P.","non-dropping-particle":"","parse-names":false,"suffix":""},{"dropping-particle":"","family":"Afrane","given":"Barima A.","non-dropping-particle":"","parse-names":false,"suffix":""}],"container-title":"International Journal of Mental Health Systems","id":"ITEM-1","issue":"1","issued":{"date-parts":[["2016"]]},"page":"1-10","publisher":"BioMed Central","title":"Managing mental illness in Ghana: The state of commonly prescribed psychotropic medicines","type":"article-journal","volume":"10"},"uris":["http://www.mendeley.com/documents/?uuid=9a0182ad-ad1a-4307-a09a-d7035f199c2e"]}],"mendeley":{"formattedCitation":"(Oppong et al., 2016b)","manualFormatting":"Oppong et al. (2016)","plainTextFormattedCitation":"(Oppong et al., 2016b)","previouslyFormattedCitation":"(Oppong et al., 2016b)"},"properties":{"noteIndex":0},"schema":"https://github.com/citation-style-language/schema/raw/master/csl-citation.json"}</w:instrText>
      </w:r>
      <w:r w:rsidR="00487A25" w:rsidRPr="00AA73D6">
        <w:rPr>
          <w:rFonts w:ascii="Arial" w:hAnsi="Arial" w:cs="Arial"/>
          <w:szCs w:val="24"/>
          <w:lang w:val="en-US"/>
        </w:rPr>
        <w:fldChar w:fldCharType="separate"/>
      </w:r>
      <w:r w:rsidR="00487A25" w:rsidRPr="00AA73D6">
        <w:rPr>
          <w:rFonts w:ascii="Arial" w:hAnsi="Arial" w:cs="Arial"/>
          <w:noProof/>
          <w:szCs w:val="24"/>
          <w:lang w:val="en-US"/>
        </w:rPr>
        <w:t>Oppong et al. (2016)</w:t>
      </w:r>
      <w:r w:rsidR="00487A25" w:rsidRPr="00AA73D6">
        <w:rPr>
          <w:rFonts w:ascii="Arial" w:hAnsi="Arial" w:cs="Arial"/>
          <w:szCs w:val="24"/>
          <w:lang w:val="en-US"/>
        </w:rPr>
        <w:fldChar w:fldCharType="end"/>
      </w:r>
      <w:r w:rsidR="00487A25" w:rsidRPr="00AA73D6">
        <w:rPr>
          <w:rFonts w:ascii="Arial" w:hAnsi="Arial" w:cs="Arial"/>
          <w:szCs w:val="24"/>
          <w:lang w:val="en-US"/>
        </w:rPr>
        <w:t xml:space="preserve"> as they observed communication, cooperation, and family participation were shown to be beneficial in satisfying the requirements of mental health patients.</w:t>
      </w:r>
      <w:r w:rsidR="00487A25" w:rsidRPr="00AA73D6">
        <w:rPr>
          <w:rFonts w:ascii="Arial" w:hAnsi="Arial" w:cs="Arial"/>
          <w:noProof/>
          <w:szCs w:val="24"/>
        </w:rPr>
        <w:t xml:space="preserve"> </w:t>
      </w:r>
      <w:r w:rsidR="00487A25" w:rsidRPr="00AA73D6">
        <w:rPr>
          <w:rFonts w:ascii="Arial" w:hAnsi="Arial" w:cs="Arial"/>
          <w:szCs w:val="24"/>
          <w:lang w:val="en-US"/>
        </w:rPr>
        <w:fldChar w:fldCharType="begin" w:fldLock="1"/>
      </w:r>
      <w:r w:rsidR="00576333" w:rsidRPr="00AA73D6">
        <w:rPr>
          <w:rFonts w:ascii="Arial" w:hAnsi="Arial" w:cs="Arial"/>
          <w:szCs w:val="24"/>
          <w:lang w:val="en-US"/>
        </w:rPr>
        <w:instrText>ADDIN CSL_CITATION {"citationItems":[{"id":"ITEM-1","itemData":{"DOI":"10.1177/2333392815573312","ISSN":"23333928","abstract":"Objectives: Community Health Workers (CHWs) serve as a means of improving outcomes for underserved populations. However, their relationship within health care teams is not well studied. The purpose of this integrative review was to examine published research reports that demonstrated positive health outcomes as a result of CHW intervention to identify interprofessional teamwork and collaboration between CHWs and health care teams. Methods: A total of 47 studies spanning 33 years were reviewed using an integrative literature review methodology for evidence to support the following assumptions of effective interprofessional teamwork between CHWs and health care teams: (1) shared understanding of roles, norms, values, and goals of the team; (2) egalitarianism; (3) cooperation; (4) interdependence; and(5) synergy. Results: Of the 47 studies, 12 reported at least one assumption of effective interprofessional teamwork. Four studies demonstrated all 5 assumptions of interprofessional teamwork. Conclusions: Four studies identified in this integrative review serve as exemplars for effective interprofessional teamwork between CHWs and health care teams. Further study is needed to describe the nature of interprofessional teamwork and collaboration in relation to patient health outcomes.","author":[{"dropping-particle":"","family":"Franklin","given":"Catherine M.","non-dropping-particle":"","parse-names":false,"suffix":""},{"dropping-particle":"","family":"Bernhardt","given":"Jean M.","non-dropping-particle":"","parse-names":false,"suffix":""},{"dropping-particle":"","family":"Lopez","given":"Ruth Palan","non-dropping-particle":"","parse-names":false,"suffix":""},{"dropping-particle":"","family":"Long-Middleton","given":"Ellen R.","non-dropping-particle":"","parse-names":false,"suffix":""},{"dropping-particle":"","family":"Davis","given":"Sheila","non-dropping-particle":"","parse-names":false,"suffix":""}],"container-title":"Health Services Research and Managerial Epidemiology","id":"ITEM-1","issued":{"date-parts":[["2015"]]},"page":"1-9","title":"Interprofessional Teamwork and Collaboration Between Community Health Workers and Healthcare Teams: An Integrative ReAgyapong, V. I. O., Osei, A., Farren, C. K., &amp; McAuliffe, E. (2015). Factors influencing the career choice and retention of community ment","type":"article-journal","volume":"2"},"uris":["http://www.mendeley.com/documents/?uuid=895415aa-cffc-4237-aa27-4554ea017993"]}],"mendeley":{"formattedCitation":"(Franklin et al., 2015)","manualFormatting":"Franklin et al. (2015)","plainTextFormattedCitation":"(Franklin et al., 2015)","previouslyFormattedCitation":"(Franklin et al., 2015)"},"properties":{"noteIndex":0},"schema":"https://github.com/citation-style-language/schema/raw/master/csl-citation.json"}</w:instrText>
      </w:r>
      <w:r w:rsidR="00487A25" w:rsidRPr="00AA73D6">
        <w:rPr>
          <w:rFonts w:ascii="Arial" w:hAnsi="Arial" w:cs="Arial"/>
          <w:szCs w:val="24"/>
          <w:lang w:val="en-US"/>
        </w:rPr>
        <w:fldChar w:fldCharType="separate"/>
      </w:r>
      <w:r w:rsidR="00487A25" w:rsidRPr="00AA73D6">
        <w:rPr>
          <w:rFonts w:ascii="Arial" w:hAnsi="Arial" w:cs="Arial"/>
          <w:noProof/>
          <w:szCs w:val="24"/>
          <w:lang w:val="en-US"/>
        </w:rPr>
        <w:t>Franklin et al. (2015)</w:t>
      </w:r>
      <w:r w:rsidR="00487A25" w:rsidRPr="00AA73D6">
        <w:rPr>
          <w:rFonts w:ascii="Arial" w:hAnsi="Arial" w:cs="Arial"/>
          <w:szCs w:val="24"/>
          <w:lang w:val="en-US"/>
        </w:rPr>
        <w:fldChar w:fldCharType="end"/>
      </w:r>
      <w:r w:rsidR="00487A25" w:rsidRPr="00AA73D6">
        <w:rPr>
          <w:rFonts w:ascii="Arial" w:hAnsi="Arial" w:cs="Arial"/>
          <w:szCs w:val="24"/>
          <w:lang w:val="en-US"/>
        </w:rPr>
        <w:t xml:space="preserve"> backed up their claim by stating that collaboration is critical when caring for a patient in the community since it reduces the cost of treatment, improves recovery rates, improves chronic condition management, and reduces chronic condition recurrence.</w:t>
      </w:r>
    </w:p>
    <w:p w14:paraId="332AF595" w14:textId="77777777" w:rsidR="00487A25" w:rsidRPr="00AA73D6" w:rsidRDefault="00897CE2" w:rsidP="00487A25">
      <w:pPr>
        <w:spacing w:after="0" w:line="480" w:lineRule="auto"/>
        <w:ind w:firstLine="510"/>
        <w:jc w:val="both"/>
        <w:rPr>
          <w:rFonts w:ascii="Arial" w:hAnsi="Arial" w:cs="Arial"/>
          <w:szCs w:val="24"/>
          <w:lang w:val="en-CA"/>
        </w:rPr>
      </w:pPr>
      <w:r w:rsidRPr="00AA73D6">
        <w:rPr>
          <w:rFonts w:ascii="Arial" w:hAnsi="Arial" w:cs="Arial"/>
          <w:szCs w:val="24"/>
          <w:lang w:val="en-US"/>
        </w:rPr>
        <w:lastRenderedPageBreak/>
        <w:t xml:space="preserve">Another important part of assessing a patient with mental illness is the assessor's understanding of how to assess the patient, their abilities, and what to look for throughout the evaluation. Regardless of the participants' training, their knowledge was insufficient for their given role as "mental health nurses." They are capable of providing basic mental health treatment, but they struggle to move beyond their nursing evaluation to diagnose patients with mental illnesses. Despite this, individuals were occasionally trained for at least two to three years. Given the dynamic of the mental health environment in terms of trends and evidence-based therapies produced throughout the world, this practice is deemed insufficient. The findings of the study differ from previous research in Ghana, where community mental health professionals indicated confidence in their competence to address prevalent mental diseases in basic care settings. </w:t>
      </w:r>
      <w:r w:rsidR="00487A25" w:rsidRPr="00AA73D6">
        <w:rPr>
          <w:rFonts w:ascii="Arial" w:hAnsi="Arial" w:cs="Arial"/>
          <w:szCs w:val="24"/>
          <w:lang w:val="en-US"/>
        </w:rPr>
        <w:fldChar w:fldCharType="begin" w:fldLock="1"/>
      </w:r>
      <w:r w:rsidR="00576333" w:rsidRPr="00AA73D6">
        <w:rPr>
          <w:rFonts w:ascii="Arial" w:hAnsi="Arial" w:cs="Arial"/>
          <w:szCs w:val="24"/>
          <w:lang w:val="en-US"/>
        </w:rPr>
        <w:instrText>ADDIN CSL_CITATION {"citationItems":[{"id":"ITEM-1","itemData":{"DOI":"10.1186/s12960-015-0050-2","ISBN":"1478-4491","ISSN":"14784491","PMID":"26156234","abstract":"Whilst there have been several studies exploring retention in health workers, little is known about health workers engaged in the provision of mental health services and the factors that affect their recruitment and retention. The objective of this research was to examine the views of stakeholders about the factors which influence career choices and retention of community mental health workers (CMHWs) in Ghana. We administered three separate, self-administered, semi-structured questionnaires to 11 psychiatrists, 29 health policy directors and 164 CMHWs across Ghana, including 71 (43.3%) community psychiatric nurses (CPNs), 19 (11.6%) clinical psychiatric officers (CPOs) and 74 (45.1%) community mental health officers (CMHOs). Overall, 34 (20.7%) of all CMHWs chose to work in mental health because of the job prospects in mental healthcare. Overall, 12 (16.2%) CMHOs, 1 (5.3%) CPO and 20 (28.2%) CPNs reported they had considered leaving the mental health profession because of the stigma, with 4 (36.4%) psychiatrists and 12 (41.4%) health policy coordinators also reporting that they knew some CMHWs who had considered leaving the mental health profession because of stigma. Similarly, 16 (21.6%) CMHOs, 4 (22.1%) CPOs and 38 (53.5%) CPNs said they had considered leaving the mental health profession because of concerns about risk. Furthermore, 6 (54.5%) psychiatrists and 3 (10.3%) health policy directors said they knew some CMHWs who had considered leaving the mental health profession because of concerns about risk. Overall, 61 (37.2%) of CMHWs reported that they have considered leaving the mental health profession for other reasons other than stigma and risk including the following: the lack of support, respect and recognition from healthcare managers, lack of opportunities for professional development and poor conditions of service including low salaries, lack of office and personal accommodation and lack of risk allowance and transportation as well as poor inter-professional relationships. Several factors affect the recruitment and retention of CMHWs in Ghana, including the prospects of easy employment, stigma, risk, lack of opportunities for career progression and low salaries.","author":[{"dropping-particle":"","family":"Agyapong","given":"Vincent I.O.","non-dropping-particle":"","parse-names":false,"suffix":""},{"dropping-particle":"","family":"Osei","given":"Akwasi","non-dropping-particle":"","parse-names":false,"suffix":""},{"dropping-particle":"","family":"Farren","given":"Conor K.","non-dropping-particle":"","parse-names":false,"suffix":""},{"dropping-particle":"","family":"McAuliffe","given":"Eilish","non-dropping-particle":"","parse-names":false,"suffix":""}],"container-title":"Human Resources for Health","id":"ITEM-1","issue":"1","issued":{"date-parts":[["2015"]]},"page":"1-11","publisher":"Human Resources for Health","title":"Factors influencing the career choice and retention of community mental health workers in Ghana","type":"article-journal","volume":"13"},"uris":["http://www.mendeley.com/documents/?uuid=da6d66d8-f4c4-4ba3-91cb-cf5de1523410"]}],"mendeley":{"formattedCitation":"(V. I. O. Agyapong et al., 2015)","manualFormatting":"(Agyapong et al., 2015)","plainTextFormattedCitation":"(V. I. O. Agyapong et al., 2015)","previouslyFormattedCitation":"(V. I. O. Agyapong et al., 2015)"},"properties":{"noteIndex":0},"schema":"https://github.com/citation-style-language/schema/raw/master/csl-citation.json"}</w:instrText>
      </w:r>
      <w:r w:rsidR="00487A25" w:rsidRPr="00AA73D6">
        <w:rPr>
          <w:rFonts w:ascii="Arial" w:hAnsi="Arial" w:cs="Arial"/>
          <w:szCs w:val="24"/>
          <w:lang w:val="en-US"/>
        </w:rPr>
        <w:fldChar w:fldCharType="separate"/>
      </w:r>
      <w:r w:rsidR="00487A25" w:rsidRPr="00AA73D6">
        <w:rPr>
          <w:rFonts w:ascii="Arial" w:hAnsi="Arial" w:cs="Arial"/>
          <w:noProof/>
          <w:szCs w:val="24"/>
          <w:lang w:val="en-US"/>
        </w:rPr>
        <w:t>(Agyapong et al., 2015)</w:t>
      </w:r>
      <w:r w:rsidR="00487A25" w:rsidRPr="00AA73D6">
        <w:rPr>
          <w:rFonts w:ascii="Arial" w:hAnsi="Arial" w:cs="Arial"/>
          <w:szCs w:val="24"/>
          <w:lang w:val="en-US"/>
        </w:rPr>
        <w:fldChar w:fldCharType="end"/>
      </w:r>
      <w:r w:rsidR="00487A25" w:rsidRPr="00AA73D6">
        <w:rPr>
          <w:rFonts w:ascii="Arial" w:hAnsi="Arial" w:cs="Arial"/>
          <w:szCs w:val="24"/>
          <w:lang w:val="en-US"/>
        </w:rPr>
        <w:t xml:space="preserve">. This is supported by </w:t>
      </w:r>
      <w:r w:rsidR="00487A25" w:rsidRPr="00AA73D6">
        <w:rPr>
          <w:rFonts w:ascii="Arial" w:hAnsi="Arial" w:cs="Arial"/>
          <w:szCs w:val="24"/>
          <w:lang w:val="en-US"/>
        </w:rPr>
        <w:fldChar w:fldCharType="begin" w:fldLock="1"/>
      </w:r>
      <w:r w:rsidR="00576333" w:rsidRPr="00AA73D6">
        <w:rPr>
          <w:rFonts w:ascii="Arial" w:hAnsi="Arial" w:cs="Arial"/>
          <w:szCs w:val="24"/>
          <w:lang w:val="en-US"/>
        </w:rPr>
        <w:instrText>ADDIN CSL_CITATION {"citationItems":[{"id":"ITEM-1","itemData":{"DOI":"10.1016/S2215-0366(15)00379-X","author":[{"dropping-particle":"","family":"Liu","given":"Germaine","non-dropping-particle":"","parse-names":false,"suffix":""},{"dropping-particle":"","family":"Jack","given":"Helen","non-dropping-particle":"","parse-names":false,"suffix":""},{"dropping-particle":"","family":"Piette","given":"Angharad","non-dropping-particle":"","parse-names":false,"suffix":""},{"dropping-particle":"","family":"Mangezi","given":"Walter","non-dropping-particle":"","parse-names":false,"suffix":""},{"dropping-particle":"","family":"Machando","given":"Debra","non-dropping-particle":"","parse-names":false,"suffix":""},{"dropping-particle":"","family":"Rwafa","given":"Chido","non-dropping-particle":"","parse-names":false,"suffix":""},{"dropping-particle":"","family":"Goldenberg","given":"Matthew","non-dropping-particle":"","parse-names":false,"suffix":""},{"dropping-particle":"","family":"Abas","given":"Melanie","non-dropping-particle":"","parse-names":false,"suffix":""},{"dropping-particle":"","family":"Hill","given":"Denmark","non-dropping-particle":"","parse-names":false,"suffix":""}],"container-title":"The Lancet Psychiatry","id":"ITEM-1","issued":{"date-parts":[["2016"]]},"page":"65-76","publisher":"Elsevier Ltd","title":"Mental health training for health workers in Africa : a systematic review","type":"article-journal","volume":"3"},"uris":["http://www.mendeley.com/documents/?uuid=e3e2f72b-bb2e-45c6-9389-4bae7dcceaca"]}],"mendeley":{"formattedCitation":"(Liu et al., 2016)","manualFormatting":"Liu et al. (2016)","plainTextFormattedCitation":"(Liu et al., 2016)","previouslyFormattedCitation":"(Liu et al., 2016)"},"properties":{"noteIndex":0},"schema":"https://github.com/citation-style-language/schema/raw/master/csl-citation.json"}</w:instrText>
      </w:r>
      <w:r w:rsidR="00487A25" w:rsidRPr="00AA73D6">
        <w:rPr>
          <w:rFonts w:ascii="Arial" w:hAnsi="Arial" w:cs="Arial"/>
          <w:szCs w:val="24"/>
          <w:lang w:val="en-US"/>
        </w:rPr>
        <w:fldChar w:fldCharType="separate"/>
      </w:r>
      <w:r w:rsidR="00487A25" w:rsidRPr="00AA73D6">
        <w:rPr>
          <w:rFonts w:ascii="Arial" w:hAnsi="Arial" w:cs="Arial"/>
          <w:noProof/>
          <w:szCs w:val="24"/>
          <w:lang w:val="en-US"/>
        </w:rPr>
        <w:t>Liu et al. (2016)</w:t>
      </w:r>
      <w:r w:rsidR="00487A25" w:rsidRPr="00AA73D6">
        <w:rPr>
          <w:rFonts w:ascii="Arial" w:hAnsi="Arial" w:cs="Arial"/>
          <w:szCs w:val="24"/>
          <w:lang w:val="en-US"/>
        </w:rPr>
        <w:fldChar w:fldCharType="end"/>
      </w:r>
      <w:r w:rsidR="00487A25" w:rsidRPr="00AA73D6">
        <w:rPr>
          <w:rFonts w:ascii="Arial" w:hAnsi="Arial" w:cs="Arial"/>
          <w:szCs w:val="24"/>
          <w:lang w:val="en-US"/>
        </w:rPr>
        <w:t xml:space="preserve">, </w:t>
      </w:r>
      <w:r w:rsidRPr="00AA73D6">
        <w:rPr>
          <w:rFonts w:ascii="Arial" w:hAnsi="Arial" w:cs="Arial"/>
          <w:szCs w:val="24"/>
          <w:lang w:val="en-US"/>
        </w:rPr>
        <w:t>their study established that mental health nurses with a diploma were confident in handling mental illnesses, especially in areas where psychiatrists are scarce. As a result, community mental health nurses must acquire more experience in the field to reach their patient and family satisfaction goals.</w:t>
      </w:r>
    </w:p>
    <w:p w14:paraId="121C1E56" w14:textId="77777777" w:rsidR="00487A25" w:rsidRPr="0095110D" w:rsidRDefault="0095110D" w:rsidP="0095110D">
      <w:pPr>
        <w:pStyle w:val="ListParagraph"/>
        <w:numPr>
          <w:ilvl w:val="0"/>
          <w:numId w:val="5"/>
        </w:numPr>
        <w:spacing w:after="0" w:line="480" w:lineRule="auto"/>
        <w:jc w:val="both"/>
        <w:rPr>
          <w:rFonts w:ascii="Arial" w:hAnsi="Arial" w:cs="Arial"/>
          <w:b/>
          <w:sz w:val="24"/>
          <w:szCs w:val="24"/>
          <w:lang w:val="en-US"/>
        </w:rPr>
      </w:pPr>
      <w:r w:rsidRPr="0095110D">
        <w:rPr>
          <w:rFonts w:ascii="Arial" w:hAnsi="Arial" w:cs="Arial"/>
          <w:b/>
          <w:sz w:val="24"/>
          <w:szCs w:val="24"/>
          <w:lang w:val="en-US"/>
        </w:rPr>
        <w:t xml:space="preserve">LIMITATION </w:t>
      </w:r>
    </w:p>
    <w:p w14:paraId="5BC48E79" w14:textId="77777777" w:rsidR="00487A25" w:rsidRPr="0095110D" w:rsidRDefault="00057E40" w:rsidP="00487A25">
      <w:pPr>
        <w:spacing w:after="0" w:line="480" w:lineRule="auto"/>
        <w:jc w:val="both"/>
        <w:rPr>
          <w:rFonts w:ascii="Arial" w:hAnsi="Arial" w:cs="Arial"/>
          <w:szCs w:val="24"/>
        </w:rPr>
      </w:pPr>
      <w:r w:rsidRPr="00AA73D6">
        <w:rPr>
          <w:rFonts w:ascii="Arial" w:hAnsi="Arial" w:cs="Arial"/>
          <w:szCs w:val="24"/>
        </w:rPr>
        <w:t xml:space="preserve">The study is limited to the community mental health nurses, leaving other general practitioners out. With the number of inadequate mental health providers in </w:t>
      </w:r>
      <w:r w:rsidR="00795CB7">
        <w:rPr>
          <w:rFonts w:ascii="Arial" w:hAnsi="Arial" w:cs="Arial"/>
          <w:szCs w:val="24"/>
        </w:rPr>
        <w:t xml:space="preserve">LMICs, general </w:t>
      </w:r>
      <w:proofErr w:type="gramStart"/>
      <w:r w:rsidR="00795CB7">
        <w:rPr>
          <w:rFonts w:ascii="Arial" w:hAnsi="Arial" w:cs="Arial"/>
          <w:szCs w:val="24"/>
        </w:rPr>
        <w:t>practitioners  are</w:t>
      </w:r>
      <w:proofErr w:type="gramEnd"/>
      <w:r w:rsidR="00795CB7">
        <w:rPr>
          <w:rFonts w:ascii="Arial" w:hAnsi="Arial" w:cs="Arial"/>
          <w:szCs w:val="24"/>
        </w:rPr>
        <w:t xml:space="preserve"> </w:t>
      </w:r>
      <w:r w:rsidRPr="00AA73D6">
        <w:rPr>
          <w:rFonts w:ascii="Arial" w:hAnsi="Arial" w:cs="Arial"/>
          <w:szCs w:val="24"/>
        </w:rPr>
        <w:t>involved in caring for individuals with mental health issues; hence, future studies can be directed toward general practitioners.</w:t>
      </w:r>
    </w:p>
    <w:p w14:paraId="1E9AB1DE" w14:textId="77777777" w:rsidR="00487A25" w:rsidRPr="0095110D" w:rsidRDefault="0095110D" w:rsidP="0095110D">
      <w:pPr>
        <w:pStyle w:val="ListParagraph"/>
        <w:numPr>
          <w:ilvl w:val="0"/>
          <w:numId w:val="5"/>
        </w:numPr>
        <w:spacing w:after="0" w:line="480" w:lineRule="auto"/>
        <w:jc w:val="both"/>
        <w:rPr>
          <w:rFonts w:ascii="Arial" w:hAnsi="Arial" w:cs="Arial"/>
          <w:sz w:val="24"/>
          <w:szCs w:val="24"/>
          <w:lang w:val="en-US"/>
        </w:rPr>
      </w:pPr>
      <w:r w:rsidRPr="0095110D">
        <w:rPr>
          <w:rFonts w:ascii="Arial" w:hAnsi="Arial" w:cs="Arial"/>
          <w:b/>
          <w:sz w:val="24"/>
          <w:szCs w:val="24"/>
          <w:lang w:val="en-US"/>
        </w:rPr>
        <w:t xml:space="preserve">CONCLUSION </w:t>
      </w:r>
    </w:p>
    <w:p w14:paraId="2FA6596E" w14:textId="77777777" w:rsidR="00487A25" w:rsidRPr="00AA73D6" w:rsidRDefault="00057E40" w:rsidP="00487A25">
      <w:pPr>
        <w:tabs>
          <w:tab w:val="left" w:pos="1455"/>
        </w:tabs>
        <w:spacing w:after="0" w:line="480" w:lineRule="auto"/>
        <w:jc w:val="both"/>
        <w:rPr>
          <w:rFonts w:ascii="Arial" w:hAnsi="Arial" w:cs="Arial"/>
          <w:b/>
          <w:szCs w:val="24"/>
          <w:lang w:val="en-CA"/>
        </w:rPr>
      </w:pPr>
      <w:r w:rsidRPr="00AA73D6">
        <w:rPr>
          <w:rFonts w:ascii="Arial" w:hAnsi="Arial" w:cs="Arial"/>
          <w:szCs w:val="24"/>
          <w:lang w:val="en-US"/>
        </w:rPr>
        <w:t xml:space="preserve">As the World Health Organization strives to bridge the treatment gap for mental health care delivery in LMICs, primary mental health care providers are the focus of attention. Primary mental health care providers should make efforts to address issues concerning the screening and assessment of common mental disorders. It is recommended that the curriculum of both community mental health nurses and mental health nurses in schools be expanded to better their skills in assessment and screening of common mental disorders. The study recommends </w:t>
      </w:r>
      <w:r w:rsidRPr="00AA73D6">
        <w:rPr>
          <w:rFonts w:ascii="Arial" w:hAnsi="Arial" w:cs="Arial"/>
          <w:szCs w:val="24"/>
          <w:lang w:val="en-US"/>
        </w:rPr>
        <w:lastRenderedPageBreak/>
        <w:t>further research to validate assessment and screening tools that will be easily used by mental health care providers in LMICs to help in the early identification of common mental disorders in the primary mental health setting.</w:t>
      </w:r>
    </w:p>
    <w:p w14:paraId="0F6F39D5" w14:textId="77777777" w:rsidR="009F3728" w:rsidRDefault="009F3728" w:rsidP="0068332A">
      <w:pPr>
        <w:tabs>
          <w:tab w:val="left" w:pos="1455"/>
        </w:tabs>
        <w:spacing w:after="0" w:line="480" w:lineRule="auto"/>
        <w:jc w:val="both"/>
        <w:rPr>
          <w:rFonts w:ascii="Arial" w:hAnsi="Arial" w:cs="Arial"/>
          <w:b/>
          <w:szCs w:val="24"/>
          <w:lang w:val="en-CA"/>
        </w:rPr>
      </w:pPr>
    </w:p>
    <w:p w14:paraId="69075821" w14:textId="2C0D25C8" w:rsidR="0068332A" w:rsidRPr="0068332A" w:rsidRDefault="0068332A" w:rsidP="0068332A">
      <w:pPr>
        <w:tabs>
          <w:tab w:val="left" w:pos="1455"/>
        </w:tabs>
        <w:spacing w:after="0" w:line="480" w:lineRule="auto"/>
        <w:jc w:val="both"/>
        <w:rPr>
          <w:rFonts w:ascii="Arial" w:hAnsi="Arial" w:cs="Arial"/>
          <w:b/>
          <w:szCs w:val="24"/>
          <w:lang w:val="en-CA"/>
        </w:rPr>
      </w:pPr>
      <w:bookmarkStart w:id="8" w:name="_GoBack"/>
      <w:bookmarkEnd w:id="8"/>
      <w:r w:rsidRPr="0068332A">
        <w:rPr>
          <w:rFonts w:ascii="Arial" w:hAnsi="Arial" w:cs="Arial"/>
          <w:b/>
          <w:szCs w:val="24"/>
          <w:lang w:val="en-CA"/>
        </w:rPr>
        <w:t>ETHICAL CONSIDERATION</w:t>
      </w:r>
    </w:p>
    <w:p w14:paraId="59CCCD0B" w14:textId="77777777" w:rsidR="0068332A" w:rsidRDefault="0068332A" w:rsidP="0068332A">
      <w:pPr>
        <w:spacing w:after="0" w:line="480" w:lineRule="auto"/>
        <w:jc w:val="both"/>
        <w:rPr>
          <w:rFonts w:ascii="Arial" w:eastAsia="Calibri" w:hAnsi="Arial" w:cs="Arial"/>
          <w:bCs/>
          <w:szCs w:val="24"/>
        </w:rPr>
      </w:pPr>
      <w:r w:rsidRPr="00AA73D6">
        <w:rPr>
          <w:rFonts w:ascii="Arial" w:eastAsia="Calibri" w:hAnsi="Arial" w:cs="Arial"/>
          <w:bCs/>
          <w:szCs w:val="24"/>
        </w:rPr>
        <w:t>The Institutional Review Board of Kwame Nkrumah University of Science and Technology granted ethical approval (CHPRE/AP/629/18), as well as authorization from the four hospitals in the Ashanti Region where the study was carried out. Participants had adequate time to consider whether or not they wanted to participate. The study's goal was described to individuals who satisfied the inclusion criteria, following which signed informed permission was requested. Participants were reminded that they might refuse to participate in the study or withdraw from it at any time after signing the permission form without facing any penalties.</w:t>
      </w:r>
    </w:p>
    <w:p w14:paraId="567C76BA" w14:textId="77777777" w:rsidR="008F6553" w:rsidRPr="008F6553" w:rsidRDefault="008F6553" w:rsidP="008F6553">
      <w:pPr>
        <w:spacing w:after="200" w:line="276" w:lineRule="auto"/>
        <w:jc w:val="both"/>
        <w:outlineLvl w:val="0"/>
        <w:rPr>
          <w:rFonts w:ascii="Arial" w:eastAsia="Times New Roman" w:hAnsi="Arial" w:cs="Arial"/>
          <w:lang w:eastAsia="en-GB"/>
        </w:rPr>
      </w:pPr>
      <w:r w:rsidRPr="008F6553">
        <w:rPr>
          <w:rFonts w:ascii="Arial" w:eastAsia="Times New Roman" w:hAnsi="Arial" w:cs="Arial"/>
          <w:b/>
          <w:bCs/>
          <w:lang w:eastAsia="en-GB"/>
        </w:rPr>
        <w:t>COMPETING INTERESTS DISCLAIMER:</w:t>
      </w:r>
    </w:p>
    <w:p w14:paraId="7FE39E99" w14:textId="77777777" w:rsidR="008F6553" w:rsidRPr="008F6553" w:rsidRDefault="008F6553" w:rsidP="008F6553">
      <w:pPr>
        <w:spacing w:after="200" w:line="276" w:lineRule="auto"/>
        <w:rPr>
          <w:rFonts w:ascii="Calibri" w:eastAsia="Times New Roman" w:hAnsi="Calibri" w:cs="Times New Roman"/>
          <w:lang w:eastAsia="en-GB"/>
        </w:rPr>
      </w:pPr>
      <w:r w:rsidRPr="008F6553">
        <w:rPr>
          <w:rFonts w:ascii="Calibri" w:eastAsia="Times New Roman" w:hAnsi="Calibri" w:cs="Times New Roman"/>
          <w:lang w:eastAsia="en-GB"/>
        </w:rPr>
        <w:t>Authors have declared that they have no known competing financial interests OR non-financial interests OR personal relationships that could have appeared to influence the work reported in this paper.</w:t>
      </w:r>
    </w:p>
    <w:p w14:paraId="20E2FDC8" w14:textId="77777777" w:rsidR="00D10618" w:rsidRDefault="00D10618" w:rsidP="00487A25">
      <w:pPr>
        <w:tabs>
          <w:tab w:val="left" w:pos="6750"/>
        </w:tabs>
        <w:spacing w:after="0" w:line="480" w:lineRule="auto"/>
        <w:rPr>
          <w:rFonts w:ascii="Times New Roman" w:hAnsi="Times New Roman" w:cs="Times New Roman"/>
          <w:b/>
          <w:sz w:val="24"/>
          <w:szCs w:val="24"/>
          <w:lang w:val="en-US"/>
        </w:rPr>
      </w:pPr>
    </w:p>
    <w:p w14:paraId="3F2EB2E1" w14:textId="77777777" w:rsidR="00487A25" w:rsidRPr="00FC32F4" w:rsidRDefault="00487A25" w:rsidP="00487A25">
      <w:pPr>
        <w:tabs>
          <w:tab w:val="left" w:pos="6750"/>
        </w:tabs>
        <w:spacing w:after="0" w:line="480" w:lineRule="auto"/>
        <w:rPr>
          <w:rFonts w:ascii="Times New Roman" w:hAnsi="Times New Roman" w:cs="Times New Roman"/>
          <w:b/>
          <w:sz w:val="24"/>
          <w:szCs w:val="24"/>
          <w:lang w:val="en-US"/>
        </w:rPr>
      </w:pPr>
      <w:r w:rsidRPr="00FC32F4">
        <w:rPr>
          <w:rFonts w:ascii="Times New Roman" w:hAnsi="Times New Roman" w:cs="Times New Roman"/>
          <w:b/>
          <w:sz w:val="24"/>
          <w:szCs w:val="24"/>
          <w:lang w:val="en-US"/>
        </w:rPr>
        <w:t>REFERENCE</w:t>
      </w:r>
    </w:p>
    <w:p w14:paraId="7D9137AD" w14:textId="77777777" w:rsidR="00057E40" w:rsidRPr="00FC32F4" w:rsidRDefault="00057E40" w:rsidP="00057E40">
      <w:pPr>
        <w:widowControl w:val="0"/>
        <w:autoSpaceDE w:val="0"/>
        <w:autoSpaceDN w:val="0"/>
        <w:adjustRightInd w:val="0"/>
        <w:spacing w:line="240" w:lineRule="auto"/>
        <w:ind w:left="480" w:hanging="480"/>
        <w:rPr>
          <w:rFonts w:ascii="Times New Roman" w:hAnsi="Times New Roman" w:cs="Times New Roman"/>
          <w:noProof/>
          <w:sz w:val="24"/>
          <w:szCs w:val="24"/>
        </w:rPr>
      </w:pPr>
      <w:r w:rsidRPr="00FC32F4">
        <w:rPr>
          <w:rFonts w:ascii="Times New Roman" w:hAnsi="Times New Roman" w:cs="Times New Roman"/>
          <w:sz w:val="24"/>
          <w:szCs w:val="24"/>
        </w:rPr>
        <w:fldChar w:fldCharType="begin" w:fldLock="1"/>
      </w:r>
      <w:r w:rsidRPr="00FC32F4">
        <w:rPr>
          <w:rFonts w:ascii="Times New Roman" w:hAnsi="Times New Roman" w:cs="Times New Roman"/>
          <w:sz w:val="24"/>
          <w:szCs w:val="24"/>
        </w:rPr>
        <w:instrText xml:space="preserve">ADDIN Mendeley Bibliography CSL_BIBLIOGRAPHY </w:instrText>
      </w:r>
      <w:r w:rsidRPr="00FC32F4">
        <w:rPr>
          <w:rFonts w:ascii="Times New Roman" w:hAnsi="Times New Roman" w:cs="Times New Roman"/>
          <w:sz w:val="24"/>
          <w:szCs w:val="24"/>
        </w:rPr>
        <w:fldChar w:fldCharType="separate"/>
      </w:r>
      <w:r w:rsidRPr="00FC32F4">
        <w:rPr>
          <w:rFonts w:ascii="Times New Roman" w:hAnsi="Times New Roman" w:cs="Times New Roman"/>
          <w:noProof/>
          <w:sz w:val="24"/>
          <w:szCs w:val="24"/>
        </w:rPr>
        <w:t xml:space="preserve">Agyapong, V. I. O., Osei, A., Farren, C. K., &amp; McAuliffe, E. (2015). Factors influencing the career choice and retention of community mental health workers in Ghana. </w:t>
      </w:r>
      <w:r w:rsidRPr="00FC32F4">
        <w:rPr>
          <w:rFonts w:ascii="Times New Roman" w:hAnsi="Times New Roman" w:cs="Times New Roman"/>
          <w:i/>
          <w:iCs/>
          <w:noProof/>
          <w:sz w:val="24"/>
          <w:szCs w:val="24"/>
        </w:rPr>
        <w:t>Human Resources for Health</w:t>
      </w:r>
      <w:r w:rsidRPr="00FC32F4">
        <w:rPr>
          <w:rFonts w:ascii="Times New Roman" w:hAnsi="Times New Roman" w:cs="Times New Roman"/>
          <w:noProof/>
          <w:sz w:val="24"/>
          <w:szCs w:val="24"/>
        </w:rPr>
        <w:t xml:space="preserve">, </w:t>
      </w:r>
      <w:r w:rsidRPr="00FC32F4">
        <w:rPr>
          <w:rFonts w:ascii="Times New Roman" w:hAnsi="Times New Roman" w:cs="Times New Roman"/>
          <w:i/>
          <w:iCs/>
          <w:noProof/>
          <w:sz w:val="24"/>
          <w:szCs w:val="24"/>
        </w:rPr>
        <w:t>13</w:t>
      </w:r>
      <w:r w:rsidRPr="00FC32F4">
        <w:rPr>
          <w:rFonts w:ascii="Times New Roman" w:hAnsi="Times New Roman" w:cs="Times New Roman"/>
          <w:noProof/>
          <w:sz w:val="24"/>
          <w:szCs w:val="24"/>
        </w:rPr>
        <w:t>(1), 1–11. https://doi.org/10.1186/s12960-015-0050-2</w:t>
      </w:r>
    </w:p>
    <w:p w14:paraId="4711F52A" w14:textId="77777777" w:rsidR="00057E40" w:rsidRPr="00FC32F4" w:rsidRDefault="00057E40" w:rsidP="00057E40">
      <w:pPr>
        <w:widowControl w:val="0"/>
        <w:autoSpaceDE w:val="0"/>
        <w:autoSpaceDN w:val="0"/>
        <w:adjustRightInd w:val="0"/>
        <w:spacing w:line="240" w:lineRule="auto"/>
        <w:ind w:left="480" w:hanging="480"/>
        <w:rPr>
          <w:rFonts w:ascii="Times New Roman" w:hAnsi="Times New Roman" w:cs="Times New Roman"/>
          <w:noProof/>
          <w:sz w:val="24"/>
          <w:szCs w:val="24"/>
        </w:rPr>
      </w:pPr>
      <w:r w:rsidRPr="00FC32F4">
        <w:rPr>
          <w:rFonts w:ascii="Times New Roman" w:hAnsi="Times New Roman" w:cs="Times New Roman"/>
          <w:noProof/>
          <w:sz w:val="24"/>
          <w:szCs w:val="24"/>
        </w:rPr>
        <w:t xml:space="preserve">Agyapong, V. I. O., Osei, A., Mcloughlin, D. M., &amp; McAuliffe, E. (2016). Task shifting - Perception of stake holders about adequacy of training and supervision for community mental health workers in Ghana. </w:t>
      </w:r>
      <w:r w:rsidRPr="00FC32F4">
        <w:rPr>
          <w:rFonts w:ascii="Times New Roman" w:hAnsi="Times New Roman" w:cs="Times New Roman"/>
          <w:i/>
          <w:iCs/>
          <w:noProof/>
          <w:sz w:val="24"/>
          <w:szCs w:val="24"/>
        </w:rPr>
        <w:t>Health Policy and Planning</w:t>
      </w:r>
      <w:r w:rsidRPr="00FC32F4">
        <w:rPr>
          <w:rFonts w:ascii="Times New Roman" w:hAnsi="Times New Roman" w:cs="Times New Roman"/>
          <w:noProof/>
          <w:sz w:val="24"/>
          <w:szCs w:val="24"/>
        </w:rPr>
        <w:t xml:space="preserve">, </w:t>
      </w:r>
      <w:r w:rsidRPr="00FC32F4">
        <w:rPr>
          <w:rFonts w:ascii="Times New Roman" w:hAnsi="Times New Roman" w:cs="Times New Roman"/>
          <w:i/>
          <w:iCs/>
          <w:noProof/>
          <w:sz w:val="24"/>
          <w:szCs w:val="24"/>
        </w:rPr>
        <w:t>31</w:t>
      </w:r>
      <w:r w:rsidRPr="00FC32F4">
        <w:rPr>
          <w:rFonts w:ascii="Times New Roman" w:hAnsi="Times New Roman" w:cs="Times New Roman"/>
          <w:noProof/>
          <w:sz w:val="24"/>
          <w:szCs w:val="24"/>
        </w:rPr>
        <w:t>(5), 645–655. https://doi.org/10.1093/heapol/czv114</w:t>
      </w:r>
    </w:p>
    <w:p w14:paraId="16F715EA" w14:textId="77777777" w:rsidR="00057E40" w:rsidRPr="00FC32F4" w:rsidRDefault="00057E40" w:rsidP="00057E40">
      <w:pPr>
        <w:widowControl w:val="0"/>
        <w:autoSpaceDE w:val="0"/>
        <w:autoSpaceDN w:val="0"/>
        <w:adjustRightInd w:val="0"/>
        <w:spacing w:line="240" w:lineRule="auto"/>
        <w:ind w:left="480" w:hanging="480"/>
        <w:rPr>
          <w:rFonts w:ascii="Times New Roman" w:hAnsi="Times New Roman" w:cs="Times New Roman"/>
          <w:noProof/>
          <w:sz w:val="24"/>
          <w:szCs w:val="24"/>
        </w:rPr>
      </w:pPr>
      <w:r w:rsidRPr="00FC32F4">
        <w:rPr>
          <w:rFonts w:ascii="Times New Roman" w:hAnsi="Times New Roman" w:cs="Times New Roman"/>
          <w:noProof/>
          <w:sz w:val="24"/>
          <w:szCs w:val="24"/>
        </w:rPr>
        <w:t xml:space="preserve">Agyapong, V. I., Osei, A., Farren, C. K., &amp; McAuliffe, E. (2015). Task shifting--Ghana’s community mental health workers’ experiences and perceptions of their roles and scope of practice. </w:t>
      </w:r>
      <w:r w:rsidRPr="00FC32F4">
        <w:rPr>
          <w:rFonts w:ascii="Times New Roman" w:hAnsi="Times New Roman" w:cs="Times New Roman"/>
          <w:i/>
          <w:iCs/>
          <w:noProof/>
          <w:sz w:val="24"/>
          <w:szCs w:val="24"/>
        </w:rPr>
        <w:t>Glob Health Action</w:t>
      </w:r>
      <w:r w:rsidRPr="00FC32F4">
        <w:rPr>
          <w:rFonts w:ascii="Times New Roman" w:hAnsi="Times New Roman" w:cs="Times New Roman"/>
          <w:noProof/>
          <w:sz w:val="24"/>
          <w:szCs w:val="24"/>
        </w:rPr>
        <w:t xml:space="preserve">, </w:t>
      </w:r>
      <w:r w:rsidRPr="00FC32F4">
        <w:rPr>
          <w:rFonts w:ascii="Times New Roman" w:hAnsi="Times New Roman" w:cs="Times New Roman"/>
          <w:i/>
          <w:iCs/>
          <w:noProof/>
          <w:sz w:val="24"/>
          <w:szCs w:val="24"/>
        </w:rPr>
        <w:t>8</w:t>
      </w:r>
      <w:r w:rsidRPr="00FC32F4">
        <w:rPr>
          <w:rFonts w:ascii="Times New Roman" w:hAnsi="Times New Roman" w:cs="Times New Roman"/>
          <w:noProof/>
          <w:sz w:val="24"/>
          <w:szCs w:val="24"/>
        </w:rPr>
        <w:t>(May), 28955. https://doi.org/10.3402/gha.v8.28955</w:t>
      </w:r>
    </w:p>
    <w:p w14:paraId="20107AB1" w14:textId="77777777" w:rsidR="00057E40" w:rsidRPr="00FC32F4" w:rsidRDefault="00057E40" w:rsidP="00057E40">
      <w:pPr>
        <w:widowControl w:val="0"/>
        <w:autoSpaceDE w:val="0"/>
        <w:autoSpaceDN w:val="0"/>
        <w:adjustRightInd w:val="0"/>
        <w:spacing w:line="240" w:lineRule="auto"/>
        <w:ind w:left="480" w:hanging="480"/>
        <w:rPr>
          <w:rFonts w:ascii="Times New Roman" w:hAnsi="Times New Roman" w:cs="Times New Roman"/>
          <w:noProof/>
          <w:sz w:val="24"/>
          <w:szCs w:val="24"/>
        </w:rPr>
      </w:pPr>
      <w:r w:rsidRPr="00FC32F4">
        <w:rPr>
          <w:rFonts w:ascii="Times New Roman" w:hAnsi="Times New Roman" w:cs="Times New Roman"/>
          <w:noProof/>
          <w:sz w:val="24"/>
          <w:szCs w:val="24"/>
        </w:rPr>
        <w:t xml:space="preserve">Ali, G., Ryan, G., &amp; Silva, M. J. De. (2016). Validated Screening Tools for Common Mental Disorders in Low and Middle Income Countries : A Systematic Review. </w:t>
      </w:r>
      <w:r w:rsidRPr="00FC32F4">
        <w:rPr>
          <w:rFonts w:ascii="Times New Roman" w:hAnsi="Times New Roman" w:cs="Times New Roman"/>
          <w:i/>
          <w:iCs/>
          <w:noProof/>
          <w:sz w:val="24"/>
          <w:szCs w:val="24"/>
        </w:rPr>
        <w:t>PLoS ONE</w:t>
      </w:r>
      <w:r w:rsidRPr="00FC32F4">
        <w:rPr>
          <w:rFonts w:ascii="Times New Roman" w:hAnsi="Times New Roman" w:cs="Times New Roman"/>
          <w:noProof/>
          <w:sz w:val="24"/>
          <w:szCs w:val="24"/>
        </w:rPr>
        <w:t xml:space="preserve">, </w:t>
      </w:r>
      <w:r w:rsidRPr="00FC32F4">
        <w:rPr>
          <w:rFonts w:ascii="Times New Roman" w:hAnsi="Times New Roman" w:cs="Times New Roman"/>
          <w:i/>
          <w:iCs/>
          <w:noProof/>
          <w:sz w:val="24"/>
          <w:szCs w:val="24"/>
        </w:rPr>
        <w:t>11</w:t>
      </w:r>
      <w:r w:rsidRPr="00FC32F4">
        <w:rPr>
          <w:rFonts w:ascii="Times New Roman" w:hAnsi="Times New Roman" w:cs="Times New Roman"/>
          <w:noProof/>
          <w:sz w:val="24"/>
          <w:szCs w:val="24"/>
        </w:rPr>
        <w:t>(6), 1–14. https://doi.org/10.1371/journal.pone.0156939</w:t>
      </w:r>
    </w:p>
    <w:p w14:paraId="333F931F" w14:textId="77777777" w:rsidR="00057E40" w:rsidRPr="00FC32F4" w:rsidRDefault="00057E40" w:rsidP="00057E40">
      <w:pPr>
        <w:widowControl w:val="0"/>
        <w:autoSpaceDE w:val="0"/>
        <w:autoSpaceDN w:val="0"/>
        <w:adjustRightInd w:val="0"/>
        <w:spacing w:line="240" w:lineRule="auto"/>
        <w:ind w:left="480" w:hanging="480"/>
        <w:rPr>
          <w:rFonts w:ascii="Times New Roman" w:hAnsi="Times New Roman" w:cs="Times New Roman"/>
          <w:noProof/>
          <w:sz w:val="24"/>
          <w:szCs w:val="24"/>
        </w:rPr>
      </w:pPr>
      <w:r w:rsidRPr="00FC32F4">
        <w:rPr>
          <w:rFonts w:ascii="Times New Roman" w:hAnsi="Times New Roman" w:cs="Times New Roman"/>
          <w:noProof/>
          <w:sz w:val="24"/>
          <w:szCs w:val="24"/>
        </w:rPr>
        <w:t xml:space="preserve">Amu, H., Osei, E., Kofie, P., Owusu, R., Bosoka, S. A., Konlan, K. D., Kim, E., Orish, V. N., Maalman, R. S. E., Manu, E., Parbey, P. A., Saah, F. I., Mumuni, H., Appiah, P. K., Komesuor, J., Ayanore, M. A., Amenuvegbe, G. K., Kim, S., Jung, H., … Gyapong, J. </w:t>
      </w:r>
      <w:r w:rsidRPr="00FC32F4">
        <w:rPr>
          <w:rFonts w:ascii="Times New Roman" w:hAnsi="Times New Roman" w:cs="Times New Roman"/>
          <w:noProof/>
          <w:sz w:val="24"/>
          <w:szCs w:val="24"/>
        </w:rPr>
        <w:lastRenderedPageBreak/>
        <w:t xml:space="preserve">O. (2021). Prevalence and predictors of depression, anxiety, and stress among adults in Ghana: A community-based cross-sectional study. </w:t>
      </w:r>
      <w:r w:rsidRPr="00FC32F4">
        <w:rPr>
          <w:rFonts w:ascii="Times New Roman" w:hAnsi="Times New Roman" w:cs="Times New Roman"/>
          <w:i/>
          <w:iCs/>
          <w:noProof/>
          <w:sz w:val="24"/>
          <w:szCs w:val="24"/>
        </w:rPr>
        <w:t>PLoS ONE</w:t>
      </w:r>
      <w:r w:rsidRPr="00FC32F4">
        <w:rPr>
          <w:rFonts w:ascii="Times New Roman" w:hAnsi="Times New Roman" w:cs="Times New Roman"/>
          <w:noProof/>
          <w:sz w:val="24"/>
          <w:szCs w:val="24"/>
        </w:rPr>
        <w:t xml:space="preserve">, </w:t>
      </w:r>
      <w:r w:rsidRPr="00FC32F4">
        <w:rPr>
          <w:rFonts w:ascii="Times New Roman" w:hAnsi="Times New Roman" w:cs="Times New Roman"/>
          <w:i/>
          <w:iCs/>
          <w:noProof/>
          <w:sz w:val="24"/>
          <w:szCs w:val="24"/>
        </w:rPr>
        <w:t>16</w:t>
      </w:r>
      <w:r w:rsidRPr="00FC32F4">
        <w:rPr>
          <w:rFonts w:ascii="Times New Roman" w:hAnsi="Times New Roman" w:cs="Times New Roman"/>
          <w:noProof/>
          <w:sz w:val="24"/>
          <w:szCs w:val="24"/>
        </w:rPr>
        <w:t>(10 October), 1–17. https://doi.org/10.1371/journal.pone.0258105</w:t>
      </w:r>
    </w:p>
    <w:p w14:paraId="28FBD64B" w14:textId="77777777" w:rsidR="00057E40" w:rsidRPr="00FC32F4" w:rsidRDefault="00057E40" w:rsidP="00057E40">
      <w:pPr>
        <w:widowControl w:val="0"/>
        <w:autoSpaceDE w:val="0"/>
        <w:autoSpaceDN w:val="0"/>
        <w:adjustRightInd w:val="0"/>
        <w:spacing w:line="240" w:lineRule="auto"/>
        <w:ind w:left="480" w:hanging="480"/>
        <w:rPr>
          <w:rFonts w:ascii="Times New Roman" w:hAnsi="Times New Roman" w:cs="Times New Roman"/>
          <w:noProof/>
          <w:sz w:val="24"/>
          <w:szCs w:val="24"/>
        </w:rPr>
      </w:pPr>
      <w:r w:rsidRPr="00FC32F4">
        <w:rPr>
          <w:rFonts w:ascii="Times New Roman" w:hAnsi="Times New Roman" w:cs="Times New Roman"/>
          <w:noProof/>
          <w:sz w:val="24"/>
          <w:szCs w:val="24"/>
        </w:rPr>
        <w:t xml:space="preserve">Braun, V., &amp; Clarke, V. (2006). Using thematic analysis in psychology. </w:t>
      </w:r>
      <w:r w:rsidRPr="00FC32F4">
        <w:rPr>
          <w:rFonts w:ascii="Times New Roman" w:hAnsi="Times New Roman" w:cs="Times New Roman"/>
          <w:i/>
          <w:iCs/>
          <w:noProof/>
          <w:sz w:val="24"/>
          <w:szCs w:val="24"/>
        </w:rPr>
        <w:t>Qualitative Research in Psychology</w:t>
      </w:r>
      <w:r w:rsidRPr="00FC32F4">
        <w:rPr>
          <w:rFonts w:ascii="Times New Roman" w:hAnsi="Times New Roman" w:cs="Times New Roman"/>
          <w:noProof/>
          <w:sz w:val="24"/>
          <w:szCs w:val="24"/>
        </w:rPr>
        <w:t xml:space="preserve">, </w:t>
      </w:r>
      <w:r w:rsidRPr="00FC32F4">
        <w:rPr>
          <w:rFonts w:ascii="Times New Roman" w:hAnsi="Times New Roman" w:cs="Times New Roman"/>
          <w:i/>
          <w:iCs/>
          <w:noProof/>
          <w:sz w:val="24"/>
          <w:szCs w:val="24"/>
        </w:rPr>
        <w:t>3</w:t>
      </w:r>
      <w:r w:rsidRPr="00FC32F4">
        <w:rPr>
          <w:rFonts w:ascii="Times New Roman" w:hAnsi="Times New Roman" w:cs="Times New Roman"/>
          <w:noProof/>
          <w:sz w:val="24"/>
          <w:szCs w:val="24"/>
        </w:rPr>
        <w:t>(2), 77–101. https://doi.org/10.1191/1478088706qp063oa</w:t>
      </w:r>
    </w:p>
    <w:p w14:paraId="6058C067" w14:textId="77777777" w:rsidR="00057E40" w:rsidRPr="00FC32F4" w:rsidRDefault="00057E40" w:rsidP="00057E40">
      <w:pPr>
        <w:widowControl w:val="0"/>
        <w:autoSpaceDE w:val="0"/>
        <w:autoSpaceDN w:val="0"/>
        <w:adjustRightInd w:val="0"/>
        <w:spacing w:line="240" w:lineRule="auto"/>
        <w:ind w:left="480" w:hanging="480"/>
        <w:rPr>
          <w:rFonts w:ascii="Times New Roman" w:hAnsi="Times New Roman" w:cs="Times New Roman"/>
          <w:noProof/>
          <w:sz w:val="24"/>
          <w:szCs w:val="24"/>
        </w:rPr>
      </w:pPr>
      <w:r w:rsidRPr="00FC32F4">
        <w:rPr>
          <w:rFonts w:ascii="Times New Roman" w:hAnsi="Times New Roman" w:cs="Times New Roman"/>
          <w:noProof/>
          <w:sz w:val="24"/>
          <w:szCs w:val="24"/>
        </w:rPr>
        <w:t xml:space="preserve">Cohen, A., Eaton, J., Radtke, B., George, C., Manuel, B. V., De Silva, M., &amp; Patel, V. (2011). Three models of community mental health services In low-income countries. </w:t>
      </w:r>
      <w:r w:rsidRPr="00FC32F4">
        <w:rPr>
          <w:rFonts w:ascii="Times New Roman" w:hAnsi="Times New Roman" w:cs="Times New Roman"/>
          <w:i/>
          <w:iCs/>
          <w:noProof/>
          <w:sz w:val="24"/>
          <w:szCs w:val="24"/>
        </w:rPr>
        <w:t>International Journal of Mental Health Systems</w:t>
      </w:r>
      <w:r w:rsidRPr="00FC32F4">
        <w:rPr>
          <w:rFonts w:ascii="Times New Roman" w:hAnsi="Times New Roman" w:cs="Times New Roman"/>
          <w:noProof/>
          <w:sz w:val="24"/>
          <w:szCs w:val="24"/>
        </w:rPr>
        <w:t xml:space="preserve">, </w:t>
      </w:r>
      <w:r w:rsidRPr="00FC32F4">
        <w:rPr>
          <w:rFonts w:ascii="Times New Roman" w:hAnsi="Times New Roman" w:cs="Times New Roman"/>
          <w:i/>
          <w:iCs/>
          <w:noProof/>
          <w:sz w:val="24"/>
          <w:szCs w:val="24"/>
        </w:rPr>
        <w:t>5</w:t>
      </w:r>
      <w:r w:rsidRPr="00FC32F4">
        <w:rPr>
          <w:rFonts w:ascii="Times New Roman" w:hAnsi="Times New Roman" w:cs="Times New Roman"/>
          <w:noProof/>
          <w:sz w:val="24"/>
          <w:szCs w:val="24"/>
        </w:rPr>
        <w:t>, 1–10. https://doi.org/10.1186/1752-4458-5-3</w:t>
      </w:r>
    </w:p>
    <w:p w14:paraId="47DA225C" w14:textId="77777777" w:rsidR="00057E40" w:rsidRPr="00FC32F4" w:rsidRDefault="00057E40" w:rsidP="00057E40">
      <w:pPr>
        <w:widowControl w:val="0"/>
        <w:autoSpaceDE w:val="0"/>
        <w:autoSpaceDN w:val="0"/>
        <w:adjustRightInd w:val="0"/>
        <w:spacing w:line="240" w:lineRule="auto"/>
        <w:ind w:left="480" w:hanging="480"/>
        <w:rPr>
          <w:rFonts w:ascii="Times New Roman" w:hAnsi="Times New Roman" w:cs="Times New Roman"/>
          <w:noProof/>
          <w:sz w:val="24"/>
          <w:szCs w:val="24"/>
        </w:rPr>
      </w:pPr>
      <w:r w:rsidRPr="00FC32F4">
        <w:rPr>
          <w:rFonts w:ascii="Times New Roman" w:hAnsi="Times New Roman" w:cs="Times New Roman"/>
          <w:noProof/>
          <w:sz w:val="24"/>
          <w:szCs w:val="24"/>
        </w:rPr>
        <w:t xml:space="preserve">Doyle, L., McCabe, C., Keogh, B., Brady, A., &amp; McCann, M. (2020). An overview of the qualitative descriptive design within nursing research. </w:t>
      </w:r>
      <w:r w:rsidRPr="00FC32F4">
        <w:rPr>
          <w:rFonts w:ascii="Times New Roman" w:hAnsi="Times New Roman" w:cs="Times New Roman"/>
          <w:i/>
          <w:iCs/>
          <w:noProof/>
          <w:sz w:val="24"/>
          <w:szCs w:val="24"/>
        </w:rPr>
        <w:t>Journal of Research in Nursing</w:t>
      </w:r>
      <w:r w:rsidRPr="00FC32F4">
        <w:rPr>
          <w:rFonts w:ascii="Times New Roman" w:hAnsi="Times New Roman" w:cs="Times New Roman"/>
          <w:noProof/>
          <w:sz w:val="24"/>
          <w:szCs w:val="24"/>
        </w:rPr>
        <w:t xml:space="preserve">, </w:t>
      </w:r>
      <w:r w:rsidRPr="00FC32F4">
        <w:rPr>
          <w:rFonts w:ascii="Times New Roman" w:hAnsi="Times New Roman" w:cs="Times New Roman"/>
          <w:i/>
          <w:iCs/>
          <w:noProof/>
          <w:sz w:val="24"/>
          <w:szCs w:val="24"/>
        </w:rPr>
        <w:t>25</w:t>
      </w:r>
      <w:r w:rsidRPr="00FC32F4">
        <w:rPr>
          <w:rFonts w:ascii="Times New Roman" w:hAnsi="Times New Roman" w:cs="Times New Roman"/>
          <w:noProof/>
          <w:sz w:val="24"/>
          <w:szCs w:val="24"/>
        </w:rPr>
        <w:t>(5), 443–455. https://doi.org/10.1177/1744987119880234</w:t>
      </w:r>
    </w:p>
    <w:p w14:paraId="1664EF54" w14:textId="77777777" w:rsidR="00057E40" w:rsidRPr="00FC32F4" w:rsidRDefault="00057E40" w:rsidP="00057E40">
      <w:pPr>
        <w:widowControl w:val="0"/>
        <w:autoSpaceDE w:val="0"/>
        <w:autoSpaceDN w:val="0"/>
        <w:adjustRightInd w:val="0"/>
        <w:spacing w:line="240" w:lineRule="auto"/>
        <w:ind w:left="480" w:hanging="480"/>
        <w:rPr>
          <w:rFonts w:ascii="Times New Roman" w:hAnsi="Times New Roman" w:cs="Times New Roman"/>
          <w:noProof/>
          <w:sz w:val="24"/>
          <w:szCs w:val="24"/>
        </w:rPr>
      </w:pPr>
      <w:r w:rsidRPr="00FC32F4">
        <w:rPr>
          <w:rFonts w:ascii="Times New Roman" w:hAnsi="Times New Roman" w:cs="Times New Roman"/>
          <w:noProof/>
          <w:sz w:val="24"/>
          <w:szCs w:val="24"/>
        </w:rPr>
        <w:t xml:space="preserve">Egon G, G., &amp; Yvonna S, L. (1994). Competing paradigms in qualitative research. </w:t>
      </w:r>
      <w:r w:rsidRPr="00FC32F4">
        <w:rPr>
          <w:rFonts w:ascii="Times New Roman" w:hAnsi="Times New Roman" w:cs="Times New Roman"/>
          <w:i/>
          <w:iCs/>
          <w:noProof/>
          <w:sz w:val="24"/>
          <w:szCs w:val="24"/>
        </w:rPr>
        <w:t>Handbook of Qualitative Research</w:t>
      </w:r>
      <w:r w:rsidRPr="00FC32F4">
        <w:rPr>
          <w:rFonts w:ascii="Times New Roman" w:hAnsi="Times New Roman" w:cs="Times New Roman"/>
          <w:noProof/>
          <w:sz w:val="24"/>
          <w:szCs w:val="24"/>
        </w:rPr>
        <w:t>, 105–117.</w:t>
      </w:r>
    </w:p>
    <w:p w14:paraId="393E1D11" w14:textId="77777777" w:rsidR="00057E40" w:rsidRPr="00FC32F4" w:rsidRDefault="00057E40" w:rsidP="00057E40">
      <w:pPr>
        <w:widowControl w:val="0"/>
        <w:autoSpaceDE w:val="0"/>
        <w:autoSpaceDN w:val="0"/>
        <w:adjustRightInd w:val="0"/>
        <w:spacing w:line="240" w:lineRule="auto"/>
        <w:ind w:left="480" w:hanging="480"/>
        <w:rPr>
          <w:rFonts w:ascii="Times New Roman" w:hAnsi="Times New Roman" w:cs="Times New Roman"/>
          <w:noProof/>
          <w:sz w:val="24"/>
          <w:szCs w:val="24"/>
        </w:rPr>
      </w:pPr>
      <w:r w:rsidRPr="00FC32F4">
        <w:rPr>
          <w:rFonts w:ascii="Times New Roman" w:hAnsi="Times New Roman" w:cs="Times New Roman"/>
          <w:noProof/>
          <w:sz w:val="24"/>
          <w:szCs w:val="24"/>
        </w:rPr>
        <w:t xml:space="preserve">Fenta, D. A., &amp; Ali, M. M. (2020). Factors affecting quality of laboratory result during ordering, handling, and testing of the patient’s specimen at hawassa university college of medicine and health science comprehensive specialized hospital. </w:t>
      </w:r>
      <w:r w:rsidRPr="00FC32F4">
        <w:rPr>
          <w:rFonts w:ascii="Times New Roman" w:hAnsi="Times New Roman" w:cs="Times New Roman"/>
          <w:i/>
          <w:iCs/>
          <w:noProof/>
          <w:sz w:val="24"/>
          <w:szCs w:val="24"/>
        </w:rPr>
        <w:t>Journal of Multidisciplinary Healthcare</w:t>
      </w:r>
      <w:r w:rsidRPr="00FC32F4">
        <w:rPr>
          <w:rFonts w:ascii="Times New Roman" w:hAnsi="Times New Roman" w:cs="Times New Roman"/>
          <w:noProof/>
          <w:sz w:val="24"/>
          <w:szCs w:val="24"/>
        </w:rPr>
        <w:t xml:space="preserve">, </w:t>
      </w:r>
      <w:r w:rsidRPr="00FC32F4">
        <w:rPr>
          <w:rFonts w:ascii="Times New Roman" w:hAnsi="Times New Roman" w:cs="Times New Roman"/>
          <w:i/>
          <w:iCs/>
          <w:noProof/>
          <w:sz w:val="24"/>
          <w:szCs w:val="24"/>
        </w:rPr>
        <w:t>13</w:t>
      </w:r>
      <w:r w:rsidRPr="00FC32F4">
        <w:rPr>
          <w:rFonts w:ascii="Times New Roman" w:hAnsi="Times New Roman" w:cs="Times New Roman"/>
          <w:noProof/>
          <w:sz w:val="24"/>
          <w:szCs w:val="24"/>
        </w:rPr>
        <w:t>, 809–821. https://doi.org/10.2147/JMDH.S264671</w:t>
      </w:r>
    </w:p>
    <w:p w14:paraId="1EEDEDD1" w14:textId="77777777" w:rsidR="00057E40" w:rsidRPr="00FC32F4" w:rsidRDefault="00057E40" w:rsidP="00057E40">
      <w:pPr>
        <w:widowControl w:val="0"/>
        <w:autoSpaceDE w:val="0"/>
        <w:autoSpaceDN w:val="0"/>
        <w:adjustRightInd w:val="0"/>
        <w:spacing w:line="240" w:lineRule="auto"/>
        <w:ind w:left="480" w:hanging="480"/>
        <w:rPr>
          <w:rFonts w:ascii="Times New Roman" w:hAnsi="Times New Roman" w:cs="Times New Roman"/>
          <w:noProof/>
          <w:sz w:val="24"/>
          <w:szCs w:val="24"/>
        </w:rPr>
      </w:pPr>
      <w:r w:rsidRPr="00FC32F4">
        <w:rPr>
          <w:rFonts w:ascii="Times New Roman" w:hAnsi="Times New Roman" w:cs="Times New Roman"/>
          <w:noProof/>
          <w:sz w:val="24"/>
          <w:szCs w:val="24"/>
        </w:rPr>
        <w:t xml:space="preserve">Franklin, C. M., Bernhardt, J. M., Lopez, R. P., Long-Middleton, E. R., &amp; Davis, S. (2015). Interprofessional Teamwork and Collaboration Between Community Health Workers and Healthcare Teams: An Integrative ReAgyapong, V. I. O., Osei, A., Farren, C. K., &amp; McAuliffe, E. (2015). Factors influencing the career choice and retention of community ment. </w:t>
      </w:r>
      <w:r w:rsidRPr="00FC32F4">
        <w:rPr>
          <w:rFonts w:ascii="Times New Roman" w:hAnsi="Times New Roman" w:cs="Times New Roman"/>
          <w:i/>
          <w:iCs/>
          <w:noProof/>
          <w:sz w:val="24"/>
          <w:szCs w:val="24"/>
        </w:rPr>
        <w:t>Health Services Research and Managerial Epidemiology</w:t>
      </w:r>
      <w:r w:rsidRPr="00FC32F4">
        <w:rPr>
          <w:rFonts w:ascii="Times New Roman" w:hAnsi="Times New Roman" w:cs="Times New Roman"/>
          <w:noProof/>
          <w:sz w:val="24"/>
          <w:szCs w:val="24"/>
        </w:rPr>
        <w:t xml:space="preserve">, </w:t>
      </w:r>
      <w:r w:rsidRPr="00FC32F4">
        <w:rPr>
          <w:rFonts w:ascii="Times New Roman" w:hAnsi="Times New Roman" w:cs="Times New Roman"/>
          <w:i/>
          <w:iCs/>
          <w:noProof/>
          <w:sz w:val="24"/>
          <w:szCs w:val="24"/>
        </w:rPr>
        <w:t>2</w:t>
      </w:r>
      <w:r w:rsidRPr="00FC32F4">
        <w:rPr>
          <w:rFonts w:ascii="Times New Roman" w:hAnsi="Times New Roman" w:cs="Times New Roman"/>
          <w:noProof/>
          <w:sz w:val="24"/>
          <w:szCs w:val="24"/>
        </w:rPr>
        <w:t>, 1–9. https://doi.org/10.1177/2333392815573312</w:t>
      </w:r>
    </w:p>
    <w:p w14:paraId="28C94032" w14:textId="77777777" w:rsidR="00057E40" w:rsidRPr="00FC32F4" w:rsidRDefault="00057E40" w:rsidP="00057E40">
      <w:pPr>
        <w:widowControl w:val="0"/>
        <w:autoSpaceDE w:val="0"/>
        <w:autoSpaceDN w:val="0"/>
        <w:adjustRightInd w:val="0"/>
        <w:spacing w:line="240" w:lineRule="auto"/>
        <w:ind w:left="480" w:hanging="480"/>
        <w:rPr>
          <w:rFonts w:ascii="Times New Roman" w:hAnsi="Times New Roman" w:cs="Times New Roman"/>
          <w:noProof/>
          <w:sz w:val="24"/>
          <w:szCs w:val="24"/>
        </w:rPr>
      </w:pPr>
      <w:r w:rsidRPr="00FC32F4">
        <w:rPr>
          <w:rFonts w:ascii="Times New Roman" w:hAnsi="Times New Roman" w:cs="Times New Roman"/>
          <w:noProof/>
          <w:sz w:val="24"/>
          <w:szCs w:val="24"/>
        </w:rPr>
        <w:t xml:space="preserve">Giorgi, A. (2009). The descriptive phenomenological method in psychology: A modified Husserlian approach. In </w:t>
      </w:r>
      <w:r w:rsidRPr="00FC32F4">
        <w:rPr>
          <w:rFonts w:ascii="Times New Roman" w:hAnsi="Times New Roman" w:cs="Times New Roman"/>
          <w:i/>
          <w:iCs/>
          <w:noProof/>
          <w:sz w:val="24"/>
          <w:szCs w:val="24"/>
        </w:rPr>
        <w:t>Duquesne University Press</w:t>
      </w:r>
      <w:r w:rsidRPr="00FC32F4">
        <w:rPr>
          <w:rFonts w:ascii="Times New Roman" w:hAnsi="Times New Roman" w:cs="Times New Roman"/>
          <w:noProof/>
          <w:sz w:val="24"/>
          <w:szCs w:val="24"/>
        </w:rPr>
        <w:t>. Duquesne University Press.</w:t>
      </w:r>
    </w:p>
    <w:p w14:paraId="4BB08CC3" w14:textId="77777777" w:rsidR="00057E40" w:rsidRPr="00FC32F4" w:rsidRDefault="00057E40" w:rsidP="00057E40">
      <w:pPr>
        <w:widowControl w:val="0"/>
        <w:autoSpaceDE w:val="0"/>
        <w:autoSpaceDN w:val="0"/>
        <w:adjustRightInd w:val="0"/>
        <w:spacing w:line="240" w:lineRule="auto"/>
        <w:ind w:left="480" w:hanging="480"/>
        <w:rPr>
          <w:rFonts w:ascii="Times New Roman" w:hAnsi="Times New Roman" w:cs="Times New Roman"/>
          <w:noProof/>
          <w:sz w:val="24"/>
          <w:szCs w:val="24"/>
        </w:rPr>
      </w:pPr>
      <w:r w:rsidRPr="00FC32F4">
        <w:rPr>
          <w:rFonts w:ascii="Times New Roman" w:hAnsi="Times New Roman" w:cs="Times New Roman"/>
          <w:noProof/>
          <w:sz w:val="24"/>
          <w:szCs w:val="24"/>
        </w:rPr>
        <w:t xml:space="preserve">Gupta, D. K., Suthar, N., Singh, V., Bihari, M., Kumar, V., Verma, K. K., Sidana, R., Sengupta, S., &amp; Bhadoriya, M. S. (2016). Frequency and pattern of radiological and laboratory investigations in patients with mental illnesses: A study from North Rajasthan. </w:t>
      </w:r>
      <w:r w:rsidRPr="00FC32F4">
        <w:rPr>
          <w:rFonts w:ascii="Times New Roman" w:hAnsi="Times New Roman" w:cs="Times New Roman"/>
          <w:i/>
          <w:iCs/>
          <w:noProof/>
          <w:sz w:val="24"/>
          <w:szCs w:val="24"/>
        </w:rPr>
        <w:t>Indian Journal of Psychiatry</w:t>
      </w:r>
      <w:r w:rsidRPr="00FC32F4">
        <w:rPr>
          <w:rFonts w:ascii="Times New Roman" w:hAnsi="Times New Roman" w:cs="Times New Roman"/>
          <w:noProof/>
          <w:sz w:val="24"/>
          <w:szCs w:val="24"/>
        </w:rPr>
        <w:t xml:space="preserve">, </w:t>
      </w:r>
      <w:r w:rsidRPr="00FC32F4">
        <w:rPr>
          <w:rFonts w:ascii="Times New Roman" w:hAnsi="Times New Roman" w:cs="Times New Roman"/>
          <w:i/>
          <w:iCs/>
          <w:noProof/>
          <w:sz w:val="24"/>
          <w:szCs w:val="24"/>
        </w:rPr>
        <w:t>58</w:t>
      </w:r>
      <w:r w:rsidRPr="00FC32F4">
        <w:rPr>
          <w:rFonts w:ascii="Times New Roman" w:hAnsi="Times New Roman" w:cs="Times New Roman"/>
          <w:noProof/>
          <w:sz w:val="24"/>
          <w:szCs w:val="24"/>
        </w:rPr>
        <w:t>(2), 183–189. https://doi.org/10.4103/0019-5545.183781</w:t>
      </w:r>
    </w:p>
    <w:p w14:paraId="4F15036F" w14:textId="77777777" w:rsidR="00057E40" w:rsidRPr="00FC32F4" w:rsidRDefault="00057E40" w:rsidP="00057E40">
      <w:pPr>
        <w:widowControl w:val="0"/>
        <w:autoSpaceDE w:val="0"/>
        <w:autoSpaceDN w:val="0"/>
        <w:adjustRightInd w:val="0"/>
        <w:spacing w:line="240" w:lineRule="auto"/>
        <w:ind w:left="480" w:hanging="480"/>
        <w:rPr>
          <w:rFonts w:ascii="Times New Roman" w:hAnsi="Times New Roman" w:cs="Times New Roman"/>
          <w:noProof/>
          <w:sz w:val="24"/>
          <w:szCs w:val="24"/>
        </w:rPr>
      </w:pPr>
      <w:r w:rsidRPr="00FC32F4">
        <w:rPr>
          <w:rFonts w:ascii="Times New Roman" w:hAnsi="Times New Roman" w:cs="Times New Roman"/>
          <w:noProof/>
          <w:sz w:val="24"/>
          <w:szCs w:val="24"/>
        </w:rPr>
        <w:t xml:space="preserve">Hampton, K. B., Smeltzer, S. C., &amp; Ross, J. G. (2021). The transition from nursing student to practicing nurse: An integrative review of transition to practice programs. </w:t>
      </w:r>
      <w:r w:rsidRPr="00FC32F4">
        <w:rPr>
          <w:rFonts w:ascii="Times New Roman" w:hAnsi="Times New Roman" w:cs="Times New Roman"/>
          <w:i/>
          <w:iCs/>
          <w:noProof/>
          <w:sz w:val="24"/>
          <w:szCs w:val="24"/>
        </w:rPr>
        <w:t>Nurse Education in Practice</w:t>
      </w:r>
      <w:r w:rsidRPr="00FC32F4">
        <w:rPr>
          <w:rFonts w:ascii="Times New Roman" w:hAnsi="Times New Roman" w:cs="Times New Roman"/>
          <w:noProof/>
          <w:sz w:val="24"/>
          <w:szCs w:val="24"/>
        </w:rPr>
        <w:t xml:space="preserve">, </w:t>
      </w:r>
      <w:r w:rsidRPr="00FC32F4">
        <w:rPr>
          <w:rFonts w:ascii="Times New Roman" w:hAnsi="Times New Roman" w:cs="Times New Roman"/>
          <w:i/>
          <w:iCs/>
          <w:noProof/>
          <w:sz w:val="24"/>
          <w:szCs w:val="24"/>
        </w:rPr>
        <w:t>52</w:t>
      </w:r>
      <w:r w:rsidRPr="00FC32F4">
        <w:rPr>
          <w:rFonts w:ascii="Times New Roman" w:hAnsi="Times New Roman" w:cs="Times New Roman"/>
          <w:noProof/>
          <w:sz w:val="24"/>
          <w:szCs w:val="24"/>
        </w:rPr>
        <w:t>(March), 103031. https://doi.org/10.1016/j.nepr.2021.103031</w:t>
      </w:r>
    </w:p>
    <w:p w14:paraId="7431970F" w14:textId="77777777" w:rsidR="00057E40" w:rsidRPr="00FC32F4" w:rsidRDefault="00057E40" w:rsidP="00057E40">
      <w:pPr>
        <w:widowControl w:val="0"/>
        <w:autoSpaceDE w:val="0"/>
        <w:autoSpaceDN w:val="0"/>
        <w:adjustRightInd w:val="0"/>
        <w:spacing w:line="240" w:lineRule="auto"/>
        <w:ind w:left="480" w:hanging="480"/>
        <w:rPr>
          <w:rFonts w:ascii="Times New Roman" w:hAnsi="Times New Roman" w:cs="Times New Roman"/>
          <w:noProof/>
          <w:sz w:val="24"/>
          <w:szCs w:val="24"/>
        </w:rPr>
      </w:pPr>
      <w:r w:rsidRPr="00FC32F4">
        <w:rPr>
          <w:rFonts w:ascii="Times New Roman" w:hAnsi="Times New Roman" w:cs="Times New Roman"/>
          <w:noProof/>
          <w:sz w:val="24"/>
          <w:szCs w:val="24"/>
        </w:rPr>
        <w:t xml:space="preserve">Hofisi, C., Hofisi, M., &amp; Mago, S. (2014). Critiquing interviewing as a data collection method. </w:t>
      </w:r>
      <w:r w:rsidRPr="00FC32F4">
        <w:rPr>
          <w:rFonts w:ascii="Times New Roman" w:hAnsi="Times New Roman" w:cs="Times New Roman"/>
          <w:i/>
          <w:iCs/>
          <w:noProof/>
          <w:sz w:val="24"/>
          <w:szCs w:val="24"/>
        </w:rPr>
        <w:t>Mediterranean Journal of Social Sciences</w:t>
      </w:r>
      <w:r w:rsidRPr="00FC32F4">
        <w:rPr>
          <w:rFonts w:ascii="Times New Roman" w:hAnsi="Times New Roman" w:cs="Times New Roman"/>
          <w:noProof/>
          <w:sz w:val="24"/>
          <w:szCs w:val="24"/>
        </w:rPr>
        <w:t xml:space="preserve">, </w:t>
      </w:r>
      <w:r w:rsidRPr="00FC32F4">
        <w:rPr>
          <w:rFonts w:ascii="Times New Roman" w:hAnsi="Times New Roman" w:cs="Times New Roman"/>
          <w:i/>
          <w:iCs/>
          <w:noProof/>
          <w:sz w:val="24"/>
          <w:szCs w:val="24"/>
        </w:rPr>
        <w:t>5</w:t>
      </w:r>
      <w:r w:rsidRPr="00FC32F4">
        <w:rPr>
          <w:rFonts w:ascii="Times New Roman" w:hAnsi="Times New Roman" w:cs="Times New Roman"/>
          <w:noProof/>
          <w:sz w:val="24"/>
          <w:szCs w:val="24"/>
        </w:rPr>
        <w:t>(16), 60–64. https://doi.org/10.5901/mjss.2014.v5n16p60</w:t>
      </w:r>
    </w:p>
    <w:p w14:paraId="2D7CFD35" w14:textId="77777777" w:rsidR="00057E40" w:rsidRPr="00FC32F4" w:rsidRDefault="00057E40" w:rsidP="00057E40">
      <w:pPr>
        <w:widowControl w:val="0"/>
        <w:autoSpaceDE w:val="0"/>
        <w:autoSpaceDN w:val="0"/>
        <w:adjustRightInd w:val="0"/>
        <w:spacing w:line="240" w:lineRule="auto"/>
        <w:ind w:left="480" w:hanging="480"/>
        <w:rPr>
          <w:rFonts w:ascii="Times New Roman" w:hAnsi="Times New Roman" w:cs="Times New Roman"/>
          <w:noProof/>
          <w:sz w:val="24"/>
          <w:szCs w:val="24"/>
        </w:rPr>
      </w:pPr>
      <w:r w:rsidRPr="00FC32F4">
        <w:rPr>
          <w:rFonts w:ascii="Times New Roman" w:hAnsi="Times New Roman" w:cs="Times New Roman"/>
          <w:noProof/>
          <w:sz w:val="24"/>
          <w:szCs w:val="24"/>
        </w:rPr>
        <w:t xml:space="preserve">Kavirayani, K., &amp; Maddirevula, N. (2014). History taking : an invaluable tool in expert hands. </w:t>
      </w:r>
      <w:r w:rsidRPr="00FC32F4">
        <w:rPr>
          <w:rFonts w:ascii="Times New Roman" w:hAnsi="Times New Roman" w:cs="Times New Roman"/>
          <w:i/>
          <w:iCs/>
          <w:noProof/>
          <w:sz w:val="24"/>
          <w:szCs w:val="24"/>
        </w:rPr>
        <w:t>Archives of Mental Health</w:t>
      </w:r>
      <w:r w:rsidRPr="00FC32F4">
        <w:rPr>
          <w:rFonts w:ascii="Times New Roman" w:hAnsi="Times New Roman" w:cs="Times New Roman"/>
          <w:noProof/>
          <w:sz w:val="24"/>
          <w:szCs w:val="24"/>
        </w:rPr>
        <w:t xml:space="preserve">, </w:t>
      </w:r>
      <w:r w:rsidRPr="00FC32F4">
        <w:rPr>
          <w:rFonts w:ascii="Times New Roman" w:hAnsi="Times New Roman" w:cs="Times New Roman"/>
          <w:i/>
          <w:iCs/>
          <w:noProof/>
          <w:sz w:val="24"/>
          <w:szCs w:val="24"/>
        </w:rPr>
        <w:t>15</w:t>
      </w:r>
      <w:r w:rsidRPr="00FC32F4">
        <w:rPr>
          <w:rFonts w:ascii="Times New Roman" w:hAnsi="Times New Roman" w:cs="Times New Roman"/>
          <w:noProof/>
          <w:sz w:val="24"/>
          <w:szCs w:val="24"/>
        </w:rPr>
        <w:t>, 13. https://link.gale.com/apps/doc/A573235995/HRCA?u=anon~7eedc8e&amp;sid=googleScholar&amp;xid=9abacebd</w:t>
      </w:r>
    </w:p>
    <w:p w14:paraId="2F0A9D51" w14:textId="77777777" w:rsidR="00057E40" w:rsidRPr="00FC32F4" w:rsidRDefault="00057E40" w:rsidP="00057E40">
      <w:pPr>
        <w:widowControl w:val="0"/>
        <w:autoSpaceDE w:val="0"/>
        <w:autoSpaceDN w:val="0"/>
        <w:adjustRightInd w:val="0"/>
        <w:spacing w:line="240" w:lineRule="auto"/>
        <w:ind w:left="480" w:hanging="480"/>
        <w:rPr>
          <w:rFonts w:ascii="Times New Roman" w:hAnsi="Times New Roman" w:cs="Times New Roman"/>
          <w:noProof/>
          <w:sz w:val="24"/>
          <w:szCs w:val="24"/>
        </w:rPr>
      </w:pPr>
      <w:r w:rsidRPr="00FC32F4">
        <w:rPr>
          <w:rFonts w:ascii="Times New Roman" w:hAnsi="Times New Roman" w:cs="Times New Roman"/>
          <w:noProof/>
          <w:sz w:val="24"/>
          <w:szCs w:val="24"/>
        </w:rPr>
        <w:t xml:space="preserve">Kiger, M. E., &amp; Varpio, L. (2020). Thematic analysis of qualitative data: AMEE Guide No. 131. </w:t>
      </w:r>
      <w:r w:rsidRPr="00FC32F4">
        <w:rPr>
          <w:rFonts w:ascii="Times New Roman" w:hAnsi="Times New Roman" w:cs="Times New Roman"/>
          <w:i/>
          <w:iCs/>
          <w:noProof/>
          <w:sz w:val="24"/>
          <w:szCs w:val="24"/>
        </w:rPr>
        <w:t>Medical Teacher</w:t>
      </w:r>
      <w:r w:rsidRPr="00FC32F4">
        <w:rPr>
          <w:rFonts w:ascii="Times New Roman" w:hAnsi="Times New Roman" w:cs="Times New Roman"/>
          <w:noProof/>
          <w:sz w:val="24"/>
          <w:szCs w:val="24"/>
        </w:rPr>
        <w:t xml:space="preserve">, </w:t>
      </w:r>
      <w:r w:rsidRPr="00FC32F4">
        <w:rPr>
          <w:rFonts w:ascii="Times New Roman" w:hAnsi="Times New Roman" w:cs="Times New Roman"/>
          <w:i/>
          <w:iCs/>
          <w:noProof/>
          <w:sz w:val="24"/>
          <w:szCs w:val="24"/>
        </w:rPr>
        <w:t>42</w:t>
      </w:r>
      <w:r w:rsidRPr="00FC32F4">
        <w:rPr>
          <w:rFonts w:ascii="Times New Roman" w:hAnsi="Times New Roman" w:cs="Times New Roman"/>
          <w:noProof/>
          <w:sz w:val="24"/>
          <w:szCs w:val="24"/>
        </w:rPr>
        <w:t xml:space="preserve">(8), 846–854. </w:t>
      </w:r>
      <w:r w:rsidRPr="00FC32F4">
        <w:rPr>
          <w:rFonts w:ascii="Times New Roman" w:hAnsi="Times New Roman" w:cs="Times New Roman"/>
          <w:noProof/>
          <w:sz w:val="24"/>
          <w:szCs w:val="24"/>
        </w:rPr>
        <w:lastRenderedPageBreak/>
        <w:t>https://doi.org/10.1080/0142159X.2020.1755030</w:t>
      </w:r>
    </w:p>
    <w:p w14:paraId="4541F5B5" w14:textId="77777777" w:rsidR="00057E40" w:rsidRPr="00FC32F4" w:rsidRDefault="00057E40" w:rsidP="00057E40">
      <w:pPr>
        <w:widowControl w:val="0"/>
        <w:autoSpaceDE w:val="0"/>
        <w:autoSpaceDN w:val="0"/>
        <w:adjustRightInd w:val="0"/>
        <w:spacing w:line="240" w:lineRule="auto"/>
        <w:ind w:left="480" w:hanging="480"/>
        <w:rPr>
          <w:rFonts w:ascii="Times New Roman" w:hAnsi="Times New Roman" w:cs="Times New Roman"/>
          <w:noProof/>
          <w:sz w:val="24"/>
          <w:szCs w:val="24"/>
        </w:rPr>
      </w:pPr>
      <w:r w:rsidRPr="00FC32F4">
        <w:rPr>
          <w:rFonts w:ascii="Times New Roman" w:hAnsi="Times New Roman" w:cs="Times New Roman"/>
          <w:noProof/>
          <w:sz w:val="24"/>
          <w:szCs w:val="24"/>
        </w:rPr>
        <w:t xml:space="preserve">Krefting, L. (1991). Rigor in Qualitative Research: The Assessment of Trustworthiness. </w:t>
      </w:r>
      <w:r w:rsidRPr="00FC32F4">
        <w:rPr>
          <w:rFonts w:ascii="Times New Roman" w:hAnsi="Times New Roman" w:cs="Times New Roman"/>
          <w:i/>
          <w:iCs/>
          <w:noProof/>
          <w:sz w:val="24"/>
          <w:szCs w:val="24"/>
        </w:rPr>
        <w:t>American Journal Oj Occupational Therapy</w:t>
      </w:r>
      <w:r w:rsidRPr="00FC32F4">
        <w:rPr>
          <w:rFonts w:ascii="Times New Roman" w:hAnsi="Times New Roman" w:cs="Times New Roman"/>
          <w:noProof/>
          <w:sz w:val="24"/>
          <w:szCs w:val="24"/>
        </w:rPr>
        <w:t xml:space="preserve">, </w:t>
      </w:r>
      <w:r w:rsidRPr="00FC32F4">
        <w:rPr>
          <w:rFonts w:ascii="Times New Roman" w:hAnsi="Times New Roman" w:cs="Times New Roman"/>
          <w:i/>
          <w:iCs/>
          <w:noProof/>
          <w:sz w:val="24"/>
          <w:szCs w:val="24"/>
        </w:rPr>
        <w:t>45</w:t>
      </w:r>
      <w:r w:rsidRPr="00FC32F4">
        <w:rPr>
          <w:rFonts w:ascii="Times New Roman" w:hAnsi="Times New Roman" w:cs="Times New Roman"/>
          <w:noProof/>
          <w:sz w:val="24"/>
          <w:szCs w:val="24"/>
        </w:rPr>
        <w:t>(3), 214–222.</w:t>
      </w:r>
    </w:p>
    <w:p w14:paraId="0E7BECF6" w14:textId="77777777" w:rsidR="00057E40" w:rsidRPr="00FC32F4" w:rsidRDefault="00057E40" w:rsidP="00057E40">
      <w:pPr>
        <w:widowControl w:val="0"/>
        <w:autoSpaceDE w:val="0"/>
        <w:autoSpaceDN w:val="0"/>
        <w:adjustRightInd w:val="0"/>
        <w:spacing w:line="240" w:lineRule="auto"/>
        <w:ind w:left="480" w:hanging="480"/>
        <w:rPr>
          <w:rFonts w:ascii="Times New Roman" w:hAnsi="Times New Roman" w:cs="Times New Roman"/>
          <w:noProof/>
          <w:sz w:val="24"/>
          <w:szCs w:val="24"/>
        </w:rPr>
      </w:pPr>
      <w:r w:rsidRPr="00FC32F4">
        <w:rPr>
          <w:rFonts w:ascii="Times New Roman" w:hAnsi="Times New Roman" w:cs="Times New Roman"/>
          <w:noProof/>
          <w:sz w:val="24"/>
          <w:szCs w:val="24"/>
        </w:rPr>
        <w:t xml:space="preserve">Liu, G., Jack, H., Piette, A., Mangezi, W., Machando, D., Rwafa, C., Goldenberg, M., Abas, M., &amp; Hill, D. (2016). Mental health training for health workers in Africa : a systematic review. </w:t>
      </w:r>
      <w:r w:rsidRPr="00FC32F4">
        <w:rPr>
          <w:rFonts w:ascii="Times New Roman" w:hAnsi="Times New Roman" w:cs="Times New Roman"/>
          <w:i/>
          <w:iCs/>
          <w:noProof/>
          <w:sz w:val="24"/>
          <w:szCs w:val="24"/>
        </w:rPr>
        <w:t>The Lancet Psychiatry</w:t>
      </w:r>
      <w:r w:rsidRPr="00FC32F4">
        <w:rPr>
          <w:rFonts w:ascii="Times New Roman" w:hAnsi="Times New Roman" w:cs="Times New Roman"/>
          <w:noProof/>
          <w:sz w:val="24"/>
          <w:szCs w:val="24"/>
        </w:rPr>
        <w:t xml:space="preserve">, </w:t>
      </w:r>
      <w:r w:rsidRPr="00FC32F4">
        <w:rPr>
          <w:rFonts w:ascii="Times New Roman" w:hAnsi="Times New Roman" w:cs="Times New Roman"/>
          <w:i/>
          <w:iCs/>
          <w:noProof/>
          <w:sz w:val="24"/>
          <w:szCs w:val="24"/>
        </w:rPr>
        <w:t>3</w:t>
      </w:r>
      <w:r w:rsidRPr="00FC32F4">
        <w:rPr>
          <w:rFonts w:ascii="Times New Roman" w:hAnsi="Times New Roman" w:cs="Times New Roman"/>
          <w:noProof/>
          <w:sz w:val="24"/>
          <w:szCs w:val="24"/>
        </w:rPr>
        <w:t>, 65–76. https://doi.org/10.1016/S2215-0366(15)00379-X</w:t>
      </w:r>
    </w:p>
    <w:p w14:paraId="433E426E" w14:textId="77777777" w:rsidR="00057E40" w:rsidRPr="00FC32F4" w:rsidRDefault="00057E40" w:rsidP="00057E40">
      <w:pPr>
        <w:widowControl w:val="0"/>
        <w:autoSpaceDE w:val="0"/>
        <w:autoSpaceDN w:val="0"/>
        <w:adjustRightInd w:val="0"/>
        <w:spacing w:line="240" w:lineRule="auto"/>
        <w:ind w:left="480" w:hanging="480"/>
        <w:rPr>
          <w:rFonts w:ascii="Times New Roman" w:hAnsi="Times New Roman" w:cs="Times New Roman"/>
          <w:noProof/>
          <w:sz w:val="24"/>
          <w:szCs w:val="24"/>
        </w:rPr>
      </w:pPr>
      <w:r w:rsidRPr="00FC32F4">
        <w:rPr>
          <w:rFonts w:ascii="Times New Roman" w:hAnsi="Times New Roman" w:cs="Times New Roman"/>
          <w:noProof/>
          <w:sz w:val="24"/>
          <w:szCs w:val="24"/>
        </w:rPr>
        <w:t xml:space="preserve">Lora, A., Hanna, F., &amp; Chisholm, D. (2017). Mental health service availability and delivery at the global level: an analysis by countries’ income level from WHO’s Mental Health Atlas 2014. </w:t>
      </w:r>
      <w:r w:rsidRPr="00FC32F4">
        <w:rPr>
          <w:rFonts w:ascii="Times New Roman" w:hAnsi="Times New Roman" w:cs="Times New Roman"/>
          <w:i/>
          <w:iCs/>
          <w:noProof/>
          <w:sz w:val="24"/>
          <w:szCs w:val="24"/>
        </w:rPr>
        <w:t>Epidemiology and Psychiatric Sciences</w:t>
      </w:r>
      <w:r w:rsidRPr="00FC32F4">
        <w:rPr>
          <w:rFonts w:ascii="Times New Roman" w:hAnsi="Times New Roman" w:cs="Times New Roman"/>
          <w:noProof/>
          <w:sz w:val="24"/>
          <w:szCs w:val="24"/>
        </w:rPr>
        <w:t xml:space="preserve">, </w:t>
      </w:r>
      <w:r w:rsidRPr="00FC32F4">
        <w:rPr>
          <w:rFonts w:ascii="Times New Roman" w:hAnsi="Times New Roman" w:cs="Times New Roman"/>
          <w:i/>
          <w:iCs/>
          <w:noProof/>
          <w:sz w:val="24"/>
          <w:szCs w:val="24"/>
        </w:rPr>
        <w:t>2020</w:t>
      </w:r>
      <w:r w:rsidRPr="00FC32F4">
        <w:rPr>
          <w:rFonts w:ascii="Times New Roman" w:hAnsi="Times New Roman" w:cs="Times New Roman"/>
          <w:noProof/>
          <w:sz w:val="24"/>
          <w:szCs w:val="24"/>
        </w:rPr>
        <w:t>, 1–12. https://doi.org/10.1017/S2045796017000075</w:t>
      </w:r>
    </w:p>
    <w:p w14:paraId="46873E1E" w14:textId="77777777" w:rsidR="00057E40" w:rsidRPr="00FC32F4" w:rsidRDefault="00057E40" w:rsidP="00057E40">
      <w:pPr>
        <w:widowControl w:val="0"/>
        <w:autoSpaceDE w:val="0"/>
        <w:autoSpaceDN w:val="0"/>
        <w:adjustRightInd w:val="0"/>
        <w:spacing w:line="240" w:lineRule="auto"/>
        <w:ind w:left="480" w:hanging="480"/>
        <w:rPr>
          <w:rFonts w:ascii="Times New Roman" w:hAnsi="Times New Roman" w:cs="Times New Roman"/>
          <w:noProof/>
          <w:sz w:val="24"/>
          <w:szCs w:val="24"/>
        </w:rPr>
      </w:pPr>
      <w:r w:rsidRPr="00FC32F4">
        <w:rPr>
          <w:rFonts w:ascii="Times New Roman" w:hAnsi="Times New Roman" w:cs="Times New Roman"/>
          <w:noProof/>
          <w:sz w:val="24"/>
          <w:szCs w:val="24"/>
        </w:rPr>
        <w:t xml:space="preserve">Mulvaney-Day, N., Marshall, T., Downey Piscopo, K., Korsen, N., Lynch, S., Karnell, L. H., Moran, G. E., Daniels, A. S., &amp; Ghose, S. S. (2018a). Screening for Behavioral Health Conditions in Primary Care Settings: A Systematic Review of the Literature. </w:t>
      </w:r>
      <w:r w:rsidRPr="00FC32F4">
        <w:rPr>
          <w:rFonts w:ascii="Times New Roman" w:hAnsi="Times New Roman" w:cs="Times New Roman"/>
          <w:i/>
          <w:iCs/>
          <w:noProof/>
          <w:sz w:val="24"/>
          <w:szCs w:val="24"/>
        </w:rPr>
        <w:t>Journal of General Internal Medicine</w:t>
      </w:r>
      <w:r w:rsidRPr="00FC32F4">
        <w:rPr>
          <w:rFonts w:ascii="Times New Roman" w:hAnsi="Times New Roman" w:cs="Times New Roman"/>
          <w:noProof/>
          <w:sz w:val="24"/>
          <w:szCs w:val="24"/>
        </w:rPr>
        <w:t xml:space="preserve">, </w:t>
      </w:r>
      <w:r w:rsidRPr="00FC32F4">
        <w:rPr>
          <w:rFonts w:ascii="Times New Roman" w:hAnsi="Times New Roman" w:cs="Times New Roman"/>
          <w:i/>
          <w:iCs/>
          <w:noProof/>
          <w:sz w:val="24"/>
          <w:szCs w:val="24"/>
        </w:rPr>
        <w:t>33</w:t>
      </w:r>
      <w:r w:rsidRPr="00FC32F4">
        <w:rPr>
          <w:rFonts w:ascii="Times New Roman" w:hAnsi="Times New Roman" w:cs="Times New Roman"/>
          <w:noProof/>
          <w:sz w:val="24"/>
          <w:szCs w:val="24"/>
        </w:rPr>
        <w:t>(3), 335–346. https://doi.org/10.1007/s11606-017-4181-0</w:t>
      </w:r>
    </w:p>
    <w:p w14:paraId="4D66DBAA" w14:textId="77777777" w:rsidR="00057E40" w:rsidRPr="00FC32F4" w:rsidRDefault="00057E40" w:rsidP="00057E40">
      <w:pPr>
        <w:widowControl w:val="0"/>
        <w:autoSpaceDE w:val="0"/>
        <w:autoSpaceDN w:val="0"/>
        <w:adjustRightInd w:val="0"/>
        <w:spacing w:line="240" w:lineRule="auto"/>
        <w:ind w:left="480" w:hanging="480"/>
        <w:rPr>
          <w:rFonts w:ascii="Times New Roman" w:hAnsi="Times New Roman" w:cs="Times New Roman"/>
          <w:noProof/>
          <w:sz w:val="24"/>
          <w:szCs w:val="24"/>
        </w:rPr>
      </w:pPr>
      <w:r w:rsidRPr="00FC32F4">
        <w:rPr>
          <w:rFonts w:ascii="Times New Roman" w:hAnsi="Times New Roman" w:cs="Times New Roman"/>
          <w:noProof/>
          <w:sz w:val="24"/>
          <w:szCs w:val="24"/>
        </w:rPr>
        <w:t xml:space="preserve">Mulvaney-Day, N., Marshall, T., Downey Piscopo, K., Korsen, N., Lynch, S., Karnell, L. H., Moran, G. E., Daniels, A. S., &amp; Ghose, S. S. (2018b). Screening for Behavioral Health Conditions in Primary Care Settings: A Systematic  Review of the Literature. </w:t>
      </w:r>
      <w:r w:rsidRPr="00FC32F4">
        <w:rPr>
          <w:rFonts w:ascii="Times New Roman" w:hAnsi="Times New Roman" w:cs="Times New Roman"/>
          <w:i/>
          <w:iCs/>
          <w:noProof/>
          <w:sz w:val="24"/>
          <w:szCs w:val="24"/>
        </w:rPr>
        <w:t>Journal of General Internal Medicine</w:t>
      </w:r>
      <w:r w:rsidRPr="00FC32F4">
        <w:rPr>
          <w:rFonts w:ascii="Times New Roman" w:hAnsi="Times New Roman" w:cs="Times New Roman"/>
          <w:noProof/>
          <w:sz w:val="24"/>
          <w:szCs w:val="24"/>
        </w:rPr>
        <w:t xml:space="preserve">, </w:t>
      </w:r>
      <w:r w:rsidRPr="00FC32F4">
        <w:rPr>
          <w:rFonts w:ascii="Times New Roman" w:hAnsi="Times New Roman" w:cs="Times New Roman"/>
          <w:i/>
          <w:iCs/>
          <w:noProof/>
          <w:sz w:val="24"/>
          <w:szCs w:val="24"/>
        </w:rPr>
        <w:t>33</w:t>
      </w:r>
      <w:r w:rsidRPr="00FC32F4">
        <w:rPr>
          <w:rFonts w:ascii="Times New Roman" w:hAnsi="Times New Roman" w:cs="Times New Roman"/>
          <w:noProof/>
          <w:sz w:val="24"/>
          <w:szCs w:val="24"/>
        </w:rPr>
        <w:t>(3), 335–346. https://doi.org/10.1007/s11606-017-4181-0</w:t>
      </w:r>
    </w:p>
    <w:p w14:paraId="7E05EFA2" w14:textId="77777777" w:rsidR="00057E40" w:rsidRPr="00FC32F4" w:rsidRDefault="00057E40" w:rsidP="00057E40">
      <w:pPr>
        <w:widowControl w:val="0"/>
        <w:autoSpaceDE w:val="0"/>
        <w:autoSpaceDN w:val="0"/>
        <w:adjustRightInd w:val="0"/>
        <w:spacing w:line="240" w:lineRule="auto"/>
        <w:ind w:left="480" w:hanging="480"/>
        <w:rPr>
          <w:rFonts w:ascii="Times New Roman" w:hAnsi="Times New Roman" w:cs="Times New Roman"/>
          <w:noProof/>
          <w:sz w:val="24"/>
          <w:szCs w:val="24"/>
        </w:rPr>
      </w:pPr>
      <w:r w:rsidRPr="00FC32F4">
        <w:rPr>
          <w:rFonts w:ascii="Times New Roman" w:hAnsi="Times New Roman" w:cs="Times New Roman"/>
          <w:noProof/>
          <w:sz w:val="24"/>
          <w:szCs w:val="24"/>
        </w:rPr>
        <w:t xml:space="preserve">Newson, J. J., Hunter, D., &amp; Thiagarajan, T. C. (2020). The Heterogeneity of Mental Health Assessment. </w:t>
      </w:r>
      <w:r w:rsidRPr="00FC32F4">
        <w:rPr>
          <w:rFonts w:ascii="Times New Roman" w:hAnsi="Times New Roman" w:cs="Times New Roman"/>
          <w:i/>
          <w:iCs/>
          <w:noProof/>
          <w:sz w:val="24"/>
          <w:szCs w:val="24"/>
        </w:rPr>
        <w:t>Frontiers in Psychiatry</w:t>
      </w:r>
      <w:r w:rsidRPr="00FC32F4">
        <w:rPr>
          <w:rFonts w:ascii="Times New Roman" w:hAnsi="Times New Roman" w:cs="Times New Roman"/>
          <w:noProof/>
          <w:sz w:val="24"/>
          <w:szCs w:val="24"/>
        </w:rPr>
        <w:t xml:space="preserve">, </w:t>
      </w:r>
      <w:r w:rsidRPr="00FC32F4">
        <w:rPr>
          <w:rFonts w:ascii="Times New Roman" w:hAnsi="Times New Roman" w:cs="Times New Roman"/>
          <w:i/>
          <w:iCs/>
          <w:noProof/>
          <w:sz w:val="24"/>
          <w:szCs w:val="24"/>
        </w:rPr>
        <w:t>11</w:t>
      </w:r>
      <w:r w:rsidRPr="00FC32F4">
        <w:rPr>
          <w:rFonts w:ascii="Times New Roman" w:hAnsi="Times New Roman" w:cs="Times New Roman"/>
          <w:noProof/>
          <w:sz w:val="24"/>
          <w:szCs w:val="24"/>
        </w:rPr>
        <w:t>(February), 1–24. https://doi.org/10.3389/fpsyt.2020.00076</w:t>
      </w:r>
    </w:p>
    <w:p w14:paraId="44C702C0" w14:textId="77777777" w:rsidR="00057E40" w:rsidRPr="00FC32F4" w:rsidRDefault="00057E40" w:rsidP="00057E40">
      <w:pPr>
        <w:widowControl w:val="0"/>
        <w:autoSpaceDE w:val="0"/>
        <w:autoSpaceDN w:val="0"/>
        <w:adjustRightInd w:val="0"/>
        <w:spacing w:line="240" w:lineRule="auto"/>
        <w:ind w:left="480" w:hanging="480"/>
        <w:rPr>
          <w:rFonts w:ascii="Times New Roman" w:hAnsi="Times New Roman" w:cs="Times New Roman"/>
          <w:noProof/>
          <w:sz w:val="24"/>
          <w:szCs w:val="24"/>
        </w:rPr>
      </w:pPr>
      <w:r w:rsidRPr="00FC32F4">
        <w:rPr>
          <w:rFonts w:ascii="Times New Roman" w:hAnsi="Times New Roman" w:cs="Times New Roman"/>
          <w:noProof/>
          <w:sz w:val="24"/>
          <w:szCs w:val="24"/>
        </w:rPr>
        <w:t xml:space="preserve">Okyere, E., Mwanri, L., &amp; Ward, P. (2017). Is task-shifting a solution to the health workers’ shortage in Northern Ghana? </w:t>
      </w:r>
      <w:r w:rsidRPr="00FC32F4">
        <w:rPr>
          <w:rFonts w:ascii="Times New Roman" w:hAnsi="Times New Roman" w:cs="Times New Roman"/>
          <w:i/>
          <w:iCs/>
          <w:noProof/>
          <w:sz w:val="24"/>
          <w:szCs w:val="24"/>
        </w:rPr>
        <w:t>PLoS ONE</w:t>
      </w:r>
      <w:r w:rsidRPr="00FC32F4">
        <w:rPr>
          <w:rFonts w:ascii="Times New Roman" w:hAnsi="Times New Roman" w:cs="Times New Roman"/>
          <w:noProof/>
          <w:sz w:val="24"/>
          <w:szCs w:val="24"/>
        </w:rPr>
        <w:t xml:space="preserve">, </w:t>
      </w:r>
      <w:r w:rsidRPr="00FC32F4">
        <w:rPr>
          <w:rFonts w:ascii="Times New Roman" w:hAnsi="Times New Roman" w:cs="Times New Roman"/>
          <w:i/>
          <w:iCs/>
          <w:noProof/>
          <w:sz w:val="24"/>
          <w:szCs w:val="24"/>
        </w:rPr>
        <w:t>12</w:t>
      </w:r>
      <w:r w:rsidRPr="00FC32F4">
        <w:rPr>
          <w:rFonts w:ascii="Times New Roman" w:hAnsi="Times New Roman" w:cs="Times New Roman"/>
          <w:noProof/>
          <w:sz w:val="24"/>
          <w:szCs w:val="24"/>
        </w:rPr>
        <w:t>(3), 1–22. https://doi.org/10.1371/journal.pone.0174631</w:t>
      </w:r>
    </w:p>
    <w:p w14:paraId="21C164FB" w14:textId="77777777" w:rsidR="00057E40" w:rsidRPr="00FC32F4" w:rsidRDefault="00057E40" w:rsidP="00057E40">
      <w:pPr>
        <w:widowControl w:val="0"/>
        <w:autoSpaceDE w:val="0"/>
        <w:autoSpaceDN w:val="0"/>
        <w:adjustRightInd w:val="0"/>
        <w:spacing w:line="240" w:lineRule="auto"/>
        <w:ind w:left="480" w:hanging="480"/>
        <w:rPr>
          <w:rFonts w:ascii="Times New Roman" w:hAnsi="Times New Roman" w:cs="Times New Roman"/>
          <w:noProof/>
          <w:sz w:val="24"/>
          <w:szCs w:val="24"/>
        </w:rPr>
      </w:pPr>
      <w:r w:rsidRPr="00FC32F4">
        <w:rPr>
          <w:rFonts w:ascii="Times New Roman" w:hAnsi="Times New Roman" w:cs="Times New Roman"/>
          <w:noProof/>
          <w:sz w:val="24"/>
          <w:szCs w:val="24"/>
        </w:rPr>
        <w:t xml:space="preserve">Oppong, S., Kretchy, I. A., Imbeah, E. P., &amp; Afrane, B. A. (2016a). Managing mental illness in Ghana: the state of commonly prescribed psychotropic medicines. </w:t>
      </w:r>
      <w:r w:rsidRPr="00FC32F4">
        <w:rPr>
          <w:rFonts w:ascii="Times New Roman" w:hAnsi="Times New Roman" w:cs="Times New Roman"/>
          <w:i/>
          <w:iCs/>
          <w:noProof/>
          <w:sz w:val="24"/>
          <w:szCs w:val="24"/>
        </w:rPr>
        <w:t>International Journal of Mental Health Systems</w:t>
      </w:r>
      <w:r w:rsidRPr="00FC32F4">
        <w:rPr>
          <w:rFonts w:ascii="Times New Roman" w:hAnsi="Times New Roman" w:cs="Times New Roman"/>
          <w:noProof/>
          <w:sz w:val="24"/>
          <w:szCs w:val="24"/>
        </w:rPr>
        <w:t xml:space="preserve">, </w:t>
      </w:r>
      <w:r w:rsidRPr="00FC32F4">
        <w:rPr>
          <w:rFonts w:ascii="Times New Roman" w:hAnsi="Times New Roman" w:cs="Times New Roman"/>
          <w:i/>
          <w:iCs/>
          <w:noProof/>
          <w:sz w:val="24"/>
          <w:szCs w:val="24"/>
        </w:rPr>
        <w:t>10</w:t>
      </w:r>
      <w:r w:rsidRPr="00FC32F4">
        <w:rPr>
          <w:rFonts w:ascii="Times New Roman" w:hAnsi="Times New Roman" w:cs="Times New Roman"/>
          <w:noProof/>
          <w:sz w:val="24"/>
          <w:szCs w:val="24"/>
        </w:rPr>
        <w:t>(1), 28. https://doi.org/10.1186/s13033-016-0061-y</w:t>
      </w:r>
    </w:p>
    <w:p w14:paraId="134BB3DF" w14:textId="77777777" w:rsidR="00057E40" w:rsidRPr="00FC32F4" w:rsidRDefault="00057E40" w:rsidP="00057E40">
      <w:pPr>
        <w:widowControl w:val="0"/>
        <w:autoSpaceDE w:val="0"/>
        <w:autoSpaceDN w:val="0"/>
        <w:adjustRightInd w:val="0"/>
        <w:spacing w:line="240" w:lineRule="auto"/>
        <w:ind w:left="480" w:hanging="480"/>
        <w:rPr>
          <w:rFonts w:ascii="Times New Roman" w:hAnsi="Times New Roman" w:cs="Times New Roman"/>
          <w:noProof/>
          <w:sz w:val="24"/>
          <w:szCs w:val="24"/>
        </w:rPr>
      </w:pPr>
      <w:r w:rsidRPr="00FC32F4">
        <w:rPr>
          <w:rFonts w:ascii="Times New Roman" w:hAnsi="Times New Roman" w:cs="Times New Roman"/>
          <w:noProof/>
          <w:sz w:val="24"/>
          <w:szCs w:val="24"/>
        </w:rPr>
        <w:t xml:space="preserve">Oppong, S., Kretchy, I. A., Imbeah, E. P., &amp; Afrane, B. A. (2016b). Managing mental illness in Ghana: The state of commonly prescribed psychotropic medicines. </w:t>
      </w:r>
      <w:r w:rsidRPr="00FC32F4">
        <w:rPr>
          <w:rFonts w:ascii="Times New Roman" w:hAnsi="Times New Roman" w:cs="Times New Roman"/>
          <w:i/>
          <w:iCs/>
          <w:noProof/>
          <w:sz w:val="24"/>
          <w:szCs w:val="24"/>
        </w:rPr>
        <w:t>International Journal of Mental Health Systems</w:t>
      </w:r>
      <w:r w:rsidRPr="00FC32F4">
        <w:rPr>
          <w:rFonts w:ascii="Times New Roman" w:hAnsi="Times New Roman" w:cs="Times New Roman"/>
          <w:noProof/>
          <w:sz w:val="24"/>
          <w:szCs w:val="24"/>
        </w:rPr>
        <w:t xml:space="preserve">, </w:t>
      </w:r>
      <w:r w:rsidRPr="00FC32F4">
        <w:rPr>
          <w:rFonts w:ascii="Times New Roman" w:hAnsi="Times New Roman" w:cs="Times New Roman"/>
          <w:i/>
          <w:iCs/>
          <w:noProof/>
          <w:sz w:val="24"/>
          <w:szCs w:val="24"/>
        </w:rPr>
        <w:t>10</w:t>
      </w:r>
      <w:r w:rsidRPr="00FC32F4">
        <w:rPr>
          <w:rFonts w:ascii="Times New Roman" w:hAnsi="Times New Roman" w:cs="Times New Roman"/>
          <w:noProof/>
          <w:sz w:val="24"/>
          <w:szCs w:val="24"/>
        </w:rPr>
        <w:t>(1), 1–10. https://doi.org/10.1186/s13033-016-0061-y</w:t>
      </w:r>
    </w:p>
    <w:p w14:paraId="5A403ED0" w14:textId="77777777" w:rsidR="00057E40" w:rsidRPr="00FC32F4" w:rsidRDefault="00057E40" w:rsidP="00057E40">
      <w:pPr>
        <w:widowControl w:val="0"/>
        <w:autoSpaceDE w:val="0"/>
        <w:autoSpaceDN w:val="0"/>
        <w:adjustRightInd w:val="0"/>
        <w:spacing w:line="240" w:lineRule="auto"/>
        <w:ind w:left="480" w:hanging="480"/>
        <w:rPr>
          <w:rFonts w:ascii="Times New Roman" w:hAnsi="Times New Roman" w:cs="Times New Roman"/>
          <w:noProof/>
          <w:sz w:val="24"/>
          <w:szCs w:val="24"/>
        </w:rPr>
      </w:pPr>
      <w:r w:rsidRPr="00FC32F4">
        <w:rPr>
          <w:rFonts w:ascii="Times New Roman" w:hAnsi="Times New Roman" w:cs="Times New Roman"/>
          <w:noProof/>
          <w:sz w:val="24"/>
          <w:szCs w:val="24"/>
        </w:rPr>
        <w:t xml:space="preserve">Patel, V. (2007). Mental health in low- and middle-income countries. </w:t>
      </w:r>
      <w:r w:rsidRPr="00FC32F4">
        <w:rPr>
          <w:rFonts w:ascii="Times New Roman" w:hAnsi="Times New Roman" w:cs="Times New Roman"/>
          <w:i/>
          <w:iCs/>
          <w:noProof/>
          <w:sz w:val="24"/>
          <w:szCs w:val="24"/>
        </w:rPr>
        <w:t>British Medical Bulletin</w:t>
      </w:r>
      <w:r w:rsidRPr="00FC32F4">
        <w:rPr>
          <w:rFonts w:ascii="Times New Roman" w:hAnsi="Times New Roman" w:cs="Times New Roman"/>
          <w:noProof/>
          <w:sz w:val="24"/>
          <w:szCs w:val="24"/>
        </w:rPr>
        <w:t xml:space="preserve">, </w:t>
      </w:r>
      <w:r w:rsidRPr="00FC32F4">
        <w:rPr>
          <w:rFonts w:ascii="Times New Roman" w:hAnsi="Times New Roman" w:cs="Times New Roman"/>
          <w:i/>
          <w:iCs/>
          <w:noProof/>
          <w:sz w:val="24"/>
          <w:szCs w:val="24"/>
        </w:rPr>
        <w:t>81</w:t>
      </w:r>
      <w:r w:rsidRPr="00FC32F4">
        <w:rPr>
          <w:rFonts w:ascii="Times New Roman" w:hAnsi="Times New Roman" w:cs="Times New Roman"/>
          <w:noProof/>
          <w:sz w:val="24"/>
          <w:szCs w:val="24"/>
        </w:rPr>
        <w:t>–</w:t>
      </w:r>
      <w:r w:rsidRPr="00FC32F4">
        <w:rPr>
          <w:rFonts w:ascii="Times New Roman" w:hAnsi="Times New Roman" w:cs="Times New Roman"/>
          <w:i/>
          <w:iCs/>
          <w:noProof/>
          <w:sz w:val="24"/>
          <w:szCs w:val="24"/>
        </w:rPr>
        <w:t>82</w:t>
      </w:r>
      <w:r w:rsidRPr="00FC32F4">
        <w:rPr>
          <w:rFonts w:ascii="Times New Roman" w:hAnsi="Times New Roman" w:cs="Times New Roman"/>
          <w:noProof/>
          <w:sz w:val="24"/>
          <w:szCs w:val="24"/>
        </w:rPr>
        <w:t>(1), 81–96. https://doi.org/10.1093/bmb/ldm010</w:t>
      </w:r>
    </w:p>
    <w:p w14:paraId="6DB6925E" w14:textId="77777777" w:rsidR="00057E40" w:rsidRPr="00FC32F4" w:rsidRDefault="00057E40" w:rsidP="00057E40">
      <w:pPr>
        <w:widowControl w:val="0"/>
        <w:autoSpaceDE w:val="0"/>
        <w:autoSpaceDN w:val="0"/>
        <w:adjustRightInd w:val="0"/>
        <w:spacing w:line="240" w:lineRule="auto"/>
        <w:ind w:left="480" w:hanging="480"/>
        <w:rPr>
          <w:rFonts w:ascii="Times New Roman" w:hAnsi="Times New Roman" w:cs="Times New Roman"/>
          <w:noProof/>
          <w:sz w:val="24"/>
          <w:szCs w:val="24"/>
        </w:rPr>
      </w:pPr>
      <w:r w:rsidRPr="00FC32F4">
        <w:rPr>
          <w:rFonts w:ascii="Times New Roman" w:hAnsi="Times New Roman" w:cs="Times New Roman"/>
          <w:noProof/>
          <w:sz w:val="24"/>
          <w:szCs w:val="24"/>
        </w:rPr>
        <w:t xml:space="preserve">Perkins, D. O., Jeffries, C. D., Addington, J., Bearden, C. E., Cadenhead, K. S., Cannon, T. D., Cornblatt, B. A., Mathalon, D. H., McGlashan, T. H., Seidman, L. J., Tsuang, M. T., Walker, E. F., Woods, S. W., &amp; Heinssen, R. (2015). Towards a Psychosis Risk Blood Diagnostic for Persons Experiencing High-Risk Symptoms: Preliminary Results from the NAPLS Project. </w:t>
      </w:r>
      <w:r w:rsidRPr="00FC32F4">
        <w:rPr>
          <w:rFonts w:ascii="Times New Roman" w:hAnsi="Times New Roman" w:cs="Times New Roman"/>
          <w:i/>
          <w:iCs/>
          <w:noProof/>
          <w:sz w:val="24"/>
          <w:szCs w:val="24"/>
        </w:rPr>
        <w:t>Schizophrenia Bulletin</w:t>
      </w:r>
      <w:r w:rsidRPr="00FC32F4">
        <w:rPr>
          <w:rFonts w:ascii="Times New Roman" w:hAnsi="Times New Roman" w:cs="Times New Roman"/>
          <w:noProof/>
          <w:sz w:val="24"/>
          <w:szCs w:val="24"/>
        </w:rPr>
        <w:t xml:space="preserve">, </w:t>
      </w:r>
      <w:r w:rsidRPr="00FC32F4">
        <w:rPr>
          <w:rFonts w:ascii="Times New Roman" w:hAnsi="Times New Roman" w:cs="Times New Roman"/>
          <w:i/>
          <w:iCs/>
          <w:noProof/>
          <w:sz w:val="24"/>
          <w:szCs w:val="24"/>
        </w:rPr>
        <w:t>41</w:t>
      </w:r>
      <w:r w:rsidRPr="00FC32F4">
        <w:rPr>
          <w:rFonts w:ascii="Times New Roman" w:hAnsi="Times New Roman" w:cs="Times New Roman"/>
          <w:noProof/>
          <w:sz w:val="24"/>
          <w:szCs w:val="24"/>
        </w:rPr>
        <w:t>(2), 419–428. https://doi.org/10.1093/schbul/sbu099</w:t>
      </w:r>
    </w:p>
    <w:p w14:paraId="101A1411" w14:textId="77777777" w:rsidR="00057E40" w:rsidRPr="00FC32F4" w:rsidRDefault="00057E40" w:rsidP="00057E40">
      <w:pPr>
        <w:widowControl w:val="0"/>
        <w:autoSpaceDE w:val="0"/>
        <w:autoSpaceDN w:val="0"/>
        <w:adjustRightInd w:val="0"/>
        <w:spacing w:line="240" w:lineRule="auto"/>
        <w:ind w:left="480" w:hanging="480"/>
        <w:rPr>
          <w:rFonts w:ascii="Times New Roman" w:hAnsi="Times New Roman" w:cs="Times New Roman"/>
          <w:noProof/>
          <w:sz w:val="24"/>
          <w:szCs w:val="24"/>
        </w:rPr>
      </w:pPr>
      <w:r w:rsidRPr="00FC32F4">
        <w:rPr>
          <w:rFonts w:ascii="Times New Roman" w:hAnsi="Times New Roman" w:cs="Times New Roman"/>
          <w:noProof/>
          <w:sz w:val="24"/>
          <w:szCs w:val="24"/>
        </w:rPr>
        <w:t xml:space="preserve">Peter, T. F., Rotz, P. D., Blair, D. H., Khine, A. A., Freeman, R. R., &amp; Murtagh, M. M. (2010). Impact of laboratory accreditation on patient care and the health system. </w:t>
      </w:r>
      <w:r w:rsidRPr="00FC32F4">
        <w:rPr>
          <w:rFonts w:ascii="Times New Roman" w:hAnsi="Times New Roman" w:cs="Times New Roman"/>
          <w:i/>
          <w:iCs/>
          <w:noProof/>
          <w:sz w:val="24"/>
          <w:szCs w:val="24"/>
        </w:rPr>
        <w:t>American Journal of Clinical Pathology</w:t>
      </w:r>
      <w:r w:rsidRPr="00FC32F4">
        <w:rPr>
          <w:rFonts w:ascii="Times New Roman" w:hAnsi="Times New Roman" w:cs="Times New Roman"/>
          <w:noProof/>
          <w:sz w:val="24"/>
          <w:szCs w:val="24"/>
        </w:rPr>
        <w:t xml:space="preserve">, </w:t>
      </w:r>
      <w:r w:rsidRPr="00FC32F4">
        <w:rPr>
          <w:rFonts w:ascii="Times New Roman" w:hAnsi="Times New Roman" w:cs="Times New Roman"/>
          <w:i/>
          <w:iCs/>
          <w:noProof/>
          <w:sz w:val="24"/>
          <w:szCs w:val="24"/>
        </w:rPr>
        <w:t>134</w:t>
      </w:r>
      <w:r w:rsidRPr="00FC32F4">
        <w:rPr>
          <w:rFonts w:ascii="Times New Roman" w:hAnsi="Times New Roman" w:cs="Times New Roman"/>
          <w:noProof/>
          <w:sz w:val="24"/>
          <w:szCs w:val="24"/>
        </w:rPr>
        <w:t xml:space="preserve">(4), 550–555. </w:t>
      </w:r>
      <w:r w:rsidRPr="00FC32F4">
        <w:rPr>
          <w:rFonts w:ascii="Times New Roman" w:hAnsi="Times New Roman" w:cs="Times New Roman"/>
          <w:noProof/>
          <w:sz w:val="24"/>
          <w:szCs w:val="24"/>
        </w:rPr>
        <w:lastRenderedPageBreak/>
        <w:t>https://doi.org/10.1309/AJCPH1SKQ1HNWGHF</w:t>
      </w:r>
    </w:p>
    <w:p w14:paraId="538083A7" w14:textId="77777777" w:rsidR="00057E40" w:rsidRPr="00FC32F4" w:rsidRDefault="00057E40" w:rsidP="00057E40">
      <w:pPr>
        <w:widowControl w:val="0"/>
        <w:autoSpaceDE w:val="0"/>
        <w:autoSpaceDN w:val="0"/>
        <w:adjustRightInd w:val="0"/>
        <w:spacing w:line="240" w:lineRule="auto"/>
        <w:ind w:left="480" w:hanging="480"/>
        <w:rPr>
          <w:rFonts w:ascii="Times New Roman" w:hAnsi="Times New Roman" w:cs="Times New Roman"/>
          <w:noProof/>
          <w:sz w:val="24"/>
          <w:szCs w:val="24"/>
        </w:rPr>
      </w:pPr>
      <w:r w:rsidRPr="00FC32F4">
        <w:rPr>
          <w:rFonts w:ascii="Times New Roman" w:hAnsi="Times New Roman" w:cs="Times New Roman"/>
          <w:noProof/>
          <w:sz w:val="24"/>
          <w:szCs w:val="24"/>
        </w:rPr>
        <w:t xml:space="preserve">Rameez, S., &amp; Nasir, A. (2023). Barriers to mental health treatment in primary care practice in low- and middle-income countries in a post-covid era: A systematic review. </w:t>
      </w:r>
      <w:r w:rsidRPr="00FC32F4">
        <w:rPr>
          <w:rFonts w:ascii="Times New Roman" w:hAnsi="Times New Roman" w:cs="Times New Roman"/>
          <w:i/>
          <w:iCs/>
          <w:noProof/>
          <w:sz w:val="24"/>
          <w:szCs w:val="24"/>
        </w:rPr>
        <w:t>Journal of Family Medicine and Primary Care</w:t>
      </w:r>
      <w:r w:rsidRPr="00FC32F4">
        <w:rPr>
          <w:rFonts w:ascii="Times New Roman" w:hAnsi="Times New Roman" w:cs="Times New Roman"/>
          <w:noProof/>
          <w:sz w:val="24"/>
          <w:szCs w:val="24"/>
        </w:rPr>
        <w:t xml:space="preserve">, </w:t>
      </w:r>
      <w:r w:rsidRPr="00FC32F4">
        <w:rPr>
          <w:rFonts w:ascii="Times New Roman" w:hAnsi="Times New Roman" w:cs="Times New Roman"/>
          <w:i/>
          <w:iCs/>
          <w:noProof/>
          <w:sz w:val="24"/>
          <w:szCs w:val="24"/>
        </w:rPr>
        <w:t>12</w:t>
      </w:r>
      <w:r w:rsidRPr="00FC32F4">
        <w:rPr>
          <w:rFonts w:ascii="Times New Roman" w:hAnsi="Times New Roman" w:cs="Times New Roman"/>
          <w:noProof/>
          <w:sz w:val="24"/>
          <w:szCs w:val="24"/>
        </w:rPr>
        <w:t>(8). https://journals.lww.com/jfmpc/fulltext/2023/08000/barriers_to_mental_health_treatment_in_primary.2.aspx</w:t>
      </w:r>
    </w:p>
    <w:p w14:paraId="04476F58" w14:textId="77777777" w:rsidR="00057E40" w:rsidRPr="00FC32F4" w:rsidRDefault="00057E40" w:rsidP="00057E40">
      <w:pPr>
        <w:widowControl w:val="0"/>
        <w:autoSpaceDE w:val="0"/>
        <w:autoSpaceDN w:val="0"/>
        <w:adjustRightInd w:val="0"/>
        <w:spacing w:line="240" w:lineRule="auto"/>
        <w:ind w:left="480" w:hanging="480"/>
        <w:rPr>
          <w:rFonts w:ascii="Times New Roman" w:hAnsi="Times New Roman" w:cs="Times New Roman"/>
          <w:noProof/>
          <w:sz w:val="24"/>
          <w:szCs w:val="24"/>
        </w:rPr>
      </w:pPr>
      <w:r w:rsidRPr="00FC32F4">
        <w:rPr>
          <w:rFonts w:ascii="Times New Roman" w:hAnsi="Times New Roman" w:cs="Times New Roman"/>
          <w:noProof/>
          <w:sz w:val="24"/>
          <w:szCs w:val="24"/>
        </w:rPr>
        <w:t xml:space="preserve">Rathod, S., Pinninti, N., Irfan, M., Gorczynski, P., Gega, L., Rathod, P., &amp; Naeem, F. (2017). Mental Health Service Provision in Low- and Middle-Income Countries. </w:t>
      </w:r>
      <w:r w:rsidRPr="00FC32F4">
        <w:rPr>
          <w:rFonts w:ascii="Times New Roman" w:hAnsi="Times New Roman" w:cs="Times New Roman"/>
          <w:i/>
          <w:iCs/>
          <w:noProof/>
          <w:sz w:val="24"/>
          <w:szCs w:val="24"/>
        </w:rPr>
        <w:t>Health Services Insights</w:t>
      </w:r>
      <w:r w:rsidRPr="00FC32F4">
        <w:rPr>
          <w:rFonts w:ascii="Times New Roman" w:hAnsi="Times New Roman" w:cs="Times New Roman"/>
          <w:noProof/>
          <w:sz w:val="24"/>
          <w:szCs w:val="24"/>
        </w:rPr>
        <w:t xml:space="preserve">, </w:t>
      </w:r>
      <w:r w:rsidRPr="00FC32F4">
        <w:rPr>
          <w:rFonts w:ascii="Times New Roman" w:hAnsi="Times New Roman" w:cs="Times New Roman"/>
          <w:i/>
          <w:iCs/>
          <w:noProof/>
          <w:sz w:val="24"/>
          <w:szCs w:val="24"/>
        </w:rPr>
        <w:t>10</w:t>
      </w:r>
      <w:r w:rsidRPr="00FC32F4">
        <w:rPr>
          <w:rFonts w:ascii="Times New Roman" w:hAnsi="Times New Roman" w:cs="Times New Roman"/>
          <w:noProof/>
          <w:sz w:val="24"/>
          <w:szCs w:val="24"/>
        </w:rPr>
        <w:t>(0). https://doi.org/10.1177/1178632917694350</w:t>
      </w:r>
    </w:p>
    <w:p w14:paraId="438735FF" w14:textId="77777777" w:rsidR="00057E40" w:rsidRPr="00FC32F4" w:rsidRDefault="00057E40" w:rsidP="00057E40">
      <w:pPr>
        <w:widowControl w:val="0"/>
        <w:autoSpaceDE w:val="0"/>
        <w:autoSpaceDN w:val="0"/>
        <w:adjustRightInd w:val="0"/>
        <w:spacing w:line="240" w:lineRule="auto"/>
        <w:ind w:left="480" w:hanging="480"/>
        <w:rPr>
          <w:rFonts w:ascii="Times New Roman" w:hAnsi="Times New Roman" w:cs="Times New Roman"/>
          <w:noProof/>
          <w:sz w:val="24"/>
          <w:szCs w:val="24"/>
        </w:rPr>
      </w:pPr>
      <w:r w:rsidRPr="00FC32F4">
        <w:rPr>
          <w:rFonts w:ascii="Times New Roman" w:hAnsi="Times New Roman" w:cs="Times New Roman"/>
          <w:noProof/>
          <w:sz w:val="24"/>
          <w:szCs w:val="24"/>
        </w:rPr>
        <w:t xml:space="preserve">Rogers, R., Hartigan, S. E., &amp; Sanders, C. E. (2021). Identifying Mental Disorders in Primary Care: Diagnostic Accuracy of the Connected Mind Fast Check (CMFC) Electronic Screen. </w:t>
      </w:r>
      <w:r w:rsidRPr="00FC32F4">
        <w:rPr>
          <w:rFonts w:ascii="Times New Roman" w:hAnsi="Times New Roman" w:cs="Times New Roman"/>
          <w:i/>
          <w:iCs/>
          <w:noProof/>
          <w:sz w:val="24"/>
          <w:szCs w:val="24"/>
        </w:rPr>
        <w:t>Journal of Clinical Psychology in Medical Settings</w:t>
      </w:r>
      <w:r w:rsidRPr="00FC32F4">
        <w:rPr>
          <w:rFonts w:ascii="Times New Roman" w:hAnsi="Times New Roman" w:cs="Times New Roman"/>
          <w:noProof/>
          <w:sz w:val="24"/>
          <w:szCs w:val="24"/>
        </w:rPr>
        <w:t xml:space="preserve">, </w:t>
      </w:r>
      <w:r w:rsidRPr="00FC32F4">
        <w:rPr>
          <w:rFonts w:ascii="Times New Roman" w:hAnsi="Times New Roman" w:cs="Times New Roman"/>
          <w:i/>
          <w:iCs/>
          <w:noProof/>
          <w:sz w:val="24"/>
          <w:szCs w:val="24"/>
        </w:rPr>
        <w:t>28</w:t>
      </w:r>
      <w:r w:rsidRPr="00FC32F4">
        <w:rPr>
          <w:rFonts w:ascii="Times New Roman" w:hAnsi="Times New Roman" w:cs="Times New Roman"/>
          <w:noProof/>
          <w:sz w:val="24"/>
          <w:szCs w:val="24"/>
        </w:rPr>
        <w:t>(4), 882–896. https://doi.org/10.1007/s10880-021-09820-1</w:t>
      </w:r>
    </w:p>
    <w:p w14:paraId="352F45DD" w14:textId="77777777" w:rsidR="00057E40" w:rsidRPr="00FC32F4" w:rsidRDefault="00057E40" w:rsidP="00057E40">
      <w:pPr>
        <w:widowControl w:val="0"/>
        <w:autoSpaceDE w:val="0"/>
        <w:autoSpaceDN w:val="0"/>
        <w:adjustRightInd w:val="0"/>
        <w:spacing w:line="240" w:lineRule="auto"/>
        <w:ind w:left="480" w:hanging="480"/>
        <w:rPr>
          <w:rFonts w:ascii="Times New Roman" w:hAnsi="Times New Roman" w:cs="Times New Roman"/>
          <w:noProof/>
          <w:sz w:val="24"/>
          <w:szCs w:val="24"/>
        </w:rPr>
      </w:pPr>
      <w:r w:rsidRPr="00FC32F4">
        <w:rPr>
          <w:rFonts w:ascii="Times New Roman" w:hAnsi="Times New Roman" w:cs="Times New Roman"/>
          <w:noProof/>
          <w:sz w:val="24"/>
          <w:szCs w:val="24"/>
        </w:rPr>
        <w:t xml:space="preserve">Sambrook Smith, M., Cairns, L., Pullen, L. S. W., Opondo, C., Fellmeth, G., &amp; Alderdice, F. (2022). Validated tools to identify common mental disorders in the perinatal period: A systematic review of systematic reviews. </w:t>
      </w:r>
      <w:r w:rsidRPr="00FC32F4">
        <w:rPr>
          <w:rFonts w:ascii="Times New Roman" w:hAnsi="Times New Roman" w:cs="Times New Roman"/>
          <w:i/>
          <w:iCs/>
          <w:noProof/>
          <w:sz w:val="24"/>
          <w:szCs w:val="24"/>
        </w:rPr>
        <w:t>Journal of Affective Disorders</w:t>
      </w:r>
      <w:r w:rsidRPr="00FC32F4">
        <w:rPr>
          <w:rFonts w:ascii="Times New Roman" w:hAnsi="Times New Roman" w:cs="Times New Roman"/>
          <w:noProof/>
          <w:sz w:val="24"/>
          <w:szCs w:val="24"/>
        </w:rPr>
        <w:t xml:space="preserve">, </w:t>
      </w:r>
      <w:r w:rsidRPr="00FC32F4">
        <w:rPr>
          <w:rFonts w:ascii="Times New Roman" w:hAnsi="Times New Roman" w:cs="Times New Roman"/>
          <w:i/>
          <w:iCs/>
          <w:noProof/>
          <w:sz w:val="24"/>
          <w:szCs w:val="24"/>
        </w:rPr>
        <w:t>298</w:t>
      </w:r>
      <w:r w:rsidRPr="00FC32F4">
        <w:rPr>
          <w:rFonts w:ascii="Times New Roman" w:hAnsi="Times New Roman" w:cs="Times New Roman"/>
          <w:noProof/>
          <w:sz w:val="24"/>
          <w:szCs w:val="24"/>
        </w:rPr>
        <w:t>, 634–643. https://doi.org/https://doi.org/10.1016/j.jad.2021.11.011</w:t>
      </w:r>
    </w:p>
    <w:p w14:paraId="7197FB09" w14:textId="77777777" w:rsidR="00057E40" w:rsidRPr="00FC32F4" w:rsidRDefault="00057E40" w:rsidP="00057E40">
      <w:pPr>
        <w:widowControl w:val="0"/>
        <w:autoSpaceDE w:val="0"/>
        <w:autoSpaceDN w:val="0"/>
        <w:adjustRightInd w:val="0"/>
        <w:spacing w:line="240" w:lineRule="auto"/>
        <w:ind w:left="480" w:hanging="480"/>
        <w:rPr>
          <w:rFonts w:ascii="Times New Roman" w:hAnsi="Times New Roman" w:cs="Times New Roman"/>
          <w:noProof/>
          <w:sz w:val="24"/>
          <w:szCs w:val="24"/>
        </w:rPr>
      </w:pPr>
      <w:r w:rsidRPr="00FC32F4">
        <w:rPr>
          <w:rFonts w:ascii="Times New Roman" w:hAnsi="Times New Roman" w:cs="Times New Roman"/>
          <w:noProof/>
          <w:sz w:val="24"/>
          <w:szCs w:val="24"/>
        </w:rPr>
        <w:t xml:space="preserve">Snyderman, D., &amp; Rovner, B. W. (2009). Mental Status Examination in Primary Care: A Review. </w:t>
      </w:r>
      <w:r w:rsidRPr="00FC32F4">
        <w:rPr>
          <w:rFonts w:ascii="Times New Roman" w:hAnsi="Times New Roman" w:cs="Times New Roman"/>
          <w:i/>
          <w:iCs/>
          <w:noProof/>
          <w:sz w:val="24"/>
          <w:szCs w:val="24"/>
        </w:rPr>
        <w:t>American Family Physician</w:t>
      </w:r>
      <w:r w:rsidRPr="00FC32F4">
        <w:rPr>
          <w:rFonts w:ascii="Times New Roman" w:hAnsi="Times New Roman" w:cs="Times New Roman"/>
          <w:noProof/>
          <w:sz w:val="24"/>
          <w:szCs w:val="24"/>
        </w:rPr>
        <w:t xml:space="preserve">, </w:t>
      </w:r>
      <w:r w:rsidRPr="00FC32F4">
        <w:rPr>
          <w:rFonts w:ascii="Times New Roman" w:hAnsi="Times New Roman" w:cs="Times New Roman"/>
          <w:i/>
          <w:iCs/>
          <w:noProof/>
          <w:sz w:val="24"/>
          <w:szCs w:val="24"/>
        </w:rPr>
        <w:t>80</w:t>
      </w:r>
      <w:r w:rsidRPr="00FC32F4">
        <w:rPr>
          <w:rFonts w:ascii="Times New Roman" w:hAnsi="Times New Roman" w:cs="Times New Roman"/>
          <w:noProof/>
          <w:sz w:val="24"/>
          <w:szCs w:val="24"/>
        </w:rPr>
        <w:t>(8), 809–810.</w:t>
      </w:r>
    </w:p>
    <w:p w14:paraId="6E867A9C" w14:textId="77777777" w:rsidR="00057E40" w:rsidRPr="00FC32F4" w:rsidRDefault="00057E40" w:rsidP="00057E40">
      <w:pPr>
        <w:widowControl w:val="0"/>
        <w:autoSpaceDE w:val="0"/>
        <w:autoSpaceDN w:val="0"/>
        <w:adjustRightInd w:val="0"/>
        <w:spacing w:line="240" w:lineRule="auto"/>
        <w:ind w:left="480" w:hanging="480"/>
        <w:rPr>
          <w:rFonts w:ascii="Times New Roman" w:hAnsi="Times New Roman" w:cs="Times New Roman"/>
          <w:noProof/>
          <w:sz w:val="24"/>
          <w:szCs w:val="24"/>
        </w:rPr>
      </w:pPr>
      <w:r w:rsidRPr="00FC32F4">
        <w:rPr>
          <w:rFonts w:ascii="Times New Roman" w:hAnsi="Times New Roman" w:cs="Times New Roman"/>
          <w:noProof/>
          <w:sz w:val="24"/>
          <w:szCs w:val="24"/>
        </w:rPr>
        <w:t xml:space="preserve">Sousa, D. (2014). Validation in Qualitative Research: General Aspects and Specificities of the Descriptive Phenomenological Method. </w:t>
      </w:r>
      <w:r w:rsidRPr="00FC32F4">
        <w:rPr>
          <w:rFonts w:ascii="Times New Roman" w:hAnsi="Times New Roman" w:cs="Times New Roman"/>
          <w:i/>
          <w:iCs/>
          <w:noProof/>
          <w:sz w:val="24"/>
          <w:szCs w:val="24"/>
        </w:rPr>
        <w:t>Qualitative Research in Psychology</w:t>
      </w:r>
      <w:r w:rsidRPr="00FC32F4">
        <w:rPr>
          <w:rFonts w:ascii="Times New Roman" w:hAnsi="Times New Roman" w:cs="Times New Roman"/>
          <w:noProof/>
          <w:sz w:val="24"/>
          <w:szCs w:val="24"/>
        </w:rPr>
        <w:t xml:space="preserve">, </w:t>
      </w:r>
      <w:r w:rsidRPr="00FC32F4">
        <w:rPr>
          <w:rFonts w:ascii="Times New Roman" w:hAnsi="Times New Roman" w:cs="Times New Roman"/>
          <w:i/>
          <w:iCs/>
          <w:noProof/>
          <w:sz w:val="24"/>
          <w:szCs w:val="24"/>
        </w:rPr>
        <w:t>11</w:t>
      </w:r>
      <w:r w:rsidRPr="00FC32F4">
        <w:rPr>
          <w:rFonts w:ascii="Times New Roman" w:hAnsi="Times New Roman" w:cs="Times New Roman"/>
          <w:noProof/>
          <w:sz w:val="24"/>
          <w:szCs w:val="24"/>
        </w:rPr>
        <w:t>(2), 211–227. https://doi.org/10.1080/14780887.2013.853855</w:t>
      </w:r>
    </w:p>
    <w:p w14:paraId="381A93B4" w14:textId="77777777" w:rsidR="00057E40" w:rsidRPr="00FC32F4" w:rsidRDefault="00057E40" w:rsidP="00057E40">
      <w:pPr>
        <w:widowControl w:val="0"/>
        <w:autoSpaceDE w:val="0"/>
        <w:autoSpaceDN w:val="0"/>
        <w:adjustRightInd w:val="0"/>
        <w:spacing w:line="240" w:lineRule="auto"/>
        <w:ind w:left="480" w:hanging="480"/>
        <w:rPr>
          <w:rFonts w:ascii="Times New Roman" w:hAnsi="Times New Roman" w:cs="Times New Roman"/>
          <w:noProof/>
          <w:sz w:val="24"/>
          <w:szCs w:val="24"/>
        </w:rPr>
      </w:pPr>
      <w:r w:rsidRPr="00FC32F4">
        <w:rPr>
          <w:rFonts w:ascii="Times New Roman" w:hAnsi="Times New Roman" w:cs="Times New Roman"/>
          <w:noProof/>
          <w:sz w:val="24"/>
          <w:szCs w:val="24"/>
        </w:rPr>
        <w:t xml:space="preserve">Tejada, P., García, J., Sharma, V., &amp; Jaramillo, L. E. (2016). The Global Mental Health Assessment Tool Primary Care and General Health Setting Version ( GMHAT / PC ) – Spanish version : A validity and feasibility study. </w:t>
      </w:r>
      <w:r w:rsidRPr="00FC32F4">
        <w:rPr>
          <w:rFonts w:ascii="Times New Roman" w:hAnsi="Times New Roman" w:cs="Times New Roman"/>
          <w:i/>
          <w:iCs/>
          <w:noProof/>
          <w:sz w:val="24"/>
          <w:szCs w:val="24"/>
        </w:rPr>
        <w:t>European Journal of Psychiatry</w:t>
      </w:r>
      <w:r w:rsidRPr="00FC32F4">
        <w:rPr>
          <w:rFonts w:ascii="Times New Roman" w:hAnsi="Times New Roman" w:cs="Times New Roman"/>
          <w:noProof/>
          <w:sz w:val="24"/>
          <w:szCs w:val="24"/>
        </w:rPr>
        <w:t xml:space="preserve">, </w:t>
      </w:r>
      <w:r w:rsidRPr="00FC32F4">
        <w:rPr>
          <w:rFonts w:ascii="Times New Roman" w:hAnsi="Times New Roman" w:cs="Times New Roman"/>
          <w:i/>
          <w:iCs/>
          <w:noProof/>
          <w:sz w:val="24"/>
          <w:szCs w:val="24"/>
        </w:rPr>
        <w:t>30</w:t>
      </w:r>
      <w:r w:rsidRPr="00FC32F4">
        <w:rPr>
          <w:rFonts w:ascii="Times New Roman" w:hAnsi="Times New Roman" w:cs="Times New Roman"/>
          <w:noProof/>
          <w:sz w:val="24"/>
          <w:szCs w:val="24"/>
        </w:rPr>
        <w:t>(January), 195–204.</w:t>
      </w:r>
    </w:p>
    <w:p w14:paraId="6EA142EB" w14:textId="77777777" w:rsidR="00057E40" w:rsidRPr="00FC32F4" w:rsidRDefault="00057E40" w:rsidP="00057E40">
      <w:pPr>
        <w:widowControl w:val="0"/>
        <w:autoSpaceDE w:val="0"/>
        <w:autoSpaceDN w:val="0"/>
        <w:adjustRightInd w:val="0"/>
        <w:spacing w:line="240" w:lineRule="auto"/>
        <w:ind w:left="480" w:hanging="480"/>
        <w:rPr>
          <w:rFonts w:ascii="Times New Roman" w:hAnsi="Times New Roman" w:cs="Times New Roman"/>
          <w:noProof/>
          <w:sz w:val="24"/>
          <w:szCs w:val="24"/>
        </w:rPr>
      </w:pPr>
      <w:r w:rsidRPr="00FC32F4">
        <w:rPr>
          <w:rFonts w:ascii="Times New Roman" w:hAnsi="Times New Roman" w:cs="Times New Roman"/>
          <w:noProof/>
          <w:sz w:val="24"/>
          <w:szCs w:val="24"/>
        </w:rPr>
        <w:t xml:space="preserve">Thornicroft, G., Mehta, N., Clement, S., Evans-Lacko, S., Doherty, M., Rose, D., Koschorke, M., Shidhaye, R., O’Reilly, C., &amp; Henderson, C. (2016). Evidence for effective interventions to reduce mental-health-related stigma and  discrimination. </w:t>
      </w:r>
      <w:r w:rsidRPr="00FC32F4">
        <w:rPr>
          <w:rFonts w:ascii="Times New Roman" w:hAnsi="Times New Roman" w:cs="Times New Roman"/>
          <w:i/>
          <w:iCs/>
          <w:noProof/>
          <w:sz w:val="24"/>
          <w:szCs w:val="24"/>
        </w:rPr>
        <w:t>Lancet (London, England)</w:t>
      </w:r>
      <w:r w:rsidRPr="00FC32F4">
        <w:rPr>
          <w:rFonts w:ascii="Times New Roman" w:hAnsi="Times New Roman" w:cs="Times New Roman"/>
          <w:noProof/>
          <w:sz w:val="24"/>
          <w:szCs w:val="24"/>
        </w:rPr>
        <w:t xml:space="preserve">, </w:t>
      </w:r>
      <w:r w:rsidRPr="00FC32F4">
        <w:rPr>
          <w:rFonts w:ascii="Times New Roman" w:hAnsi="Times New Roman" w:cs="Times New Roman"/>
          <w:i/>
          <w:iCs/>
          <w:noProof/>
          <w:sz w:val="24"/>
          <w:szCs w:val="24"/>
        </w:rPr>
        <w:t>387</w:t>
      </w:r>
      <w:r w:rsidRPr="00FC32F4">
        <w:rPr>
          <w:rFonts w:ascii="Times New Roman" w:hAnsi="Times New Roman" w:cs="Times New Roman"/>
          <w:noProof/>
          <w:sz w:val="24"/>
          <w:szCs w:val="24"/>
        </w:rPr>
        <w:t>(10023), 1123–1132. https://doi.org/10.1016/S0140-6736(15)00298-6</w:t>
      </w:r>
    </w:p>
    <w:p w14:paraId="3B912C1B" w14:textId="77777777" w:rsidR="00057E40" w:rsidRPr="00FC32F4" w:rsidRDefault="00057E40" w:rsidP="00057E40">
      <w:pPr>
        <w:widowControl w:val="0"/>
        <w:autoSpaceDE w:val="0"/>
        <w:autoSpaceDN w:val="0"/>
        <w:adjustRightInd w:val="0"/>
        <w:spacing w:line="240" w:lineRule="auto"/>
        <w:ind w:left="480" w:hanging="480"/>
        <w:rPr>
          <w:rFonts w:ascii="Times New Roman" w:hAnsi="Times New Roman" w:cs="Times New Roman"/>
          <w:noProof/>
          <w:sz w:val="24"/>
          <w:szCs w:val="24"/>
        </w:rPr>
      </w:pPr>
      <w:r w:rsidRPr="00FC32F4">
        <w:rPr>
          <w:rFonts w:ascii="Times New Roman" w:hAnsi="Times New Roman" w:cs="Times New Roman"/>
          <w:noProof/>
          <w:sz w:val="24"/>
          <w:szCs w:val="24"/>
        </w:rPr>
        <w:t xml:space="preserve">Vanezis, A. P., &amp; Manns, D. (2010). Physical examinations of mental health service users. </w:t>
      </w:r>
      <w:r w:rsidRPr="00FC32F4">
        <w:rPr>
          <w:rFonts w:ascii="Times New Roman" w:hAnsi="Times New Roman" w:cs="Times New Roman"/>
          <w:i/>
          <w:iCs/>
          <w:noProof/>
          <w:sz w:val="24"/>
          <w:szCs w:val="24"/>
        </w:rPr>
        <w:t>Progress in Neurology and Psychiatry</w:t>
      </w:r>
      <w:r w:rsidRPr="00FC32F4">
        <w:rPr>
          <w:rFonts w:ascii="Times New Roman" w:hAnsi="Times New Roman" w:cs="Times New Roman"/>
          <w:noProof/>
          <w:sz w:val="24"/>
          <w:szCs w:val="24"/>
        </w:rPr>
        <w:t xml:space="preserve">, </w:t>
      </w:r>
      <w:r w:rsidRPr="00FC32F4">
        <w:rPr>
          <w:rFonts w:ascii="Times New Roman" w:hAnsi="Times New Roman" w:cs="Times New Roman"/>
          <w:i/>
          <w:iCs/>
          <w:noProof/>
          <w:sz w:val="24"/>
          <w:szCs w:val="24"/>
        </w:rPr>
        <w:t>14</w:t>
      </w:r>
      <w:r w:rsidRPr="00FC32F4">
        <w:rPr>
          <w:rFonts w:ascii="Times New Roman" w:hAnsi="Times New Roman" w:cs="Times New Roman"/>
          <w:noProof/>
          <w:sz w:val="24"/>
          <w:szCs w:val="24"/>
        </w:rPr>
        <w:t>(4), 19–23. https://doi.org/10.1002/pnp.168</w:t>
      </w:r>
    </w:p>
    <w:p w14:paraId="4B55CFAA" w14:textId="77777777" w:rsidR="00057E40" w:rsidRPr="00FC32F4" w:rsidRDefault="00057E40" w:rsidP="00057E40">
      <w:pPr>
        <w:widowControl w:val="0"/>
        <w:autoSpaceDE w:val="0"/>
        <w:autoSpaceDN w:val="0"/>
        <w:adjustRightInd w:val="0"/>
        <w:spacing w:line="240" w:lineRule="auto"/>
        <w:ind w:left="480" w:hanging="480"/>
        <w:rPr>
          <w:rFonts w:ascii="Times New Roman" w:hAnsi="Times New Roman" w:cs="Times New Roman"/>
          <w:noProof/>
          <w:sz w:val="24"/>
          <w:szCs w:val="24"/>
        </w:rPr>
      </w:pPr>
      <w:r w:rsidRPr="00FC32F4">
        <w:rPr>
          <w:rFonts w:ascii="Times New Roman" w:hAnsi="Times New Roman" w:cs="Times New Roman"/>
          <w:noProof/>
          <w:sz w:val="24"/>
          <w:szCs w:val="24"/>
        </w:rPr>
        <w:t xml:space="preserve">Waqas, A., Koukab, A., Meraj, H., Dua, T., Chowdhary, N., Fatima, B., &amp; Rahman, A. (2022). Screening programs for common maternal mental health disorders among perinatal women: report of the systematic review of evidence. </w:t>
      </w:r>
      <w:r w:rsidRPr="00FC32F4">
        <w:rPr>
          <w:rFonts w:ascii="Times New Roman" w:hAnsi="Times New Roman" w:cs="Times New Roman"/>
          <w:i/>
          <w:iCs/>
          <w:noProof/>
          <w:sz w:val="24"/>
          <w:szCs w:val="24"/>
        </w:rPr>
        <w:t>BMC Psychiatry</w:t>
      </w:r>
      <w:r w:rsidRPr="00FC32F4">
        <w:rPr>
          <w:rFonts w:ascii="Times New Roman" w:hAnsi="Times New Roman" w:cs="Times New Roman"/>
          <w:noProof/>
          <w:sz w:val="24"/>
          <w:szCs w:val="24"/>
        </w:rPr>
        <w:t xml:space="preserve">, </w:t>
      </w:r>
      <w:r w:rsidRPr="00FC32F4">
        <w:rPr>
          <w:rFonts w:ascii="Times New Roman" w:hAnsi="Times New Roman" w:cs="Times New Roman"/>
          <w:i/>
          <w:iCs/>
          <w:noProof/>
          <w:sz w:val="24"/>
          <w:szCs w:val="24"/>
        </w:rPr>
        <w:t>22</w:t>
      </w:r>
      <w:r w:rsidRPr="00FC32F4">
        <w:rPr>
          <w:rFonts w:ascii="Times New Roman" w:hAnsi="Times New Roman" w:cs="Times New Roman"/>
          <w:noProof/>
          <w:sz w:val="24"/>
          <w:szCs w:val="24"/>
        </w:rPr>
        <w:t>(1), 1–18. https://doi.org/10.1186/s12888-022-03694-9</w:t>
      </w:r>
    </w:p>
    <w:p w14:paraId="360C8E04" w14:textId="77777777" w:rsidR="00057E40" w:rsidRPr="00FC32F4" w:rsidRDefault="00057E40" w:rsidP="00057E40">
      <w:pPr>
        <w:widowControl w:val="0"/>
        <w:autoSpaceDE w:val="0"/>
        <w:autoSpaceDN w:val="0"/>
        <w:adjustRightInd w:val="0"/>
        <w:spacing w:line="240" w:lineRule="auto"/>
        <w:ind w:left="480" w:hanging="480"/>
        <w:rPr>
          <w:rFonts w:ascii="Times New Roman" w:hAnsi="Times New Roman" w:cs="Times New Roman"/>
          <w:noProof/>
          <w:sz w:val="24"/>
          <w:szCs w:val="24"/>
        </w:rPr>
      </w:pPr>
      <w:r w:rsidRPr="00FC32F4">
        <w:rPr>
          <w:rFonts w:ascii="Times New Roman" w:hAnsi="Times New Roman" w:cs="Times New Roman"/>
          <w:noProof/>
          <w:sz w:val="24"/>
          <w:szCs w:val="24"/>
        </w:rPr>
        <w:t xml:space="preserve">Whitton, A. E., Hardy, R., Cope, K., Gieng, C., Gow, L., MacKinnon, A., Gale, N., O’Moore, K., Anderson, J., Proudfoot, J., Cockayne, N., O’Dea, B., Christensen, H., &amp; Newby, J. M. (2021). Mental Health Screening in General Practices as a Means for Enhancing Uptake of Digital Mental Health Interventions: Observational Cohort Study. </w:t>
      </w:r>
      <w:r w:rsidRPr="00FC32F4">
        <w:rPr>
          <w:rFonts w:ascii="Times New Roman" w:hAnsi="Times New Roman" w:cs="Times New Roman"/>
          <w:i/>
          <w:iCs/>
          <w:noProof/>
          <w:sz w:val="24"/>
          <w:szCs w:val="24"/>
        </w:rPr>
        <w:t>J Med Internet Res</w:t>
      </w:r>
      <w:r w:rsidRPr="00FC32F4">
        <w:rPr>
          <w:rFonts w:ascii="Times New Roman" w:hAnsi="Times New Roman" w:cs="Times New Roman"/>
          <w:noProof/>
          <w:sz w:val="24"/>
          <w:szCs w:val="24"/>
        </w:rPr>
        <w:t xml:space="preserve">, </w:t>
      </w:r>
      <w:r w:rsidRPr="00FC32F4">
        <w:rPr>
          <w:rFonts w:ascii="Times New Roman" w:hAnsi="Times New Roman" w:cs="Times New Roman"/>
          <w:i/>
          <w:iCs/>
          <w:noProof/>
          <w:sz w:val="24"/>
          <w:szCs w:val="24"/>
        </w:rPr>
        <w:t>23</w:t>
      </w:r>
      <w:r w:rsidRPr="00FC32F4">
        <w:rPr>
          <w:rFonts w:ascii="Times New Roman" w:hAnsi="Times New Roman" w:cs="Times New Roman"/>
          <w:noProof/>
          <w:sz w:val="24"/>
          <w:szCs w:val="24"/>
        </w:rPr>
        <w:t>(9), e28369. https://doi.org/10.2196/28369</w:t>
      </w:r>
    </w:p>
    <w:p w14:paraId="1AB10074" w14:textId="77777777" w:rsidR="00A64C2E" w:rsidRPr="00FC32F4" w:rsidRDefault="00057E40" w:rsidP="00487A25">
      <w:pPr>
        <w:rPr>
          <w:rFonts w:ascii="Times New Roman" w:hAnsi="Times New Roman" w:cs="Times New Roman"/>
          <w:sz w:val="24"/>
          <w:szCs w:val="24"/>
        </w:rPr>
      </w:pPr>
      <w:r w:rsidRPr="00FC32F4">
        <w:rPr>
          <w:rFonts w:ascii="Times New Roman" w:hAnsi="Times New Roman" w:cs="Times New Roman"/>
          <w:sz w:val="24"/>
          <w:szCs w:val="24"/>
        </w:rPr>
        <w:fldChar w:fldCharType="end"/>
      </w:r>
    </w:p>
    <w:sectPr w:rsidR="00A64C2E" w:rsidRPr="00FC32F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166F2" w14:textId="77777777" w:rsidR="00E33166" w:rsidRDefault="00E33166" w:rsidP="00872BD3">
      <w:pPr>
        <w:spacing w:after="0" w:line="240" w:lineRule="auto"/>
      </w:pPr>
      <w:r>
        <w:separator/>
      </w:r>
    </w:p>
  </w:endnote>
  <w:endnote w:type="continuationSeparator" w:id="0">
    <w:p w14:paraId="1CA6B3CF" w14:textId="77777777" w:rsidR="00E33166" w:rsidRDefault="00E33166" w:rsidP="00872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054FB" w14:textId="77777777" w:rsidR="009F3728" w:rsidRDefault="009F37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58668" w14:textId="77777777" w:rsidR="009F3728" w:rsidRDefault="009F37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0FC63" w14:textId="77777777" w:rsidR="009F3728" w:rsidRDefault="009F3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E1EAB" w14:textId="77777777" w:rsidR="00E33166" w:rsidRDefault="00E33166" w:rsidP="00872BD3">
      <w:pPr>
        <w:spacing w:after="0" w:line="240" w:lineRule="auto"/>
      </w:pPr>
      <w:r>
        <w:separator/>
      </w:r>
    </w:p>
  </w:footnote>
  <w:footnote w:type="continuationSeparator" w:id="0">
    <w:p w14:paraId="4D0DF4E2" w14:textId="77777777" w:rsidR="00E33166" w:rsidRDefault="00E33166" w:rsidP="00872B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57762" w14:textId="6A3CC223" w:rsidR="009F3728" w:rsidRDefault="009F3728">
    <w:pPr>
      <w:pStyle w:val="Header"/>
    </w:pPr>
    <w:r>
      <w:rPr>
        <w:noProof/>
      </w:rPr>
      <w:pict w14:anchorId="285544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9059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ECC42" w14:textId="339AE93D" w:rsidR="009F3728" w:rsidRDefault="009F3728">
    <w:pPr>
      <w:pStyle w:val="Header"/>
    </w:pPr>
    <w:r>
      <w:rPr>
        <w:noProof/>
      </w:rPr>
      <w:pict w14:anchorId="39A615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9059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C613F" w14:textId="5B4E4895" w:rsidR="009F3728" w:rsidRDefault="009F3728">
    <w:pPr>
      <w:pStyle w:val="Header"/>
    </w:pPr>
    <w:r>
      <w:rPr>
        <w:noProof/>
      </w:rPr>
      <w:pict w14:anchorId="20CFB4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9059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865BE"/>
    <w:multiLevelType w:val="hybridMultilevel"/>
    <w:tmpl w:val="CF18453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 w15:restartNumberingAfterBreak="0">
    <w:nsid w:val="15494B05"/>
    <w:multiLevelType w:val="hybridMultilevel"/>
    <w:tmpl w:val="7BBEC66A"/>
    <w:lvl w:ilvl="0" w:tplc="4950E73A">
      <w:start w:val="1"/>
      <w:numFmt w:val="bullet"/>
      <w:lvlText w:val=""/>
      <w:lvlJc w:val="left"/>
      <w:pPr>
        <w:ind w:left="141" w:hanging="360"/>
      </w:pPr>
      <w:rPr>
        <w:rFonts w:ascii="Symbol" w:hAnsi="Symbol" w:hint="default"/>
      </w:rPr>
    </w:lvl>
    <w:lvl w:ilvl="1" w:tplc="3B5C9C9C" w:tentative="1">
      <w:start w:val="1"/>
      <w:numFmt w:val="bullet"/>
      <w:lvlText w:val="o"/>
      <w:lvlJc w:val="left"/>
      <w:pPr>
        <w:ind w:left="1080" w:hanging="360"/>
      </w:pPr>
      <w:rPr>
        <w:rFonts w:ascii="Courier New" w:hAnsi="Courier New" w:cs="Courier New" w:hint="default"/>
      </w:rPr>
    </w:lvl>
    <w:lvl w:ilvl="2" w:tplc="9B00F6C4" w:tentative="1">
      <w:start w:val="1"/>
      <w:numFmt w:val="bullet"/>
      <w:lvlText w:val=""/>
      <w:lvlJc w:val="left"/>
      <w:pPr>
        <w:ind w:left="1800" w:hanging="360"/>
      </w:pPr>
      <w:rPr>
        <w:rFonts w:ascii="Wingdings" w:hAnsi="Wingdings" w:hint="default"/>
      </w:rPr>
    </w:lvl>
    <w:lvl w:ilvl="3" w:tplc="67965474" w:tentative="1">
      <w:start w:val="1"/>
      <w:numFmt w:val="bullet"/>
      <w:lvlText w:val=""/>
      <w:lvlJc w:val="left"/>
      <w:pPr>
        <w:ind w:left="2520" w:hanging="360"/>
      </w:pPr>
      <w:rPr>
        <w:rFonts w:ascii="Symbol" w:hAnsi="Symbol" w:hint="default"/>
      </w:rPr>
    </w:lvl>
    <w:lvl w:ilvl="4" w:tplc="422C122A" w:tentative="1">
      <w:start w:val="1"/>
      <w:numFmt w:val="bullet"/>
      <w:lvlText w:val="o"/>
      <w:lvlJc w:val="left"/>
      <w:pPr>
        <w:ind w:left="3240" w:hanging="360"/>
      </w:pPr>
      <w:rPr>
        <w:rFonts w:ascii="Courier New" w:hAnsi="Courier New" w:cs="Courier New" w:hint="default"/>
      </w:rPr>
    </w:lvl>
    <w:lvl w:ilvl="5" w:tplc="4DA65AE4" w:tentative="1">
      <w:start w:val="1"/>
      <w:numFmt w:val="bullet"/>
      <w:lvlText w:val=""/>
      <w:lvlJc w:val="left"/>
      <w:pPr>
        <w:ind w:left="3960" w:hanging="360"/>
      </w:pPr>
      <w:rPr>
        <w:rFonts w:ascii="Wingdings" w:hAnsi="Wingdings" w:hint="default"/>
      </w:rPr>
    </w:lvl>
    <w:lvl w:ilvl="6" w:tplc="707C9D04" w:tentative="1">
      <w:start w:val="1"/>
      <w:numFmt w:val="bullet"/>
      <w:lvlText w:val=""/>
      <w:lvlJc w:val="left"/>
      <w:pPr>
        <w:ind w:left="4680" w:hanging="360"/>
      </w:pPr>
      <w:rPr>
        <w:rFonts w:ascii="Symbol" w:hAnsi="Symbol" w:hint="default"/>
      </w:rPr>
    </w:lvl>
    <w:lvl w:ilvl="7" w:tplc="333CEB78" w:tentative="1">
      <w:start w:val="1"/>
      <w:numFmt w:val="bullet"/>
      <w:lvlText w:val="o"/>
      <w:lvlJc w:val="left"/>
      <w:pPr>
        <w:ind w:left="5400" w:hanging="360"/>
      </w:pPr>
      <w:rPr>
        <w:rFonts w:ascii="Courier New" w:hAnsi="Courier New" w:cs="Courier New" w:hint="default"/>
      </w:rPr>
    </w:lvl>
    <w:lvl w:ilvl="8" w:tplc="184A5582" w:tentative="1">
      <w:start w:val="1"/>
      <w:numFmt w:val="bullet"/>
      <w:lvlText w:val=""/>
      <w:lvlJc w:val="left"/>
      <w:pPr>
        <w:ind w:left="6120" w:hanging="360"/>
      </w:pPr>
      <w:rPr>
        <w:rFonts w:ascii="Wingdings" w:hAnsi="Wingdings" w:hint="default"/>
      </w:rPr>
    </w:lvl>
  </w:abstractNum>
  <w:abstractNum w:abstractNumId="2" w15:restartNumberingAfterBreak="0">
    <w:nsid w:val="1AD4706C"/>
    <w:multiLevelType w:val="multilevel"/>
    <w:tmpl w:val="7F882614"/>
    <w:lvl w:ilvl="0">
      <w:start w:val="3"/>
      <w:numFmt w:val="decimal"/>
      <w:lvlText w:val="%1"/>
      <w:lvlJc w:val="left"/>
      <w:pPr>
        <w:ind w:left="480" w:hanging="480"/>
      </w:pPr>
      <w:rPr>
        <w:rFonts w:eastAsiaTheme="majorEastAsia" w:hint="default"/>
      </w:rPr>
    </w:lvl>
    <w:lvl w:ilvl="1">
      <w:start w:val="2"/>
      <w:numFmt w:val="decimal"/>
      <w:lvlText w:val="%1.%2"/>
      <w:lvlJc w:val="left"/>
      <w:pPr>
        <w:ind w:left="480" w:hanging="480"/>
      </w:pPr>
      <w:rPr>
        <w:rFonts w:eastAsiaTheme="majorEastAsia" w:hint="default"/>
      </w:rPr>
    </w:lvl>
    <w:lvl w:ilvl="2">
      <w:start w:val="4"/>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3" w15:restartNumberingAfterBreak="0">
    <w:nsid w:val="303E6DB5"/>
    <w:multiLevelType w:val="multilevel"/>
    <w:tmpl w:val="10B2F0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705290F"/>
    <w:multiLevelType w:val="multilevel"/>
    <w:tmpl w:val="A45C04F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336086"/>
    <w:multiLevelType w:val="hybridMultilevel"/>
    <w:tmpl w:val="668C95B4"/>
    <w:lvl w:ilvl="0" w:tplc="08C824BA">
      <w:start w:val="1"/>
      <w:numFmt w:val="bullet"/>
      <w:lvlText w:val=""/>
      <w:lvlJc w:val="left"/>
      <w:pPr>
        <w:ind w:left="501" w:hanging="360"/>
      </w:pPr>
      <w:rPr>
        <w:rFonts w:ascii="Symbol" w:hAnsi="Symbol" w:hint="default"/>
      </w:rPr>
    </w:lvl>
    <w:lvl w:ilvl="1" w:tplc="65F8451E" w:tentative="1">
      <w:start w:val="1"/>
      <w:numFmt w:val="bullet"/>
      <w:lvlText w:val="o"/>
      <w:lvlJc w:val="left"/>
      <w:pPr>
        <w:ind w:left="1221" w:hanging="360"/>
      </w:pPr>
      <w:rPr>
        <w:rFonts w:ascii="Courier New" w:hAnsi="Courier New" w:cs="Courier New" w:hint="default"/>
      </w:rPr>
    </w:lvl>
    <w:lvl w:ilvl="2" w:tplc="DFECFBB2" w:tentative="1">
      <w:start w:val="1"/>
      <w:numFmt w:val="bullet"/>
      <w:lvlText w:val=""/>
      <w:lvlJc w:val="left"/>
      <w:pPr>
        <w:ind w:left="1941" w:hanging="360"/>
      </w:pPr>
      <w:rPr>
        <w:rFonts w:ascii="Wingdings" w:hAnsi="Wingdings" w:hint="default"/>
      </w:rPr>
    </w:lvl>
    <w:lvl w:ilvl="3" w:tplc="7A98819A" w:tentative="1">
      <w:start w:val="1"/>
      <w:numFmt w:val="bullet"/>
      <w:lvlText w:val=""/>
      <w:lvlJc w:val="left"/>
      <w:pPr>
        <w:ind w:left="2661" w:hanging="360"/>
      </w:pPr>
      <w:rPr>
        <w:rFonts w:ascii="Symbol" w:hAnsi="Symbol" w:hint="default"/>
      </w:rPr>
    </w:lvl>
    <w:lvl w:ilvl="4" w:tplc="534C15FC" w:tentative="1">
      <w:start w:val="1"/>
      <w:numFmt w:val="bullet"/>
      <w:lvlText w:val="o"/>
      <w:lvlJc w:val="left"/>
      <w:pPr>
        <w:ind w:left="3381" w:hanging="360"/>
      </w:pPr>
      <w:rPr>
        <w:rFonts w:ascii="Courier New" w:hAnsi="Courier New" w:cs="Courier New" w:hint="default"/>
      </w:rPr>
    </w:lvl>
    <w:lvl w:ilvl="5" w:tplc="B0486DDC" w:tentative="1">
      <w:start w:val="1"/>
      <w:numFmt w:val="bullet"/>
      <w:lvlText w:val=""/>
      <w:lvlJc w:val="left"/>
      <w:pPr>
        <w:ind w:left="4101" w:hanging="360"/>
      </w:pPr>
      <w:rPr>
        <w:rFonts w:ascii="Wingdings" w:hAnsi="Wingdings" w:hint="default"/>
      </w:rPr>
    </w:lvl>
    <w:lvl w:ilvl="6" w:tplc="0AA259A8" w:tentative="1">
      <w:start w:val="1"/>
      <w:numFmt w:val="bullet"/>
      <w:lvlText w:val=""/>
      <w:lvlJc w:val="left"/>
      <w:pPr>
        <w:ind w:left="4821" w:hanging="360"/>
      </w:pPr>
      <w:rPr>
        <w:rFonts w:ascii="Symbol" w:hAnsi="Symbol" w:hint="default"/>
      </w:rPr>
    </w:lvl>
    <w:lvl w:ilvl="7" w:tplc="EA487D74" w:tentative="1">
      <w:start w:val="1"/>
      <w:numFmt w:val="bullet"/>
      <w:lvlText w:val="o"/>
      <w:lvlJc w:val="left"/>
      <w:pPr>
        <w:ind w:left="5541" w:hanging="360"/>
      </w:pPr>
      <w:rPr>
        <w:rFonts w:ascii="Courier New" w:hAnsi="Courier New" w:cs="Courier New" w:hint="default"/>
      </w:rPr>
    </w:lvl>
    <w:lvl w:ilvl="8" w:tplc="2BA23DA8" w:tentative="1">
      <w:start w:val="1"/>
      <w:numFmt w:val="bullet"/>
      <w:lvlText w:val=""/>
      <w:lvlJc w:val="left"/>
      <w:pPr>
        <w:ind w:left="6261" w:hanging="360"/>
      </w:pPr>
      <w:rPr>
        <w:rFonts w:ascii="Wingdings" w:hAnsi="Wingdings" w:hint="default"/>
      </w:rPr>
    </w:lvl>
  </w:abstractNum>
  <w:abstractNum w:abstractNumId="6" w15:restartNumberingAfterBreak="0">
    <w:nsid w:val="71341D67"/>
    <w:multiLevelType w:val="hybridMultilevel"/>
    <w:tmpl w:val="696C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EA3D3F"/>
    <w:multiLevelType w:val="hybridMultilevel"/>
    <w:tmpl w:val="8710DA1A"/>
    <w:lvl w:ilvl="0" w:tplc="9B244F9E">
      <w:start w:val="1"/>
      <w:numFmt w:val="bullet"/>
      <w:lvlText w:val=""/>
      <w:lvlJc w:val="left"/>
      <w:pPr>
        <w:ind w:left="501" w:hanging="360"/>
      </w:pPr>
      <w:rPr>
        <w:rFonts w:ascii="Symbol" w:hAnsi="Symbol" w:hint="default"/>
      </w:rPr>
    </w:lvl>
    <w:lvl w:ilvl="1" w:tplc="DBB8C014" w:tentative="1">
      <w:start w:val="1"/>
      <w:numFmt w:val="bullet"/>
      <w:lvlText w:val="o"/>
      <w:lvlJc w:val="left"/>
      <w:pPr>
        <w:ind w:left="1221" w:hanging="360"/>
      </w:pPr>
      <w:rPr>
        <w:rFonts w:ascii="Courier New" w:hAnsi="Courier New" w:cs="Courier New" w:hint="default"/>
      </w:rPr>
    </w:lvl>
    <w:lvl w:ilvl="2" w:tplc="77EAE2BA" w:tentative="1">
      <w:start w:val="1"/>
      <w:numFmt w:val="bullet"/>
      <w:lvlText w:val=""/>
      <w:lvlJc w:val="left"/>
      <w:pPr>
        <w:ind w:left="1941" w:hanging="360"/>
      </w:pPr>
      <w:rPr>
        <w:rFonts w:ascii="Wingdings" w:hAnsi="Wingdings" w:hint="default"/>
      </w:rPr>
    </w:lvl>
    <w:lvl w:ilvl="3" w:tplc="A72A5F6E" w:tentative="1">
      <w:start w:val="1"/>
      <w:numFmt w:val="bullet"/>
      <w:lvlText w:val=""/>
      <w:lvlJc w:val="left"/>
      <w:pPr>
        <w:ind w:left="2661" w:hanging="360"/>
      </w:pPr>
      <w:rPr>
        <w:rFonts w:ascii="Symbol" w:hAnsi="Symbol" w:hint="default"/>
      </w:rPr>
    </w:lvl>
    <w:lvl w:ilvl="4" w:tplc="6450AB1A" w:tentative="1">
      <w:start w:val="1"/>
      <w:numFmt w:val="bullet"/>
      <w:lvlText w:val="o"/>
      <w:lvlJc w:val="left"/>
      <w:pPr>
        <w:ind w:left="3381" w:hanging="360"/>
      </w:pPr>
      <w:rPr>
        <w:rFonts w:ascii="Courier New" w:hAnsi="Courier New" w:cs="Courier New" w:hint="default"/>
      </w:rPr>
    </w:lvl>
    <w:lvl w:ilvl="5" w:tplc="A2DA166E" w:tentative="1">
      <w:start w:val="1"/>
      <w:numFmt w:val="bullet"/>
      <w:lvlText w:val=""/>
      <w:lvlJc w:val="left"/>
      <w:pPr>
        <w:ind w:left="4101" w:hanging="360"/>
      </w:pPr>
      <w:rPr>
        <w:rFonts w:ascii="Wingdings" w:hAnsi="Wingdings" w:hint="default"/>
      </w:rPr>
    </w:lvl>
    <w:lvl w:ilvl="6" w:tplc="F6F6E708" w:tentative="1">
      <w:start w:val="1"/>
      <w:numFmt w:val="bullet"/>
      <w:lvlText w:val=""/>
      <w:lvlJc w:val="left"/>
      <w:pPr>
        <w:ind w:left="4821" w:hanging="360"/>
      </w:pPr>
      <w:rPr>
        <w:rFonts w:ascii="Symbol" w:hAnsi="Symbol" w:hint="default"/>
      </w:rPr>
    </w:lvl>
    <w:lvl w:ilvl="7" w:tplc="C2247D5C" w:tentative="1">
      <w:start w:val="1"/>
      <w:numFmt w:val="bullet"/>
      <w:lvlText w:val="o"/>
      <w:lvlJc w:val="left"/>
      <w:pPr>
        <w:ind w:left="5541" w:hanging="360"/>
      </w:pPr>
      <w:rPr>
        <w:rFonts w:ascii="Courier New" w:hAnsi="Courier New" w:cs="Courier New" w:hint="default"/>
      </w:rPr>
    </w:lvl>
    <w:lvl w:ilvl="8" w:tplc="D4F6662C" w:tentative="1">
      <w:start w:val="1"/>
      <w:numFmt w:val="bullet"/>
      <w:lvlText w:val=""/>
      <w:lvlJc w:val="left"/>
      <w:pPr>
        <w:ind w:left="6261" w:hanging="360"/>
      </w:pPr>
      <w:rPr>
        <w:rFonts w:ascii="Wingdings" w:hAnsi="Wingdings" w:hint="default"/>
      </w:rPr>
    </w:lvl>
  </w:abstractNum>
  <w:abstractNum w:abstractNumId="8" w15:restartNumberingAfterBreak="0">
    <w:nsid w:val="7D447F5D"/>
    <w:multiLevelType w:val="multilevel"/>
    <w:tmpl w:val="3BA0DE8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5"/>
  </w:num>
  <w:num w:numId="3">
    <w:abstractNumId w:val="7"/>
  </w:num>
  <w:num w:numId="4">
    <w:abstractNumId w:val="8"/>
  </w:num>
  <w:num w:numId="5">
    <w:abstractNumId w:val="3"/>
  </w:num>
  <w:num w:numId="6">
    <w:abstractNumId w:val="0"/>
  </w:num>
  <w:num w:numId="7">
    <w:abstractNumId w:val="4"/>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53A"/>
    <w:rsid w:val="00032BB2"/>
    <w:rsid w:val="00057C44"/>
    <w:rsid w:val="00057E40"/>
    <w:rsid w:val="00075A81"/>
    <w:rsid w:val="000C5CB7"/>
    <w:rsid w:val="000D40BC"/>
    <w:rsid w:val="00105727"/>
    <w:rsid w:val="001B3FF0"/>
    <w:rsid w:val="001B6592"/>
    <w:rsid w:val="00223E2D"/>
    <w:rsid w:val="00240016"/>
    <w:rsid w:val="00297F72"/>
    <w:rsid w:val="003473C4"/>
    <w:rsid w:val="003547D4"/>
    <w:rsid w:val="00361D6B"/>
    <w:rsid w:val="00372998"/>
    <w:rsid w:val="003B325A"/>
    <w:rsid w:val="003C193B"/>
    <w:rsid w:val="003F016A"/>
    <w:rsid w:val="00487A25"/>
    <w:rsid w:val="004C4FB3"/>
    <w:rsid w:val="004F2C62"/>
    <w:rsid w:val="004F353A"/>
    <w:rsid w:val="004F4238"/>
    <w:rsid w:val="004F5417"/>
    <w:rsid w:val="00506D8A"/>
    <w:rsid w:val="005136E8"/>
    <w:rsid w:val="00545CA2"/>
    <w:rsid w:val="005602DD"/>
    <w:rsid w:val="00576333"/>
    <w:rsid w:val="005867DF"/>
    <w:rsid w:val="005A20E3"/>
    <w:rsid w:val="005C064B"/>
    <w:rsid w:val="006144A7"/>
    <w:rsid w:val="006459A1"/>
    <w:rsid w:val="0068332A"/>
    <w:rsid w:val="006B0A4B"/>
    <w:rsid w:val="006D5D35"/>
    <w:rsid w:val="00704040"/>
    <w:rsid w:val="00795CB7"/>
    <w:rsid w:val="00823076"/>
    <w:rsid w:val="00843EC1"/>
    <w:rsid w:val="00872BD3"/>
    <w:rsid w:val="008953E2"/>
    <w:rsid w:val="00897CE2"/>
    <w:rsid w:val="008F6553"/>
    <w:rsid w:val="009071BB"/>
    <w:rsid w:val="00915356"/>
    <w:rsid w:val="0095110D"/>
    <w:rsid w:val="00955BB3"/>
    <w:rsid w:val="009B58BD"/>
    <w:rsid w:val="009F3728"/>
    <w:rsid w:val="00A5202C"/>
    <w:rsid w:val="00A64C2E"/>
    <w:rsid w:val="00AA73D6"/>
    <w:rsid w:val="00B078FD"/>
    <w:rsid w:val="00B35B0B"/>
    <w:rsid w:val="00B47BF3"/>
    <w:rsid w:val="00BD299A"/>
    <w:rsid w:val="00BE6E88"/>
    <w:rsid w:val="00C608D7"/>
    <w:rsid w:val="00C74ABC"/>
    <w:rsid w:val="00C84ADF"/>
    <w:rsid w:val="00CF3465"/>
    <w:rsid w:val="00D10618"/>
    <w:rsid w:val="00D40A71"/>
    <w:rsid w:val="00E33166"/>
    <w:rsid w:val="00E45033"/>
    <w:rsid w:val="00E5434B"/>
    <w:rsid w:val="00E6500A"/>
    <w:rsid w:val="00E850C6"/>
    <w:rsid w:val="00E862FB"/>
    <w:rsid w:val="00EA2977"/>
    <w:rsid w:val="00EE62D4"/>
    <w:rsid w:val="00F532F7"/>
    <w:rsid w:val="00FC32F4"/>
    <w:rsid w:val="00FD1F80"/>
    <w:rsid w:val="00FD46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FB3A5A"/>
  <w15:chartTrackingRefBased/>
  <w15:docId w15:val="{0CB289A8-B04F-4195-B32E-B43340F91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7A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7A25"/>
    <w:pPr>
      <w:ind w:left="720"/>
      <w:contextualSpacing/>
    </w:pPr>
  </w:style>
  <w:style w:type="table" w:styleId="TableGrid">
    <w:name w:val="Table Grid"/>
    <w:basedOn w:val="TableNormal"/>
    <w:uiPriority w:val="39"/>
    <w:rsid w:val="00372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2B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2BD3"/>
  </w:style>
  <w:style w:type="paragraph" w:styleId="Footer">
    <w:name w:val="footer"/>
    <w:basedOn w:val="Normal"/>
    <w:link w:val="FooterChar"/>
    <w:uiPriority w:val="99"/>
    <w:unhideWhenUsed/>
    <w:rsid w:val="00872B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2BD3"/>
  </w:style>
  <w:style w:type="character" w:styleId="Hyperlink">
    <w:name w:val="Hyperlink"/>
    <w:basedOn w:val="DefaultParagraphFont"/>
    <w:uiPriority w:val="99"/>
    <w:unhideWhenUsed/>
    <w:rsid w:val="00872BD3"/>
    <w:rPr>
      <w:color w:val="0563C1" w:themeColor="hyperlink"/>
      <w:u w:val="single"/>
    </w:rPr>
  </w:style>
  <w:style w:type="paragraph" w:styleId="NormalWeb">
    <w:name w:val="Normal (Web)"/>
    <w:basedOn w:val="Normal"/>
    <w:uiPriority w:val="99"/>
    <w:unhideWhenUsed/>
    <w:rsid w:val="00BD299A"/>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UnresolvedMention">
    <w:name w:val="Unresolved Mention"/>
    <w:basedOn w:val="DefaultParagraphFont"/>
    <w:uiPriority w:val="99"/>
    <w:semiHidden/>
    <w:unhideWhenUsed/>
    <w:rsid w:val="004F2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667630">
      <w:bodyDiv w:val="1"/>
      <w:marLeft w:val="0"/>
      <w:marRight w:val="0"/>
      <w:marTop w:val="0"/>
      <w:marBottom w:val="0"/>
      <w:divBdr>
        <w:top w:val="none" w:sz="0" w:space="0" w:color="auto"/>
        <w:left w:val="none" w:sz="0" w:space="0" w:color="auto"/>
        <w:bottom w:val="none" w:sz="0" w:space="0" w:color="auto"/>
        <w:right w:val="none" w:sz="0" w:space="0" w:color="auto"/>
      </w:divBdr>
    </w:div>
    <w:div w:id="206969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2607B-F228-42FE-9977-AB1FA5962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23453</Words>
  <Characters>133687</Characters>
  <Application>Microsoft Office Word</Application>
  <DocSecurity>0</DocSecurity>
  <Lines>1114</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14</cp:revision>
  <dcterms:created xsi:type="dcterms:W3CDTF">2025-08-13T07:28:00Z</dcterms:created>
  <dcterms:modified xsi:type="dcterms:W3CDTF">2025-08-13T14:08:00Z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28bc4f03-b035-3aa5-9c09-7627917ff09b</vt:lpwstr>
  </property>
  <property fmtid="{D5CDD505-2E9C-101B-9397-08002B2CF9AE}" pid="24" name="Mendeley Citation Style_1">
    <vt:lpwstr>http://www.zotero.org/styles/apa</vt:lpwstr>
  </property>
</Properties>
</file>