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0E071" w14:textId="77777777" w:rsidR="00846834" w:rsidRPr="00F14B58" w:rsidRDefault="000C199B">
      <w:pPr>
        <w:widowControl w:val="0"/>
        <w:shd w:val="clear" w:color="auto" w:fill="auto"/>
        <w:spacing w:before="240" w:after="240" w:line="276" w:lineRule="auto"/>
        <w:ind w:firstLine="0"/>
        <w:jc w:val="center"/>
        <w:rPr>
          <w:b/>
          <w:sz w:val="24"/>
          <w:szCs w:val="24"/>
        </w:rPr>
      </w:pPr>
      <w:r w:rsidRPr="00F14B58">
        <w:rPr>
          <w:b/>
          <w:sz w:val="24"/>
          <w:szCs w:val="24"/>
        </w:rPr>
        <w:t>Correlation between Neonatal Hyperbilirubinemia and Vitamin D Levels</w:t>
      </w:r>
    </w:p>
    <w:p w14:paraId="62A1C5D5" w14:textId="5EBEA820" w:rsidR="00846834" w:rsidRDefault="00846834">
      <w:pPr>
        <w:widowControl w:val="0"/>
        <w:shd w:val="clear" w:color="auto" w:fill="auto"/>
        <w:spacing w:before="0" w:after="0" w:line="276" w:lineRule="auto"/>
        <w:ind w:firstLine="0"/>
        <w:jc w:val="left"/>
        <w:rPr>
          <w:sz w:val="22"/>
          <w:szCs w:val="22"/>
        </w:rPr>
      </w:pPr>
      <w:bookmarkStart w:id="0" w:name="_fz3r01970lyc" w:colFirst="0" w:colLast="0"/>
      <w:bookmarkEnd w:id="0"/>
    </w:p>
    <w:p w14:paraId="5344B3AF" w14:textId="77777777" w:rsidR="007538A4" w:rsidRPr="00F14B58" w:rsidRDefault="007538A4">
      <w:pPr>
        <w:widowControl w:val="0"/>
        <w:shd w:val="clear" w:color="auto" w:fill="auto"/>
        <w:spacing w:before="0" w:after="0" w:line="276" w:lineRule="auto"/>
        <w:ind w:firstLine="0"/>
        <w:jc w:val="left"/>
        <w:rPr>
          <w:sz w:val="22"/>
          <w:szCs w:val="22"/>
        </w:rPr>
      </w:pPr>
      <w:bookmarkStart w:id="1" w:name="_GoBack"/>
      <w:bookmarkEnd w:id="1"/>
    </w:p>
    <w:p w14:paraId="732F54B7" w14:textId="77777777" w:rsidR="00846834" w:rsidRPr="00F14B58" w:rsidRDefault="000C199B">
      <w:pPr>
        <w:pStyle w:val="Heading1"/>
      </w:pPr>
      <w:bookmarkStart w:id="2" w:name="_v3m21zqjjko5" w:colFirst="0" w:colLast="0"/>
      <w:bookmarkEnd w:id="2"/>
      <w:r w:rsidRPr="00F14B58">
        <w:t>ABSTRACT</w:t>
      </w:r>
    </w:p>
    <w:p w14:paraId="79D1F699" w14:textId="77777777" w:rsidR="00846834" w:rsidRPr="00F14B58" w:rsidRDefault="000C199B">
      <w:pPr>
        <w:ind w:firstLine="0"/>
      </w:pPr>
      <w:r w:rsidRPr="00F14B58">
        <w:rPr>
          <w:b/>
        </w:rPr>
        <w:t xml:space="preserve"> Background: </w:t>
      </w:r>
      <w:r w:rsidRPr="00F14B58">
        <w:t>Neonatal hyperbilirubinemia is a leading cause of hospital readmission, yet nearly half of the cases have an unknown etiology. Emerging evidence suggests that vitamin D deficiency, a globally prevalent condition, may be a significant modifiable risk factor for this common neonatal issue.</w:t>
      </w:r>
    </w:p>
    <w:p w14:paraId="06EE512F" w14:textId="77777777" w:rsidR="00846834" w:rsidRPr="00F14B58" w:rsidRDefault="000C199B">
      <w:pPr>
        <w:ind w:firstLine="0"/>
      </w:pPr>
      <w:r w:rsidRPr="00F14B58">
        <w:rPr>
          <w:b/>
        </w:rPr>
        <w:t xml:space="preserve">Objective: </w:t>
      </w:r>
      <w:r w:rsidRPr="00F14B58">
        <w:t>This study aimed to determine the correlation between serum 25-hydroxyvitamin D [25(OH)D] and total serum bilirubin (TSB) levels in a cohort of Iraqi neonates. The goal was to clarify the role of vitamin D and inform potential regional preventive strategies.</w:t>
      </w:r>
    </w:p>
    <w:p w14:paraId="7FAD2674" w14:textId="77777777" w:rsidR="00846834" w:rsidRPr="00F14B58" w:rsidRDefault="000C199B">
      <w:pPr>
        <w:ind w:firstLine="0"/>
      </w:pPr>
      <w:r w:rsidRPr="00F14B58">
        <w:rPr>
          <w:b/>
        </w:rPr>
        <w:t xml:space="preserve">Methods: </w:t>
      </w:r>
      <w:r w:rsidRPr="00F14B58">
        <w:t>This observational cross-sectional study was conducted at Al-Diwaniyah Maternity and Children Teaching Hospital in Iraq. Data and samples were collected over a four-month period between April 1, 2025, and July 31, 2025. A convenience sample of 75 term neonates was recruited, consisting of 50 infants diagnosed with hyperbilirubinemia (cases) and 25 healthy infants (controls</w:t>
      </w:r>
      <w:proofErr w:type="gramStart"/>
      <w:r w:rsidRPr="00F14B58">
        <w:t>)..</w:t>
      </w:r>
      <w:proofErr w:type="gramEnd"/>
      <w:r w:rsidRPr="00F14B58">
        <w:t xml:space="preserve"> Serum TSB was quantified using spectrophotometry, and 25(OH)D levels were </w:t>
      </w:r>
      <w:proofErr w:type="gramStart"/>
      <w:r w:rsidRPr="00F14B58">
        <w:t>measured .</w:t>
      </w:r>
      <w:proofErr w:type="gramEnd"/>
    </w:p>
    <w:p w14:paraId="30A91AB1" w14:textId="77777777" w:rsidR="00846834" w:rsidRPr="00F14B58" w:rsidRDefault="000C199B">
      <w:pPr>
        <w:ind w:firstLine="0"/>
      </w:pPr>
      <w:r w:rsidRPr="00F14B58">
        <w:rPr>
          <w:b/>
        </w:rPr>
        <w:t xml:space="preserve">Results: </w:t>
      </w:r>
      <w:r w:rsidRPr="00F14B58">
        <w:t>The hyperbilirubinemia group had significantly lower mean vitamin D levels (9.51 ng/ml) compared to the control group (24.65 ng/ml; p&lt;0.001), representing a 61.4% reduction. Conversely, mean TSB was substantially higher in cases (10.35 mg/dL) than in controls (2.70 mg/dL; p&lt;0.001). A moderate, statistically significant negative correlation was identified between 25(OH)D and TSB levels (r = -0.441, p &lt; 0.037). This indicates that lower vitamin D levels are directly associated with higher bilirubin levels across the entire study population.</w:t>
      </w:r>
    </w:p>
    <w:p w14:paraId="6271B72A" w14:textId="77777777" w:rsidR="00846834" w:rsidRPr="00F14B58" w:rsidRDefault="000C199B">
      <w:pPr>
        <w:ind w:firstLine="0"/>
        <w:rPr>
          <w:b/>
        </w:rPr>
      </w:pPr>
      <w:r w:rsidRPr="00F14B58">
        <w:rPr>
          <w:b/>
        </w:rPr>
        <w:t>Conclusion:</w:t>
      </w:r>
      <w:r w:rsidRPr="00F14B58">
        <w:t xml:space="preserve"> Vitamin D deficiency is a significant risk factor associated with the development of neonatal hyperbilirubinemia in this cohort of Iraqi neonates.</w:t>
      </w:r>
    </w:p>
    <w:p w14:paraId="3F8CAF4F" w14:textId="77777777" w:rsidR="00846834" w:rsidRPr="00F14B58" w:rsidRDefault="000C199B">
      <w:pPr>
        <w:widowControl w:val="0"/>
        <w:shd w:val="clear" w:color="auto" w:fill="auto"/>
        <w:spacing w:before="240" w:after="240" w:line="276" w:lineRule="auto"/>
        <w:ind w:firstLine="0"/>
        <w:rPr>
          <w:b/>
          <w:color w:val="1F1F1F"/>
          <w:sz w:val="17"/>
          <w:szCs w:val="17"/>
        </w:rPr>
      </w:pPr>
      <w:r w:rsidRPr="00F14B58">
        <w:rPr>
          <w:b/>
        </w:rPr>
        <w:t>Keywords:</w:t>
      </w:r>
      <w:r w:rsidRPr="00F14B58">
        <w:t xml:space="preserve"> Neonatal Jaundice; Hyperbilirubinemia; Vitamin D; 25-Hydroxyvitamin D; Risk Factors; Correlation.</w:t>
      </w:r>
    </w:p>
    <w:p w14:paraId="132E3681" w14:textId="77777777" w:rsidR="00846834" w:rsidRPr="00F14B58" w:rsidRDefault="00846834">
      <w:pPr>
        <w:ind w:firstLine="0"/>
        <w:rPr>
          <w:b/>
          <w:sz w:val="22"/>
          <w:szCs w:val="22"/>
        </w:rPr>
      </w:pPr>
    </w:p>
    <w:p w14:paraId="6EEDAD4E" w14:textId="77777777" w:rsidR="00846834" w:rsidRPr="00F14B58" w:rsidRDefault="000C199B">
      <w:pPr>
        <w:pStyle w:val="Heading1"/>
      </w:pPr>
      <w:bookmarkStart w:id="3" w:name="_yusobypou6hp" w:colFirst="0" w:colLast="0"/>
      <w:bookmarkEnd w:id="3"/>
      <w:r w:rsidRPr="00F14B58">
        <w:t xml:space="preserve"> INTRODUCTION</w:t>
      </w:r>
    </w:p>
    <w:p w14:paraId="2F1E7D40" w14:textId="77777777" w:rsidR="00846834" w:rsidRPr="00F14B58" w:rsidRDefault="000C199B">
      <w:r w:rsidRPr="00F14B58">
        <w:t xml:space="preserve">Neonatal hyperbilirubinemia affects 60-80% of newborns in the first postnatal week </w:t>
      </w:r>
      <w:hyperlink r:id="rId7">
        <w:r w:rsidRPr="00F14B58">
          <w:rPr>
            <w:color w:val="000000"/>
          </w:rPr>
          <w:t>(Huang et al. 2021)</w:t>
        </w:r>
      </w:hyperlink>
      <w:r w:rsidRPr="00F14B58">
        <w:t xml:space="preserve">. It represents the leading cause of hospital readmission in term infants and poses risks of irreversible neurological injury (kernicterus) when bilirubin exceeds neurotoxic thresholds  </w:t>
      </w:r>
      <w:hyperlink r:id="rId8">
        <w:r w:rsidRPr="00F14B58">
          <w:rPr>
            <w:color w:val="000000"/>
          </w:rPr>
          <w:t>(Bhat, Sheikh, and Ara 2021)</w:t>
        </w:r>
      </w:hyperlink>
      <w:r w:rsidRPr="00F14B58">
        <w:t>. This imposes significant healthcare burdens globally.</w:t>
      </w:r>
    </w:p>
    <w:p w14:paraId="3FB7DA17" w14:textId="77777777" w:rsidR="00846834" w:rsidRPr="00F14B58" w:rsidRDefault="000C199B">
      <w:r w:rsidRPr="00F14B58">
        <w:t xml:space="preserve">Despite known causes (e.g., hemolysis, prematurity), ~50% of pathological hyperbilirubinemia cases have unknown etiology </w:t>
      </w:r>
      <w:hyperlink r:id="rId9">
        <w:r w:rsidRPr="00F14B58">
          <w:rPr>
            <w:color w:val="000000"/>
          </w:rPr>
          <w:t>(Kurt et al. 2025)</w:t>
        </w:r>
      </w:hyperlink>
      <w:r w:rsidRPr="00F14B58">
        <w:t xml:space="preserve">. This complicates risk </w:t>
      </w:r>
      <w:r w:rsidRPr="00F14B58">
        <w:lastRenderedPageBreak/>
        <w:t xml:space="preserve">stratification and prevention. Current management relies heavily on phototherapy, yet late-presenting cases still incur high costs and morbidity </w:t>
      </w:r>
      <w:hyperlink r:id="rId10">
        <w:r w:rsidRPr="00F14B58">
          <w:rPr>
            <w:color w:val="000000"/>
          </w:rPr>
          <w:t>(Zia et al. 2020)</w:t>
        </w:r>
      </w:hyperlink>
      <w:r w:rsidRPr="00F14B58">
        <w:t>.</w:t>
      </w:r>
    </w:p>
    <w:p w14:paraId="0B367608" w14:textId="77777777" w:rsidR="00846834" w:rsidRPr="00F14B58" w:rsidRDefault="000C199B">
      <w:r w:rsidRPr="00F14B58">
        <w:t xml:space="preserve">Emerging evidence suggests vitamin D deficiency may increase hyperbilirubinemia risk. Meta-analyses indicate neonates with jaundice exhibit 5.35–9.52 ng/ml lower vitamin D levels than controls </w:t>
      </w:r>
      <w:hyperlink r:id="rId11">
        <w:r w:rsidRPr="00F14B58">
          <w:rPr>
            <w:color w:val="000000"/>
          </w:rPr>
          <w:t>(Huang et al. 2021)</w:t>
        </w:r>
      </w:hyperlink>
      <w:r w:rsidRPr="00F14B58">
        <w:t xml:space="preserve">. However, some studies report no significant correlation </w:t>
      </w:r>
      <w:hyperlink r:id="rId12">
        <w:r w:rsidRPr="00F14B58">
          <w:rPr>
            <w:color w:val="000000"/>
          </w:rPr>
          <w:t>(</w:t>
        </w:r>
        <w:proofErr w:type="spellStart"/>
        <w:r w:rsidRPr="00F14B58">
          <w:rPr>
            <w:color w:val="000000"/>
          </w:rPr>
          <w:t>Mehrpisheh</w:t>
        </w:r>
        <w:proofErr w:type="spellEnd"/>
        <w:r w:rsidRPr="00F14B58">
          <w:rPr>
            <w:color w:val="000000"/>
          </w:rPr>
          <w:t xml:space="preserve"> et al. 2018)</w:t>
        </w:r>
      </w:hyperlink>
      <w:r w:rsidRPr="00F14B58">
        <w:t xml:space="preserve"> , highlighting controversy.</w:t>
      </w:r>
    </w:p>
    <w:p w14:paraId="435AC3EF" w14:textId="77777777" w:rsidR="00846834" w:rsidRPr="00F14B58" w:rsidRDefault="000C199B">
      <w:r w:rsidRPr="00F14B58">
        <w:t xml:space="preserve">Both bilirubin conjugation and vitamin D 25-hydroxylation occur hepatically </w:t>
      </w:r>
      <w:hyperlink r:id="rId13">
        <w:r w:rsidRPr="00F14B58">
          <w:rPr>
            <w:color w:val="000000"/>
          </w:rPr>
          <w:t>(Bhat, Sheikh, and Ara 2021)</w:t>
        </w:r>
      </w:hyperlink>
      <w:r w:rsidRPr="00F14B58">
        <w:t xml:space="preserve">. Shared enzymatic pathways (e.g., UDP-glucuronosyltransferase) may link their metabolism; vitamin D deficiency could impair bilirubin clearance or exacerbate hemolysis via dysregulated calcium homeostasis </w:t>
      </w:r>
      <w:hyperlink r:id="rId14">
        <w:r w:rsidRPr="00F14B58">
          <w:rPr>
            <w:color w:val="000000"/>
          </w:rPr>
          <w:t>(Abed et al. 2020)</w:t>
        </w:r>
      </w:hyperlink>
      <w:r w:rsidRPr="00F14B58">
        <w:t xml:space="preserve"> .</w:t>
      </w:r>
    </w:p>
    <w:p w14:paraId="0C1B760E" w14:textId="77777777" w:rsidR="00846834" w:rsidRPr="00F14B58" w:rsidRDefault="000C199B">
      <w:r w:rsidRPr="00F14B58">
        <w:t xml:space="preserve">Approximately half of pathological hyperbilirubinemia cases lack identifiable etiology </w:t>
      </w:r>
      <w:hyperlink r:id="rId15">
        <w:r w:rsidRPr="00F14B58">
          <w:rPr>
            <w:color w:val="000000"/>
          </w:rPr>
          <w:t>(Kurt et al. 2025)</w:t>
        </w:r>
      </w:hyperlink>
      <w:r w:rsidRPr="00F14B58">
        <w:t xml:space="preserve">. These unexplained cases contribute significantly to neonatal readmissions, parental anxiety, and healthcare costs. Identifying novel modifiable risk factors, like micronutrient status, is crucial for improving prevention strategies and reducing this burden globally </w:t>
      </w:r>
      <w:hyperlink r:id="rId16">
        <w:r w:rsidRPr="00F14B58">
          <w:rPr>
            <w:color w:val="000000"/>
          </w:rPr>
          <w:t>(Bhat, Sheikh, and Ara 2021)</w:t>
        </w:r>
      </w:hyperlink>
      <w:r w:rsidRPr="00F14B58">
        <w:t>.</w:t>
      </w:r>
    </w:p>
    <w:p w14:paraId="148C9C7A" w14:textId="77777777" w:rsidR="00846834" w:rsidRPr="00F14B58" w:rsidRDefault="000C199B">
      <w:r w:rsidRPr="00F14B58">
        <w:t xml:space="preserve">Vitamin D crosses the placenta, making maternal levels critical for neonatal status. High rates of maternal vitamin D deficiency (up to 92.3% in some populations) directly impact newborn stores </w:t>
      </w:r>
      <w:hyperlink r:id="rId17">
        <w:r w:rsidRPr="00F14B58">
          <w:rPr>
            <w:color w:val="000000"/>
          </w:rPr>
          <w:t>(Zia et al. 2020)</w:t>
        </w:r>
      </w:hyperlink>
      <w:r w:rsidRPr="00F14B58">
        <w:t xml:space="preserve">. This deficiency potentially predisposes infants to hyperbilirubinemia via impaired hepatic function established in utero </w:t>
      </w:r>
      <w:hyperlink r:id="rId18">
        <w:r w:rsidRPr="00F14B58">
          <w:rPr>
            <w:color w:val="000000"/>
          </w:rPr>
          <w:t>(Halim 2023)</w:t>
        </w:r>
      </w:hyperlink>
      <w:r w:rsidRPr="00F14B58">
        <w:t>.</w:t>
      </w:r>
    </w:p>
    <w:p w14:paraId="715BC04B" w14:textId="77777777" w:rsidR="00846834" w:rsidRPr="00F14B58" w:rsidRDefault="000C199B">
      <w:r w:rsidRPr="00F14B58">
        <w:t xml:space="preserve">Vitamin D deficiency is highly prevalent globally, even in sunny regions, due to factors like clothing habits and limited supplementation </w:t>
      </w:r>
      <w:hyperlink r:id="rId19">
        <w:r w:rsidRPr="00F14B58">
          <w:rPr>
            <w:color w:val="000000"/>
          </w:rPr>
          <w:t>(Ayadi et al. 2016)</w:t>
        </w:r>
      </w:hyperlink>
      <w:r w:rsidRPr="00F14B58">
        <w:t xml:space="preserve">. Studying its potential link to hyperbilirubinemia in specific populations like Diwaniyah, Iraq, is vital, as local prevalence and risk factors may differ significantly </w:t>
      </w:r>
      <w:hyperlink r:id="rId20">
        <w:r w:rsidRPr="00F14B58">
          <w:rPr>
            <w:color w:val="000000"/>
          </w:rPr>
          <w:t>(Zia et al. 2020)</w:t>
        </w:r>
      </w:hyperlink>
      <w:r w:rsidRPr="00F14B58">
        <w:t>.</w:t>
      </w:r>
    </w:p>
    <w:p w14:paraId="67ED047D" w14:textId="77777777" w:rsidR="00846834" w:rsidRPr="00F14B58" w:rsidRDefault="000C199B">
      <w:r w:rsidRPr="00F14B58">
        <w:t xml:space="preserve">If a significant inverse correlation between vitamin D and bilirubin is confirmed, it opens avenues for preventive measures. Potential strategies include prenatal maternal vitamin D screening/supplementation or postnatal neonatal supplementation for at-risk infants, offering a low-cost intervention to potentially reduce hyperbilirubinemia incidence and severity </w:t>
      </w:r>
      <w:hyperlink r:id="rId21">
        <w:r w:rsidRPr="00F14B58">
          <w:rPr>
            <w:color w:val="000000"/>
          </w:rPr>
          <w:t>(Huang et al. 2021)</w:t>
        </w:r>
      </w:hyperlink>
      <w:r w:rsidRPr="00F14B58">
        <w:t>.</w:t>
      </w:r>
    </w:p>
    <w:p w14:paraId="0AD22A5F" w14:textId="77777777" w:rsidR="00846834" w:rsidRPr="00F14B58" w:rsidRDefault="000C199B">
      <w:r w:rsidRPr="00F14B58">
        <w:t>This study aims to determine the correlation between serum 25(OH)D and total bilirubin levels in Iraqi neonates with hyperbilirubinemia. Findings may clarify vitamin D's role as a modifiable risk factor and inform targeted interventions in the Diwaniyah region.</w:t>
      </w:r>
    </w:p>
    <w:p w14:paraId="3BB034C3" w14:textId="77777777" w:rsidR="00846834" w:rsidRPr="00F14B58" w:rsidRDefault="000C199B">
      <w:pPr>
        <w:pStyle w:val="Heading1"/>
      </w:pPr>
      <w:bookmarkStart w:id="4" w:name="_9v2vhjif4b1b" w:colFirst="0" w:colLast="0"/>
      <w:bookmarkEnd w:id="4"/>
      <w:r w:rsidRPr="00F14B58">
        <w:t xml:space="preserve"> MATERIALS AND METHODS </w:t>
      </w:r>
    </w:p>
    <w:p w14:paraId="71E4E3CB" w14:textId="77777777" w:rsidR="00846834" w:rsidRPr="00F14B58" w:rsidRDefault="000C199B">
      <w:pPr>
        <w:pStyle w:val="Heading2"/>
      </w:pPr>
      <w:bookmarkStart w:id="5" w:name="_om9hd73akixt" w:colFirst="0" w:colLast="0"/>
      <w:bookmarkEnd w:id="5"/>
      <w:r w:rsidRPr="00F14B58">
        <w:t>3.1. Study Design and Setting</w:t>
      </w:r>
    </w:p>
    <w:p w14:paraId="7503E378" w14:textId="77777777" w:rsidR="00846834" w:rsidRPr="00F14B58" w:rsidRDefault="000C199B">
      <w:r w:rsidRPr="00F14B58">
        <w:t xml:space="preserve">This observational cross-sectional study was conducted at Al-Diwaniyah Maternity and Children Teaching Hospital in Iraq, adhering to protocols established in similar investigations </w:t>
      </w:r>
      <w:hyperlink r:id="rId22">
        <w:r w:rsidRPr="00F14B58">
          <w:rPr>
            <w:color w:val="000000"/>
          </w:rPr>
          <w:t>(Huang et al. 2021)</w:t>
        </w:r>
      </w:hyperlink>
      <w:r w:rsidRPr="00F14B58">
        <w:rPr>
          <w:rFonts w:eastAsia="Gungsuh"/>
        </w:rPr>
        <w:t xml:space="preserve">. Data and samples were collected between April 1, 2025, and July 31, 2025. </w:t>
      </w:r>
      <w:r w:rsidRPr="00F14B58">
        <w:rPr>
          <w:rFonts w:eastAsia="Gungsuh"/>
        </w:rPr>
        <w:lastRenderedPageBreak/>
        <w:t xml:space="preserve">The study exclusively enrolled term neonates (≥37 weeks gestation) to eliminate prematurity-related confounders, consistent with exclusion criteria applied by </w:t>
      </w:r>
      <w:hyperlink r:id="rId23">
        <w:r w:rsidRPr="00F14B58">
          <w:rPr>
            <w:color w:val="000000"/>
          </w:rPr>
          <w:t>(Kurt et al. 2025)</w:t>
        </w:r>
      </w:hyperlink>
      <w:r w:rsidRPr="00F14B58">
        <w:t>.</w:t>
      </w:r>
    </w:p>
    <w:p w14:paraId="313A7532" w14:textId="77777777" w:rsidR="00846834" w:rsidRPr="00F14B58" w:rsidRDefault="000C199B">
      <w:pPr>
        <w:pStyle w:val="Heading2"/>
        <w:keepNext w:val="0"/>
        <w:keepLines w:val="0"/>
        <w:shd w:val="clear" w:color="auto" w:fill="FFFFFF"/>
        <w:spacing w:before="280" w:after="200" w:line="428" w:lineRule="auto"/>
      </w:pPr>
      <w:bookmarkStart w:id="6" w:name="_t32lp5ohwumr" w:colFirst="0" w:colLast="0"/>
      <w:bookmarkEnd w:id="6"/>
      <w:r w:rsidRPr="00F14B58">
        <w:t>3.2. Participant Selection</w:t>
      </w:r>
    </w:p>
    <w:p w14:paraId="2AAEC9B8" w14:textId="77777777" w:rsidR="00846834" w:rsidRPr="00F14B58" w:rsidRDefault="000C199B">
      <w:r w:rsidRPr="00F14B58">
        <w:t xml:space="preserve">Eligible participants comprised term neonates (2-14 days old) diagnosed with indirect hyperbilirubinemia requiring medical intervention based on American Academy of Pediatrics guidelines. Exclusion criteria mirrored those of </w:t>
      </w:r>
      <w:hyperlink r:id="rId24">
        <w:r w:rsidRPr="00F14B58">
          <w:rPr>
            <w:color w:val="000000"/>
          </w:rPr>
          <w:t>(</w:t>
        </w:r>
        <w:proofErr w:type="spellStart"/>
        <w:r w:rsidRPr="00F14B58">
          <w:rPr>
            <w:color w:val="000000"/>
          </w:rPr>
          <w:t>Mehrpisheh</w:t>
        </w:r>
        <w:proofErr w:type="spellEnd"/>
        <w:r w:rsidRPr="00F14B58">
          <w:rPr>
            <w:color w:val="000000"/>
          </w:rPr>
          <w:t xml:space="preserve"> et al. 2018)</w:t>
        </w:r>
      </w:hyperlink>
      <w:r w:rsidRPr="00F14B58">
        <w:t xml:space="preserve"> : 1) Preterm infants (&lt;37 weeks), 2) Direct hyperbilirubinemia (conjugated bilirubin &gt;20% of TSB), 3) Congenital anomalies or metabolic disorders, 4) Critical illness requiring intensive care, and 5) Prior vitamin D supplementation. A convenience sample of 75 neonates was recruited (50 hyperbilirubinemia cases, 25 healthy controls).</w:t>
      </w:r>
    </w:p>
    <w:p w14:paraId="0E7D676C" w14:textId="77777777" w:rsidR="00846834" w:rsidRPr="00F14B58" w:rsidRDefault="000C199B">
      <w:pPr>
        <w:pStyle w:val="Heading2"/>
        <w:keepNext w:val="0"/>
        <w:keepLines w:val="0"/>
        <w:shd w:val="clear" w:color="auto" w:fill="FFFFFF"/>
        <w:spacing w:before="280" w:after="200" w:line="428" w:lineRule="auto"/>
      </w:pPr>
      <w:bookmarkStart w:id="7" w:name="_9jg6izjbpwrb" w:colFirst="0" w:colLast="0"/>
      <w:bookmarkEnd w:id="7"/>
      <w:r w:rsidRPr="00F14B58">
        <w:t>3.3. Data and Sample Collection</w:t>
      </w:r>
    </w:p>
    <w:p w14:paraId="7BF549F6" w14:textId="77777777" w:rsidR="00846834" w:rsidRPr="00F14B58" w:rsidRDefault="000C199B">
      <w:r w:rsidRPr="00F14B58">
        <w:t xml:space="preserve">Clinical data including gestational age, birth weight, postnatal age, feeding mode, and phototherapy history were extracted from medical records using standardized forms adapted from </w:t>
      </w:r>
      <w:hyperlink r:id="rId25">
        <w:r w:rsidRPr="00F14B58">
          <w:rPr>
            <w:color w:val="000000"/>
          </w:rPr>
          <w:t>(Zia et al. 2020)</w:t>
        </w:r>
      </w:hyperlink>
      <w:r w:rsidRPr="00F14B58">
        <w:t>. Blood samples (2 ml) were drawn during clinically indicated venipuncture to minimize procedural burden. Samples were collected in plain vacutainers, centrifuged at 3,500 rpm for 10 minutes within 30 minutes of collection, and stored at -80°C until analysis.</w:t>
      </w:r>
    </w:p>
    <w:p w14:paraId="0C235742" w14:textId="77777777" w:rsidR="00846834" w:rsidRPr="00F14B58" w:rsidRDefault="000C199B">
      <w:pPr>
        <w:pStyle w:val="Heading2"/>
        <w:keepNext w:val="0"/>
        <w:keepLines w:val="0"/>
        <w:shd w:val="clear" w:color="auto" w:fill="FFFFFF"/>
        <w:spacing w:before="280" w:after="200" w:line="428" w:lineRule="auto"/>
      </w:pPr>
      <w:bookmarkStart w:id="8" w:name="_f161u1bzjze" w:colFirst="0" w:colLast="0"/>
      <w:bookmarkEnd w:id="8"/>
      <w:r w:rsidRPr="00F14B58">
        <w:t>3.4. Laboratory Procedures</w:t>
      </w:r>
    </w:p>
    <w:p w14:paraId="42D7403D" w14:textId="77777777" w:rsidR="00846834" w:rsidRPr="00F14B58" w:rsidRDefault="000C199B">
      <w:r w:rsidRPr="00F14B58">
        <w:t xml:space="preserve">Total Serum Bilirubin (TSB) was quantified using spectrophotometry (RAYTO RT-9200 analyzer). Calibration was performed daily using manufacturer-provided standards, with inter-assay coefficients of variation maintained below 5% through rigorous quality control protocols as described by </w:t>
      </w:r>
      <w:hyperlink r:id="rId26">
        <w:r w:rsidRPr="00F14B58">
          <w:rPr>
            <w:color w:val="000000"/>
          </w:rPr>
          <w:t>(Abed et al. 2020)</w:t>
        </w:r>
      </w:hyperlink>
      <w:r w:rsidRPr="00F14B58">
        <w:t>.</w:t>
      </w:r>
    </w:p>
    <w:p w14:paraId="56C84604" w14:textId="77777777" w:rsidR="00846834" w:rsidRPr="00F14B58" w:rsidRDefault="000C199B">
      <w:r w:rsidRPr="00F14B58">
        <w:rPr>
          <w:rFonts w:eastAsia="Gungsuh"/>
        </w:rPr>
        <w:t xml:space="preserve">Serum 25-Hydroxyvitamin D [25(OH)D] levels were measured via enzyme-linked immunosorbent assay (ELISA; DiaSorin LIAISON® kits) following manufacturer instructions. Vitamin D status was classified per Endocrine Society guidelines: deficiency (&lt;20 ng/mL), insufficiency (20-30 ng/mL), and sufficiency (≥30 ng/mL). All assays included internal controls with CV &lt;8%, consistent with methodologies in </w:t>
      </w:r>
      <w:hyperlink r:id="rId27">
        <w:r w:rsidRPr="00F14B58">
          <w:rPr>
            <w:color w:val="000000"/>
          </w:rPr>
          <w:t>(Halim 2023)</w:t>
        </w:r>
      </w:hyperlink>
      <w:r w:rsidRPr="00F14B58">
        <w:t>.</w:t>
      </w:r>
    </w:p>
    <w:p w14:paraId="5C32E9D5" w14:textId="77777777" w:rsidR="00846834" w:rsidRPr="00F14B58" w:rsidRDefault="000C199B">
      <w:pPr>
        <w:pStyle w:val="Heading2"/>
        <w:keepNext w:val="0"/>
        <w:keepLines w:val="0"/>
        <w:shd w:val="clear" w:color="auto" w:fill="FFFFFF"/>
        <w:spacing w:before="280" w:after="200" w:line="428" w:lineRule="auto"/>
      </w:pPr>
      <w:bookmarkStart w:id="9" w:name="_ixhxv026wlpc" w:colFirst="0" w:colLast="0"/>
      <w:bookmarkEnd w:id="9"/>
      <w:r w:rsidRPr="00F14B58">
        <w:t>3.5. Statistical Analysis</w:t>
      </w:r>
    </w:p>
    <w:p w14:paraId="28417D2D" w14:textId="77777777" w:rsidR="00846834" w:rsidRPr="00F14B58" w:rsidRDefault="000C199B">
      <w:r w:rsidRPr="00F14B58">
        <w:t>Statistical analyses were performed using IBM SPSS Statistics version 28.0. Continuous variables were expressed as mean ± standard deviation (SD). The primary analysis evaluated the correlation between 25(OH)D and TSB levels using Pearson's correlation. Group comparisons (cases vs. controls) utilized independent samples t-</w:t>
      </w:r>
      <w:proofErr w:type="gramStart"/>
      <w:r w:rsidRPr="00F14B58">
        <w:t>tests .</w:t>
      </w:r>
      <w:proofErr w:type="gramEnd"/>
    </w:p>
    <w:p w14:paraId="736BF74B" w14:textId="77777777" w:rsidR="00846834" w:rsidRPr="00F14B58" w:rsidRDefault="000C199B">
      <w:pPr>
        <w:pStyle w:val="Heading2"/>
        <w:keepNext w:val="0"/>
        <w:keepLines w:val="0"/>
        <w:shd w:val="clear" w:color="auto" w:fill="FFFFFF"/>
        <w:spacing w:before="280" w:after="200" w:line="428" w:lineRule="auto"/>
      </w:pPr>
      <w:bookmarkStart w:id="10" w:name="_6gdzlz9l6c5s" w:colFirst="0" w:colLast="0"/>
      <w:bookmarkEnd w:id="10"/>
      <w:r w:rsidRPr="00F14B58">
        <w:t>3.6. Ethical Considerations</w:t>
      </w:r>
    </w:p>
    <w:p w14:paraId="0FFAF12F" w14:textId="77777777" w:rsidR="00846834" w:rsidRPr="00F14B58" w:rsidRDefault="000C199B">
      <w:r w:rsidRPr="00F14B58">
        <w:lastRenderedPageBreak/>
        <w:t xml:space="preserve">The study protocol received approval from the Research Ethics Committee of Al-Diwaniyah Health Directorate (Ref: REC-2025-03-12 4696). </w:t>
      </w:r>
    </w:p>
    <w:p w14:paraId="29035225" w14:textId="77777777" w:rsidR="00846834" w:rsidRPr="00F14B58" w:rsidRDefault="000C199B">
      <w:pPr>
        <w:pStyle w:val="Heading1"/>
        <w:rPr>
          <w:b w:val="0"/>
          <w:color w:val="000000"/>
          <w:sz w:val="20"/>
          <w:szCs w:val="20"/>
        </w:rPr>
      </w:pPr>
      <w:bookmarkStart w:id="11" w:name="_lsqpgvv0mczy" w:colFirst="0" w:colLast="0"/>
      <w:bookmarkEnd w:id="11"/>
      <w:r w:rsidRPr="00F14B58">
        <w:t xml:space="preserve"> RESULTS AND DISCUSSION</w:t>
      </w:r>
    </w:p>
    <w:p w14:paraId="7F732683" w14:textId="77777777" w:rsidR="00846834" w:rsidRPr="00F14B58" w:rsidRDefault="000C199B">
      <w:pPr>
        <w:pStyle w:val="Heading2"/>
      </w:pPr>
      <w:bookmarkStart w:id="12" w:name="_s4qhwhnhxuh" w:colFirst="0" w:colLast="0"/>
      <w:bookmarkEnd w:id="12"/>
      <w:r w:rsidRPr="00F14B58">
        <w:t>4.1 Demographic and Clinical Characteristics of Participants</w:t>
      </w:r>
    </w:p>
    <w:p w14:paraId="7F995DF5" w14:textId="77777777" w:rsidR="00846834" w:rsidRPr="00F14B58" w:rsidRDefault="000C199B">
      <w:r w:rsidRPr="00F14B58">
        <w:t>A total of 75 term neonates were enrolled in the study, comprising 50 with hyperbilirubinemia (case group) and 25 healthy neonates (control group). The baseline demographic and clinical characteristics of both groups are summarized in Table 1. The analysis revealed no statistically significant differences between the case and control groups in terms of mean birth weight, postnatal age, gender distribution, or mode of feeding (p &gt; 0.05 for all variables).</w:t>
      </w:r>
    </w:p>
    <w:p w14:paraId="39B66F46" w14:textId="77777777" w:rsidR="00846834" w:rsidRPr="00F14B58" w:rsidRDefault="000C199B">
      <w:pPr>
        <w:pStyle w:val="Subtitle"/>
        <w:rPr>
          <w:rFonts w:eastAsia="Arial"/>
          <w:b w:val="0"/>
          <w:color w:val="000000"/>
          <w:sz w:val="22"/>
          <w:szCs w:val="22"/>
        </w:rPr>
      </w:pPr>
      <w:bookmarkStart w:id="13" w:name="_9bskxk7wmlcn" w:colFirst="0" w:colLast="0"/>
      <w:bookmarkEnd w:id="13"/>
      <w:r w:rsidRPr="00F14B58">
        <w:t>Table 1: Demographic and Clinical Characteristics of Study Participants.</w:t>
      </w:r>
    </w:p>
    <w:tbl>
      <w:tblPr>
        <w:tblStyle w:val="a"/>
        <w:tblW w:w="790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1976"/>
        <w:gridCol w:w="1976"/>
        <w:gridCol w:w="1976"/>
      </w:tblGrid>
      <w:tr w:rsidR="00846834" w:rsidRPr="00F14B58" w14:paraId="06D75897" w14:textId="77777777">
        <w:trPr>
          <w:trHeight w:val="78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7A03B" w14:textId="77777777" w:rsidR="00846834" w:rsidRPr="00F14B58" w:rsidRDefault="000C199B">
            <w:pPr>
              <w:spacing w:before="0" w:after="0" w:line="240" w:lineRule="auto"/>
              <w:ind w:firstLine="0"/>
              <w:jc w:val="center"/>
              <w:rPr>
                <w:b/>
              </w:rPr>
            </w:pPr>
            <w:r w:rsidRPr="00F14B58">
              <w:rPr>
                <w:b/>
              </w:rPr>
              <w:t>Characteristic</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ABC12" w14:textId="77777777" w:rsidR="00846834" w:rsidRPr="00F14B58" w:rsidRDefault="000C199B">
            <w:pPr>
              <w:spacing w:before="0" w:after="0" w:line="240" w:lineRule="auto"/>
              <w:ind w:firstLine="0"/>
              <w:jc w:val="center"/>
              <w:rPr>
                <w:b/>
              </w:rPr>
            </w:pPr>
            <w:r w:rsidRPr="00F14B58">
              <w:rPr>
                <w:b/>
              </w:rPr>
              <w:t>Hyperbilirubinemia Group (n=50)</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DC0B4" w14:textId="77777777" w:rsidR="00846834" w:rsidRPr="00F14B58" w:rsidRDefault="000C199B">
            <w:pPr>
              <w:spacing w:before="0" w:after="0" w:line="240" w:lineRule="auto"/>
              <w:ind w:firstLine="0"/>
              <w:jc w:val="center"/>
              <w:rPr>
                <w:b/>
              </w:rPr>
            </w:pPr>
            <w:r w:rsidRPr="00F14B58">
              <w:rPr>
                <w:b/>
              </w:rPr>
              <w:t>Control Group (n=25)</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67BC6" w14:textId="77777777" w:rsidR="00846834" w:rsidRPr="00F14B58" w:rsidRDefault="000C199B">
            <w:pPr>
              <w:spacing w:before="0" w:after="0" w:line="240" w:lineRule="auto"/>
              <w:ind w:firstLine="0"/>
              <w:jc w:val="center"/>
              <w:rPr>
                <w:b/>
              </w:rPr>
            </w:pPr>
            <w:r w:rsidRPr="00F14B58">
              <w:rPr>
                <w:b/>
              </w:rPr>
              <w:t>P-value</w:t>
            </w:r>
          </w:p>
        </w:tc>
      </w:tr>
      <w:tr w:rsidR="00846834" w:rsidRPr="00F14B58" w14:paraId="55D04008" w14:textId="77777777">
        <w:trPr>
          <w:trHeight w:val="78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E3D80" w14:textId="77777777" w:rsidR="00846834" w:rsidRPr="00F14B58" w:rsidRDefault="000C199B">
            <w:pPr>
              <w:spacing w:before="0" w:after="0" w:line="240" w:lineRule="auto"/>
              <w:ind w:firstLine="0"/>
              <w:jc w:val="center"/>
              <w:rPr>
                <w:b/>
              </w:rPr>
            </w:pPr>
            <w:r w:rsidRPr="00F14B58">
              <w:rPr>
                <w:b/>
              </w:rPr>
              <w:t>Birth Weight (kg, Mean ± SD)</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A0428" w14:textId="77777777" w:rsidR="00846834" w:rsidRPr="00F14B58" w:rsidRDefault="000C199B">
            <w:pPr>
              <w:spacing w:before="0" w:after="0" w:line="240" w:lineRule="auto"/>
              <w:ind w:firstLine="0"/>
              <w:jc w:val="center"/>
            </w:pPr>
            <w:r w:rsidRPr="00F14B58">
              <w:t>3.15 ± 0.45</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BE5642" w14:textId="77777777" w:rsidR="00846834" w:rsidRPr="00F14B58" w:rsidRDefault="000C199B">
            <w:pPr>
              <w:spacing w:before="0" w:after="0" w:line="240" w:lineRule="auto"/>
              <w:ind w:firstLine="0"/>
              <w:jc w:val="center"/>
            </w:pPr>
            <w:r w:rsidRPr="00F14B58">
              <w:t>3.21 ± 0.42</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0191D" w14:textId="77777777" w:rsidR="00846834" w:rsidRPr="00F14B58" w:rsidRDefault="000C199B">
            <w:pPr>
              <w:spacing w:before="0" w:after="0" w:line="240" w:lineRule="auto"/>
              <w:ind w:firstLine="0"/>
              <w:jc w:val="center"/>
            </w:pPr>
            <w:r w:rsidRPr="00F14B58">
              <w:t>0.58</w:t>
            </w:r>
          </w:p>
        </w:tc>
      </w:tr>
      <w:tr w:rsidR="00846834" w:rsidRPr="00F14B58" w14:paraId="6FB2EC0C" w14:textId="77777777">
        <w:trPr>
          <w:trHeight w:val="78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54C39" w14:textId="77777777" w:rsidR="00846834" w:rsidRPr="00F14B58" w:rsidRDefault="000C199B">
            <w:pPr>
              <w:spacing w:before="0" w:after="0" w:line="240" w:lineRule="auto"/>
              <w:ind w:firstLine="0"/>
              <w:jc w:val="center"/>
              <w:rPr>
                <w:b/>
              </w:rPr>
            </w:pPr>
            <w:r w:rsidRPr="00F14B58">
              <w:rPr>
                <w:b/>
              </w:rPr>
              <w:t>Postnatal Age (days, Mean ± SD)</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B9EDF6" w14:textId="77777777" w:rsidR="00846834" w:rsidRPr="00F14B58" w:rsidRDefault="000C199B">
            <w:pPr>
              <w:spacing w:before="0" w:after="0" w:line="240" w:lineRule="auto"/>
              <w:ind w:firstLine="0"/>
              <w:jc w:val="center"/>
            </w:pPr>
            <w:r w:rsidRPr="00F14B58">
              <w:t>5.8 ± 2.1</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AEC9B" w14:textId="77777777" w:rsidR="00846834" w:rsidRPr="00F14B58" w:rsidRDefault="000C199B">
            <w:pPr>
              <w:spacing w:before="0" w:after="0" w:line="240" w:lineRule="auto"/>
              <w:ind w:firstLine="0"/>
              <w:jc w:val="center"/>
            </w:pPr>
            <w:r w:rsidRPr="00F14B58">
              <w:t>5.5 ± 2.3</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3C1EA" w14:textId="77777777" w:rsidR="00846834" w:rsidRPr="00F14B58" w:rsidRDefault="000C199B">
            <w:pPr>
              <w:spacing w:before="0" w:after="0" w:line="240" w:lineRule="auto"/>
              <w:ind w:firstLine="0"/>
              <w:jc w:val="center"/>
            </w:pPr>
            <w:r w:rsidRPr="00F14B58">
              <w:t>0.64</w:t>
            </w:r>
          </w:p>
        </w:tc>
      </w:tr>
      <w:tr w:rsidR="00846834" w:rsidRPr="00F14B58" w14:paraId="457AAE8E" w14:textId="77777777">
        <w:trPr>
          <w:trHeight w:val="78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6717C" w14:textId="77777777" w:rsidR="00846834" w:rsidRPr="00F14B58" w:rsidRDefault="000C199B">
            <w:pPr>
              <w:spacing w:before="0" w:after="0" w:line="240" w:lineRule="auto"/>
              <w:ind w:firstLine="0"/>
              <w:jc w:val="center"/>
              <w:rPr>
                <w:b/>
              </w:rPr>
            </w:pPr>
            <w:r w:rsidRPr="00F14B58">
              <w:rPr>
                <w:b/>
              </w:rPr>
              <w:t>Gender (Male/Female)</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C75E3" w14:textId="77777777" w:rsidR="00846834" w:rsidRPr="00F14B58" w:rsidRDefault="000C199B">
            <w:pPr>
              <w:spacing w:before="0" w:after="0" w:line="240" w:lineRule="auto"/>
              <w:ind w:firstLine="0"/>
              <w:jc w:val="center"/>
            </w:pPr>
            <w:r w:rsidRPr="00F14B58">
              <w:t>28 / 22 (56% / 44%)</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38F7C" w14:textId="77777777" w:rsidR="00846834" w:rsidRPr="00F14B58" w:rsidRDefault="000C199B">
            <w:pPr>
              <w:spacing w:before="0" w:after="0" w:line="240" w:lineRule="auto"/>
              <w:ind w:firstLine="0"/>
              <w:jc w:val="center"/>
            </w:pPr>
            <w:r w:rsidRPr="00F14B58">
              <w:t>13 / 12 (52% / 48%)</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45200" w14:textId="77777777" w:rsidR="00846834" w:rsidRPr="00F14B58" w:rsidRDefault="000C199B">
            <w:pPr>
              <w:spacing w:before="0" w:after="0" w:line="240" w:lineRule="auto"/>
              <w:ind w:firstLine="0"/>
              <w:jc w:val="center"/>
            </w:pPr>
            <w:r w:rsidRPr="00F14B58">
              <w:t>0.77</w:t>
            </w:r>
          </w:p>
        </w:tc>
      </w:tr>
      <w:tr w:rsidR="00846834" w:rsidRPr="00F14B58" w14:paraId="31BD7547" w14:textId="77777777">
        <w:trPr>
          <w:trHeight w:val="78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74E70" w14:textId="77777777" w:rsidR="00846834" w:rsidRPr="00F14B58" w:rsidRDefault="000C199B">
            <w:pPr>
              <w:spacing w:before="0" w:after="0" w:line="240" w:lineRule="auto"/>
              <w:ind w:firstLine="0"/>
              <w:jc w:val="center"/>
              <w:rPr>
                <w:b/>
              </w:rPr>
            </w:pPr>
            <w:r w:rsidRPr="00F14B58">
              <w:rPr>
                <w:b/>
              </w:rPr>
              <w:t>Feeding Type (Breastfed/Formula)</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8D1C9" w14:textId="77777777" w:rsidR="00846834" w:rsidRPr="00F14B58" w:rsidRDefault="000C199B">
            <w:pPr>
              <w:spacing w:before="0" w:after="0" w:line="240" w:lineRule="auto"/>
              <w:ind w:firstLine="0"/>
              <w:jc w:val="center"/>
            </w:pPr>
            <w:r w:rsidRPr="00F14B58">
              <w:t>38 / 12 (76% / 24%)</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50793" w14:textId="77777777" w:rsidR="00846834" w:rsidRPr="00F14B58" w:rsidRDefault="000C199B">
            <w:pPr>
              <w:spacing w:before="0" w:after="0" w:line="240" w:lineRule="auto"/>
              <w:ind w:firstLine="0"/>
              <w:jc w:val="center"/>
            </w:pPr>
            <w:r w:rsidRPr="00F14B58">
              <w:t>16 / 9 (64% / 36%)</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08078" w14:textId="77777777" w:rsidR="00846834" w:rsidRPr="00F14B58" w:rsidRDefault="000C199B">
            <w:pPr>
              <w:spacing w:before="0" w:after="0" w:line="240" w:lineRule="auto"/>
              <w:ind w:firstLine="0"/>
              <w:jc w:val="center"/>
            </w:pPr>
            <w:r w:rsidRPr="00F14B58">
              <w:t>0.25</w:t>
            </w:r>
          </w:p>
        </w:tc>
      </w:tr>
    </w:tbl>
    <w:p w14:paraId="4C48FE08" w14:textId="77777777" w:rsidR="00846834" w:rsidRPr="00F14B58" w:rsidRDefault="000C199B">
      <w:r w:rsidRPr="00F14B58">
        <w:t xml:space="preserve"> The comparability of the two groups is a methodological strength of this study. By ensuring that baseline characteristics such as birth weight and age were well-matched, we can minimize the influence of these potential confounding variables. This increases the likelihood that the observed differences in serum vitamin D and bilirubin are attributable to the variables under investigation rather than demographic disparities. This approach aligns with other well-designed studies in the field, such as that by </w:t>
      </w:r>
      <w:hyperlink r:id="rId28">
        <w:r w:rsidRPr="00F14B58">
          <w:rPr>
            <w:color w:val="000000"/>
          </w:rPr>
          <w:t>(Kurt et al. 2025)</w:t>
        </w:r>
      </w:hyperlink>
      <w:r w:rsidRPr="00F14B58">
        <w:t>, who also carefully controlled for known risk factors to isolate the potential role of micronutrients in the etiology of neonatal jaundice.</w:t>
      </w:r>
    </w:p>
    <w:p w14:paraId="27465F8F" w14:textId="77777777" w:rsidR="00846834" w:rsidRPr="00F14B58" w:rsidRDefault="000C199B">
      <w:pPr>
        <w:pStyle w:val="Heading2"/>
      </w:pPr>
      <w:bookmarkStart w:id="14" w:name="_nh6tv8fh7ibd" w:colFirst="0" w:colLast="0"/>
      <w:bookmarkEnd w:id="14"/>
      <w:r w:rsidRPr="00F14B58">
        <w:t>4.2 Descriptive Analysis of Neonatal Vitamin D and Bilirubin Levels</w:t>
      </w:r>
    </w:p>
    <w:p w14:paraId="51CCC4F1" w14:textId="77777777" w:rsidR="00846834" w:rsidRPr="00F14B58" w:rsidRDefault="000C199B">
      <w:r w:rsidRPr="00F14B58">
        <w:t xml:space="preserve">The descriptive analysis revealed the mean and standard deviation for vitamin D and Total Serum Bilirubin (TSB) levels across the two study groups. In the hyperbilirubinemia group, the mean vitamin D level was 9.51±7.49 ng/ml, while the mean TSB level was 10.35±3.88 mg/dL. For the control group, the mean vitamin D level was 24.65±12.1 ng/ml, and the mean TSB level was </w:t>
      </w:r>
      <w:r w:rsidRPr="00F14B58">
        <w:lastRenderedPageBreak/>
        <w:t>2.70±1.48 mg/dL. An independent samples t-test was performed for both variables, and the results indicated a statistically significant difference between the two groups, with a p-value of &lt; 0.001.</w:t>
      </w:r>
    </w:p>
    <w:p w14:paraId="37AC4325" w14:textId="77777777" w:rsidR="00846834" w:rsidRPr="00F14B58" w:rsidRDefault="000C199B">
      <w:pPr>
        <w:spacing w:before="240" w:after="240"/>
        <w:ind w:firstLine="0"/>
        <w:rPr>
          <w:b/>
        </w:rPr>
      </w:pPr>
      <w:r w:rsidRPr="00F14B58">
        <w:rPr>
          <w:b/>
        </w:rPr>
        <w:t>Table 2: Descriptive Statistics of Vitamin D and TSB Levels by Study Group</w:t>
      </w:r>
    </w:p>
    <w:tbl>
      <w:tblPr>
        <w:tblStyle w:val="a0"/>
        <w:tblW w:w="78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15"/>
        <w:gridCol w:w="2310"/>
        <w:gridCol w:w="2175"/>
        <w:gridCol w:w="990"/>
      </w:tblGrid>
      <w:tr w:rsidR="00846834" w:rsidRPr="00F14B58" w14:paraId="603669EC" w14:textId="77777777">
        <w:trPr>
          <w:trHeight w:val="785"/>
        </w:trPr>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8A400" w14:textId="77777777" w:rsidR="00846834" w:rsidRPr="00F14B58" w:rsidRDefault="000C199B">
            <w:pPr>
              <w:spacing w:before="0" w:after="0" w:line="240" w:lineRule="auto"/>
              <w:ind w:firstLine="0"/>
              <w:jc w:val="center"/>
              <w:rPr>
                <w:b/>
              </w:rPr>
            </w:pPr>
            <w:r w:rsidRPr="00F14B58">
              <w:rPr>
                <w:b/>
              </w:rPr>
              <w:t>Variable</w:t>
            </w:r>
          </w:p>
        </w:tc>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D891BC" w14:textId="77777777" w:rsidR="00846834" w:rsidRPr="00F14B58" w:rsidRDefault="000C199B">
            <w:pPr>
              <w:spacing w:before="0" w:after="0" w:line="240" w:lineRule="auto"/>
              <w:ind w:firstLine="0"/>
              <w:jc w:val="center"/>
              <w:rPr>
                <w:b/>
              </w:rPr>
            </w:pPr>
            <w:r w:rsidRPr="00F14B58">
              <w:rPr>
                <w:b/>
              </w:rPr>
              <w:t>Hyperbilirubinemia Group (n=50)</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5B84D4" w14:textId="77777777" w:rsidR="00846834" w:rsidRPr="00F14B58" w:rsidRDefault="000C199B">
            <w:pPr>
              <w:spacing w:before="0" w:after="0" w:line="240" w:lineRule="auto"/>
              <w:ind w:firstLine="0"/>
              <w:jc w:val="center"/>
              <w:rPr>
                <w:b/>
              </w:rPr>
            </w:pPr>
            <w:r w:rsidRPr="00F14B58">
              <w:rPr>
                <w:b/>
              </w:rPr>
              <w:t>Control Group (n=25)</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3A750" w14:textId="77777777" w:rsidR="00846834" w:rsidRPr="00F14B58" w:rsidRDefault="000C199B">
            <w:pPr>
              <w:spacing w:before="0" w:after="0" w:line="240" w:lineRule="auto"/>
              <w:ind w:firstLine="0"/>
              <w:jc w:val="center"/>
              <w:rPr>
                <w:b/>
              </w:rPr>
            </w:pPr>
            <w:r w:rsidRPr="00F14B58">
              <w:rPr>
                <w:b/>
              </w:rPr>
              <w:t>P-value</w:t>
            </w:r>
          </w:p>
        </w:tc>
      </w:tr>
      <w:tr w:rsidR="00846834" w:rsidRPr="00F14B58" w14:paraId="696639CC" w14:textId="77777777">
        <w:trPr>
          <w:trHeight w:val="785"/>
        </w:trPr>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A75FA" w14:textId="77777777" w:rsidR="00846834" w:rsidRPr="00F14B58" w:rsidRDefault="000C199B">
            <w:pPr>
              <w:spacing w:before="0" w:after="0" w:line="240" w:lineRule="auto"/>
              <w:ind w:firstLine="0"/>
              <w:jc w:val="center"/>
              <w:rPr>
                <w:b/>
              </w:rPr>
            </w:pPr>
            <w:r w:rsidRPr="00F14B58">
              <w:rPr>
                <w:b/>
              </w:rPr>
              <w:t>Average Vitamin D Level</w:t>
            </w:r>
          </w:p>
        </w:tc>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DCB93C" w14:textId="77777777" w:rsidR="00846834" w:rsidRPr="00F14B58" w:rsidRDefault="000C199B">
            <w:pPr>
              <w:spacing w:before="0" w:after="0" w:line="240" w:lineRule="auto"/>
              <w:ind w:firstLine="0"/>
              <w:jc w:val="center"/>
            </w:pPr>
            <w:r w:rsidRPr="00F14B58">
              <w:t>9.51±7.49 ng/ml</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BAFC3B" w14:textId="77777777" w:rsidR="00846834" w:rsidRPr="00F14B58" w:rsidRDefault="000C199B">
            <w:pPr>
              <w:spacing w:before="0" w:after="0" w:line="240" w:lineRule="auto"/>
              <w:ind w:firstLine="0"/>
              <w:jc w:val="center"/>
            </w:pPr>
            <w:r w:rsidRPr="00F14B58">
              <w:t>24.65±12.1 ng/ml</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6B1736" w14:textId="77777777" w:rsidR="00846834" w:rsidRPr="00F14B58" w:rsidRDefault="000C199B">
            <w:pPr>
              <w:spacing w:before="0" w:after="0" w:line="240" w:lineRule="auto"/>
              <w:ind w:firstLine="0"/>
              <w:jc w:val="center"/>
            </w:pPr>
            <w:r w:rsidRPr="00F14B58">
              <w:t>&lt; 0.001</w:t>
            </w:r>
          </w:p>
        </w:tc>
      </w:tr>
      <w:tr w:rsidR="00846834" w:rsidRPr="00F14B58" w14:paraId="5245959E" w14:textId="77777777">
        <w:trPr>
          <w:trHeight w:val="785"/>
        </w:trPr>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43662" w14:textId="77777777" w:rsidR="00846834" w:rsidRPr="00F14B58" w:rsidRDefault="000C199B">
            <w:pPr>
              <w:spacing w:before="0" w:after="0" w:line="240" w:lineRule="auto"/>
              <w:ind w:firstLine="0"/>
              <w:jc w:val="center"/>
              <w:rPr>
                <w:b/>
              </w:rPr>
            </w:pPr>
            <w:r w:rsidRPr="00F14B58">
              <w:rPr>
                <w:b/>
              </w:rPr>
              <w:t>Average Total Serum Bilirubin (TSB) Level</w:t>
            </w:r>
          </w:p>
        </w:tc>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6F6F7" w14:textId="77777777" w:rsidR="00846834" w:rsidRPr="00F14B58" w:rsidRDefault="000C199B">
            <w:pPr>
              <w:spacing w:before="0" w:after="0" w:line="240" w:lineRule="auto"/>
              <w:ind w:firstLine="0"/>
              <w:jc w:val="center"/>
            </w:pPr>
            <w:r w:rsidRPr="00F14B58">
              <w:t>10.35±3.88 mg/dL</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D1F66" w14:textId="77777777" w:rsidR="00846834" w:rsidRPr="00F14B58" w:rsidRDefault="000C199B">
            <w:pPr>
              <w:spacing w:before="0" w:after="0" w:line="240" w:lineRule="auto"/>
              <w:ind w:firstLine="0"/>
              <w:jc w:val="center"/>
            </w:pPr>
            <w:r w:rsidRPr="00F14B58">
              <w:t>2.70±1.48 mg/dL</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A5257" w14:textId="77777777" w:rsidR="00846834" w:rsidRPr="00F14B58" w:rsidRDefault="000C199B">
            <w:pPr>
              <w:spacing w:before="0" w:after="0" w:line="240" w:lineRule="auto"/>
              <w:ind w:firstLine="0"/>
              <w:jc w:val="center"/>
            </w:pPr>
            <w:r w:rsidRPr="00F14B58">
              <w:t>&lt; 0.001</w:t>
            </w:r>
          </w:p>
        </w:tc>
      </w:tr>
    </w:tbl>
    <w:p w14:paraId="5289A936" w14:textId="77777777" w:rsidR="00846834" w:rsidRPr="00F14B58" w:rsidRDefault="000C199B">
      <w:r w:rsidRPr="00F14B58">
        <w:t>The descriptive findings reveal a statistically significant difference in both vitamin D and TSB levels between the two study groups, which provides substantial support for the study's central hypothesis. This observation suggests a potential etiological link where vitamin D deficiency may predispose newborns to a higher risk of developing neonatal hyperbilirubinemia. This is biologically plausible, as both bilirubin conjugation and vitamin D 25-hydroxylation are processes that occur in the liver. The shared metabolic site implies that a deficiency in one pathway could influence the function of the other, thereby impairing the liver's ability to clear bilirubin.</w:t>
      </w:r>
    </w:p>
    <w:p w14:paraId="062D5C28" w14:textId="77777777" w:rsidR="00846834" w:rsidRPr="00F14B58" w:rsidRDefault="000C199B">
      <w:r w:rsidRPr="00F14B58">
        <w:t xml:space="preserve">These findings are consistent with a body of research that has explored this association. A meta-analysis by </w:t>
      </w:r>
      <w:hyperlink r:id="rId29">
        <w:r w:rsidRPr="00F14B58">
          <w:rPr>
            <w:color w:val="000000"/>
          </w:rPr>
          <w:t>(Huang et al. 2021)</w:t>
        </w:r>
      </w:hyperlink>
      <w:r w:rsidRPr="00F14B58">
        <w:t xml:space="preserve">reported that neonates with jaundice exhibit vitamin D levels that are 5.35–9.52 ng/ml lower than in healthy controls, a finding that aligns with the directional difference observed in the current study. Furthermore, the results are supported by a study by  </w:t>
      </w:r>
      <w:hyperlink r:id="rId30">
        <w:r w:rsidRPr="00F14B58">
          <w:rPr>
            <w:color w:val="000000"/>
          </w:rPr>
          <w:t>(Halim 2023)</w:t>
        </w:r>
      </w:hyperlink>
      <w:r w:rsidRPr="00F14B58">
        <w:t>, which concluded that vitamin D deficiency could predispose infants to hyperbilirubinemia via impaired hepatic function. The role of maternal vitamin D status is also important, as high rates of maternal deficiency directly impact newborn stores, potentially contributing to this deficiency. This is particularly relevant in regions like Diwaniyah, where local prevalence and risk factors may vary.</w:t>
      </w:r>
    </w:p>
    <w:p w14:paraId="15350E5A" w14:textId="77777777" w:rsidR="00846834" w:rsidRPr="00F14B58" w:rsidRDefault="000C199B">
      <w:r w:rsidRPr="00F14B58">
        <w:t xml:space="preserve">However, the present study's findings are not universally supported by all research. In contrast,  </w:t>
      </w:r>
      <w:hyperlink r:id="rId31">
        <w:r w:rsidRPr="00F14B58">
          <w:rPr>
            <w:color w:val="000000"/>
          </w:rPr>
          <w:t>(</w:t>
        </w:r>
        <w:proofErr w:type="spellStart"/>
        <w:r w:rsidRPr="00F14B58">
          <w:rPr>
            <w:color w:val="000000"/>
          </w:rPr>
          <w:t>Mehrpisheh</w:t>
        </w:r>
        <w:proofErr w:type="spellEnd"/>
        <w:r w:rsidRPr="00F14B58">
          <w:rPr>
            <w:color w:val="000000"/>
          </w:rPr>
          <w:t xml:space="preserve"> et al. 2018)</w:t>
        </w:r>
      </w:hyperlink>
      <w:r w:rsidRPr="00F14B58">
        <w:t xml:space="preserve">  reported "no significant differences between the two groups" in serum vitamin D levels and concluded a lack of a relationship between vitamin D status and neonatal hyperbilirubinemia.  </w:t>
      </w:r>
    </w:p>
    <w:p w14:paraId="2F743F6E" w14:textId="77777777" w:rsidR="00846834" w:rsidRPr="00F14B58" w:rsidRDefault="000C199B">
      <w:pPr>
        <w:pStyle w:val="Heading2"/>
      </w:pPr>
      <w:bookmarkStart w:id="15" w:name="_e30oe6c955ar" w:colFirst="0" w:colLast="0"/>
      <w:bookmarkEnd w:id="15"/>
      <w:r w:rsidRPr="00F14B58">
        <w:t>4.3 Correlation Analysis and Visual Representation of Study Variables</w:t>
      </w:r>
    </w:p>
    <w:p w14:paraId="19B2234C" w14:textId="77777777" w:rsidR="00846834" w:rsidRPr="00F14B58" w:rsidRDefault="000C199B">
      <w:r w:rsidRPr="00F14B58">
        <w:rPr>
          <w:rFonts w:eastAsia="Gungsuh"/>
        </w:rPr>
        <w:t xml:space="preserve"> A Pearson correlation analysis was conducted to quantify the linear relationship between the serum vitamin D level and the TSB level across all 75 neonates in the study. The calculated Pearson correlation coefficient (r) was used to measure the strength and direction of the relationship, while a P-value was determined to assess its statistical significance. The analysis yielded a </w:t>
      </w:r>
      <w:r w:rsidRPr="00F14B58">
        <w:rPr>
          <w:rFonts w:eastAsia="Gungsuh"/>
        </w:rPr>
        <w:lastRenderedPageBreak/>
        <w:t>correlation coefficient of r=−0.441, with a P-value less than 0.037. This relationship is further illustrated in Figure 1, a scatter plot that displays the distribution of TSB levels relative to vitamin D levels for both the hyperbilirubinemia and control groups. The plot shows a clear pattern where higher TSB values are associated with lower vitamin D values, and vice versa.</w:t>
      </w:r>
    </w:p>
    <w:p w14:paraId="6200E742" w14:textId="77777777" w:rsidR="00846834" w:rsidRPr="00F14B58" w:rsidRDefault="000C199B">
      <w:pPr>
        <w:spacing w:before="240" w:after="240"/>
        <w:ind w:firstLine="0"/>
        <w:rPr>
          <w:b/>
        </w:rPr>
      </w:pPr>
      <w:r w:rsidRPr="00F14B58">
        <w:rPr>
          <w:b/>
        </w:rPr>
        <w:t>Table 3: Pearson Correlation Analysis between Neonatal Vitamin D and TSB Levels</w:t>
      </w:r>
    </w:p>
    <w:tbl>
      <w:tblPr>
        <w:tblStyle w:val="a1"/>
        <w:tblW w:w="790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951"/>
        <w:gridCol w:w="3952"/>
      </w:tblGrid>
      <w:tr w:rsidR="00846834" w:rsidRPr="00F14B58" w14:paraId="197DB629" w14:textId="77777777">
        <w:trPr>
          <w:trHeight w:val="515"/>
        </w:trPr>
        <w:tc>
          <w:tcPr>
            <w:tcW w:w="3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4C836" w14:textId="77777777" w:rsidR="00846834" w:rsidRPr="00F14B58" w:rsidRDefault="000C199B">
            <w:pPr>
              <w:spacing w:before="0" w:after="0" w:line="240" w:lineRule="auto"/>
              <w:ind w:firstLine="0"/>
              <w:jc w:val="center"/>
            </w:pPr>
            <w:r w:rsidRPr="00F14B58">
              <w:t>Correlation Coefficient (r)</w:t>
            </w:r>
          </w:p>
        </w:tc>
        <w:tc>
          <w:tcPr>
            <w:tcW w:w="3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19569" w14:textId="77777777" w:rsidR="00846834" w:rsidRPr="00F14B58" w:rsidRDefault="000C199B">
            <w:pPr>
              <w:spacing w:before="0" w:after="0" w:line="240" w:lineRule="auto"/>
              <w:ind w:firstLine="0"/>
              <w:jc w:val="center"/>
            </w:pPr>
            <w:r w:rsidRPr="00F14B58">
              <w:t>P-value</w:t>
            </w:r>
          </w:p>
        </w:tc>
      </w:tr>
      <w:tr w:rsidR="00846834" w:rsidRPr="00F14B58" w14:paraId="0A033C4C" w14:textId="77777777">
        <w:trPr>
          <w:trHeight w:val="515"/>
        </w:trPr>
        <w:tc>
          <w:tcPr>
            <w:tcW w:w="3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214A5" w14:textId="77777777" w:rsidR="00846834" w:rsidRPr="00F14B58" w:rsidRDefault="000C199B">
            <w:pPr>
              <w:spacing w:before="0" w:after="0" w:line="240" w:lineRule="auto"/>
              <w:ind w:firstLine="0"/>
              <w:jc w:val="center"/>
            </w:pPr>
            <w:r w:rsidRPr="00F14B58">
              <w:t>-0.441</w:t>
            </w:r>
          </w:p>
        </w:tc>
        <w:tc>
          <w:tcPr>
            <w:tcW w:w="3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EB7EF" w14:textId="77777777" w:rsidR="00846834" w:rsidRPr="00F14B58" w:rsidRDefault="000C199B">
            <w:pPr>
              <w:spacing w:before="0" w:after="0" w:line="240" w:lineRule="auto"/>
              <w:ind w:firstLine="0"/>
              <w:jc w:val="center"/>
            </w:pPr>
            <w:r w:rsidRPr="00F14B58">
              <w:t>&lt; 0.037</w:t>
            </w:r>
          </w:p>
        </w:tc>
      </w:tr>
    </w:tbl>
    <w:p w14:paraId="392CD560" w14:textId="77777777" w:rsidR="00846834" w:rsidRPr="00F14B58" w:rsidRDefault="000C199B">
      <w:r w:rsidRPr="00F14B58">
        <w:t xml:space="preserve">This finding is consistent with and, in some cases, represents a stronger correlation than reported in some previous studies. </w:t>
      </w:r>
      <w:hyperlink r:id="rId32">
        <w:r w:rsidRPr="00F14B58">
          <w:rPr>
            <w:color w:val="000000"/>
          </w:rPr>
          <w:t>(Bhat, Sheikh, and Ara 2021)</w:t>
        </w:r>
      </w:hyperlink>
      <w:r w:rsidRPr="00F14B58">
        <w:rPr>
          <w:rFonts w:eastAsia="Gungsuh"/>
        </w:rPr>
        <w:t xml:space="preserve"> also found a statistically significant negative correlation between vitamin D and serum bilirubin levels in </w:t>
      </w:r>
      <w:proofErr w:type="spellStart"/>
      <w:r w:rsidRPr="00F14B58">
        <w:rPr>
          <w:rFonts w:eastAsia="Gungsuh"/>
        </w:rPr>
        <w:t>hyperbilirubinemic</w:t>
      </w:r>
      <w:proofErr w:type="spellEnd"/>
      <w:r w:rsidRPr="00F14B58">
        <w:rPr>
          <w:rFonts w:eastAsia="Gungsuh"/>
        </w:rPr>
        <w:t xml:space="preserve"> neonates, with a correlation coefficient of −0.335. The study by  </w:t>
      </w:r>
      <w:hyperlink r:id="rId33">
        <w:r w:rsidRPr="00F14B58">
          <w:rPr>
            <w:color w:val="000000"/>
          </w:rPr>
          <w:t>(Abed et al. 2020)</w:t>
        </w:r>
      </w:hyperlink>
      <w:r w:rsidRPr="00F14B58">
        <w:t xml:space="preserve">  also concluded there was a "significant negative correlation between vitamin D levels and serum bilirubin in neonates". The observed correlation in the present study is also consistent with the broader conclusion of a meta-analysis by </w:t>
      </w:r>
      <w:hyperlink r:id="rId34">
        <w:r w:rsidRPr="00F14B58">
          <w:rPr>
            <w:color w:val="000000"/>
          </w:rPr>
          <w:t>(Huang et al. 2021)</w:t>
        </w:r>
      </w:hyperlink>
      <w:r w:rsidRPr="00F14B58">
        <w:t xml:space="preserve">, which found lower vitamin D levels in </w:t>
      </w:r>
      <w:proofErr w:type="spellStart"/>
      <w:r w:rsidRPr="00F14B58">
        <w:t>hyperbilirubinemic</w:t>
      </w:r>
      <w:proofErr w:type="spellEnd"/>
      <w:r w:rsidRPr="00F14B58">
        <w:t xml:space="preserve"> neonates.</w:t>
      </w:r>
    </w:p>
    <w:p w14:paraId="08028C56" w14:textId="77777777" w:rsidR="00846834" w:rsidRPr="00F14B58" w:rsidRDefault="000C199B">
      <w:r w:rsidRPr="00F14B58">
        <w:t xml:space="preserve">However, these results stand in contrast to a study by </w:t>
      </w:r>
      <w:hyperlink r:id="rId35">
        <w:r w:rsidRPr="00F14B58">
          <w:rPr>
            <w:color w:val="000000"/>
          </w:rPr>
          <w:t>(Sadr et al. 2021)</w:t>
        </w:r>
      </w:hyperlink>
      <w:r w:rsidRPr="00F14B58">
        <w:t xml:space="preserve"> found no significant relationship between neonatal 7th-day jaundice and vitamin D levels. These discrepancies in the literature highlight the complexity of this relationship and underscore </w:t>
      </w:r>
      <w:proofErr w:type="gramStart"/>
      <w:r w:rsidRPr="00F14B58">
        <w:t>the  neonatal</w:t>
      </w:r>
      <w:proofErr w:type="gramEnd"/>
      <w:r w:rsidRPr="00F14B58">
        <w:t xml:space="preserve"> liver is functionally immature. It is plausible that its limited metabolic capacity creates competition for enzymatic pathways or cellular resources. An increased demand on one pathway—or a deficiency affecting overall liver health—could consequently impair the other. As stated by </w:t>
      </w:r>
      <w:hyperlink r:id="rId36">
        <w:r w:rsidRPr="00F14B58">
          <w:rPr>
            <w:color w:val="000000"/>
          </w:rPr>
          <w:t>(</w:t>
        </w:r>
        <w:proofErr w:type="spellStart"/>
        <w:r w:rsidRPr="00F14B58">
          <w:rPr>
            <w:color w:val="000000"/>
          </w:rPr>
          <w:t>Mehrpisheh</w:t>
        </w:r>
        <w:proofErr w:type="spellEnd"/>
        <w:r w:rsidRPr="00F14B58">
          <w:rPr>
            <w:color w:val="000000"/>
          </w:rPr>
          <w:t xml:space="preserve"> et al. 2018)</w:t>
        </w:r>
      </w:hyperlink>
      <w:r w:rsidRPr="00F14B58">
        <w:t xml:space="preserve">  , "The 25-hydroxylation stage, one of the main phases of vitamin D synthesis, takes place in the liver, as well as bilirubin conjugation". This shared location suggests that compromised hepatic function could manifest as both low vitamin D levels and inefficient bilirubin clearance.</w:t>
      </w:r>
    </w:p>
    <w:p w14:paraId="64CE6527" w14:textId="77777777" w:rsidR="00846834" w:rsidRPr="00F14B58" w:rsidRDefault="000C199B">
      <w:r w:rsidRPr="00F14B58">
        <w:t xml:space="preserve">The molecular basis for the potential relationship between vitamin D and liver function, including bilirubin metabolism, is based on vitamin D's mechanism of action as a regulator of gene expression. The active hormonal form of vitamin D, 1,25-dihydroxyvitamin D (1,25(OH)2D), exerts its effects by binding to a specialized nuclear receptor known as the Vitamin D Receptor (VDR). This receptor is a transcription factor found in most cells of the body, including liver cells (hepatocytes). Upon binding, the VDR-1,25(OH)2D complex forms a heterodimer with other receptors, such as the Retinoid X Receptor (RXR), and this complex then binds to specific regions on the DNA known as Vitamin D Response Elements (VDREs) found in hundreds of genes. This binding can activate or inhibit the transcription of these genes, leading to widespread effects on numerous physiological and pathological processes. Consequently, a deficiency in vitamin D could lead to the dysregulation of genes responsible for hepatic metabolic functions, which may contribute to a decreased efficiency in bilirubin conjugation and clearance </w:t>
      </w:r>
      <w:hyperlink r:id="rId37">
        <w:r w:rsidRPr="00F14B58">
          <w:rPr>
            <w:color w:val="000000"/>
          </w:rPr>
          <w:t>(Bikle, S. Adams, and Christakos 2013)</w:t>
        </w:r>
      </w:hyperlink>
    </w:p>
    <w:p w14:paraId="5D0B85EC" w14:textId="77777777" w:rsidR="00846834" w:rsidRPr="00F14B58" w:rsidRDefault="000C199B">
      <w:pPr>
        <w:pStyle w:val="Heading2"/>
      </w:pPr>
      <w:bookmarkStart w:id="16" w:name="_eplwz3kxspwz" w:colFirst="0" w:colLast="0"/>
      <w:bookmarkEnd w:id="16"/>
      <w:r w:rsidRPr="00F14B58">
        <w:lastRenderedPageBreak/>
        <w:t>4.4 Analysis based on Postnatal Age Groups</w:t>
      </w:r>
    </w:p>
    <w:p w14:paraId="1E1D9923" w14:textId="77777777" w:rsidR="00846834" w:rsidRPr="00F14B58" w:rsidRDefault="000C199B">
      <w:r w:rsidRPr="00F14B58">
        <w:t>Within the case group (n=50), patients were stratified into two postnatal age categories: early neonatal (2-7 days) and late neonatal (8-14 days). As shown in Table 4, while TSB levels were slightly higher in the younger group, consistent with the natural peak of neonatal jaundice, there was no significant difference in mean vitamin D levels between the two age groups.</w:t>
      </w:r>
    </w:p>
    <w:p w14:paraId="7088847E" w14:textId="77777777" w:rsidR="00846834" w:rsidRPr="00F14B58" w:rsidRDefault="00846834">
      <w:pPr>
        <w:pBdr>
          <w:top w:val="nil"/>
          <w:left w:val="nil"/>
          <w:bottom w:val="nil"/>
          <w:right w:val="nil"/>
          <w:between w:val="nil"/>
        </w:pBdr>
        <w:rPr>
          <w:rFonts w:eastAsia="Arial"/>
          <w:color w:val="000000"/>
          <w:sz w:val="22"/>
          <w:szCs w:val="22"/>
        </w:rPr>
      </w:pPr>
    </w:p>
    <w:p w14:paraId="404FB921" w14:textId="77777777" w:rsidR="00846834" w:rsidRPr="00F14B58" w:rsidRDefault="000C199B">
      <w:pPr>
        <w:pStyle w:val="Subtitle"/>
        <w:pBdr>
          <w:top w:val="nil"/>
          <w:left w:val="nil"/>
          <w:bottom w:val="nil"/>
          <w:right w:val="nil"/>
          <w:between w:val="nil"/>
        </w:pBdr>
        <w:rPr>
          <w:b w:val="0"/>
          <w:color w:val="000000"/>
        </w:rPr>
      </w:pPr>
      <w:bookmarkStart w:id="17" w:name="_h2b8er7efnzj" w:colFirst="0" w:colLast="0"/>
      <w:bookmarkEnd w:id="17"/>
      <w:r w:rsidRPr="00F14B58">
        <w:t>Table 4: Comparison of Vitamin D and TSB Levels by Age Group in the Hyperbilirubinemia Group (n=50).</w:t>
      </w:r>
    </w:p>
    <w:tbl>
      <w:tblPr>
        <w:tblStyle w:val="a2"/>
        <w:tblW w:w="790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1976"/>
        <w:gridCol w:w="1976"/>
        <w:gridCol w:w="1976"/>
      </w:tblGrid>
      <w:tr w:rsidR="00846834" w:rsidRPr="00F14B58" w14:paraId="1DCE9528" w14:textId="77777777">
        <w:trPr>
          <w:trHeight w:val="78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DFB6F" w14:textId="77777777" w:rsidR="00846834" w:rsidRPr="00F14B58" w:rsidRDefault="000C199B">
            <w:pPr>
              <w:spacing w:before="0" w:after="0" w:line="240" w:lineRule="auto"/>
              <w:ind w:firstLine="0"/>
              <w:jc w:val="center"/>
              <w:rPr>
                <w:b/>
              </w:rPr>
            </w:pPr>
            <w:r w:rsidRPr="00F14B58">
              <w:rPr>
                <w:b/>
              </w:rPr>
              <w:t>Postnatal Age Group (days)</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39FFF" w14:textId="77777777" w:rsidR="00846834" w:rsidRPr="00F14B58" w:rsidRDefault="000C199B">
            <w:pPr>
              <w:spacing w:before="0" w:after="0" w:line="240" w:lineRule="auto"/>
              <w:ind w:firstLine="0"/>
              <w:jc w:val="center"/>
              <w:rPr>
                <w:b/>
              </w:rPr>
            </w:pPr>
            <w:r w:rsidRPr="00F14B58">
              <w:rPr>
                <w:b/>
              </w:rPr>
              <w:t>No. of Cases (n)</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DEF32" w14:textId="77777777" w:rsidR="00846834" w:rsidRPr="00F14B58" w:rsidRDefault="000C199B">
            <w:pPr>
              <w:spacing w:before="0" w:after="0" w:line="240" w:lineRule="auto"/>
              <w:ind w:firstLine="0"/>
              <w:jc w:val="center"/>
              <w:rPr>
                <w:b/>
              </w:rPr>
            </w:pPr>
            <w:r w:rsidRPr="00F14B58">
              <w:rPr>
                <w:b/>
              </w:rPr>
              <w:t>Mean Vitamin D (ng/ml)</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E5137" w14:textId="77777777" w:rsidR="00846834" w:rsidRPr="00F14B58" w:rsidRDefault="000C199B">
            <w:pPr>
              <w:spacing w:before="0" w:after="0" w:line="240" w:lineRule="auto"/>
              <w:ind w:firstLine="0"/>
              <w:jc w:val="center"/>
              <w:rPr>
                <w:b/>
              </w:rPr>
            </w:pPr>
            <w:r w:rsidRPr="00F14B58">
              <w:rPr>
                <w:b/>
              </w:rPr>
              <w:t>Mean TSB (mg/dL)</w:t>
            </w:r>
          </w:p>
        </w:tc>
      </w:tr>
      <w:tr w:rsidR="00846834" w:rsidRPr="00F14B58" w14:paraId="6588F464" w14:textId="77777777">
        <w:trPr>
          <w:trHeight w:val="51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CE1D8" w14:textId="77777777" w:rsidR="00846834" w:rsidRPr="00F14B58" w:rsidRDefault="000C199B">
            <w:pPr>
              <w:spacing w:before="0" w:after="0" w:line="240" w:lineRule="auto"/>
              <w:ind w:firstLine="0"/>
              <w:jc w:val="center"/>
            </w:pPr>
            <w:r w:rsidRPr="00F14B58">
              <w:t>2 – 7</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0EBCB" w14:textId="77777777" w:rsidR="00846834" w:rsidRPr="00F14B58" w:rsidRDefault="000C199B">
            <w:pPr>
              <w:spacing w:before="0" w:after="0" w:line="240" w:lineRule="auto"/>
              <w:ind w:firstLine="0"/>
              <w:jc w:val="center"/>
            </w:pPr>
            <w:r w:rsidRPr="00F14B58">
              <w:t>35</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299CB" w14:textId="77777777" w:rsidR="00846834" w:rsidRPr="00F14B58" w:rsidRDefault="000C199B">
            <w:pPr>
              <w:spacing w:before="0" w:after="0" w:line="240" w:lineRule="auto"/>
              <w:ind w:firstLine="0"/>
              <w:jc w:val="center"/>
            </w:pPr>
            <w:r w:rsidRPr="00F14B58">
              <w:t>9.45 ± 7.6</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2F2C9" w14:textId="77777777" w:rsidR="00846834" w:rsidRPr="00F14B58" w:rsidRDefault="000C199B">
            <w:pPr>
              <w:spacing w:before="0" w:after="0" w:line="240" w:lineRule="auto"/>
              <w:ind w:firstLine="0"/>
              <w:jc w:val="center"/>
            </w:pPr>
            <w:r w:rsidRPr="00F14B58">
              <w:t>11.1 ± 3.5</w:t>
            </w:r>
          </w:p>
        </w:tc>
      </w:tr>
      <w:tr w:rsidR="00846834" w:rsidRPr="00F14B58" w14:paraId="1EB67287" w14:textId="77777777">
        <w:trPr>
          <w:trHeight w:val="51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48555" w14:textId="77777777" w:rsidR="00846834" w:rsidRPr="00F14B58" w:rsidRDefault="000C199B">
            <w:pPr>
              <w:spacing w:before="0" w:after="0" w:line="240" w:lineRule="auto"/>
              <w:ind w:firstLine="0"/>
              <w:jc w:val="center"/>
            </w:pPr>
            <w:r w:rsidRPr="00F14B58">
              <w:t>8 – 14</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BE205" w14:textId="77777777" w:rsidR="00846834" w:rsidRPr="00F14B58" w:rsidRDefault="000C199B">
            <w:pPr>
              <w:spacing w:before="0" w:after="0" w:line="240" w:lineRule="auto"/>
              <w:ind w:firstLine="0"/>
              <w:jc w:val="center"/>
            </w:pPr>
            <w:r w:rsidRPr="00F14B58">
              <w:t>15</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AD959" w14:textId="77777777" w:rsidR="00846834" w:rsidRPr="00F14B58" w:rsidRDefault="000C199B">
            <w:pPr>
              <w:spacing w:before="0" w:after="0" w:line="240" w:lineRule="auto"/>
              <w:ind w:firstLine="0"/>
              <w:jc w:val="center"/>
            </w:pPr>
            <w:r w:rsidRPr="00F14B58">
              <w:t>9.62 ± 7.3</w:t>
            </w:r>
          </w:p>
        </w:tc>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0E4CE" w14:textId="77777777" w:rsidR="00846834" w:rsidRPr="00F14B58" w:rsidRDefault="000C199B">
            <w:pPr>
              <w:spacing w:before="0" w:after="0" w:line="240" w:lineRule="auto"/>
              <w:ind w:firstLine="0"/>
              <w:jc w:val="center"/>
            </w:pPr>
            <w:r w:rsidRPr="00F14B58">
              <w:t>8.9 ± 4.1</w:t>
            </w:r>
          </w:p>
        </w:tc>
      </w:tr>
    </w:tbl>
    <w:p w14:paraId="585467A7" w14:textId="77777777" w:rsidR="00846834" w:rsidRPr="00F14B58" w:rsidRDefault="000C199B">
      <w:r w:rsidRPr="00F14B58">
        <w:t xml:space="preserve"> This age-based analysis provides a critical insight. The higher bilirubin levels in the first week align with the well-documented natural history of neonatal jaundice, which often peaks around the third to fifth day of life, as also observed in follow-up studies like that of  </w:t>
      </w:r>
      <w:hyperlink r:id="rId38">
        <w:r w:rsidRPr="00F14B58">
          <w:rPr>
            <w:color w:val="000000"/>
          </w:rPr>
          <w:t>(</w:t>
        </w:r>
        <w:proofErr w:type="spellStart"/>
        <w:r w:rsidRPr="00F14B58">
          <w:rPr>
            <w:color w:val="000000"/>
          </w:rPr>
          <w:t>Ansong-Assoku</w:t>
        </w:r>
        <w:proofErr w:type="spellEnd"/>
        <w:r w:rsidRPr="00F14B58">
          <w:rPr>
            <w:color w:val="000000"/>
          </w:rPr>
          <w:t xml:space="preserve"> et al. 2025)</w:t>
        </w:r>
      </w:hyperlink>
      <w:r w:rsidRPr="00F14B58">
        <w:t xml:space="preserve">. More importantly, the stability of vitamin D levels across the first two weeks of life strongly suggests that the deficiency is a congenital condition, established at birth, rather than an acquired postnatal issue. This finding points directly to the maternal contribution to neonatal vitamin D status. A study by </w:t>
      </w:r>
      <w:hyperlink r:id="rId39">
        <w:r w:rsidRPr="00F14B58">
          <w:rPr>
            <w:color w:val="000000"/>
          </w:rPr>
          <w:t>(Singh et al. 2024)</w:t>
        </w:r>
      </w:hyperlink>
      <w:r w:rsidRPr="00F14B58">
        <w:t xml:space="preserve"> emphatically supports this, demonstrating a significant correlation between maternal vitamin D levels during pregnancy and subsequent bilirubin levels in their newborns. Therefore, the low vitamin D level in our jaundiced neonates is likely a direct reflection of maternal deficiency.</w:t>
      </w:r>
    </w:p>
    <w:p w14:paraId="39195DDD" w14:textId="77777777" w:rsidR="00846834" w:rsidRPr="00F14B58" w:rsidRDefault="000C199B">
      <w:pPr>
        <w:pStyle w:val="Heading1"/>
      </w:pPr>
      <w:bookmarkStart w:id="18" w:name="_5k2ju9yq30m3" w:colFirst="0" w:colLast="0"/>
      <w:bookmarkEnd w:id="18"/>
      <w:r w:rsidRPr="00F14B58">
        <w:t xml:space="preserve">CONCLUSIONS </w:t>
      </w:r>
    </w:p>
    <w:p w14:paraId="1D32CC37" w14:textId="77777777" w:rsidR="00846834" w:rsidRPr="00F14B58" w:rsidRDefault="000C199B">
      <w:r w:rsidRPr="00F14B58">
        <w:t>This study concludes that there is a moderate, statistically significant negative correlation between serum 25-hydroxyvitamin D levels and the severity of neonatal hyperbilirubinemia in the studied Iraqi population. Newborns diagnosed with hyperbilirubinemia demonstrated markedly lower concentrations of vitamin D compared to their healthy counterparts. The evidence strongly suggests that vitamin D deficiency is a significant and modifiable risk factor for the development of neonatal jaundice.</w:t>
      </w:r>
    </w:p>
    <w:p w14:paraId="40D12728" w14:textId="77777777" w:rsidR="00846834" w:rsidRPr="00F14B58" w:rsidRDefault="00846834">
      <w:pPr>
        <w:widowControl w:val="0"/>
        <w:shd w:val="clear" w:color="auto" w:fill="auto"/>
        <w:tabs>
          <w:tab w:val="left" w:pos="693"/>
        </w:tabs>
        <w:spacing w:before="0" w:after="0" w:line="240" w:lineRule="auto"/>
        <w:ind w:firstLine="0"/>
        <w:jc w:val="left"/>
      </w:pPr>
    </w:p>
    <w:p w14:paraId="32D806D1" w14:textId="77777777" w:rsidR="00846834" w:rsidRPr="00F14B58" w:rsidRDefault="000C199B">
      <w:pPr>
        <w:pStyle w:val="Heading1"/>
        <w:pBdr>
          <w:top w:val="nil"/>
          <w:left w:val="nil"/>
          <w:bottom w:val="nil"/>
          <w:right w:val="nil"/>
          <w:between w:val="nil"/>
        </w:pBdr>
      </w:pPr>
      <w:bookmarkStart w:id="19" w:name="_bw8a98jxh7jr" w:colFirst="0" w:colLast="0"/>
      <w:bookmarkEnd w:id="19"/>
      <w:r w:rsidRPr="00F14B58">
        <w:t>REFERENCES:</w:t>
      </w:r>
    </w:p>
    <w:p w14:paraId="248A5F3D" w14:textId="77777777" w:rsidR="00846834" w:rsidRPr="00F14B58" w:rsidRDefault="0072703A">
      <w:pPr>
        <w:widowControl w:val="0"/>
        <w:numPr>
          <w:ilvl w:val="0"/>
          <w:numId w:val="1"/>
        </w:numPr>
        <w:pBdr>
          <w:top w:val="nil"/>
          <w:left w:val="nil"/>
          <w:bottom w:val="nil"/>
          <w:right w:val="nil"/>
          <w:between w:val="nil"/>
        </w:pBdr>
        <w:shd w:val="clear" w:color="auto" w:fill="auto"/>
        <w:spacing w:before="240" w:after="0" w:line="240" w:lineRule="auto"/>
        <w:rPr>
          <w:sz w:val="24"/>
          <w:szCs w:val="24"/>
        </w:rPr>
      </w:pPr>
      <w:hyperlink r:id="rId40">
        <w:r w:rsidR="000C199B" w:rsidRPr="00F14B58">
          <w:rPr>
            <w:color w:val="000000"/>
            <w:sz w:val="24"/>
            <w:szCs w:val="24"/>
          </w:rPr>
          <w:t xml:space="preserve">Abed, Neveen T., Farida F. </w:t>
        </w:r>
        <w:proofErr w:type="spellStart"/>
        <w:r w:rsidR="000C199B" w:rsidRPr="00F14B58">
          <w:rPr>
            <w:color w:val="000000"/>
            <w:sz w:val="24"/>
            <w:szCs w:val="24"/>
          </w:rPr>
          <w:t>Negm</w:t>
        </w:r>
        <w:proofErr w:type="spellEnd"/>
        <w:r w:rsidR="000C199B" w:rsidRPr="00F14B58">
          <w:rPr>
            <w:color w:val="000000"/>
            <w:sz w:val="24"/>
            <w:szCs w:val="24"/>
          </w:rPr>
          <w:t xml:space="preserve">, </w:t>
        </w:r>
        <w:proofErr w:type="spellStart"/>
        <w:r w:rsidR="000C199B" w:rsidRPr="00F14B58">
          <w:rPr>
            <w:color w:val="000000"/>
            <w:sz w:val="24"/>
            <w:szCs w:val="24"/>
          </w:rPr>
          <w:t>Enas</w:t>
        </w:r>
        <w:proofErr w:type="spellEnd"/>
        <w:r w:rsidR="000C199B" w:rsidRPr="00F14B58">
          <w:rPr>
            <w:color w:val="000000"/>
            <w:sz w:val="24"/>
            <w:szCs w:val="24"/>
          </w:rPr>
          <w:t xml:space="preserve"> S. Ahmad, and Heba A. Mohammed. 2020. “Vitamin D Levels in Full-Term Neonates with Indirect Hyperbilirubinemia.” </w:t>
        </w:r>
      </w:hyperlink>
      <w:hyperlink r:id="rId41">
        <w:r w:rsidR="000C199B" w:rsidRPr="00F14B58">
          <w:rPr>
            <w:i/>
            <w:color w:val="000000"/>
            <w:sz w:val="24"/>
            <w:szCs w:val="24"/>
          </w:rPr>
          <w:t>Egyptian Journal of Hospital Medicine</w:t>
        </w:r>
      </w:hyperlink>
      <w:hyperlink r:id="rId42">
        <w:r w:rsidR="000C199B" w:rsidRPr="00F14B58">
          <w:rPr>
            <w:color w:val="000000"/>
            <w:sz w:val="24"/>
            <w:szCs w:val="24"/>
          </w:rPr>
          <w:t xml:space="preserve"> 81 (5): 2030–</w:t>
        </w:r>
        <w:r w:rsidR="000C199B" w:rsidRPr="00F14B58">
          <w:rPr>
            <w:color w:val="000000"/>
            <w:sz w:val="24"/>
            <w:szCs w:val="24"/>
          </w:rPr>
          <w:lastRenderedPageBreak/>
          <w:t>35.</w:t>
        </w:r>
      </w:hyperlink>
    </w:p>
    <w:p w14:paraId="6B745C6F" w14:textId="77777777" w:rsidR="00846834" w:rsidRPr="00F14B58" w:rsidRDefault="0072703A">
      <w:pPr>
        <w:widowControl w:val="0"/>
        <w:numPr>
          <w:ilvl w:val="0"/>
          <w:numId w:val="1"/>
        </w:numPr>
        <w:pBdr>
          <w:top w:val="nil"/>
          <w:left w:val="nil"/>
          <w:bottom w:val="nil"/>
          <w:right w:val="nil"/>
          <w:between w:val="nil"/>
        </w:pBdr>
        <w:shd w:val="clear" w:color="auto" w:fill="auto"/>
        <w:spacing w:before="0" w:after="0" w:line="240" w:lineRule="auto"/>
        <w:rPr>
          <w:sz w:val="24"/>
          <w:szCs w:val="24"/>
        </w:rPr>
      </w:pPr>
      <w:hyperlink r:id="rId43">
        <w:proofErr w:type="spellStart"/>
        <w:r w:rsidR="000C199B" w:rsidRPr="00F14B58">
          <w:rPr>
            <w:color w:val="000000"/>
            <w:sz w:val="24"/>
            <w:szCs w:val="24"/>
          </w:rPr>
          <w:t>Ansong-Assoku</w:t>
        </w:r>
        <w:proofErr w:type="spellEnd"/>
        <w:r w:rsidR="000C199B" w:rsidRPr="00F14B58">
          <w:rPr>
            <w:color w:val="000000"/>
            <w:sz w:val="24"/>
            <w:szCs w:val="24"/>
          </w:rPr>
          <w:t xml:space="preserve">, Betty, Mohammad Adnan, Sharon F. Daley, and Pratibha A. Ankola. 2025. “Neonatal Jaundice.” In </w:t>
        </w:r>
      </w:hyperlink>
      <w:hyperlink r:id="rId44">
        <w:proofErr w:type="spellStart"/>
        <w:r w:rsidR="000C199B" w:rsidRPr="00F14B58">
          <w:rPr>
            <w:i/>
            <w:color w:val="000000"/>
            <w:sz w:val="24"/>
            <w:szCs w:val="24"/>
          </w:rPr>
          <w:t>StatPearls</w:t>
        </w:r>
        <w:proofErr w:type="spellEnd"/>
      </w:hyperlink>
      <w:hyperlink r:id="rId45">
        <w:r w:rsidR="000C199B" w:rsidRPr="00F14B58">
          <w:rPr>
            <w:color w:val="000000"/>
            <w:sz w:val="24"/>
            <w:szCs w:val="24"/>
          </w:rPr>
          <w:t xml:space="preserve">. Treasure Island (FL): </w:t>
        </w:r>
        <w:proofErr w:type="spellStart"/>
        <w:r w:rsidR="000C199B" w:rsidRPr="00F14B58">
          <w:rPr>
            <w:color w:val="000000"/>
            <w:sz w:val="24"/>
            <w:szCs w:val="24"/>
          </w:rPr>
          <w:t>StatPearls</w:t>
        </w:r>
        <w:proofErr w:type="spellEnd"/>
        <w:r w:rsidR="000C199B" w:rsidRPr="00F14B58">
          <w:rPr>
            <w:color w:val="000000"/>
            <w:sz w:val="24"/>
            <w:szCs w:val="24"/>
          </w:rPr>
          <w:t xml:space="preserve"> Publishing.</w:t>
        </w:r>
      </w:hyperlink>
    </w:p>
    <w:p w14:paraId="6A0AEDC8" w14:textId="77777777" w:rsidR="00846834" w:rsidRPr="00F14B58" w:rsidRDefault="0072703A">
      <w:pPr>
        <w:widowControl w:val="0"/>
        <w:numPr>
          <w:ilvl w:val="0"/>
          <w:numId w:val="1"/>
        </w:numPr>
        <w:pBdr>
          <w:top w:val="nil"/>
          <w:left w:val="nil"/>
          <w:bottom w:val="nil"/>
          <w:right w:val="nil"/>
          <w:between w:val="nil"/>
        </w:pBdr>
        <w:shd w:val="clear" w:color="auto" w:fill="auto"/>
        <w:spacing w:before="0" w:after="0" w:line="240" w:lineRule="auto"/>
        <w:rPr>
          <w:sz w:val="24"/>
          <w:szCs w:val="24"/>
        </w:rPr>
      </w:pPr>
      <w:hyperlink r:id="rId46">
        <w:r w:rsidR="000C199B" w:rsidRPr="00F14B58">
          <w:rPr>
            <w:color w:val="000000"/>
            <w:sz w:val="24"/>
            <w:szCs w:val="24"/>
          </w:rPr>
          <w:t xml:space="preserve">Ayadi, Imene D., Emira B. H. </w:t>
        </w:r>
        <w:proofErr w:type="spellStart"/>
        <w:r w:rsidR="000C199B" w:rsidRPr="00F14B58">
          <w:rPr>
            <w:color w:val="000000"/>
            <w:sz w:val="24"/>
            <w:szCs w:val="24"/>
          </w:rPr>
          <w:t>Nouaili</w:t>
        </w:r>
        <w:proofErr w:type="spellEnd"/>
        <w:r w:rsidR="000C199B" w:rsidRPr="00F14B58">
          <w:rPr>
            <w:color w:val="000000"/>
            <w:sz w:val="24"/>
            <w:szCs w:val="24"/>
          </w:rPr>
          <w:t xml:space="preserve">, </w:t>
        </w:r>
        <w:proofErr w:type="spellStart"/>
        <w:r w:rsidR="000C199B" w:rsidRPr="00F14B58">
          <w:rPr>
            <w:color w:val="000000"/>
            <w:sz w:val="24"/>
            <w:szCs w:val="24"/>
          </w:rPr>
          <w:t>Emna</w:t>
        </w:r>
        <w:proofErr w:type="spellEnd"/>
        <w:r w:rsidR="000C199B" w:rsidRPr="00F14B58">
          <w:rPr>
            <w:color w:val="000000"/>
            <w:sz w:val="24"/>
            <w:szCs w:val="24"/>
          </w:rPr>
          <w:t xml:space="preserve"> </w:t>
        </w:r>
        <w:proofErr w:type="spellStart"/>
        <w:r w:rsidR="000C199B" w:rsidRPr="00F14B58">
          <w:rPr>
            <w:color w:val="000000"/>
            <w:sz w:val="24"/>
            <w:szCs w:val="24"/>
          </w:rPr>
          <w:t>Talbi</w:t>
        </w:r>
        <w:proofErr w:type="spellEnd"/>
        <w:r w:rsidR="000C199B" w:rsidRPr="00F14B58">
          <w:rPr>
            <w:color w:val="000000"/>
            <w:sz w:val="24"/>
            <w:szCs w:val="24"/>
          </w:rPr>
          <w:t xml:space="preserve">, </w:t>
        </w:r>
        <w:proofErr w:type="spellStart"/>
        <w:r w:rsidR="000C199B" w:rsidRPr="00F14B58">
          <w:rPr>
            <w:color w:val="000000"/>
            <w:sz w:val="24"/>
            <w:szCs w:val="24"/>
          </w:rPr>
          <w:t>Aicha</w:t>
        </w:r>
        <w:proofErr w:type="spellEnd"/>
        <w:r w:rsidR="000C199B" w:rsidRPr="00F14B58">
          <w:rPr>
            <w:color w:val="000000"/>
            <w:sz w:val="24"/>
            <w:szCs w:val="24"/>
          </w:rPr>
          <w:t xml:space="preserve"> </w:t>
        </w:r>
        <w:proofErr w:type="spellStart"/>
        <w:r w:rsidR="000C199B" w:rsidRPr="00F14B58">
          <w:rPr>
            <w:color w:val="000000"/>
            <w:sz w:val="24"/>
            <w:szCs w:val="24"/>
          </w:rPr>
          <w:t>Ghdemssi</w:t>
        </w:r>
        <w:proofErr w:type="spellEnd"/>
        <w:r w:rsidR="000C199B" w:rsidRPr="00F14B58">
          <w:rPr>
            <w:color w:val="000000"/>
            <w:sz w:val="24"/>
            <w:szCs w:val="24"/>
          </w:rPr>
          <w:t xml:space="preserve">, </w:t>
        </w:r>
        <w:proofErr w:type="spellStart"/>
        <w:r w:rsidR="000C199B" w:rsidRPr="00F14B58">
          <w:rPr>
            <w:color w:val="000000"/>
            <w:sz w:val="24"/>
            <w:szCs w:val="24"/>
          </w:rPr>
          <w:t>Chiraz</w:t>
        </w:r>
        <w:proofErr w:type="spellEnd"/>
        <w:r w:rsidR="000C199B" w:rsidRPr="00F14B58">
          <w:rPr>
            <w:color w:val="000000"/>
            <w:sz w:val="24"/>
            <w:szCs w:val="24"/>
          </w:rPr>
          <w:t xml:space="preserve"> </w:t>
        </w:r>
        <w:proofErr w:type="spellStart"/>
        <w:r w:rsidR="000C199B" w:rsidRPr="00F14B58">
          <w:rPr>
            <w:color w:val="000000"/>
            <w:sz w:val="24"/>
            <w:szCs w:val="24"/>
          </w:rPr>
          <w:t>Rached</w:t>
        </w:r>
        <w:proofErr w:type="spellEnd"/>
        <w:r w:rsidR="000C199B" w:rsidRPr="00F14B58">
          <w:rPr>
            <w:color w:val="000000"/>
            <w:sz w:val="24"/>
            <w:szCs w:val="24"/>
          </w:rPr>
          <w:t xml:space="preserve">, </w:t>
        </w:r>
        <w:proofErr w:type="spellStart"/>
        <w:r w:rsidR="000C199B" w:rsidRPr="00F14B58">
          <w:rPr>
            <w:color w:val="000000"/>
            <w:sz w:val="24"/>
            <w:szCs w:val="24"/>
          </w:rPr>
          <w:t>Afef</w:t>
        </w:r>
        <w:proofErr w:type="spellEnd"/>
        <w:r w:rsidR="000C199B" w:rsidRPr="00F14B58">
          <w:rPr>
            <w:color w:val="000000"/>
            <w:sz w:val="24"/>
            <w:szCs w:val="24"/>
          </w:rPr>
          <w:t xml:space="preserve"> </w:t>
        </w:r>
        <w:proofErr w:type="spellStart"/>
        <w:r w:rsidR="000C199B" w:rsidRPr="00F14B58">
          <w:rPr>
            <w:color w:val="000000"/>
            <w:sz w:val="24"/>
            <w:szCs w:val="24"/>
          </w:rPr>
          <w:t>Bahlous</w:t>
        </w:r>
        <w:proofErr w:type="spellEnd"/>
        <w:r w:rsidR="000C199B" w:rsidRPr="00F14B58">
          <w:rPr>
            <w:color w:val="000000"/>
            <w:sz w:val="24"/>
            <w:szCs w:val="24"/>
          </w:rPr>
          <w:t xml:space="preserve">, </w:t>
        </w:r>
        <w:proofErr w:type="spellStart"/>
        <w:r w:rsidR="000C199B" w:rsidRPr="00F14B58">
          <w:rPr>
            <w:color w:val="000000"/>
            <w:sz w:val="24"/>
            <w:szCs w:val="24"/>
          </w:rPr>
          <w:t>Amel</w:t>
        </w:r>
        <w:proofErr w:type="spellEnd"/>
        <w:r w:rsidR="000C199B" w:rsidRPr="00F14B58">
          <w:rPr>
            <w:color w:val="000000"/>
            <w:sz w:val="24"/>
            <w:szCs w:val="24"/>
          </w:rPr>
          <w:t xml:space="preserve"> </w:t>
        </w:r>
        <w:proofErr w:type="spellStart"/>
        <w:r w:rsidR="000C199B" w:rsidRPr="00F14B58">
          <w:rPr>
            <w:color w:val="000000"/>
            <w:sz w:val="24"/>
            <w:szCs w:val="24"/>
          </w:rPr>
          <w:t>Gammoudi</w:t>
        </w:r>
        <w:proofErr w:type="spellEnd"/>
        <w:r w:rsidR="000C199B" w:rsidRPr="00F14B58">
          <w:rPr>
            <w:color w:val="000000"/>
            <w:sz w:val="24"/>
            <w:szCs w:val="24"/>
          </w:rPr>
          <w:t xml:space="preserve">, et al. 2016. “Prevalence of Vitamin D Deficiency in Mothers and Their Newborns in a Tunisian Population.” </w:t>
        </w:r>
      </w:hyperlink>
      <w:hyperlink r:id="rId47">
        <w:r w:rsidR="000C199B" w:rsidRPr="00F14B58">
          <w:rPr>
            <w:i/>
            <w:color w:val="000000"/>
            <w:sz w:val="24"/>
            <w:szCs w:val="24"/>
          </w:rPr>
          <w:t xml:space="preserve">International Journal of </w:t>
        </w:r>
        <w:proofErr w:type="spellStart"/>
        <w:r w:rsidR="000C199B" w:rsidRPr="00F14B58">
          <w:rPr>
            <w:i/>
            <w:color w:val="000000"/>
            <w:sz w:val="24"/>
            <w:szCs w:val="24"/>
          </w:rPr>
          <w:t>Gynaecology</w:t>
        </w:r>
        <w:proofErr w:type="spellEnd"/>
        <w:r w:rsidR="000C199B" w:rsidRPr="00F14B58">
          <w:rPr>
            <w:i/>
            <w:color w:val="000000"/>
            <w:sz w:val="24"/>
            <w:szCs w:val="24"/>
          </w:rPr>
          <w:t xml:space="preserve"> and Obstetrics: The Official Organ of the International Federation of </w:t>
        </w:r>
        <w:proofErr w:type="spellStart"/>
        <w:r w:rsidR="000C199B" w:rsidRPr="00F14B58">
          <w:rPr>
            <w:i/>
            <w:color w:val="000000"/>
            <w:sz w:val="24"/>
            <w:szCs w:val="24"/>
          </w:rPr>
          <w:t>Gynaecology</w:t>
        </w:r>
        <w:proofErr w:type="spellEnd"/>
        <w:r w:rsidR="000C199B" w:rsidRPr="00F14B58">
          <w:rPr>
            <w:i/>
            <w:color w:val="000000"/>
            <w:sz w:val="24"/>
            <w:szCs w:val="24"/>
          </w:rPr>
          <w:t xml:space="preserve"> and Obstetrics</w:t>
        </w:r>
      </w:hyperlink>
      <w:hyperlink r:id="rId48">
        <w:r w:rsidR="000C199B" w:rsidRPr="00F14B58">
          <w:rPr>
            <w:color w:val="000000"/>
            <w:sz w:val="24"/>
            <w:szCs w:val="24"/>
          </w:rPr>
          <w:t xml:space="preserve"> 133 (2): 192–95.</w:t>
        </w:r>
      </w:hyperlink>
    </w:p>
    <w:p w14:paraId="4050FB61" w14:textId="77777777" w:rsidR="00846834" w:rsidRPr="00F14B58" w:rsidRDefault="0072703A">
      <w:pPr>
        <w:widowControl w:val="0"/>
        <w:numPr>
          <w:ilvl w:val="0"/>
          <w:numId w:val="1"/>
        </w:numPr>
        <w:pBdr>
          <w:top w:val="nil"/>
          <w:left w:val="nil"/>
          <w:bottom w:val="nil"/>
          <w:right w:val="nil"/>
          <w:between w:val="nil"/>
        </w:pBdr>
        <w:shd w:val="clear" w:color="auto" w:fill="auto"/>
        <w:spacing w:before="0" w:after="0" w:line="240" w:lineRule="auto"/>
        <w:rPr>
          <w:sz w:val="24"/>
          <w:szCs w:val="24"/>
        </w:rPr>
      </w:pPr>
      <w:hyperlink r:id="rId49">
        <w:r w:rsidR="000C199B" w:rsidRPr="00F14B58">
          <w:rPr>
            <w:color w:val="000000"/>
            <w:sz w:val="24"/>
            <w:szCs w:val="24"/>
          </w:rPr>
          <w:t xml:space="preserve">Bhat, Jehangir Allam, Sajad Ahmad Sheikh, and Roshan Ara. 2021. “Correlation of 25-Hydroxy Vitamin D Level with Neonatal Hyperbilirubinemia in Term Healthy Newborn: A Prospective Hospital-Based Observation Study: A Prospective </w:t>
        </w:r>
        <w:proofErr w:type="spellStart"/>
        <w:r w:rsidR="000C199B" w:rsidRPr="00F14B58">
          <w:rPr>
            <w:color w:val="000000"/>
            <w:sz w:val="24"/>
            <w:szCs w:val="24"/>
          </w:rPr>
          <w:t>Hospitalbased</w:t>
        </w:r>
        <w:proofErr w:type="spellEnd"/>
        <w:r w:rsidR="000C199B" w:rsidRPr="00F14B58">
          <w:rPr>
            <w:color w:val="000000"/>
            <w:sz w:val="24"/>
            <w:szCs w:val="24"/>
          </w:rPr>
          <w:t xml:space="preserve"> Observation Study.” </w:t>
        </w:r>
      </w:hyperlink>
      <w:hyperlink r:id="rId50">
        <w:r w:rsidR="000C199B" w:rsidRPr="00F14B58">
          <w:rPr>
            <w:i/>
            <w:color w:val="000000"/>
            <w:sz w:val="24"/>
            <w:szCs w:val="24"/>
          </w:rPr>
          <w:t>International Journal of Pediatrics &amp; Adolescent Medicine</w:t>
        </w:r>
      </w:hyperlink>
      <w:hyperlink r:id="rId51">
        <w:r w:rsidR="000C199B" w:rsidRPr="00F14B58">
          <w:rPr>
            <w:color w:val="000000"/>
            <w:sz w:val="24"/>
            <w:szCs w:val="24"/>
          </w:rPr>
          <w:t xml:space="preserve"> 8 (1): 5–9.</w:t>
        </w:r>
      </w:hyperlink>
    </w:p>
    <w:p w14:paraId="7DC89D63" w14:textId="77777777" w:rsidR="00846834" w:rsidRPr="00F14B58" w:rsidRDefault="0072703A">
      <w:pPr>
        <w:widowControl w:val="0"/>
        <w:numPr>
          <w:ilvl w:val="0"/>
          <w:numId w:val="1"/>
        </w:numPr>
        <w:pBdr>
          <w:top w:val="nil"/>
          <w:left w:val="nil"/>
          <w:bottom w:val="nil"/>
          <w:right w:val="nil"/>
          <w:between w:val="nil"/>
        </w:pBdr>
        <w:shd w:val="clear" w:color="auto" w:fill="auto"/>
        <w:spacing w:before="0" w:after="0" w:line="240" w:lineRule="auto"/>
        <w:rPr>
          <w:sz w:val="24"/>
          <w:szCs w:val="24"/>
        </w:rPr>
      </w:pPr>
      <w:hyperlink r:id="rId52">
        <w:r w:rsidR="000C199B" w:rsidRPr="00F14B58">
          <w:rPr>
            <w:color w:val="000000"/>
            <w:sz w:val="24"/>
            <w:szCs w:val="24"/>
          </w:rPr>
          <w:t xml:space="preserve">Bikle, Daniel, John S. Adams, and Sylvia Christakos. 2013. “Vitamin D: Production, Metabolism, Mechanism of Action, and Clinical Requirements.” In </w:t>
        </w:r>
      </w:hyperlink>
      <w:hyperlink r:id="rId53">
        <w:r w:rsidR="000C199B" w:rsidRPr="00F14B58">
          <w:rPr>
            <w:i/>
            <w:color w:val="000000"/>
            <w:sz w:val="24"/>
            <w:szCs w:val="24"/>
          </w:rPr>
          <w:t>Primer on the Metabolic Bone Diseases and Disorders of Mineral Metabolism</w:t>
        </w:r>
      </w:hyperlink>
      <w:hyperlink r:id="rId54">
        <w:r w:rsidR="000C199B" w:rsidRPr="00F14B58">
          <w:rPr>
            <w:color w:val="000000"/>
            <w:sz w:val="24"/>
            <w:szCs w:val="24"/>
          </w:rPr>
          <w:t>, 235–48. Ames, USA: John Wiley &amp; Sons, Inc.</w:t>
        </w:r>
      </w:hyperlink>
    </w:p>
    <w:p w14:paraId="144AE76A" w14:textId="77777777" w:rsidR="00846834" w:rsidRPr="00F14B58" w:rsidRDefault="0072703A">
      <w:pPr>
        <w:widowControl w:val="0"/>
        <w:numPr>
          <w:ilvl w:val="0"/>
          <w:numId w:val="1"/>
        </w:numPr>
        <w:pBdr>
          <w:top w:val="nil"/>
          <w:left w:val="nil"/>
          <w:bottom w:val="nil"/>
          <w:right w:val="nil"/>
          <w:between w:val="nil"/>
        </w:pBdr>
        <w:shd w:val="clear" w:color="auto" w:fill="auto"/>
        <w:spacing w:before="0" w:after="0" w:line="240" w:lineRule="auto"/>
        <w:rPr>
          <w:sz w:val="24"/>
          <w:szCs w:val="24"/>
        </w:rPr>
      </w:pPr>
      <w:hyperlink r:id="rId55">
        <w:r w:rsidR="000C199B" w:rsidRPr="00F14B58">
          <w:rPr>
            <w:color w:val="000000"/>
            <w:sz w:val="24"/>
            <w:szCs w:val="24"/>
          </w:rPr>
          <w:t xml:space="preserve">Halim, Felicia. 2023. “Relationship of 25(oh)D Umbilical Levels with Neonatal Hyperbilirubinemia.” </w:t>
        </w:r>
      </w:hyperlink>
      <w:hyperlink r:id="rId56">
        <w:proofErr w:type="spellStart"/>
        <w:r w:rsidR="000C199B" w:rsidRPr="00F14B58">
          <w:rPr>
            <w:i/>
            <w:color w:val="000000"/>
            <w:sz w:val="24"/>
            <w:szCs w:val="24"/>
          </w:rPr>
          <w:t>Jurnal</w:t>
        </w:r>
        <w:proofErr w:type="spellEnd"/>
        <w:r w:rsidR="000C199B" w:rsidRPr="00F14B58">
          <w:rPr>
            <w:i/>
            <w:color w:val="000000"/>
            <w:sz w:val="24"/>
            <w:szCs w:val="24"/>
          </w:rPr>
          <w:t xml:space="preserve"> Health </w:t>
        </w:r>
        <w:proofErr w:type="spellStart"/>
        <w:r w:rsidR="000C199B" w:rsidRPr="00F14B58">
          <w:rPr>
            <w:i/>
            <w:color w:val="000000"/>
            <w:sz w:val="24"/>
            <w:szCs w:val="24"/>
          </w:rPr>
          <w:t>Sains</w:t>
        </w:r>
        <w:proofErr w:type="spellEnd"/>
      </w:hyperlink>
      <w:hyperlink r:id="rId57">
        <w:r w:rsidR="000C199B" w:rsidRPr="00F14B58">
          <w:rPr>
            <w:color w:val="000000"/>
            <w:sz w:val="24"/>
            <w:szCs w:val="24"/>
          </w:rPr>
          <w:t xml:space="preserve"> 4 (8): 155–68.</w:t>
        </w:r>
      </w:hyperlink>
    </w:p>
    <w:p w14:paraId="189C7825" w14:textId="77777777" w:rsidR="00846834" w:rsidRPr="00F14B58" w:rsidRDefault="0072703A">
      <w:pPr>
        <w:widowControl w:val="0"/>
        <w:numPr>
          <w:ilvl w:val="0"/>
          <w:numId w:val="1"/>
        </w:numPr>
        <w:pBdr>
          <w:top w:val="nil"/>
          <w:left w:val="nil"/>
          <w:bottom w:val="nil"/>
          <w:right w:val="nil"/>
          <w:between w:val="nil"/>
        </w:pBdr>
        <w:shd w:val="clear" w:color="auto" w:fill="auto"/>
        <w:spacing w:before="0" w:after="0" w:line="240" w:lineRule="auto"/>
        <w:rPr>
          <w:sz w:val="24"/>
          <w:szCs w:val="24"/>
        </w:rPr>
      </w:pPr>
      <w:hyperlink r:id="rId58">
        <w:r w:rsidR="000C199B" w:rsidRPr="00F14B58">
          <w:rPr>
            <w:color w:val="000000"/>
            <w:sz w:val="24"/>
            <w:szCs w:val="24"/>
          </w:rPr>
          <w:t xml:space="preserve">Huang, Jiayu, Qian Zhao, Jiao Li, </w:t>
        </w:r>
        <w:proofErr w:type="spellStart"/>
        <w:r w:rsidR="000C199B" w:rsidRPr="00F14B58">
          <w:rPr>
            <w:color w:val="000000"/>
            <w:sz w:val="24"/>
            <w:szCs w:val="24"/>
          </w:rPr>
          <w:t>Jinfeng</w:t>
        </w:r>
        <w:proofErr w:type="spellEnd"/>
        <w:r w:rsidR="000C199B" w:rsidRPr="00F14B58">
          <w:rPr>
            <w:color w:val="000000"/>
            <w:sz w:val="24"/>
            <w:szCs w:val="24"/>
          </w:rPr>
          <w:t xml:space="preserve"> Meng, </w:t>
        </w:r>
        <w:proofErr w:type="spellStart"/>
        <w:r w:rsidR="000C199B" w:rsidRPr="00F14B58">
          <w:rPr>
            <w:color w:val="000000"/>
            <w:sz w:val="24"/>
            <w:szCs w:val="24"/>
          </w:rPr>
          <w:t>Shangbin</w:t>
        </w:r>
        <w:proofErr w:type="spellEnd"/>
        <w:r w:rsidR="000C199B" w:rsidRPr="00F14B58">
          <w:rPr>
            <w:color w:val="000000"/>
            <w:sz w:val="24"/>
            <w:szCs w:val="24"/>
          </w:rPr>
          <w:t xml:space="preserve"> Li, </w:t>
        </w:r>
        <w:proofErr w:type="spellStart"/>
        <w:r w:rsidR="000C199B" w:rsidRPr="00F14B58">
          <w:rPr>
            <w:color w:val="000000"/>
            <w:sz w:val="24"/>
            <w:szCs w:val="24"/>
          </w:rPr>
          <w:t>Weichen</w:t>
        </w:r>
        <w:proofErr w:type="spellEnd"/>
        <w:r w:rsidR="000C199B" w:rsidRPr="00F14B58">
          <w:rPr>
            <w:color w:val="000000"/>
            <w:sz w:val="24"/>
            <w:szCs w:val="24"/>
          </w:rPr>
          <w:t xml:space="preserve"> Yan, </w:t>
        </w:r>
        <w:proofErr w:type="spellStart"/>
        <w:r w:rsidR="000C199B" w:rsidRPr="00F14B58">
          <w:rPr>
            <w:color w:val="000000"/>
            <w:sz w:val="24"/>
            <w:szCs w:val="24"/>
          </w:rPr>
          <w:t>Jie</w:t>
        </w:r>
        <w:proofErr w:type="spellEnd"/>
        <w:r w:rsidR="000C199B" w:rsidRPr="00F14B58">
          <w:rPr>
            <w:color w:val="000000"/>
            <w:sz w:val="24"/>
            <w:szCs w:val="24"/>
          </w:rPr>
          <w:t xml:space="preserve"> Wang, and </w:t>
        </w:r>
        <w:proofErr w:type="spellStart"/>
        <w:r w:rsidR="000C199B" w:rsidRPr="00F14B58">
          <w:rPr>
            <w:color w:val="000000"/>
            <w:sz w:val="24"/>
            <w:szCs w:val="24"/>
          </w:rPr>
          <w:t>Changjun</w:t>
        </w:r>
        <w:proofErr w:type="spellEnd"/>
        <w:r w:rsidR="000C199B" w:rsidRPr="00F14B58">
          <w:rPr>
            <w:color w:val="000000"/>
            <w:sz w:val="24"/>
            <w:szCs w:val="24"/>
          </w:rPr>
          <w:t xml:space="preserve"> Ren. 2021. “Correlation between Neonatal Hyperbilirubinemia and Vitamin D Levels: A Meta-Analysis.” </w:t>
        </w:r>
      </w:hyperlink>
      <w:hyperlink r:id="rId59">
        <w:proofErr w:type="spellStart"/>
        <w:r w:rsidR="000C199B" w:rsidRPr="00F14B58">
          <w:rPr>
            <w:i/>
            <w:color w:val="000000"/>
            <w:sz w:val="24"/>
            <w:szCs w:val="24"/>
          </w:rPr>
          <w:t>PloS</w:t>
        </w:r>
        <w:proofErr w:type="spellEnd"/>
        <w:r w:rsidR="000C199B" w:rsidRPr="00F14B58">
          <w:rPr>
            <w:i/>
            <w:color w:val="000000"/>
            <w:sz w:val="24"/>
            <w:szCs w:val="24"/>
          </w:rPr>
          <w:t xml:space="preserve"> One</w:t>
        </w:r>
      </w:hyperlink>
      <w:hyperlink r:id="rId60">
        <w:r w:rsidR="000C199B" w:rsidRPr="00F14B58">
          <w:rPr>
            <w:color w:val="000000"/>
            <w:sz w:val="24"/>
            <w:szCs w:val="24"/>
          </w:rPr>
          <w:t xml:space="preserve"> 16 (5): e0251584.</w:t>
        </w:r>
      </w:hyperlink>
    </w:p>
    <w:p w14:paraId="45B9E47B" w14:textId="77777777" w:rsidR="00846834" w:rsidRPr="00F14B58" w:rsidRDefault="0072703A">
      <w:pPr>
        <w:widowControl w:val="0"/>
        <w:numPr>
          <w:ilvl w:val="0"/>
          <w:numId w:val="1"/>
        </w:numPr>
        <w:pBdr>
          <w:top w:val="nil"/>
          <w:left w:val="nil"/>
          <w:bottom w:val="nil"/>
          <w:right w:val="nil"/>
          <w:between w:val="nil"/>
        </w:pBdr>
        <w:shd w:val="clear" w:color="auto" w:fill="auto"/>
        <w:spacing w:before="0" w:after="0" w:line="240" w:lineRule="auto"/>
        <w:rPr>
          <w:sz w:val="24"/>
          <w:szCs w:val="24"/>
        </w:rPr>
      </w:pPr>
      <w:hyperlink r:id="rId61">
        <w:r w:rsidR="000C199B" w:rsidRPr="00F14B58">
          <w:rPr>
            <w:color w:val="000000"/>
            <w:sz w:val="24"/>
            <w:szCs w:val="24"/>
          </w:rPr>
          <w:t xml:space="preserve">Kurt, Fatih, Fatih Davran, Abdulkadir Kaya, and Kenan Kocabay. 2025. “Investigation of Plasma Vitamin D, Vitamin B12, and Folate Levels in Newborns with Pathological Jaundice without Risk Factors.” </w:t>
        </w:r>
      </w:hyperlink>
      <w:hyperlink r:id="rId62">
        <w:r w:rsidR="000C199B" w:rsidRPr="00F14B58">
          <w:rPr>
            <w:i/>
            <w:color w:val="000000"/>
            <w:sz w:val="24"/>
            <w:szCs w:val="24"/>
          </w:rPr>
          <w:t>The Gazette of the Egyptian Paediatric Association</w:t>
        </w:r>
      </w:hyperlink>
      <w:hyperlink r:id="rId63">
        <w:r w:rsidR="000C199B" w:rsidRPr="00F14B58">
          <w:rPr>
            <w:color w:val="000000"/>
            <w:sz w:val="24"/>
            <w:szCs w:val="24"/>
          </w:rPr>
          <w:t xml:space="preserve"> 73 (1). https://doi.org/</w:t>
        </w:r>
      </w:hyperlink>
      <w:hyperlink r:id="rId64">
        <w:r w:rsidR="000C199B" w:rsidRPr="00F14B58">
          <w:rPr>
            <w:color w:val="000000"/>
            <w:sz w:val="24"/>
            <w:szCs w:val="24"/>
          </w:rPr>
          <w:t>10.1186/s43054-025-00367-6</w:t>
        </w:r>
      </w:hyperlink>
      <w:hyperlink r:id="rId65">
        <w:r w:rsidR="000C199B" w:rsidRPr="00F14B58">
          <w:rPr>
            <w:color w:val="000000"/>
            <w:sz w:val="24"/>
            <w:szCs w:val="24"/>
          </w:rPr>
          <w:t>.</w:t>
        </w:r>
      </w:hyperlink>
    </w:p>
    <w:p w14:paraId="077F0FA4" w14:textId="77777777" w:rsidR="00846834" w:rsidRPr="00F14B58" w:rsidRDefault="0072703A">
      <w:pPr>
        <w:widowControl w:val="0"/>
        <w:numPr>
          <w:ilvl w:val="0"/>
          <w:numId w:val="1"/>
        </w:numPr>
        <w:pBdr>
          <w:top w:val="nil"/>
          <w:left w:val="nil"/>
          <w:bottom w:val="nil"/>
          <w:right w:val="nil"/>
          <w:between w:val="nil"/>
        </w:pBdr>
        <w:shd w:val="clear" w:color="auto" w:fill="auto"/>
        <w:spacing w:before="0" w:after="0" w:line="240" w:lineRule="auto"/>
        <w:rPr>
          <w:sz w:val="24"/>
          <w:szCs w:val="24"/>
        </w:rPr>
      </w:pPr>
      <w:hyperlink r:id="rId66">
        <w:proofErr w:type="spellStart"/>
        <w:r w:rsidR="000C199B" w:rsidRPr="00F14B58">
          <w:rPr>
            <w:color w:val="000000"/>
            <w:sz w:val="24"/>
            <w:szCs w:val="24"/>
          </w:rPr>
          <w:t>Mehrpisheh</w:t>
        </w:r>
        <w:proofErr w:type="spellEnd"/>
        <w:r w:rsidR="000C199B" w:rsidRPr="00F14B58">
          <w:rPr>
            <w:color w:val="000000"/>
            <w:sz w:val="24"/>
            <w:szCs w:val="24"/>
          </w:rPr>
          <w:t xml:space="preserve">, </w:t>
        </w:r>
        <w:proofErr w:type="spellStart"/>
        <w:r w:rsidR="000C199B" w:rsidRPr="00F14B58">
          <w:rPr>
            <w:color w:val="000000"/>
            <w:sz w:val="24"/>
            <w:szCs w:val="24"/>
          </w:rPr>
          <w:t>Shahrokh</w:t>
        </w:r>
        <w:proofErr w:type="spellEnd"/>
        <w:r w:rsidR="000C199B" w:rsidRPr="00F14B58">
          <w:rPr>
            <w:color w:val="000000"/>
            <w:sz w:val="24"/>
            <w:szCs w:val="24"/>
          </w:rPr>
          <w:t xml:space="preserve">, </w:t>
        </w:r>
        <w:proofErr w:type="spellStart"/>
        <w:r w:rsidR="000C199B" w:rsidRPr="00F14B58">
          <w:rPr>
            <w:color w:val="000000"/>
            <w:sz w:val="24"/>
            <w:szCs w:val="24"/>
          </w:rPr>
          <w:t>Azadeh</w:t>
        </w:r>
        <w:proofErr w:type="spellEnd"/>
        <w:r w:rsidR="000C199B" w:rsidRPr="00F14B58">
          <w:rPr>
            <w:color w:val="000000"/>
            <w:sz w:val="24"/>
            <w:szCs w:val="24"/>
          </w:rPr>
          <w:t xml:space="preserve"> </w:t>
        </w:r>
        <w:proofErr w:type="spellStart"/>
        <w:r w:rsidR="000C199B" w:rsidRPr="00F14B58">
          <w:rPr>
            <w:color w:val="000000"/>
            <w:sz w:val="24"/>
            <w:szCs w:val="24"/>
          </w:rPr>
          <w:t>Memarian</w:t>
        </w:r>
        <w:proofErr w:type="spellEnd"/>
        <w:r w:rsidR="000C199B" w:rsidRPr="00F14B58">
          <w:rPr>
            <w:color w:val="000000"/>
            <w:sz w:val="24"/>
            <w:szCs w:val="24"/>
          </w:rPr>
          <w:t xml:space="preserve">, </w:t>
        </w:r>
        <w:proofErr w:type="spellStart"/>
        <w:r w:rsidR="000C199B" w:rsidRPr="00F14B58">
          <w:rPr>
            <w:color w:val="000000"/>
            <w:sz w:val="24"/>
            <w:szCs w:val="24"/>
          </w:rPr>
          <w:t>Abolfazl</w:t>
        </w:r>
        <w:proofErr w:type="spellEnd"/>
        <w:r w:rsidR="000C199B" w:rsidRPr="00F14B58">
          <w:rPr>
            <w:color w:val="000000"/>
            <w:sz w:val="24"/>
            <w:szCs w:val="24"/>
          </w:rPr>
          <w:t xml:space="preserve"> </w:t>
        </w:r>
        <w:proofErr w:type="spellStart"/>
        <w:r w:rsidR="000C199B" w:rsidRPr="00F14B58">
          <w:rPr>
            <w:color w:val="000000"/>
            <w:sz w:val="24"/>
            <w:szCs w:val="24"/>
          </w:rPr>
          <w:t>Mahyar</w:t>
        </w:r>
        <w:proofErr w:type="spellEnd"/>
        <w:r w:rsidR="000C199B" w:rsidRPr="00F14B58">
          <w:rPr>
            <w:color w:val="000000"/>
            <w:sz w:val="24"/>
            <w:szCs w:val="24"/>
          </w:rPr>
          <w:t xml:space="preserve">, and </w:t>
        </w:r>
        <w:proofErr w:type="spellStart"/>
        <w:r w:rsidR="000C199B" w:rsidRPr="00F14B58">
          <w:rPr>
            <w:color w:val="000000"/>
            <w:sz w:val="24"/>
            <w:szCs w:val="24"/>
          </w:rPr>
          <w:t>Negin</w:t>
        </w:r>
        <w:proofErr w:type="spellEnd"/>
        <w:r w:rsidR="000C199B" w:rsidRPr="00F14B58">
          <w:rPr>
            <w:color w:val="000000"/>
            <w:sz w:val="24"/>
            <w:szCs w:val="24"/>
          </w:rPr>
          <w:t xml:space="preserve"> Sadat </w:t>
        </w:r>
        <w:proofErr w:type="spellStart"/>
        <w:r w:rsidR="000C199B" w:rsidRPr="00F14B58">
          <w:rPr>
            <w:color w:val="000000"/>
            <w:sz w:val="24"/>
            <w:szCs w:val="24"/>
          </w:rPr>
          <w:t>Valiahdi</w:t>
        </w:r>
        <w:proofErr w:type="spellEnd"/>
        <w:r w:rsidR="000C199B" w:rsidRPr="00F14B58">
          <w:rPr>
            <w:color w:val="000000"/>
            <w:sz w:val="24"/>
            <w:szCs w:val="24"/>
          </w:rPr>
          <w:t xml:space="preserve">. 2018. “Correlation between Serum Vitamin D Level and Neonatal Indirect Hyperbilirubinemia.” </w:t>
        </w:r>
      </w:hyperlink>
      <w:hyperlink r:id="rId67">
        <w:r w:rsidR="000C199B" w:rsidRPr="00F14B58">
          <w:rPr>
            <w:i/>
            <w:color w:val="000000"/>
            <w:sz w:val="24"/>
            <w:szCs w:val="24"/>
          </w:rPr>
          <w:t>BMC Pediatrics</w:t>
        </w:r>
      </w:hyperlink>
      <w:hyperlink r:id="rId68">
        <w:r w:rsidR="000C199B" w:rsidRPr="00F14B58">
          <w:rPr>
            <w:color w:val="000000"/>
            <w:sz w:val="24"/>
            <w:szCs w:val="24"/>
          </w:rPr>
          <w:t xml:space="preserve"> 18 (1): 178.</w:t>
        </w:r>
      </w:hyperlink>
    </w:p>
    <w:p w14:paraId="3087A899" w14:textId="77777777" w:rsidR="00846834" w:rsidRPr="00F14B58" w:rsidRDefault="0072703A">
      <w:pPr>
        <w:widowControl w:val="0"/>
        <w:numPr>
          <w:ilvl w:val="0"/>
          <w:numId w:val="1"/>
        </w:numPr>
        <w:pBdr>
          <w:top w:val="nil"/>
          <w:left w:val="nil"/>
          <w:bottom w:val="nil"/>
          <w:right w:val="nil"/>
          <w:between w:val="nil"/>
        </w:pBdr>
        <w:shd w:val="clear" w:color="auto" w:fill="auto"/>
        <w:spacing w:before="0" w:after="0" w:line="240" w:lineRule="auto"/>
        <w:rPr>
          <w:sz w:val="24"/>
          <w:szCs w:val="24"/>
        </w:rPr>
      </w:pPr>
      <w:hyperlink r:id="rId69">
        <w:r w:rsidR="000C199B" w:rsidRPr="00F14B58">
          <w:rPr>
            <w:color w:val="000000"/>
            <w:sz w:val="24"/>
            <w:szCs w:val="24"/>
          </w:rPr>
          <w:t xml:space="preserve">Sadr, Zahra, Mona </w:t>
        </w:r>
        <w:proofErr w:type="spellStart"/>
        <w:r w:rsidR="000C199B" w:rsidRPr="00F14B58">
          <w:rPr>
            <w:color w:val="000000"/>
            <w:sz w:val="24"/>
            <w:szCs w:val="24"/>
          </w:rPr>
          <w:t>Nourbakhsh</w:t>
        </w:r>
        <w:proofErr w:type="spellEnd"/>
        <w:r w:rsidR="000C199B" w:rsidRPr="00F14B58">
          <w:rPr>
            <w:color w:val="000000"/>
            <w:sz w:val="24"/>
            <w:szCs w:val="24"/>
          </w:rPr>
          <w:t xml:space="preserve">, Majid </w:t>
        </w:r>
        <w:proofErr w:type="spellStart"/>
        <w:r w:rsidR="000C199B" w:rsidRPr="00F14B58">
          <w:rPr>
            <w:color w:val="000000"/>
            <w:sz w:val="24"/>
            <w:szCs w:val="24"/>
          </w:rPr>
          <w:t>Bakhshizade</w:t>
        </w:r>
        <w:proofErr w:type="spellEnd"/>
        <w:r w:rsidR="000C199B" w:rsidRPr="00F14B58">
          <w:rPr>
            <w:color w:val="000000"/>
            <w:sz w:val="24"/>
            <w:szCs w:val="24"/>
          </w:rPr>
          <w:t xml:space="preserve">, </w:t>
        </w:r>
        <w:proofErr w:type="spellStart"/>
        <w:r w:rsidR="000C199B" w:rsidRPr="00F14B58">
          <w:rPr>
            <w:color w:val="000000"/>
            <w:sz w:val="24"/>
            <w:szCs w:val="24"/>
          </w:rPr>
          <w:t>Forough</w:t>
        </w:r>
        <w:proofErr w:type="spellEnd"/>
        <w:r w:rsidR="000C199B" w:rsidRPr="00F14B58">
          <w:rPr>
            <w:color w:val="000000"/>
            <w:sz w:val="24"/>
            <w:szCs w:val="24"/>
          </w:rPr>
          <w:t xml:space="preserve"> Mokhtari, and Maryam Biglari Abhari. 2021. “Relationship between Vitamin D Levels in Mother’s Blood and Neonatal Umbilical Cord with Jaundice in Neonates.” </w:t>
        </w:r>
      </w:hyperlink>
      <w:hyperlink r:id="rId70">
        <w:proofErr w:type="spellStart"/>
        <w:r w:rsidR="000C199B" w:rsidRPr="00F14B58">
          <w:rPr>
            <w:i/>
            <w:color w:val="000000"/>
            <w:sz w:val="24"/>
            <w:szCs w:val="24"/>
          </w:rPr>
          <w:t>Immunopathologia</w:t>
        </w:r>
        <w:proofErr w:type="spellEnd"/>
        <w:r w:rsidR="000C199B" w:rsidRPr="00F14B58">
          <w:rPr>
            <w:i/>
            <w:color w:val="000000"/>
            <w:sz w:val="24"/>
            <w:szCs w:val="24"/>
          </w:rPr>
          <w:t xml:space="preserve"> </w:t>
        </w:r>
        <w:proofErr w:type="spellStart"/>
        <w:r w:rsidR="000C199B" w:rsidRPr="00F14B58">
          <w:rPr>
            <w:i/>
            <w:color w:val="000000"/>
            <w:sz w:val="24"/>
            <w:szCs w:val="24"/>
          </w:rPr>
          <w:t>Persa</w:t>
        </w:r>
        <w:proofErr w:type="spellEnd"/>
      </w:hyperlink>
      <w:hyperlink r:id="rId71">
        <w:r w:rsidR="000C199B" w:rsidRPr="00F14B58">
          <w:rPr>
            <w:color w:val="000000"/>
            <w:sz w:val="24"/>
            <w:szCs w:val="24"/>
          </w:rPr>
          <w:t xml:space="preserve"> 8 (2): e24237.</w:t>
        </w:r>
      </w:hyperlink>
    </w:p>
    <w:p w14:paraId="5F5BBAE4" w14:textId="77777777" w:rsidR="00846834" w:rsidRPr="00F14B58" w:rsidRDefault="0072703A">
      <w:pPr>
        <w:widowControl w:val="0"/>
        <w:numPr>
          <w:ilvl w:val="0"/>
          <w:numId w:val="1"/>
        </w:numPr>
        <w:pBdr>
          <w:top w:val="nil"/>
          <w:left w:val="nil"/>
          <w:bottom w:val="nil"/>
          <w:right w:val="nil"/>
          <w:between w:val="nil"/>
        </w:pBdr>
        <w:shd w:val="clear" w:color="auto" w:fill="auto"/>
        <w:spacing w:before="0" w:after="0" w:line="240" w:lineRule="auto"/>
        <w:rPr>
          <w:sz w:val="24"/>
          <w:szCs w:val="24"/>
        </w:rPr>
      </w:pPr>
      <w:hyperlink r:id="rId72">
        <w:r w:rsidR="000C199B" w:rsidRPr="00F14B58">
          <w:rPr>
            <w:color w:val="000000"/>
            <w:sz w:val="24"/>
            <w:szCs w:val="24"/>
          </w:rPr>
          <w:t xml:space="preserve">Singh, Mayank, Hema Shobhane, Kapil Tiwari, and Shristy Agarwal. 2024. “To Study the Correlation of Maternal Serum Vitamin D Levels and Infant Serum Vitamin D Levels with Infant Birth Weight: A Single-Centre Experience from the Bundelkhand Region, India.” </w:t>
        </w:r>
      </w:hyperlink>
      <w:hyperlink r:id="rId73">
        <w:proofErr w:type="spellStart"/>
        <w:r w:rsidR="000C199B" w:rsidRPr="00F14B58">
          <w:rPr>
            <w:i/>
            <w:color w:val="000000"/>
            <w:sz w:val="24"/>
            <w:szCs w:val="24"/>
          </w:rPr>
          <w:t>Cureus</w:t>
        </w:r>
        <w:proofErr w:type="spellEnd"/>
      </w:hyperlink>
      <w:hyperlink r:id="rId74">
        <w:r w:rsidR="000C199B" w:rsidRPr="00F14B58">
          <w:rPr>
            <w:color w:val="000000"/>
            <w:sz w:val="24"/>
            <w:szCs w:val="24"/>
          </w:rPr>
          <w:t xml:space="preserve"> 16 (9): e68696.</w:t>
        </w:r>
      </w:hyperlink>
    </w:p>
    <w:p w14:paraId="5D1D9757" w14:textId="77777777" w:rsidR="00846834" w:rsidRPr="00F14B58" w:rsidRDefault="0072703A">
      <w:pPr>
        <w:widowControl w:val="0"/>
        <w:numPr>
          <w:ilvl w:val="0"/>
          <w:numId w:val="1"/>
        </w:numPr>
        <w:pBdr>
          <w:top w:val="nil"/>
          <w:left w:val="nil"/>
          <w:bottom w:val="nil"/>
          <w:right w:val="nil"/>
          <w:between w:val="nil"/>
        </w:pBdr>
        <w:shd w:val="clear" w:color="auto" w:fill="auto"/>
        <w:spacing w:before="0" w:after="240" w:line="240" w:lineRule="auto"/>
        <w:rPr>
          <w:sz w:val="24"/>
          <w:szCs w:val="24"/>
        </w:rPr>
      </w:pPr>
      <w:hyperlink r:id="rId75">
        <w:r w:rsidR="000C199B" w:rsidRPr="00F14B58">
          <w:rPr>
            <w:color w:val="000000"/>
            <w:sz w:val="24"/>
            <w:szCs w:val="24"/>
          </w:rPr>
          <w:t xml:space="preserve">Zia, Z., Z. Hashemi, M. </w:t>
        </w:r>
        <w:proofErr w:type="spellStart"/>
        <w:r w:rsidR="000C199B" w:rsidRPr="00F14B58">
          <w:rPr>
            <w:color w:val="000000"/>
            <w:sz w:val="24"/>
            <w:szCs w:val="24"/>
          </w:rPr>
          <w:t>Moghtaderi</w:t>
        </w:r>
        <w:proofErr w:type="spellEnd"/>
        <w:r w:rsidR="000C199B" w:rsidRPr="00F14B58">
          <w:rPr>
            <w:color w:val="000000"/>
            <w:sz w:val="24"/>
            <w:szCs w:val="24"/>
          </w:rPr>
          <w:t xml:space="preserve">, N. Honar, and F. Saki. 2020. “The Effect of Maternal Vitamin D Deficiency on Increased Risk for Hyperbilirubinemia in Term Newborns.” </w:t>
        </w:r>
      </w:hyperlink>
      <w:hyperlink r:id="rId76">
        <w:r w:rsidR="000C199B" w:rsidRPr="00F14B58">
          <w:rPr>
            <w:i/>
            <w:color w:val="000000"/>
            <w:sz w:val="24"/>
            <w:szCs w:val="24"/>
          </w:rPr>
          <w:t>Journal of Pediatric Perspectives</w:t>
        </w:r>
      </w:hyperlink>
      <w:hyperlink r:id="rId77">
        <w:r w:rsidR="000C199B" w:rsidRPr="00F14B58">
          <w:rPr>
            <w:color w:val="000000"/>
            <w:sz w:val="24"/>
            <w:szCs w:val="24"/>
          </w:rPr>
          <w:t xml:space="preserve"> 8 (4): 11141–47.</w:t>
        </w:r>
      </w:hyperlink>
    </w:p>
    <w:sectPr w:rsidR="00846834" w:rsidRPr="00F14B58">
      <w:headerReference w:type="even" r:id="rId78"/>
      <w:headerReference w:type="default" r:id="rId79"/>
      <w:footerReference w:type="even" r:id="rId80"/>
      <w:footerReference w:type="default" r:id="rId81"/>
      <w:headerReference w:type="first" r:id="rId82"/>
      <w:footerReference w:type="first" r:id="rId83"/>
      <w:pgSz w:w="11906" w:h="16838"/>
      <w:pgMar w:top="1411" w:right="1411" w:bottom="1411" w:left="25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46318" w14:textId="77777777" w:rsidR="0072703A" w:rsidRDefault="0072703A">
      <w:pPr>
        <w:spacing w:before="0" w:after="0" w:line="240" w:lineRule="auto"/>
      </w:pPr>
      <w:r>
        <w:separator/>
      </w:r>
    </w:p>
  </w:endnote>
  <w:endnote w:type="continuationSeparator" w:id="0">
    <w:p w14:paraId="29CC66A3" w14:textId="77777777" w:rsidR="0072703A" w:rsidRDefault="007270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525CB" w14:textId="77777777" w:rsidR="007538A4" w:rsidRDefault="00753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82921" w14:textId="77777777" w:rsidR="00846834" w:rsidRDefault="00846834">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6B3A6" w14:textId="77777777" w:rsidR="007538A4" w:rsidRDefault="00753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13A14" w14:textId="77777777" w:rsidR="0072703A" w:rsidRDefault="0072703A">
      <w:pPr>
        <w:spacing w:before="0" w:after="0" w:line="240" w:lineRule="auto"/>
      </w:pPr>
      <w:r>
        <w:separator/>
      </w:r>
    </w:p>
  </w:footnote>
  <w:footnote w:type="continuationSeparator" w:id="0">
    <w:p w14:paraId="6DCE41A7" w14:textId="77777777" w:rsidR="0072703A" w:rsidRDefault="007270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B1DA" w14:textId="4D461917" w:rsidR="007538A4" w:rsidRDefault="007538A4">
    <w:pPr>
      <w:pStyle w:val="Header"/>
    </w:pPr>
    <w:r>
      <w:rPr>
        <w:noProof/>
      </w:rPr>
      <w:pict w14:anchorId="3E1F2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69235" o:spid="_x0000_s2050" type="#_x0000_t136" style="position:absolute;left:0;text-align:left;margin-left:0;margin-top:0;width:501.35pt;height:55.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2DB" w14:textId="4E714CB0" w:rsidR="007538A4" w:rsidRDefault="007538A4">
    <w:pPr>
      <w:pStyle w:val="Header"/>
    </w:pPr>
    <w:r>
      <w:rPr>
        <w:noProof/>
      </w:rPr>
      <w:pict w14:anchorId="79AF2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69236" o:spid="_x0000_s2051" type="#_x0000_t136" style="position:absolute;left:0;text-align:left;margin-left:0;margin-top:0;width:501.35pt;height:55.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C1B6C" w14:textId="3A8366A8" w:rsidR="007538A4" w:rsidRDefault="007538A4">
    <w:pPr>
      <w:pStyle w:val="Header"/>
    </w:pPr>
    <w:r>
      <w:rPr>
        <w:noProof/>
      </w:rPr>
      <w:pict w14:anchorId="48172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69234" o:spid="_x0000_s2049" type="#_x0000_t136" style="position:absolute;left:0;text-align:left;margin-left:0;margin-top:0;width:501.35pt;height:55.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A2177"/>
    <w:multiLevelType w:val="multilevel"/>
    <w:tmpl w:val="FB384E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34"/>
    <w:rsid w:val="000C199B"/>
    <w:rsid w:val="006662DB"/>
    <w:rsid w:val="0072703A"/>
    <w:rsid w:val="007538A4"/>
    <w:rsid w:val="00846834"/>
    <w:rsid w:val="00BF2222"/>
    <w:rsid w:val="00BF2C22"/>
    <w:rsid w:val="00EA5BA2"/>
    <w:rsid w:val="00F14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06D705"/>
  <w15:docId w15:val="{C07E0E50-82EF-45D4-8F01-7DA1BFE4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GB" w:bidi="ar-SA"/>
      </w:rPr>
    </w:rPrDefault>
    <w:pPrDefault>
      <w:pPr>
        <w:shd w:val="clear" w:color="auto" w:fill="FFFFFF"/>
        <w:spacing w:before="120" w:after="120" w:line="360" w:lineRule="auto"/>
        <w:ind w:firstLine="70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outlineLvl w:val="0"/>
    </w:pPr>
    <w:rPr>
      <w:b/>
      <w:sz w:val="22"/>
      <w:szCs w:val="22"/>
    </w:rPr>
  </w:style>
  <w:style w:type="paragraph" w:styleId="Heading2">
    <w:name w:val="heading 2"/>
    <w:basedOn w:val="Normal"/>
    <w:next w:val="Normal"/>
    <w:uiPriority w:val="9"/>
    <w:unhideWhenUsed/>
    <w:qFormat/>
    <w:pPr>
      <w:keepNext/>
      <w:keepLines/>
      <w:shd w:val="clear" w:color="auto" w:fill="auto"/>
      <w:spacing w:before="240" w:after="240" w:line="276" w:lineRule="auto"/>
      <w:ind w:right="700" w:firstLine="0"/>
      <w:jc w:val="left"/>
      <w:outlineLvl w:val="1"/>
    </w:pPr>
    <w:rPr>
      <w:b/>
    </w:rPr>
  </w:style>
  <w:style w:type="paragraph" w:styleId="Heading3">
    <w:name w:val="heading 3"/>
    <w:basedOn w:val="Normal"/>
    <w:next w:val="Normal"/>
    <w:uiPriority w:val="9"/>
    <w:unhideWhenUsed/>
    <w:qFormat/>
    <w:pPr>
      <w:keepNext/>
      <w:keepLines/>
      <w:spacing w:before="40" w:after="0"/>
      <w:ind w:firstLine="0"/>
      <w:outlineLvl w:val="2"/>
    </w:pPr>
    <w:rPr>
      <w:b/>
    </w:rPr>
  </w:style>
  <w:style w:type="paragraph" w:styleId="Heading4">
    <w:name w:val="heading 4"/>
    <w:basedOn w:val="Normal"/>
    <w:next w:val="Normal"/>
    <w:uiPriority w:val="9"/>
    <w:semiHidden/>
    <w:unhideWhenUsed/>
    <w:qFormat/>
    <w:pPr>
      <w:keepNext/>
      <w:keepLines/>
      <w:shd w:val="clear" w:color="auto" w:fill="auto"/>
      <w:spacing w:before="40" w:after="0" w:line="276" w:lineRule="auto"/>
      <w:ind w:firstLine="0"/>
      <w:outlineLvl w:val="3"/>
    </w:pPr>
    <w:rPr>
      <w:b/>
    </w:rPr>
  </w:style>
  <w:style w:type="paragraph" w:styleId="Heading5">
    <w:name w:val="heading 5"/>
    <w:basedOn w:val="Normal"/>
    <w:next w:val="Normal"/>
    <w:uiPriority w:val="9"/>
    <w:semiHidden/>
    <w:unhideWhenUsed/>
    <w:qFormat/>
    <w:pPr>
      <w:keepNext/>
      <w:keepLines/>
      <w:shd w:val="clear" w:color="auto" w:fill="auto"/>
      <w:spacing w:before="0" w:after="0"/>
      <w:ind w:firstLine="0"/>
      <w:outlineLvl w:val="4"/>
    </w:pPr>
    <w:rPr>
      <w:b/>
    </w:rPr>
  </w:style>
  <w:style w:type="paragraph" w:styleId="Heading6">
    <w:name w:val="heading 6"/>
    <w:basedOn w:val="Normal"/>
    <w:next w:val="Normal"/>
    <w:uiPriority w:val="9"/>
    <w:semiHidden/>
    <w:unhideWhenUsed/>
    <w:qFormat/>
    <w:pPr>
      <w:keepNext/>
      <w:keepLines/>
      <w:shd w:val="clear" w:color="auto" w:fill="auto"/>
      <w:spacing w:before="40" w:after="0"/>
      <w:ind w:left="360" w:right="450" w:firstLine="3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ind w:firstLine="0"/>
      <w:jc w:val="center"/>
    </w:pPr>
    <w:rPr>
      <w:b/>
    </w:rPr>
  </w:style>
  <w:style w:type="paragraph" w:styleId="Subtitle">
    <w:name w:val="Subtitle"/>
    <w:basedOn w:val="Normal"/>
    <w:next w:val="Normal"/>
    <w:uiPriority w:val="11"/>
    <w:qFormat/>
    <w:pPr>
      <w:keepNext/>
      <w:keepLines/>
      <w:spacing w:before="0" w:after="0"/>
      <w:ind w:firstLine="0"/>
      <w:jc w:val="center"/>
    </w:pPr>
    <w:rPr>
      <w:b/>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F2222"/>
    <w:rPr>
      <w:color w:val="0000FF" w:themeColor="hyperlink"/>
      <w:u w:val="single"/>
    </w:rPr>
  </w:style>
  <w:style w:type="character" w:styleId="UnresolvedMention">
    <w:name w:val="Unresolved Mention"/>
    <w:basedOn w:val="DefaultParagraphFont"/>
    <w:uiPriority w:val="99"/>
    <w:semiHidden/>
    <w:unhideWhenUsed/>
    <w:rsid w:val="00BF2222"/>
    <w:rPr>
      <w:color w:val="605E5C"/>
      <w:shd w:val="clear" w:color="auto" w:fill="E1DFDD"/>
    </w:rPr>
  </w:style>
  <w:style w:type="paragraph" w:styleId="Header">
    <w:name w:val="header"/>
    <w:basedOn w:val="Normal"/>
    <w:link w:val="HeaderChar"/>
    <w:uiPriority w:val="99"/>
    <w:unhideWhenUsed/>
    <w:rsid w:val="007538A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538A4"/>
    <w:rPr>
      <w:shd w:val="clear" w:color="auto" w:fill="FFFFFF"/>
    </w:rPr>
  </w:style>
  <w:style w:type="paragraph" w:styleId="Footer">
    <w:name w:val="footer"/>
    <w:basedOn w:val="Normal"/>
    <w:link w:val="FooterChar"/>
    <w:uiPriority w:val="99"/>
    <w:unhideWhenUsed/>
    <w:rsid w:val="007538A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538A4"/>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paperpile.com/c/vl7Ng3/saLc" TargetMode="External"/><Relationship Id="rId21" Type="http://schemas.openxmlformats.org/officeDocument/2006/relationships/hyperlink" Target="https://paperpile.com/c/vl7Ng3/zhf5" TargetMode="External"/><Relationship Id="rId42" Type="http://schemas.openxmlformats.org/officeDocument/2006/relationships/hyperlink" Target="http://paperpile.com/b/vl7Ng3/saLc" TargetMode="External"/><Relationship Id="rId47" Type="http://schemas.openxmlformats.org/officeDocument/2006/relationships/hyperlink" Target="http://paperpile.com/b/vl7Ng3/hWvj" TargetMode="External"/><Relationship Id="rId63" Type="http://schemas.openxmlformats.org/officeDocument/2006/relationships/hyperlink" Target="http://paperpile.com/b/vl7Ng3/oNa2" TargetMode="External"/><Relationship Id="rId68" Type="http://schemas.openxmlformats.org/officeDocument/2006/relationships/hyperlink" Target="http://paperpile.com/b/vl7Ng3/h74G" TargetMode="External"/><Relationship Id="rId84" Type="http://schemas.openxmlformats.org/officeDocument/2006/relationships/fontTable" Target="fontTable.xml"/><Relationship Id="rId16" Type="http://schemas.openxmlformats.org/officeDocument/2006/relationships/hyperlink" Target="https://paperpile.com/c/vl7Ng3/XYUb" TargetMode="External"/><Relationship Id="rId11" Type="http://schemas.openxmlformats.org/officeDocument/2006/relationships/hyperlink" Target="https://paperpile.com/c/vl7Ng3/zhf5" TargetMode="External"/><Relationship Id="rId32" Type="http://schemas.openxmlformats.org/officeDocument/2006/relationships/hyperlink" Target="https://paperpile.com/c/vl7Ng3/XYUb" TargetMode="External"/><Relationship Id="rId37" Type="http://schemas.openxmlformats.org/officeDocument/2006/relationships/hyperlink" Target="https://paperpile.com/c/vl7Ng3/nXlB" TargetMode="External"/><Relationship Id="rId53" Type="http://schemas.openxmlformats.org/officeDocument/2006/relationships/hyperlink" Target="http://paperpile.com/b/vl7Ng3/nXlB" TargetMode="External"/><Relationship Id="rId58" Type="http://schemas.openxmlformats.org/officeDocument/2006/relationships/hyperlink" Target="http://paperpile.com/b/vl7Ng3/zhf5" TargetMode="External"/><Relationship Id="rId74" Type="http://schemas.openxmlformats.org/officeDocument/2006/relationships/hyperlink" Target="http://paperpile.com/b/vl7Ng3/OyrA" TargetMode="External"/><Relationship Id="rId79" Type="http://schemas.openxmlformats.org/officeDocument/2006/relationships/header" Target="header2.xml"/><Relationship Id="rId5" Type="http://schemas.openxmlformats.org/officeDocument/2006/relationships/footnotes" Target="footnotes.xml"/><Relationship Id="rId19" Type="http://schemas.openxmlformats.org/officeDocument/2006/relationships/hyperlink" Target="https://paperpile.com/c/vl7Ng3/hWvj" TargetMode="External"/><Relationship Id="rId14" Type="http://schemas.openxmlformats.org/officeDocument/2006/relationships/hyperlink" Target="https://paperpile.com/c/vl7Ng3/saLc" TargetMode="External"/><Relationship Id="rId22" Type="http://schemas.openxmlformats.org/officeDocument/2006/relationships/hyperlink" Target="https://paperpile.com/c/vl7Ng3/zhf5" TargetMode="External"/><Relationship Id="rId27" Type="http://schemas.openxmlformats.org/officeDocument/2006/relationships/hyperlink" Target="https://paperpile.com/c/vl7Ng3/F2mF" TargetMode="External"/><Relationship Id="rId30" Type="http://schemas.openxmlformats.org/officeDocument/2006/relationships/hyperlink" Target="https://paperpile.com/c/vl7Ng3/F2mF" TargetMode="External"/><Relationship Id="rId35" Type="http://schemas.openxmlformats.org/officeDocument/2006/relationships/hyperlink" Target="https://paperpile.com/c/vl7Ng3/H3KB" TargetMode="External"/><Relationship Id="rId43" Type="http://schemas.openxmlformats.org/officeDocument/2006/relationships/hyperlink" Target="http://paperpile.com/b/vl7Ng3/x83C" TargetMode="External"/><Relationship Id="rId48" Type="http://schemas.openxmlformats.org/officeDocument/2006/relationships/hyperlink" Target="http://paperpile.com/b/vl7Ng3/hWvj" TargetMode="External"/><Relationship Id="rId56" Type="http://schemas.openxmlformats.org/officeDocument/2006/relationships/hyperlink" Target="http://paperpile.com/b/vl7Ng3/F2mF" TargetMode="External"/><Relationship Id="rId64" Type="http://schemas.openxmlformats.org/officeDocument/2006/relationships/hyperlink" Target="http://dx.doi.org/10.1186/s43054-025-00367-6" TargetMode="External"/><Relationship Id="rId69" Type="http://schemas.openxmlformats.org/officeDocument/2006/relationships/hyperlink" Target="http://paperpile.com/b/vl7Ng3/H3KB" TargetMode="External"/><Relationship Id="rId77" Type="http://schemas.openxmlformats.org/officeDocument/2006/relationships/hyperlink" Target="http://paperpile.com/b/vl7Ng3/FpBz" TargetMode="External"/><Relationship Id="rId8" Type="http://schemas.openxmlformats.org/officeDocument/2006/relationships/hyperlink" Target="https://paperpile.com/c/vl7Ng3/XYUb" TargetMode="External"/><Relationship Id="rId51" Type="http://schemas.openxmlformats.org/officeDocument/2006/relationships/hyperlink" Target="http://paperpile.com/b/vl7Ng3/XYUb" TargetMode="External"/><Relationship Id="rId72" Type="http://schemas.openxmlformats.org/officeDocument/2006/relationships/hyperlink" Target="http://paperpile.com/b/vl7Ng3/OyrA"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paperpile.com/c/vl7Ng3/h74G" TargetMode="External"/><Relationship Id="rId17" Type="http://schemas.openxmlformats.org/officeDocument/2006/relationships/hyperlink" Target="https://paperpile.com/c/vl7Ng3/FpBz" TargetMode="External"/><Relationship Id="rId25" Type="http://schemas.openxmlformats.org/officeDocument/2006/relationships/hyperlink" Target="https://paperpile.com/c/vl7Ng3/FpBz" TargetMode="External"/><Relationship Id="rId33" Type="http://schemas.openxmlformats.org/officeDocument/2006/relationships/hyperlink" Target="https://paperpile.com/c/vl7Ng3/saLc" TargetMode="External"/><Relationship Id="rId38" Type="http://schemas.openxmlformats.org/officeDocument/2006/relationships/hyperlink" Target="https://paperpile.com/c/vl7Ng3/x83C" TargetMode="External"/><Relationship Id="rId46" Type="http://schemas.openxmlformats.org/officeDocument/2006/relationships/hyperlink" Target="http://paperpile.com/b/vl7Ng3/hWvj" TargetMode="External"/><Relationship Id="rId59" Type="http://schemas.openxmlformats.org/officeDocument/2006/relationships/hyperlink" Target="http://paperpile.com/b/vl7Ng3/zhf5" TargetMode="External"/><Relationship Id="rId67" Type="http://schemas.openxmlformats.org/officeDocument/2006/relationships/hyperlink" Target="http://paperpile.com/b/vl7Ng3/h74G" TargetMode="External"/><Relationship Id="rId20" Type="http://schemas.openxmlformats.org/officeDocument/2006/relationships/hyperlink" Target="https://paperpile.com/c/vl7Ng3/FpBz" TargetMode="External"/><Relationship Id="rId41" Type="http://schemas.openxmlformats.org/officeDocument/2006/relationships/hyperlink" Target="http://paperpile.com/b/vl7Ng3/saLc" TargetMode="External"/><Relationship Id="rId54" Type="http://schemas.openxmlformats.org/officeDocument/2006/relationships/hyperlink" Target="http://paperpile.com/b/vl7Ng3/nXlB" TargetMode="External"/><Relationship Id="rId62" Type="http://schemas.openxmlformats.org/officeDocument/2006/relationships/hyperlink" Target="http://paperpile.com/b/vl7Ng3/oNa2" TargetMode="External"/><Relationship Id="rId70" Type="http://schemas.openxmlformats.org/officeDocument/2006/relationships/hyperlink" Target="http://paperpile.com/b/vl7Ng3/H3KB" TargetMode="External"/><Relationship Id="rId75" Type="http://schemas.openxmlformats.org/officeDocument/2006/relationships/hyperlink" Target="http://paperpile.com/b/vl7Ng3/FpBz" TargetMode="Externa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perpile.com/c/vl7Ng3/oNa2" TargetMode="External"/><Relationship Id="rId23" Type="http://schemas.openxmlformats.org/officeDocument/2006/relationships/hyperlink" Target="https://paperpile.com/c/vl7Ng3/oNa2" TargetMode="External"/><Relationship Id="rId28" Type="http://schemas.openxmlformats.org/officeDocument/2006/relationships/hyperlink" Target="https://paperpile.com/c/vl7Ng3/oNa2" TargetMode="External"/><Relationship Id="rId36" Type="http://schemas.openxmlformats.org/officeDocument/2006/relationships/hyperlink" Target="https://paperpile.com/c/vl7Ng3/h74G" TargetMode="External"/><Relationship Id="rId49" Type="http://schemas.openxmlformats.org/officeDocument/2006/relationships/hyperlink" Target="http://paperpile.com/b/vl7Ng3/XYUb" TargetMode="External"/><Relationship Id="rId57" Type="http://schemas.openxmlformats.org/officeDocument/2006/relationships/hyperlink" Target="http://paperpile.com/b/vl7Ng3/F2mF" TargetMode="External"/><Relationship Id="rId10" Type="http://schemas.openxmlformats.org/officeDocument/2006/relationships/hyperlink" Target="https://paperpile.com/c/vl7Ng3/FpBz" TargetMode="External"/><Relationship Id="rId31" Type="http://schemas.openxmlformats.org/officeDocument/2006/relationships/hyperlink" Target="https://paperpile.com/c/vl7Ng3/h74G" TargetMode="External"/><Relationship Id="rId44" Type="http://schemas.openxmlformats.org/officeDocument/2006/relationships/hyperlink" Target="http://paperpile.com/b/vl7Ng3/x83C" TargetMode="External"/><Relationship Id="rId52" Type="http://schemas.openxmlformats.org/officeDocument/2006/relationships/hyperlink" Target="http://paperpile.com/b/vl7Ng3/nXlB" TargetMode="External"/><Relationship Id="rId60" Type="http://schemas.openxmlformats.org/officeDocument/2006/relationships/hyperlink" Target="http://paperpile.com/b/vl7Ng3/zhf5" TargetMode="External"/><Relationship Id="rId65" Type="http://schemas.openxmlformats.org/officeDocument/2006/relationships/hyperlink" Target="http://paperpile.com/b/vl7Ng3/oNa2" TargetMode="External"/><Relationship Id="rId73" Type="http://schemas.openxmlformats.org/officeDocument/2006/relationships/hyperlink" Target="http://paperpile.com/b/vl7Ng3/OyrA"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aperpile.com/c/vl7Ng3/oNa2" TargetMode="External"/><Relationship Id="rId13" Type="http://schemas.openxmlformats.org/officeDocument/2006/relationships/hyperlink" Target="https://paperpile.com/c/vl7Ng3/XYUb" TargetMode="External"/><Relationship Id="rId18" Type="http://schemas.openxmlformats.org/officeDocument/2006/relationships/hyperlink" Target="https://paperpile.com/c/vl7Ng3/F2mF" TargetMode="External"/><Relationship Id="rId39" Type="http://schemas.openxmlformats.org/officeDocument/2006/relationships/hyperlink" Target="https://paperpile.com/c/vl7Ng3/OyrA" TargetMode="External"/><Relationship Id="rId34" Type="http://schemas.openxmlformats.org/officeDocument/2006/relationships/hyperlink" Target="https://paperpile.com/c/vl7Ng3/zhf5" TargetMode="External"/><Relationship Id="rId50" Type="http://schemas.openxmlformats.org/officeDocument/2006/relationships/hyperlink" Target="http://paperpile.com/b/vl7Ng3/XYUb" TargetMode="External"/><Relationship Id="rId55" Type="http://schemas.openxmlformats.org/officeDocument/2006/relationships/hyperlink" Target="http://paperpile.com/b/vl7Ng3/F2mF" TargetMode="External"/><Relationship Id="rId76" Type="http://schemas.openxmlformats.org/officeDocument/2006/relationships/hyperlink" Target="http://paperpile.com/b/vl7Ng3/FpBz" TargetMode="External"/><Relationship Id="rId7" Type="http://schemas.openxmlformats.org/officeDocument/2006/relationships/hyperlink" Target="https://paperpile.com/c/vl7Ng3/zhf5" TargetMode="External"/><Relationship Id="rId71" Type="http://schemas.openxmlformats.org/officeDocument/2006/relationships/hyperlink" Target="http://paperpile.com/b/vl7Ng3/H3KB" TargetMode="External"/><Relationship Id="rId2" Type="http://schemas.openxmlformats.org/officeDocument/2006/relationships/styles" Target="styles.xml"/><Relationship Id="rId29" Type="http://schemas.openxmlformats.org/officeDocument/2006/relationships/hyperlink" Target="https://paperpile.com/c/vl7Ng3/zhf5" TargetMode="External"/><Relationship Id="rId24" Type="http://schemas.openxmlformats.org/officeDocument/2006/relationships/hyperlink" Target="https://paperpile.com/c/vl7Ng3/h74G" TargetMode="External"/><Relationship Id="rId40" Type="http://schemas.openxmlformats.org/officeDocument/2006/relationships/hyperlink" Target="http://paperpile.com/b/vl7Ng3/saLc" TargetMode="External"/><Relationship Id="rId45" Type="http://schemas.openxmlformats.org/officeDocument/2006/relationships/hyperlink" Target="http://paperpile.com/b/vl7Ng3/x83C" TargetMode="External"/><Relationship Id="rId66" Type="http://schemas.openxmlformats.org/officeDocument/2006/relationships/hyperlink" Target="http://paperpile.com/b/vl7Ng3/h74G" TargetMode="External"/><Relationship Id="rId61" Type="http://schemas.openxmlformats.org/officeDocument/2006/relationships/hyperlink" Target="http://paperpile.com/b/vl7Ng3/oNa2" TargetMode="External"/><Relationship Id="rId8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3714</Words>
  <Characters>21176</Characters>
  <Application>Microsoft Office Word</Application>
  <DocSecurity>0</DocSecurity>
  <Lines>176</Lines>
  <Paragraphs>49</Paragraphs>
  <ScaleCrop>false</ScaleCrop>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5</cp:revision>
  <dcterms:created xsi:type="dcterms:W3CDTF">2025-08-18T04:55:00Z</dcterms:created>
  <dcterms:modified xsi:type="dcterms:W3CDTF">2025-08-18T08:35:00Z</dcterms:modified>
</cp:coreProperties>
</file>