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F1ECA" w14:textId="77777777" w:rsidR="00CA2C4B" w:rsidRDefault="00CA2C4B">
      <w:pPr>
        <w:rPr>
          <w:rFonts w:ascii="Times New Roman Bold" w:hAnsi="Times New Roman Bold" w:cs="Times New Roman Bold"/>
          <w:b/>
          <w:bCs/>
        </w:rPr>
      </w:pPr>
    </w:p>
    <w:p w14:paraId="242D0E5D" w14:textId="77777777" w:rsidR="00CA2C4B" w:rsidRDefault="00CA2C4B">
      <w:pPr>
        <w:rPr>
          <w:rFonts w:ascii="Times New Roman Bold" w:hAnsi="Times New Roman Bold" w:cs="Times New Roman Bold"/>
          <w:b/>
          <w:bCs/>
        </w:rPr>
      </w:pPr>
    </w:p>
    <w:p w14:paraId="6F8CDD99" w14:textId="77777777" w:rsidR="00CA2C4B" w:rsidRDefault="00CA2C4B" w:rsidP="00CA2C4B">
      <w:pPr>
        <w:spacing w:before="100" w:beforeAutospacing="1" w:after="100" w:afterAutospacing="1" w:line="360" w:lineRule="auto"/>
        <w:jc w:val="both"/>
        <w:outlineLvl w:val="1"/>
        <w:rPr>
          <w:rFonts w:eastAsia="Times New Roman" w:cs="Times New Roman"/>
          <w:b/>
          <w:bCs/>
        </w:rPr>
      </w:pPr>
      <w:r>
        <w:rPr>
          <w:rFonts w:eastAsia="Times New Roman" w:cs="Times New Roman"/>
          <w:b/>
          <w:bCs/>
        </w:rPr>
        <w:t>Evaluation of Prostate-Specific Antigen in Relation to Lipid Profile and Atherogenic Indices in Adult Males in Abuja</w:t>
      </w:r>
    </w:p>
    <w:p w14:paraId="506DF714" w14:textId="027F9005" w:rsidR="001B0729" w:rsidRDefault="001B0729" w:rsidP="00CA2C4B">
      <w:pPr>
        <w:spacing w:before="100" w:beforeAutospacing="1" w:after="100" w:afterAutospacing="1" w:line="360" w:lineRule="auto"/>
        <w:rPr>
          <w:rFonts w:eastAsia="Times New Roman" w:cs="Times New Roman"/>
        </w:rPr>
      </w:pPr>
    </w:p>
    <w:p w14:paraId="0A790420" w14:textId="77777777" w:rsidR="004C4B7E" w:rsidRDefault="004B1C8B">
      <w:pPr>
        <w:rPr>
          <w:rFonts w:ascii="Times New Roman Bold" w:hAnsi="Times New Roman Bold" w:cs="Times New Roman Bold"/>
          <w:b/>
          <w:bCs/>
        </w:rPr>
      </w:pPr>
      <w:r>
        <w:rPr>
          <w:rFonts w:ascii="Times New Roman Bold" w:hAnsi="Times New Roman Bold" w:cs="Times New Roman Bold"/>
          <w:b/>
          <w:bCs/>
        </w:rPr>
        <w:t>Abstract</w:t>
      </w:r>
    </w:p>
    <w:p w14:paraId="5F9FF340" w14:textId="77777777" w:rsidR="004C4B7E" w:rsidRDefault="004B1C8B">
      <w:pPr>
        <w:pStyle w:val="NormalWeb"/>
        <w:jc w:val="both"/>
        <w:rPr>
          <w:color w:val="000000"/>
        </w:rPr>
      </w:pPr>
      <w:r>
        <w:rPr>
          <w:rStyle w:val="Strong"/>
          <w:color w:val="000000"/>
        </w:rPr>
        <w:t>Background:</w:t>
      </w:r>
      <w:r>
        <w:rPr>
          <w:color w:val="000000"/>
        </w:rPr>
        <w:t> Prostate-specific antigen (PSA) is widely used to detect prostate disorders, but its diagnostic accuracy is limited by nonspecific elevation. Emerging evidence suggests dyslipidemia and atherogenic indices may influence PSA levels and help indicate prostatic risk.</w:t>
      </w:r>
      <w:r>
        <w:rPr>
          <w:color w:val="000000"/>
        </w:rPr>
        <w:br/>
      </w:r>
      <w:r>
        <w:rPr>
          <w:rStyle w:val="Strong"/>
          <w:color w:val="000000"/>
        </w:rPr>
        <w:t>Aim:</w:t>
      </w:r>
      <w:r>
        <w:rPr>
          <w:color w:val="000000"/>
        </w:rPr>
        <w:t> To assess the association between PSA levels, lipid profiles, and derived atherogenic indices in adult males in Abuja, Nigeria.</w:t>
      </w:r>
      <w:r>
        <w:rPr>
          <w:color w:val="000000"/>
        </w:rPr>
        <w:br/>
      </w:r>
      <w:r>
        <w:rPr>
          <w:rStyle w:val="Strong"/>
          <w:color w:val="000000"/>
        </w:rPr>
        <w:t>Methods:</w:t>
      </w:r>
      <w:r>
        <w:rPr>
          <w:color w:val="000000"/>
        </w:rPr>
        <w:t> A hospital-based cross-sectional study was conducted among 150 adult males attending two tertiary hospitals. Participants were grouped by age: 18–39, 40–59, and ≥60 years. Venous blood samples were collected after overnight fasting. PSA was measured by electrochemiluminescence immunoassay; lipid parameters were analyzed using enzymatic methods. Atherogenic indices were calculated by standard formulas. Data were analyzed using t-tests, Pearson correlation, and logistic regression (p ≤ 0.05).</w:t>
      </w:r>
      <w:r>
        <w:rPr>
          <w:color w:val="000000"/>
        </w:rPr>
        <w:br/>
      </w:r>
      <w:r>
        <w:rPr>
          <w:rStyle w:val="Strong"/>
          <w:color w:val="000000"/>
        </w:rPr>
        <w:t>Results:</w:t>
      </w:r>
      <w:r>
        <w:rPr>
          <w:color w:val="000000"/>
        </w:rPr>
        <w:t> Mean PSA levels rose significantly with age. LDL-C was higher in participants with elevated PSA (3.43 ± 1.24 vs. 2.93 ± 0.95 mmol/L, p = 0.009). Other lipid parameters and atherogenic indices showed no significant association. Age ≥60 years strongly predicted elevated PSA (OR = 15.26, p &lt; 0.001).</w:t>
      </w:r>
      <w:r>
        <w:rPr>
          <w:color w:val="000000"/>
        </w:rPr>
        <w:br/>
      </w:r>
      <w:r>
        <w:rPr>
          <w:rStyle w:val="Strong"/>
          <w:color w:val="000000"/>
        </w:rPr>
        <w:t>Conclusion:</w:t>
      </w:r>
      <w:r>
        <w:rPr>
          <w:color w:val="000000"/>
        </w:rPr>
        <w:t> LDL-C was significantly associated with PSA levels. Though atherogenic indices were not predictive, combining lipid profile screening with PSA testing may improve prostate risk assessment, especially in older men.</w:t>
      </w:r>
    </w:p>
    <w:p w14:paraId="1643BDDD" w14:textId="77777777" w:rsidR="00CA2C4B" w:rsidRDefault="00CA2C4B">
      <w:pPr>
        <w:pStyle w:val="NormalWeb"/>
        <w:jc w:val="both"/>
        <w:rPr>
          <w:color w:val="000000"/>
        </w:rPr>
      </w:pPr>
    </w:p>
    <w:p w14:paraId="3FD77212" w14:textId="77777777" w:rsidR="004C4B7E" w:rsidRDefault="004C4B7E">
      <w:pPr>
        <w:pStyle w:val="NormalWeb"/>
        <w:jc w:val="both"/>
        <w:rPr>
          <w:color w:val="000000"/>
        </w:rPr>
      </w:pPr>
    </w:p>
    <w:p w14:paraId="473FEB83" w14:textId="77777777" w:rsidR="004C4B7E" w:rsidRDefault="004B1C8B">
      <w:pPr>
        <w:pStyle w:val="Heading2"/>
        <w:rPr>
          <w:rFonts w:ascii="Times New Roman Bold" w:hAnsi="Times New Roman Bold" w:cs="Times New Roman Bold" w:hint="default"/>
          <w:bCs w:val="0"/>
          <w:color w:val="000000"/>
          <w:sz w:val="21"/>
          <w:szCs w:val="21"/>
        </w:rPr>
      </w:pPr>
      <w:r>
        <w:rPr>
          <w:rFonts w:ascii="Times New Roman Bold" w:hAnsi="Times New Roman Bold" w:cs="Times New Roman Bold" w:hint="default"/>
          <w:bCs w:val="0"/>
          <w:color w:val="000000"/>
          <w:sz w:val="21"/>
          <w:szCs w:val="21"/>
        </w:rPr>
        <w:t>1. INTRODUCTION</w:t>
      </w:r>
    </w:p>
    <w:p w14:paraId="7A3AEBA9" w14:textId="77777777" w:rsidR="004C4B7E" w:rsidRDefault="004B1C8B">
      <w:pPr>
        <w:pStyle w:val="CommentSubject"/>
        <w:spacing w:line="240" w:lineRule="auto"/>
        <w:jc w:val="both"/>
        <w:rPr>
          <w:rFonts w:ascii="Times New Roman Regular" w:hAnsi="Times New Roman Regular" w:cs="Times New Roman Regular"/>
          <w:b w:val="0"/>
          <w:bCs w:val="0"/>
        </w:rPr>
      </w:pPr>
      <w:r>
        <w:rPr>
          <w:b w:val="0"/>
          <w:bCs w:val="0"/>
        </w:rPr>
        <w:t>P</w:t>
      </w:r>
      <w:r>
        <w:rPr>
          <w:rFonts w:ascii="Times New Roman Regular" w:hAnsi="Times New Roman Regular" w:cs="Times New Roman Regular"/>
          <w:b w:val="0"/>
          <w:bCs w:val="0"/>
        </w:rPr>
        <w:t>rostate cancer (</w:t>
      </w:r>
      <w:proofErr w:type="spellStart"/>
      <w:r>
        <w:rPr>
          <w:rFonts w:ascii="Times New Roman Regular" w:hAnsi="Times New Roman Regular" w:cs="Times New Roman Regular"/>
          <w:b w:val="0"/>
          <w:bCs w:val="0"/>
        </w:rPr>
        <w:t>PCa</w:t>
      </w:r>
      <w:proofErr w:type="spellEnd"/>
      <w:r>
        <w:rPr>
          <w:rFonts w:ascii="Times New Roman Regular" w:hAnsi="Times New Roman Regular" w:cs="Times New Roman Regular"/>
          <w:b w:val="0"/>
          <w:bCs w:val="0"/>
        </w:rPr>
        <w:t xml:space="preserve">) is one of the most frequently diagnosed cancers in men worldwide, with global incidence exceeding 1.4 million cases annually and substantial morbidity and mortality, particularly in older men (WHO, 2022; </w:t>
      </w:r>
      <w:proofErr w:type="spellStart"/>
      <w:r>
        <w:rPr>
          <w:rFonts w:ascii="Times New Roman Regular" w:hAnsi="Times New Roman Regular" w:cs="Times New Roman Regular"/>
          <w:b w:val="0"/>
          <w:bCs w:val="0"/>
        </w:rPr>
        <w:t>Rebbeck</w:t>
      </w:r>
      <w:proofErr w:type="spellEnd"/>
      <w:r>
        <w:rPr>
          <w:rFonts w:ascii="Times New Roman Regular" w:hAnsi="Times New Roman Regular" w:cs="Times New Roman Regular"/>
          <w:b w:val="0"/>
          <w:bCs w:val="0"/>
        </w:rPr>
        <w:t xml:space="preserve"> et al., 2020). In sub-Saharan Africa, including Nigeria, the burden of prostate cancer and related prostate disorders is rising due to increasing life expectancy, urbanization, and limited screening coverage (</w:t>
      </w:r>
      <w:proofErr w:type="spellStart"/>
      <w:r>
        <w:rPr>
          <w:rFonts w:ascii="Times New Roman Regular" w:hAnsi="Times New Roman Regular" w:cs="Times New Roman Regular"/>
          <w:b w:val="0"/>
          <w:bCs w:val="0"/>
        </w:rPr>
        <w:t>Adeloye</w:t>
      </w:r>
      <w:proofErr w:type="spellEnd"/>
      <w:r>
        <w:rPr>
          <w:rFonts w:ascii="Times New Roman Regular" w:hAnsi="Times New Roman Regular" w:cs="Times New Roman Regular"/>
          <w:b w:val="0"/>
          <w:bCs w:val="0"/>
        </w:rPr>
        <w:t xml:space="preserve"> et al., 2016). Early detection remains key to improving prognosis and reducing mortality.</w:t>
      </w:r>
    </w:p>
    <w:p w14:paraId="416FA1E3" w14:textId="77777777" w:rsidR="004C4B7E" w:rsidRDefault="004B1C8B">
      <w:pPr>
        <w:pStyle w:val="CommentSubject"/>
        <w:spacing w:line="240" w:lineRule="auto"/>
        <w:jc w:val="both"/>
        <w:rPr>
          <w:rFonts w:ascii="Times New Roman Regular" w:hAnsi="Times New Roman Regular" w:cs="Times New Roman Regular"/>
          <w:b w:val="0"/>
          <w:bCs w:val="0"/>
        </w:rPr>
      </w:pPr>
      <w:r>
        <w:rPr>
          <w:rFonts w:ascii="Times New Roman Regular" w:hAnsi="Times New Roman Regular" w:cs="Times New Roman Regular"/>
          <w:b w:val="0"/>
          <w:bCs w:val="0"/>
        </w:rPr>
        <w:t xml:space="preserve">Prostate-specific antigen (PSA) is a glycoprotein produced by prostate epithelial cells and is widely used as a serum biomarker to detect and monitor prostate disorders (Mottet et al., 2022). Despite its clinical utility, PSA testing has notable limitations: elevated levels can occur in benign conditions such as benign prostatic hyperplasia </w:t>
      </w:r>
      <w:r>
        <w:rPr>
          <w:rFonts w:ascii="Times New Roman Regular" w:hAnsi="Times New Roman Regular" w:cs="Times New Roman Regular"/>
          <w:b w:val="0"/>
          <w:bCs w:val="0"/>
        </w:rPr>
        <w:lastRenderedPageBreak/>
        <w:t>(BPH), prostatitis, and post-procedural manipulation, le</w:t>
      </w:r>
      <w:r w:rsidR="00192F82">
        <w:rPr>
          <w:rFonts w:ascii="Times New Roman Regular" w:hAnsi="Times New Roman Regular" w:cs="Times New Roman Regular"/>
          <w:b w:val="0"/>
          <w:bCs w:val="0"/>
        </w:rPr>
        <w:t>ading to false positives (Loeb and</w:t>
      </w:r>
      <w:r>
        <w:rPr>
          <w:rFonts w:ascii="Times New Roman Regular" w:hAnsi="Times New Roman Regular" w:cs="Times New Roman Regular"/>
          <w:b w:val="0"/>
          <w:bCs w:val="0"/>
        </w:rPr>
        <w:t xml:space="preserve"> Carter, 2013). This lack of specificity underscores the need to identify adjunctive markers to improve diagnostic accuracy.</w:t>
      </w:r>
    </w:p>
    <w:p w14:paraId="72A26617" w14:textId="77777777" w:rsidR="004C4B7E" w:rsidRDefault="004B1C8B">
      <w:pPr>
        <w:pStyle w:val="CommentSubject"/>
        <w:spacing w:line="240" w:lineRule="auto"/>
        <w:jc w:val="both"/>
        <w:rPr>
          <w:rFonts w:ascii="Times New Roman Regular" w:hAnsi="Times New Roman Regular" w:cs="Times New Roman Regular"/>
          <w:b w:val="0"/>
          <w:bCs w:val="0"/>
        </w:rPr>
      </w:pPr>
      <w:r>
        <w:rPr>
          <w:rFonts w:ascii="Times New Roman Regular" w:hAnsi="Times New Roman Regular" w:cs="Times New Roman Regular"/>
          <w:b w:val="0"/>
          <w:bCs w:val="0"/>
        </w:rPr>
        <w:t>Recent research highlights the potential role of metabolic factors, notably lipid disorders, in prostate pathophysiology (</w:t>
      </w:r>
      <w:proofErr w:type="spellStart"/>
      <w:r>
        <w:rPr>
          <w:rFonts w:ascii="Times New Roman Regular" w:hAnsi="Times New Roman Regular" w:cs="Times New Roman Regular"/>
          <w:b w:val="0"/>
          <w:bCs w:val="0"/>
        </w:rPr>
        <w:t>Allott</w:t>
      </w:r>
      <w:proofErr w:type="spellEnd"/>
      <w:r>
        <w:rPr>
          <w:rFonts w:ascii="Times New Roman Regular" w:hAnsi="Times New Roman Regular" w:cs="Times New Roman Regular"/>
          <w:b w:val="0"/>
          <w:bCs w:val="0"/>
        </w:rPr>
        <w:t xml:space="preserve"> &amp; </w:t>
      </w:r>
      <w:proofErr w:type="spellStart"/>
      <w:r>
        <w:rPr>
          <w:rFonts w:ascii="Times New Roman Regular" w:hAnsi="Times New Roman Regular" w:cs="Times New Roman Regular"/>
          <w:b w:val="0"/>
          <w:bCs w:val="0"/>
        </w:rPr>
        <w:t>Hursting</w:t>
      </w:r>
      <w:proofErr w:type="spellEnd"/>
      <w:r>
        <w:rPr>
          <w:rFonts w:ascii="Times New Roman Regular" w:hAnsi="Times New Roman Regular" w:cs="Times New Roman Regular"/>
          <w:b w:val="0"/>
          <w:bCs w:val="0"/>
        </w:rPr>
        <w:t>, 2015). Cholesterol and its subfractions (LDL-C, HDL-C, triglycerides) regulate cell membrane composition, hormone biosynthesis, and inflammatory processes, which may influence prostate cell proliferation and PSA secretion (Pelton et al., 2012; Freeman &amp; Solomon, 2004). Observational studies suggest elevated LDL-C and total cholesterol may correlate with higher PSA levels and prostate cancer risk (Zhang et al., 2021; Liu et al., 2020).</w:t>
      </w:r>
    </w:p>
    <w:p w14:paraId="5B337E62" w14:textId="77777777" w:rsidR="004C4B7E" w:rsidRDefault="004B1C8B">
      <w:pPr>
        <w:pStyle w:val="CommentSubject"/>
        <w:spacing w:line="240" w:lineRule="auto"/>
        <w:jc w:val="both"/>
        <w:rPr>
          <w:rFonts w:ascii="Times New Roman Regular" w:hAnsi="Times New Roman Regular" w:cs="Times New Roman Regular"/>
          <w:b w:val="0"/>
          <w:bCs w:val="0"/>
        </w:rPr>
      </w:pPr>
      <w:r>
        <w:rPr>
          <w:rFonts w:ascii="Times New Roman Regular" w:hAnsi="Times New Roman Regular" w:cs="Times New Roman Regular"/>
          <w:b w:val="0"/>
          <w:bCs w:val="0"/>
        </w:rPr>
        <w:t xml:space="preserve">Moreover, composite atherogenic indices, including Castelli Risk Indices (CRI-I, CRI-II), Atherogenic Index of Plasma (AIP), and Atherogenic Coefficient (AC), are used to assess cardiovascular risk and reflect systemic lipid derangements (Millán et al., 2009; </w:t>
      </w:r>
      <w:proofErr w:type="spellStart"/>
      <w:r>
        <w:rPr>
          <w:rFonts w:ascii="Times New Roman Regular" w:hAnsi="Times New Roman Regular" w:cs="Times New Roman Regular"/>
          <w:b w:val="0"/>
          <w:bCs w:val="0"/>
        </w:rPr>
        <w:t>Dobiásová</w:t>
      </w:r>
      <w:proofErr w:type="spellEnd"/>
      <w:r>
        <w:rPr>
          <w:rFonts w:ascii="Times New Roman Regular" w:hAnsi="Times New Roman Regular" w:cs="Times New Roman Regular"/>
          <w:b w:val="0"/>
          <w:bCs w:val="0"/>
        </w:rPr>
        <w:t>, 2004). However, data on their relationship with PSA and prostate disease remain inconsistent and underexplored, especially in African populations.</w:t>
      </w:r>
    </w:p>
    <w:p w14:paraId="61846385" w14:textId="77777777" w:rsidR="004C4B7E" w:rsidRDefault="004B1C8B">
      <w:pPr>
        <w:pStyle w:val="CommentSubject"/>
        <w:spacing w:line="240" w:lineRule="auto"/>
        <w:jc w:val="both"/>
        <w:rPr>
          <w:rFonts w:ascii="Times New Roman Regular" w:hAnsi="Times New Roman Regular" w:cs="Times New Roman Regular"/>
          <w:b w:val="0"/>
          <w:bCs w:val="0"/>
        </w:rPr>
      </w:pPr>
      <w:r>
        <w:rPr>
          <w:rFonts w:ascii="Times New Roman Regular" w:hAnsi="Times New Roman Regular" w:cs="Times New Roman Regular"/>
          <w:b w:val="0"/>
          <w:bCs w:val="0"/>
        </w:rPr>
        <w:t>Given the scarcity of local data in Nigeria, this study aimed to evaluate the association between PSA levels, serum lipid profiles, and derived atherogenic indices in adult males in Abuja. Understanding these relationships may support risk stratification, guide screening strategies, and deepen insight into shared metabolic pathways linking lipid dysregulation and prostate pathology.</w:t>
      </w:r>
    </w:p>
    <w:p w14:paraId="2EEAD111" w14:textId="77777777" w:rsidR="004C4B7E" w:rsidRDefault="004C4B7E">
      <w:pPr>
        <w:jc w:val="both"/>
        <w:rPr>
          <w:rFonts w:ascii="Times New Roman Regular" w:hAnsi="Times New Roman Regular" w:cs="Times New Roman Regular"/>
        </w:rPr>
      </w:pPr>
    </w:p>
    <w:p w14:paraId="0163344C" w14:textId="77777777" w:rsidR="004C4B7E" w:rsidRPr="00192F82" w:rsidRDefault="004B1C8B">
      <w:pPr>
        <w:jc w:val="both"/>
        <w:rPr>
          <w:rFonts w:ascii="Times New Roman Regular" w:hAnsi="Times New Roman Regular" w:cs="Times New Roman Regular"/>
          <w:b/>
        </w:rPr>
      </w:pPr>
      <w:r w:rsidRPr="00192F82">
        <w:rPr>
          <w:rFonts w:ascii="Times New Roman Regular" w:hAnsi="Times New Roman Regular" w:cs="Times New Roman Regular"/>
          <w:b/>
        </w:rPr>
        <w:t>2. MATERIALS AND METHODS</w:t>
      </w:r>
    </w:p>
    <w:p w14:paraId="55DA0726" w14:textId="77777777" w:rsidR="004C4B7E" w:rsidRDefault="004B1C8B">
      <w:pPr>
        <w:jc w:val="both"/>
        <w:rPr>
          <w:rFonts w:ascii="Times New Roman Regular" w:hAnsi="Times New Roman Regular" w:cs="Times New Roman Regular"/>
        </w:rPr>
      </w:pPr>
      <w:r>
        <w:rPr>
          <w:rFonts w:ascii="Times New Roman Regular" w:hAnsi="Times New Roman Regular" w:cs="Times New Roman Regular"/>
        </w:rPr>
        <w:t xml:space="preserve"> </w:t>
      </w:r>
      <w:r>
        <w:rPr>
          <w:rFonts w:ascii="Times New Roman Regular" w:hAnsi="Times New Roman Regular" w:cs="Times New Roman Regular"/>
          <w:b/>
          <w:bCs/>
        </w:rPr>
        <w:t>Study Design:</w:t>
      </w:r>
      <w:r>
        <w:rPr>
          <w:rFonts w:ascii="Times New Roman Regular" w:hAnsi="Times New Roman Regular" w:cs="Times New Roman Regular"/>
        </w:rPr>
        <w:t xml:space="preserve"> The study utilized an analytical cross-sectional design to recruit men aged 18 and above at a selected hospital in Abuja using systematic random sampling. This is because it examines the relationship between variables (PSA levels and lipid profiles/atherogenic indices) at a point in time. Furthermore, it aims to evaluate potential correlations rather than establish causation. </w:t>
      </w:r>
    </w:p>
    <w:p w14:paraId="285117D8" w14:textId="77777777" w:rsidR="004C4B7E" w:rsidRDefault="004B1C8B">
      <w:pPr>
        <w:jc w:val="both"/>
        <w:rPr>
          <w:rFonts w:ascii="Times New Roman Regular" w:hAnsi="Times New Roman Regular" w:cs="Times New Roman Regular"/>
        </w:rPr>
      </w:pPr>
      <w:r>
        <w:rPr>
          <w:rFonts w:ascii="Times New Roman Regular" w:hAnsi="Times New Roman Regular" w:cs="Times New Roman Regular"/>
          <w:b/>
          <w:bCs/>
        </w:rPr>
        <w:t>Study Area:</w:t>
      </w:r>
      <w:r>
        <w:rPr>
          <w:rFonts w:ascii="Times New Roman Regular" w:hAnsi="Times New Roman Regular" w:cs="Times New Roman Regular"/>
        </w:rPr>
        <w:t xml:space="preserve"> </w:t>
      </w:r>
      <w:r>
        <w:rPr>
          <w:rFonts w:ascii="Times New Roman Regular" w:hAnsi="Times New Roman Regular" w:cs="Times New Roman Regular"/>
          <w:lang w:eastAsia="zh-CN"/>
        </w:rPr>
        <w:t>The study was conducted in Abuja, Nigeria’s capital city, which has over three million residents (National Population Commission, 2021). Research activities were carried out at two major public tertiary hospitals: the University of Abuja Teaching Hospital in Gwagwalada and the Federal Medical Centre, Jabi. These facilities provide specialized urological care, including PSA testing and prostate cancer management (Agbo et al., 2017). By recruiting from these hospitals, the study captured a sample of men from varied socio-economic backgrounds, reflecting the broader male population of Abuja</w:t>
      </w:r>
    </w:p>
    <w:p w14:paraId="4A0C9302" w14:textId="77777777" w:rsidR="004C4B7E" w:rsidRDefault="004C4B7E">
      <w:pPr>
        <w:jc w:val="both"/>
        <w:rPr>
          <w:rFonts w:ascii="Times New Roman Regular" w:hAnsi="Times New Roman Regular" w:cs="Times New Roman Regular"/>
          <w:color w:val="000000"/>
        </w:rPr>
      </w:pPr>
    </w:p>
    <w:p w14:paraId="5F708FE3" w14:textId="77777777" w:rsidR="004C4B7E" w:rsidRDefault="004B1C8B">
      <w:pPr>
        <w:pStyle w:val="NormalWeb"/>
        <w:rPr>
          <w:rFonts w:ascii="Times New Roman Regular" w:hAnsi="Times New Roman Regular" w:cs="Times New Roman Regular"/>
          <w:b/>
          <w:bCs/>
          <w:color w:val="000000"/>
        </w:rPr>
      </w:pPr>
      <w:proofErr w:type="spellStart"/>
      <w:r>
        <w:rPr>
          <w:rFonts w:ascii="Times New Roman Regular" w:hAnsi="Times New Roman Regular" w:cs="Times New Roman Regular"/>
          <w:b/>
          <w:bCs/>
          <w:color w:val="000000"/>
        </w:rPr>
        <w:t>Smaple</w:t>
      </w:r>
      <w:proofErr w:type="spellEnd"/>
      <w:r>
        <w:rPr>
          <w:rFonts w:ascii="Times New Roman Regular" w:hAnsi="Times New Roman Regular" w:cs="Times New Roman Regular"/>
          <w:b/>
          <w:bCs/>
          <w:color w:val="000000"/>
        </w:rPr>
        <w:t xml:space="preserve"> Size Determination</w:t>
      </w:r>
    </w:p>
    <w:p w14:paraId="7C4CE156"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The sample size was calculated using the correlation coefficient formula (Hulley </w:t>
      </w:r>
      <w:r>
        <w:rPr>
          <w:rFonts w:ascii="Times New Roman Regular" w:hAnsi="Times New Roman Regular" w:cs="Times New Roman Regular"/>
          <w:i/>
        </w:rPr>
        <w:t>et al.,</w:t>
      </w:r>
      <w:r>
        <w:rPr>
          <w:rFonts w:ascii="Times New Roman Regular" w:hAnsi="Times New Roman Regular" w:cs="Times New Roman Regular"/>
        </w:rPr>
        <w:t xml:space="preserve"> 2013):</w:t>
      </w:r>
    </w:p>
    <w:p w14:paraId="2C6D9355"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lastRenderedPageBreak/>
        <w:t>N = [(Zα + Zβ)/</w:t>
      </w:r>
      <w:proofErr w:type="gramStart"/>
      <w:r>
        <w:rPr>
          <w:rFonts w:ascii="Times New Roman Regular" w:hAnsi="Times New Roman Regular" w:cs="Times New Roman Regular"/>
        </w:rPr>
        <w:t>C]²</w:t>
      </w:r>
      <w:proofErr w:type="gramEnd"/>
      <w:r>
        <w:rPr>
          <w:rFonts w:ascii="Times New Roman Regular" w:hAnsi="Times New Roman Regular" w:cs="Times New Roman Regular"/>
        </w:rPr>
        <w:t xml:space="preserve"> + 3Where:</w:t>
      </w:r>
    </w:p>
    <w:p w14:paraId="02B9FDB9"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N = required sample size</w:t>
      </w:r>
    </w:p>
    <w:p w14:paraId="34474D84"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Zα = Standard normal deviate at 95% confidence level (1.96)</w:t>
      </w:r>
    </w:p>
    <w:p w14:paraId="2E759A59"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Zβ = Standard normal deviate at 80% power (0.84)</w:t>
      </w:r>
    </w:p>
    <w:p w14:paraId="70AF0732"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 C = 0.5 × ln[(1+r)/(1-r)]</w:t>
      </w:r>
    </w:p>
    <w:p w14:paraId="05B3F238"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 r = Expected correlation coefficient</w:t>
      </w:r>
    </w:p>
    <w:p w14:paraId="635FF4EE"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Based on previous studies:</w:t>
      </w:r>
    </w:p>
    <w:p w14:paraId="73443D34"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 Expected correlation coefficient(r) between PSA and Total Cholesterol = 0.28(Zhang et al., 2020)</w:t>
      </w:r>
    </w:p>
    <w:p w14:paraId="1BECDF91"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 Confidence level = 95 </w:t>
      </w:r>
      <w:proofErr w:type="gramStart"/>
      <w:r>
        <w:rPr>
          <w:rFonts w:ascii="Times New Roman Regular" w:hAnsi="Times New Roman Regular" w:cs="Times New Roman Regular"/>
        </w:rPr>
        <w:t>%( α</w:t>
      </w:r>
      <w:proofErr w:type="gramEnd"/>
      <w:r>
        <w:rPr>
          <w:rFonts w:ascii="Times New Roman Regular" w:hAnsi="Times New Roman Regular" w:cs="Times New Roman Regular"/>
        </w:rPr>
        <w:t xml:space="preserve"> = 0.05)</w:t>
      </w:r>
    </w:p>
    <w:p w14:paraId="694971E6"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 Power = 80 </w:t>
      </w:r>
      <w:proofErr w:type="gramStart"/>
      <w:r>
        <w:rPr>
          <w:rFonts w:ascii="Times New Roman Regular" w:hAnsi="Times New Roman Regular" w:cs="Times New Roman Regular"/>
        </w:rPr>
        <w:t>%( β</w:t>
      </w:r>
      <w:proofErr w:type="gramEnd"/>
      <w:r>
        <w:rPr>
          <w:rFonts w:ascii="Times New Roman Regular" w:hAnsi="Times New Roman Regular" w:cs="Times New Roman Regular"/>
        </w:rPr>
        <w:t xml:space="preserve"> = 0.20)</w:t>
      </w:r>
    </w:p>
    <w:p w14:paraId="41A3758C"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Calculation:</w:t>
      </w:r>
    </w:p>
    <w:p w14:paraId="36E15267"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1. C = 0.5 × </w:t>
      </w:r>
      <w:proofErr w:type="gramStart"/>
      <w:r>
        <w:rPr>
          <w:rFonts w:ascii="Times New Roman Regular" w:hAnsi="Times New Roman Regular" w:cs="Times New Roman Regular"/>
        </w:rPr>
        <w:t>ln[</w:t>
      </w:r>
      <w:proofErr w:type="gramEnd"/>
      <w:r>
        <w:rPr>
          <w:rFonts w:ascii="Times New Roman Regular" w:hAnsi="Times New Roman Regular" w:cs="Times New Roman Regular"/>
        </w:rPr>
        <w:t>(1+0.28)/(1-0.28)] = 0.288</w:t>
      </w:r>
    </w:p>
    <w:p w14:paraId="7D230B63"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2. N = [(1.96 + 0.84)/0.</w:t>
      </w:r>
      <w:proofErr w:type="gramStart"/>
      <w:r>
        <w:rPr>
          <w:rFonts w:ascii="Times New Roman Regular" w:hAnsi="Times New Roman Regular" w:cs="Times New Roman Regular"/>
        </w:rPr>
        <w:t>288]²</w:t>
      </w:r>
      <w:proofErr w:type="gramEnd"/>
      <w:r>
        <w:rPr>
          <w:rFonts w:ascii="Times New Roman Regular" w:hAnsi="Times New Roman Regular" w:cs="Times New Roman Regular"/>
        </w:rPr>
        <w:t xml:space="preserve"> + 3</w:t>
      </w:r>
    </w:p>
    <w:p w14:paraId="4478CA3A"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3. N = 93.7</w:t>
      </w:r>
    </w:p>
    <w:p w14:paraId="68F2F73F"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To account for potential attrition and non-response:</w:t>
      </w:r>
    </w:p>
    <w:p w14:paraId="4C042678"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Adding 10% for attrition</w:t>
      </w:r>
    </w:p>
    <w:p w14:paraId="5644A9BA"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 Final sample size = 93.7 × 1.1 = 103 participants</w:t>
      </w:r>
    </w:p>
    <w:p w14:paraId="23302023" w14:textId="77777777" w:rsidR="004C4B7E" w:rsidRDefault="004B1C8B">
      <w:pPr>
        <w:spacing w:line="480" w:lineRule="auto"/>
        <w:jc w:val="both"/>
        <w:rPr>
          <w:rFonts w:ascii="Times New Roman Regular" w:hAnsi="Times New Roman Regular" w:cs="Times New Roman Regular"/>
        </w:rPr>
      </w:pPr>
      <w:r>
        <w:rPr>
          <w:rFonts w:ascii="Times New Roman Regular" w:hAnsi="Times New Roman Regular" w:cs="Times New Roman Regular"/>
        </w:rPr>
        <w:t>Therefore, a minimum of 103 adult men were recruited for this study.</w:t>
      </w:r>
    </w:p>
    <w:p w14:paraId="084D90D8" w14:textId="77777777" w:rsidR="004C4B7E" w:rsidRDefault="004B1C8B">
      <w:pPr>
        <w:jc w:val="both"/>
        <w:rPr>
          <w:rFonts w:ascii="Times New Roman Bold" w:hAnsi="Times New Roman Bold" w:cs="Times New Roman Bold"/>
          <w:b/>
          <w:bCs/>
        </w:rPr>
      </w:pPr>
      <w:r>
        <w:rPr>
          <w:rFonts w:ascii="Times New Roman Bold" w:hAnsi="Times New Roman Bold" w:cs="Times New Roman Bold"/>
          <w:b/>
          <w:bCs/>
        </w:rPr>
        <w:lastRenderedPageBreak/>
        <w:t xml:space="preserve">Selection Criteria </w:t>
      </w:r>
    </w:p>
    <w:p w14:paraId="22BA75CD" w14:textId="77777777" w:rsidR="004C4B7E" w:rsidRDefault="004B1C8B">
      <w:pPr>
        <w:jc w:val="both"/>
        <w:rPr>
          <w:rFonts w:ascii="Times New Roman Regular" w:hAnsi="Times New Roman Regular" w:cs="Times New Roman Regular"/>
        </w:rPr>
      </w:pPr>
      <w:r>
        <w:rPr>
          <w:rFonts w:ascii="Times New Roman Bold" w:hAnsi="Times New Roman Bold" w:cs="Times New Roman Bold"/>
          <w:b/>
          <w:bCs/>
        </w:rPr>
        <w:t xml:space="preserve">Inclusion </w:t>
      </w:r>
      <w:proofErr w:type="spellStart"/>
      <w:proofErr w:type="gramStart"/>
      <w:r>
        <w:rPr>
          <w:rFonts w:ascii="Times New Roman Bold" w:hAnsi="Times New Roman Bold" w:cs="Times New Roman Bold"/>
          <w:b/>
          <w:bCs/>
        </w:rPr>
        <w:t>Criteria:</w:t>
      </w:r>
      <w:r>
        <w:rPr>
          <w:rFonts w:ascii="Times New Roman Regular" w:hAnsi="Times New Roman Regular" w:cs="Times New Roman Regular"/>
        </w:rPr>
        <w:t>Participants</w:t>
      </w:r>
      <w:proofErr w:type="spellEnd"/>
      <w:proofErr w:type="gramEnd"/>
      <w:r>
        <w:rPr>
          <w:rFonts w:ascii="Times New Roman Regular" w:hAnsi="Times New Roman Regular" w:cs="Times New Roman Regular"/>
        </w:rPr>
        <w:t xml:space="preserve"> in this study were adult males aged 18 years and above, residing in Abuja, Nigeria. Eligibility required willingness to provide informed consent, ensuring that each participant understood the study’s purpose and procedures and voluntarily agreed to take part.</w:t>
      </w:r>
    </w:p>
    <w:p w14:paraId="66461050" w14:textId="77777777" w:rsidR="004C4B7E" w:rsidRDefault="004B1C8B">
      <w:pPr>
        <w:jc w:val="both"/>
        <w:rPr>
          <w:rFonts w:ascii="Times New Roman Regular" w:hAnsi="Times New Roman Regular" w:cs="Times New Roman Regular"/>
        </w:rPr>
      </w:pPr>
      <w:r>
        <w:rPr>
          <w:rFonts w:ascii="Times New Roman Bold" w:hAnsi="Times New Roman Bold" w:cs="Times New Roman Bold"/>
          <w:b/>
          <w:bCs/>
        </w:rPr>
        <w:t>Exclusion Criteria:</w:t>
      </w:r>
      <w:r>
        <w:rPr>
          <w:rFonts w:ascii="Times New Roman Regular" w:hAnsi="Times New Roman Regular" w:cs="Times New Roman Regular"/>
        </w:rPr>
        <w:t xml:space="preserve"> The study excluded men with a known history of prostate cancer or other malignancies to avoid disease-related bias. Additionally, individuals diagnosed with chronic kidney disease or liver disease were not included, as these conditions could affect lipid metabolism and PSA levels. Men who were currently taking lipid-lowering medications or undergoing hormone therapy were also excluded to minimize the influence of external factors on the study’s biochemical measurements.</w:t>
      </w:r>
    </w:p>
    <w:p w14:paraId="28ECBAE9" w14:textId="77777777" w:rsidR="004C4B7E" w:rsidRDefault="004B1C8B">
      <w:pPr>
        <w:jc w:val="both"/>
        <w:rPr>
          <w:rFonts w:ascii="Times New Roman Regular" w:hAnsi="Times New Roman Regular" w:cs="Times New Roman Regular"/>
        </w:rPr>
      </w:pPr>
      <w:r>
        <w:rPr>
          <w:rFonts w:ascii="Times New Roman Bold" w:hAnsi="Times New Roman Bold" w:cs="Times New Roman Bold"/>
          <w:b/>
          <w:bCs/>
        </w:rPr>
        <w:t>Ethical Considerations:</w:t>
      </w:r>
      <w:r>
        <w:rPr>
          <w:rFonts w:ascii="Times New Roman Regular" w:hAnsi="Times New Roman Regular" w:cs="Times New Roman Regular"/>
        </w:rPr>
        <w:t xml:space="preserve"> Ethical approval was obtained from UATH (UATH/HREC/PR/607) and FMC Jabi (FMCABJ/HREC/2024/196). Participants provided written informed consent; data were anonymized and stored securely, following the Declaration of Helsinki (WMA, 2013).</w:t>
      </w:r>
    </w:p>
    <w:p w14:paraId="1CCB3B10" w14:textId="77777777" w:rsidR="004C4B7E" w:rsidRDefault="004B1C8B">
      <w:pPr>
        <w:jc w:val="both"/>
        <w:rPr>
          <w:rFonts w:ascii="Times New Roman Regular" w:hAnsi="Times New Roman Regular" w:cs="Times New Roman Regular"/>
        </w:rPr>
      </w:pPr>
      <w:r>
        <w:rPr>
          <w:rFonts w:ascii="Times New Roman Bold" w:hAnsi="Times New Roman Bold" w:cs="Times New Roman Bold"/>
          <w:b/>
          <w:bCs/>
        </w:rPr>
        <w:t>Sample collection and Processing:</w:t>
      </w:r>
      <w:r>
        <w:rPr>
          <w:rFonts w:ascii="Times New Roman Regular" w:hAnsi="Times New Roman Regular" w:cs="Times New Roman Regular"/>
        </w:rPr>
        <w:t xml:space="preserve"> A systematic random sampling technique was employed, using the clinic’s patient register as the sampling frame; every third patient who met the inclusion criteria was selected until the desired sample size was achieved. Participants were instructed to fast for approximately 12 hours before their clinic appointment to reduce postprandial variations in lipid levels. Upon arrival, a trained phlebotomist collected 5 mL of venous blood from each participant into a plain vacutainer tube. The blood samples were then allowed to clot at room temperature, centrifuged at 3000 rpm for 10 minutes to separate the serum, and the serum was aliquoted into labeled cryovials. All serum samples were stored at –20°C until analysis to preserve biochemical stability.</w:t>
      </w:r>
    </w:p>
    <w:p w14:paraId="3BA5940D" w14:textId="77777777" w:rsidR="004C4B7E" w:rsidRDefault="004C4B7E">
      <w:pPr>
        <w:jc w:val="both"/>
        <w:rPr>
          <w:rFonts w:ascii="Times New Roman Regular" w:hAnsi="Times New Roman Regular" w:cs="Times New Roman Regular"/>
        </w:rPr>
      </w:pPr>
    </w:p>
    <w:p w14:paraId="5A2D9C40" w14:textId="77777777" w:rsidR="004C4B7E" w:rsidRDefault="004B1C8B">
      <w:pPr>
        <w:pStyle w:val="Heading3"/>
        <w:rPr>
          <w:rFonts w:ascii="Times New Roman Bold" w:hAnsi="Times New Roman Bold" w:cs="Times New Roman Bold" w:hint="default"/>
          <w:color w:val="000000"/>
          <w:sz w:val="24"/>
          <w:szCs w:val="24"/>
        </w:rPr>
      </w:pPr>
      <w:r>
        <w:rPr>
          <w:rFonts w:ascii="Times New Roman Regular" w:hAnsi="Times New Roman Regular" w:cs="Times New Roman Regular" w:hint="default"/>
          <w:color w:val="000000"/>
          <w:sz w:val="24"/>
          <w:szCs w:val="24"/>
        </w:rPr>
        <w:t xml:space="preserve"> </w:t>
      </w:r>
      <w:r>
        <w:rPr>
          <w:rFonts w:ascii="Times New Roman Bold" w:hAnsi="Times New Roman Bold" w:cs="Times New Roman Bold" w:hint="default"/>
          <w:color w:val="000000"/>
          <w:sz w:val="24"/>
          <w:szCs w:val="24"/>
        </w:rPr>
        <w:t>Laboratory Analysis</w:t>
      </w:r>
    </w:p>
    <w:p w14:paraId="22D021D0" w14:textId="77777777" w:rsidR="004C4B7E" w:rsidRDefault="004B1C8B">
      <w:pPr>
        <w:pStyle w:val="NormalWeb"/>
        <w:rPr>
          <w:rFonts w:ascii="Times New Roman Regular" w:hAnsi="Times New Roman Regular" w:cs="Times New Roman Regular"/>
          <w:color w:val="000000"/>
        </w:rPr>
      </w:pPr>
      <w:r>
        <w:rPr>
          <w:rFonts w:ascii="Times New Roman Regular" w:hAnsi="Times New Roman Regular" w:cs="Times New Roman Regular"/>
          <w:color w:val="000000"/>
        </w:rPr>
        <w:t xml:space="preserve">PSA was quantified using Roche </w:t>
      </w:r>
      <w:proofErr w:type="spellStart"/>
      <w:r>
        <w:rPr>
          <w:rFonts w:ascii="Times New Roman Regular" w:hAnsi="Times New Roman Regular" w:cs="Times New Roman Regular"/>
          <w:color w:val="000000"/>
        </w:rPr>
        <w:t>Elecsys</w:t>
      </w:r>
      <w:proofErr w:type="spellEnd"/>
      <w:r>
        <w:rPr>
          <w:rFonts w:ascii="Times New Roman Regular" w:hAnsi="Times New Roman Regular" w:cs="Times New Roman Regular"/>
          <w:color w:val="000000"/>
        </w:rPr>
        <w:t xml:space="preserve"> electrochemiluminescence immunoassay (ECLIA). Lipid parameters total cholesterol (TC), LDL-C, HDL-C, triglycerides (TG) were measured by enzymatic colorimetric assays on the </w:t>
      </w:r>
      <w:proofErr w:type="spellStart"/>
      <w:r>
        <w:rPr>
          <w:rFonts w:ascii="Times New Roman Regular" w:hAnsi="Times New Roman Regular" w:cs="Times New Roman Regular"/>
          <w:color w:val="000000"/>
        </w:rPr>
        <w:t>ChemWell</w:t>
      </w:r>
      <w:proofErr w:type="spellEnd"/>
      <w:r>
        <w:rPr>
          <w:rFonts w:ascii="Times New Roman Regular" w:hAnsi="Times New Roman Regular" w:cs="Times New Roman Regular"/>
          <w:color w:val="000000"/>
        </w:rPr>
        <w:t xml:space="preserve"> 2910 autoanalyzer (Awareness Tech, 2021).</w:t>
      </w:r>
    </w:p>
    <w:p w14:paraId="25ADE4E2" w14:textId="77777777" w:rsidR="004C4B7E" w:rsidRDefault="004B1C8B">
      <w:pPr>
        <w:pStyle w:val="NormalWeb"/>
        <w:rPr>
          <w:rFonts w:ascii="Times New Roman Regular" w:hAnsi="Times New Roman Regular" w:cs="Times New Roman Regular"/>
        </w:rPr>
      </w:pPr>
      <w:r>
        <w:rPr>
          <w:rFonts w:ascii="Times New Roman Regular" w:hAnsi="Times New Roman Regular" w:cs="Times New Roman Regular"/>
          <w:color w:val="000000"/>
        </w:rPr>
        <w:t>Derived indices:</w:t>
      </w:r>
    </w:p>
    <w:p w14:paraId="1B326E0C" w14:textId="77777777" w:rsidR="004C4B7E" w:rsidRDefault="004B1C8B">
      <w:pPr>
        <w:pStyle w:val="NormalWeb"/>
        <w:ind w:left="720"/>
        <w:rPr>
          <w:rFonts w:ascii="Times New Roman Regular" w:hAnsi="Times New Roman Regular" w:cs="Times New Roman Regular"/>
        </w:rPr>
      </w:pPr>
      <w:r>
        <w:rPr>
          <w:rFonts w:ascii="Times New Roman Regular" w:hAnsi="Times New Roman Regular" w:cs="Times New Roman Regular"/>
          <w:color w:val="000000"/>
        </w:rPr>
        <w:t>CRI-I = TC / HDL-C</w:t>
      </w:r>
    </w:p>
    <w:p w14:paraId="78B481D2" w14:textId="77777777" w:rsidR="004C4B7E" w:rsidRDefault="004B1C8B">
      <w:pPr>
        <w:pStyle w:val="NormalWeb"/>
        <w:ind w:left="720"/>
        <w:rPr>
          <w:rFonts w:ascii="Times New Roman Regular" w:hAnsi="Times New Roman Regular" w:cs="Times New Roman Regular"/>
        </w:rPr>
      </w:pPr>
      <w:r>
        <w:rPr>
          <w:rFonts w:ascii="Times New Roman Regular" w:hAnsi="Times New Roman Regular" w:cs="Times New Roman Regular"/>
          <w:color w:val="000000"/>
        </w:rPr>
        <w:t>CRI-II = LDL-C / HDL-C</w:t>
      </w:r>
    </w:p>
    <w:p w14:paraId="3FE54FB9" w14:textId="77777777" w:rsidR="004C4B7E" w:rsidRDefault="004B1C8B">
      <w:pPr>
        <w:pStyle w:val="NormalWeb"/>
        <w:ind w:left="720"/>
        <w:rPr>
          <w:rFonts w:ascii="Times New Roman Regular" w:hAnsi="Times New Roman Regular" w:cs="Times New Roman Regular"/>
        </w:rPr>
      </w:pPr>
      <w:r>
        <w:rPr>
          <w:rFonts w:ascii="Times New Roman Regular" w:hAnsi="Times New Roman Regular" w:cs="Times New Roman Regular"/>
          <w:color w:val="000000"/>
        </w:rPr>
        <w:t xml:space="preserve">AIP = </w:t>
      </w:r>
      <w:proofErr w:type="gramStart"/>
      <w:r>
        <w:rPr>
          <w:rFonts w:ascii="Times New Roman Regular" w:hAnsi="Times New Roman Regular" w:cs="Times New Roman Regular"/>
          <w:color w:val="000000"/>
        </w:rPr>
        <w:t>log(</w:t>
      </w:r>
      <w:proofErr w:type="gramEnd"/>
      <w:r>
        <w:rPr>
          <w:rFonts w:ascii="Times New Roman Regular" w:hAnsi="Times New Roman Regular" w:cs="Times New Roman Regular"/>
          <w:color w:val="000000"/>
        </w:rPr>
        <w:t>TG / HDL-C)</w:t>
      </w:r>
    </w:p>
    <w:p w14:paraId="5B303E8D" w14:textId="77777777" w:rsidR="004C4B7E" w:rsidRDefault="004B1C8B">
      <w:pPr>
        <w:pStyle w:val="NormalWeb"/>
        <w:ind w:left="720"/>
        <w:rPr>
          <w:rFonts w:ascii="Times New Roman Regular" w:hAnsi="Times New Roman Regular" w:cs="Times New Roman Regular"/>
        </w:rPr>
      </w:pPr>
      <w:r>
        <w:rPr>
          <w:rFonts w:ascii="Times New Roman Regular" w:hAnsi="Times New Roman Regular" w:cs="Times New Roman Regular"/>
          <w:color w:val="000000"/>
        </w:rPr>
        <w:lastRenderedPageBreak/>
        <w:t>AC = (TC – HDL-C) / HDL-C</w:t>
      </w:r>
    </w:p>
    <w:p w14:paraId="64DC98F6" w14:textId="77777777" w:rsidR="004C4B7E" w:rsidRDefault="004B1C8B">
      <w:pPr>
        <w:pStyle w:val="Heading3"/>
        <w:rPr>
          <w:rFonts w:ascii="Times New Roman Regular" w:hAnsi="Times New Roman Regular" w:cs="Times New Roman Regular" w:hint="default"/>
          <w:b w:val="0"/>
          <w:bCs w:val="0"/>
          <w:color w:val="000000"/>
          <w:sz w:val="24"/>
          <w:szCs w:val="24"/>
        </w:rPr>
      </w:pPr>
      <w:r>
        <w:rPr>
          <w:rFonts w:ascii="Times New Roman Regular" w:hAnsi="Times New Roman Regular" w:cs="Times New Roman Regular" w:hint="default"/>
          <w:color w:val="000000"/>
          <w:sz w:val="24"/>
          <w:szCs w:val="24"/>
        </w:rPr>
        <w:t xml:space="preserve"> Statistical Analysis: </w:t>
      </w:r>
      <w:r>
        <w:rPr>
          <w:rFonts w:ascii="Times New Roman Regular" w:hAnsi="Times New Roman Regular" w:cs="Times New Roman Regular" w:hint="default"/>
          <w:b w:val="0"/>
          <w:bCs w:val="0"/>
          <w:color w:val="000000"/>
          <w:sz w:val="24"/>
          <w:szCs w:val="24"/>
        </w:rPr>
        <w:t xml:space="preserve">Data were analyzed with Python libraries (Pandas, SciPy, </w:t>
      </w:r>
      <w:proofErr w:type="spellStart"/>
      <w:r>
        <w:rPr>
          <w:rFonts w:ascii="Times New Roman Regular" w:hAnsi="Times New Roman Regular" w:cs="Times New Roman Regular" w:hint="default"/>
          <w:b w:val="0"/>
          <w:bCs w:val="0"/>
          <w:color w:val="000000"/>
          <w:sz w:val="24"/>
          <w:szCs w:val="24"/>
        </w:rPr>
        <w:t>StatsModels</w:t>
      </w:r>
      <w:proofErr w:type="spellEnd"/>
      <w:r>
        <w:rPr>
          <w:rFonts w:ascii="Times New Roman Regular" w:hAnsi="Times New Roman Regular" w:cs="Times New Roman Regular" w:hint="default"/>
          <w:b w:val="0"/>
          <w:bCs w:val="0"/>
          <w:color w:val="000000"/>
          <w:sz w:val="24"/>
          <w:szCs w:val="24"/>
        </w:rPr>
        <w:t xml:space="preserve">). Descriptive statistics summarized means and standard deviations. Group comparisons used t-tests; Pearson’s correlation evaluated associations; logistic regression identified predictors of elevated PSA (p ≤ 0.05). </w:t>
      </w:r>
    </w:p>
    <w:p w14:paraId="7DE50B3A" w14:textId="77777777" w:rsidR="004C4B7E" w:rsidRDefault="00192F82" w:rsidP="00192F82">
      <w:pPr>
        <w:pStyle w:val="NormalWeb"/>
        <w:rPr>
          <w:rFonts w:ascii="Times New Roman Bold" w:hAnsi="Times New Roman Bold" w:cs="Times New Roman Bold"/>
          <w:b/>
          <w:bCs/>
          <w:color w:val="000000"/>
        </w:rPr>
      </w:pPr>
      <w:r>
        <w:rPr>
          <w:rFonts w:ascii="Times New Roman Bold" w:hAnsi="Times New Roman Bold" w:cs="Times New Roman Bold"/>
          <w:b/>
          <w:bCs/>
          <w:color w:val="000000"/>
        </w:rPr>
        <w:t>3. RESULT</w:t>
      </w:r>
    </w:p>
    <w:p w14:paraId="56ECA58F" w14:textId="77777777" w:rsidR="004C4B7E" w:rsidRDefault="004B1C8B">
      <w:pPr>
        <w:pStyle w:val="NormalWeb"/>
        <w:rPr>
          <w:rFonts w:ascii="Times New Roman Regular" w:hAnsi="Times New Roman Regular" w:cs="Times New Roman Regular"/>
          <w:color w:val="000000"/>
        </w:rPr>
      </w:pPr>
      <w:r>
        <w:t>Age Group Distribution in the Study Population</w:t>
      </w:r>
    </w:p>
    <w:p w14:paraId="4F983198" w14:textId="52E5D405" w:rsidR="004C4B7E" w:rsidRDefault="004B1C8B">
      <w:pPr>
        <w:pStyle w:val="NormalWeb"/>
        <w:rPr>
          <w:rFonts w:ascii="Times New Roman Regular" w:hAnsi="Times New Roman Regular" w:cs="Times New Roman Regular"/>
          <w:color w:val="000000"/>
        </w:rPr>
      </w:pPr>
      <w:r>
        <w:rPr>
          <w:rFonts w:ascii="Times New Roman Regular" w:hAnsi="Times New Roman Regular" w:cs="Times New Roman Regular"/>
          <w:color w:val="000000"/>
        </w:rPr>
        <w:t>The study participants comprised 150 adult male participants, stratified into three age groups: 18–39 years, 40–59 years,</w:t>
      </w:r>
      <w:r w:rsidR="00192F82">
        <w:rPr>
          <w:rFonts w:ascii="Times New Roman Regular" w:hAnsi="Times New Roman Regular" w:cs="Times New Roman Regular"/>
          <w:color w:val="000000"/>
        </w:rPr>
        <w:t xml:space="preserve"> and 60 years and above (Table </w:t>
      </w:r>
      <w:r>
        <w:rPr>
          <w:rFonts w:ascii="Times New Roman Regular" w:hAnsi="Times New Roman Regular" w:cs="Times New Roman Regular"/>
          <w:color w:val="000000"/>
        </w:rPr>
        <w:t>1). Each age group contributed equally to the study population, with 50 participants each, representing 33.33% per group</w:t>
      </w:r>
    </w:p>
    <w:p w14:paraId="1CB37B79" w14:textId="77777777" w:rsidR="004C4B7E" w:rsidRDefault="004B1C8B">
      <w:pPr>
        <w:pStyle w:val="NormalWeb"/>
        <w:rPr>
          <w:rFonts w:ascii="Times New Roman Regular" w:hAnsi="Times New Roman Regular" w:cs="Times New Roman Regular"/>
          <w:color w:val="000000"/>
        </w:rPr>
      </w:pPr>
      <w:r>
        <w:rPr>
          <w:rFonts w:ascii="Times New Roman Regular" w:hAnsi="Times New Roman Regular" w:cs="Times New Roman Regular"/>
          <w:color w:val="000000"/>
        </w:rPr>
        <w:t xml:space="preserve">The youngest age group (18–39 years) had the lowest mean PSA level of 0.88 ± 0.20 ng/ml, indicating relatively normal prostate function in this age range. Participants aged 40–59 years showed a substantial increase in PSA levels, with a mean of 5.62 ± 15.99 ng/ml, suggesting a rising trend with age and possible early prostatic changes. The oldest age </w:t>
      </w:r>
      <w:proofErr w:type="gramStart"/>
      <w:r>
        <w:rPr>
          <w:rFonts w:ascii="Times New Roman Regular" w:hAnsi="Times New Roman Regular" w:cs="Times New Roman Regular"/>
          <w:color w:val="000000"/>
        </w:rPr>
        <w:t>group(</w:t>
      </w:r>
      <w:proofErr w:type="gramEnd"/>
      <w:r>
        <w:rPr>
          <w:rFonts w:ascii="Times New Roman Regular" w:hAnsi="Times New Roman Regular" w:cs="Times New Roman Regular"/>
          <w:color w:val="000000"/>
        </w:rPr>
        <w:t>60 years and above) recorded the highest mean PSA level of 13.09 ± 19.32 ng/ml, highlighting a greater risk of prostate abnormalities in older men. The progressive increase in mean PSA levels across the age categories reflects the well-established association between advancing age and elevated PSA concentrations. These findings underscore the importance of age-specific PSA screening and interpretation in clinical evaluations of prostate health among men. This trend indicates a clear age-related increase in PSA levels, suggesting that PSA concentrations tend to rise with advancing age due to physiological and pathological changes in the prostate.</w:t>
      </w:r>
    </w:p>
    <w:p w14:paraId="2C948FF9" w14:textId="5603B615" w:rsidR="004C4B7E" w:rsidRDefault="00192F82">
      <w:pPr>
        <w:spacing w:before="240" w:after="0" w:line="480" w:lineRule="auto"/>
        <w:jc w:val="both"/>
        <w:rPr>
          <w:rFonts w:cs="Times New Roman"/>
          <w:b/>
        </w:rPr>
      </w:pPr>
      <w:r>
        <w:rPr>
          <w:rFonts w:cs="Times New Roman"/>
          <w:b/>
        </w:rPr>
        <w:t xml:space="preserve">Table </w:t>
      </w:r>
      <w:r w:rsidR="004B1C8B">
        <w:rPr>
          <w:rFonts w:cs="Times New Roman"/>
          <w:b/>
        </w:rPr>
        <w:t>1: Age Group Distribution in the Study Population</w:t>
      </w:r>
    </w:p>
    <w:tbl>
      <w:tblPr>
        <w:tblW w:w="935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35"/>
        <w:gridCol w:w="2540"/>
        <w:gridCol w:w="2321"/>
        <w:gridCol w:w="2554"/>
      </w:tblGrid>
      <w:tr w:rsidR="004C4B7E" w14:paraId="6AABD30B" w14:textId="77777777">
        <w:tc>
          <w:tcPr>
            <w:tcW w:w="1935" w:type="dxa"/>
            <w:tcBorders>
              <w:top w:val="single" w:sz="4" w:space="0" w:color="auto"/>
              <w:left w:val="nil"/>
              <w:bottom w:val="single" w:sz="4" w:space="0" w:color="auto"/>
              <w:right w:val="nil"/>
            </w:tcBorders>
          </w:tcPr>
          <w:p w14:paraId="5A641414" w14:textId="77777777" w:rsidR="004C4B7E" w:rsidRDefault="004B1C8B">
            <w:pPr>
              <w:spacing w:after="0" w:line="480" w:lineRule="auto"/>
              <w:jc w:val="both"/>
              <w:rPr>
                <w:rFonts w:cs="Times New Roman"/>
                <w:b/>
                <w:bCs/>
              </w:rPr>
            </w:pPr>
            <w:r>
              <w:rPr>
                <w:rFonts w:cs="Times New Roman"/>
                <w:b/>
                <w:bCs/>
              </w:rPr>
              <w:t>Age Groups</w:t>
            </w:r>
          </w:p>
        </w:tc>
        <w:tc>
          <w:tcPr>
            <w:tcW w:w="2540" w:type="dxa"/>
            <w:tcBorders>
              <w:top w:val="single" w:sz="4" w:space="0" w:color="auto"/>
              <w:left w:val="nil"/>
              <w:bottom w:val="single" w:sz="4" w:space="0" w:color="auto"/>
              <w:right w:val="nil"/>
            </w:tcBorders>
          </w:tcPr>
          <w:p w14:paraId="4C632E30" w14:textId="77777777" w:rsidR="004C4B7E" w:rsidRDefault="004B1C8B">
            <w:pPr>
              <w:spacing w:after="0" w:line="480" w:lineRule="auto"/>
              <w:jc w:val="both"/>
              <w:rPr>
                <w:rFonts w:cs="Times New Roman"/>
                <w:b/>
                <w:bCs/>
              </w:rPr>
            </w:pPr>
            <w:r>
              <w:rPr>
                <w:rFonts w:cs="Times New Roman"/>
                <w:b/>
                <w:bCs/>
              </w:rPr>
              <w:t>Frequency</w:t>
            </w:r>
          </w:p>
          <w:p w14:paraId="13EFC8FF" w14:textId="77777777" w:rsidR="004C4B7E" w:rsidRDefault="004B1C8B">
            <w:pPr>
              <w:spacing w:after="0" w:line="480" w:lineRule="auto"/>
              <w:jc w:val="both"/>
              <w:rPr>
                <w:rFonts w:cs="Times New Roman"/>
                <w:b/>
                <w:bCs/>
              </w:rPr>
            </w:pPr>
            <w:r>
              <w:rPr>
                <w:rFonts w:cs="Times New Roman"/>
                <w:b/>
                <w:bCs/>
              </w:rPr>
              <w:t>(n)</w:t>
            </w:r>
          </w:p>
        </w:tc>
        <w:tc>
          <w:tcPr>
            <w:tcW w:w="2321" w:type="dxa"/>
            <w:tcBorders>
              <w:top w:val="single" w:sz="4" w:space="0" w:color="auto"/>
              <w:left w:val="nil"/>
              <w:bottom w:val="single" w:sz="4" w:space="0" w:color="auto"/>
              <w:right w:val="nil"/>
            </w:tcBorders>
          </w:tcPr>
          <w:p w14:paraId="70FEA524" w14:textId="77777777" w:rsidR="004C4B7E" w:rsidRDefault="004B1C8B">
            <w:pPr>
              <w:spacing w:after="0" w:line="480" w:lineRule="auto"/>
              <w:jc w:val="both"/>
              <w:rPr>
                <w:rFonts w:cs="Times New Roman"/>
                <w:b/>
                <w:bCs/>
              </w:rPr>
            </w:pPr>
            <w:r>
              <w:rPr>
                <w:rFonts w:cs="Times New Roman"/>
                <w:b/>
                <w:bCs/>
              </w:rPr>
              <w:t>Percentage</w:t>
            </w:r>
          </w:p>
          <w:p w14:paraId="7412535B" w14:textId="77777777" w:rsidR="004C4B7E" w:rsidRDefault="004B1C8B">
            <w:pPr>
              <w:spacing w:after="0" w:line="480" w:lineRule="auto"/>
              <w:jc w:val="both"/>
              <w:rPr>
                <w:rFonts w:cs="Times New Roman"/>
                <w:b/>
                <w:bCs/>
              </w:rPr>
            </w:pPr>
            <w:r>
              <w:rPr>
                <w:rFonts w:cs="Times New Roman"/>
                <w:b/>
                <w:bCs/>
              </w:rPr>
              <w:t>(%)</w:t>
            </w:r>
          </w:p>
        </w:tc>
        <w:tc>
          <w:tcPr>
            <w:tcW w:w="2554" w:type="dxa"/>
            <w:tcBorders>
              <w:top w:val="single" w:sz="4" w:space="0" w:color="auto"/>
              <w:left w:val="nil"/>
              <w:bottom w:val="single" w:sz="4" w:space="0" w:color="auto"/>
              <w:right w:val="nil"/>
            </w:tcBorders>
          </w:tcPr>
          <w:p w14:paraId="7E14BEDE" w14:textId="77777777" w:rsidR="004C4B7E" w:rsidRDefault="004B1C8B">
            <w:pPr>
              <w:spacing w:after="0" w:line="480" w:lineRule="auto"/>
              <w:jc w:val="both"/>
              <w:rPr>
                <w:rFonts w:cs="Times New Roman"/>
                <w:b/>
                <w:bCs/>
              </w:rPr>
            </w:pPr>
            <w:r>
              <w:rPr>
                <w:rFonts w:cs="Times New Roman"/>
                <w:b/>
                <w:bCs/>
              </w:rPr>
              <w:t>PSA (ng/ml)</w:t>
            </w:r>
          </w:p>
          <w:p w14:paraId="7CEB51BE" w14:textId="77777777" w:rsidR="004C4B7E" w:rsidRDefault="004B1C8B">
            <w:pPr>
              <w:spacing w:after="0" w:line="480" w:lineRule="auto"/>
              <w:jc w:val="both"/>
              <w:rPr>
                <w:rFonts w:cs="Times New Roman"/>
                <w:b/>
                <w:bCs/>
              </w:rPr>
            </w:pPr>
            <w:r>
              <w:rPr>
                <w:rFonts w:cs="Times New Roman"/>
                <w:b/>
                <w:bCs/>
              </w:rPr>
              <w:t xml:space="preserve"> (mean ± SD)</w:t>
            </w:r>
          </w:p>
        </w:tc>
      </w:tr>
      <w:tr w:rsidR="004C4B7E" w14:paraId="315CA005" w14:textId="77777777">
        <w:tc>
          <w:tcPr>
            <w:tcW w:w="1935" w:type="dxa"/>
            <w:tcBorders>
              <w:top w:val="single" w:sz="4" w:space="0" w:color="auto"/>
              <w:left w:val="nil"/>
              <w:bottom w:val="nil"/>
              <w:right w:val="nil"/>
            </w:tcBorders>
          </w:tcPr>
          <w:p w14:paraId="5CCC31EC" w14:textId="77777777" w:rsidR="004C4B7E" w:rsidRDefault="004B1C8B">
            <w:pPr>
              <w:spacing w:after="0" w:line="480" w:lineRule="auto"/>
              <w:jc w:val="both"/>
              <w:rPr>
                <w:rFonts w:cs="Times New Roman"/>
              </w:rPr>
            </w:pPr>
            <w:r>
              <w:rPr>
                <w:rFonts w:cs="Times New Roman"/>
              </w:rPr>
              <w:t>18 – 39</w:t>
            </w:r>
          </w:p>
        </w:tc>
        <w:tc>
          <w:tcPr>
            <w:tcW w:w="2540" w:type="dxa"/>
            <w:tcBorders>
              <w:top w:val="single" w:sz="4" w:space="0" w:color="auto"/>
              <w:left w:val="nil"/>
              <w:bottom w:val="nil"/>
              <w:right w:val="nil"/>
            </w:tcBorders>
          </w:tcPr>
          <w:p w14:paraId="20A41E47" w14:textId="77777777" w:rsidR="004C4B7E" w:rsidRDefault="004B1C8B">
            <w:pPr>
              <w:spacing w:after="0" w:line="480" w:lineRule="auto"/>
              <w:jc w:val="both"/>
              <w:rPr>
                <w:rFonts w:cs="Times New Roman"/>
              </w:rPr>
            </w:pPr>
            <w:r>
              <w:rPr>
                <w:rFonts w:cs="Times New Roman"/>
              </w:rPr>
              <w:t>50</w:t>
            </w:r>
          </w:p>
        </w:tc>
        <w:tc>
          <w:tcPr>
            <w:tcW w:w="2321" w:type="dxa"/>
            <w:tcBorders>
              <w:top w:val="single" w:sz="4" w:space="0" w:color="auto"/>
              <w:left w:val="nil"/>
              <w:bottom w:val="nil"/>
              <w:right w:val="nil"/>
            </w:tcBorders>
          </w:tcPr>
          <w:p w14:paraId="532A40B7" w14:textId="77777777" w:rsidR="004C4B7E" w:rsidRDefault="004B1C8B">
            <w:pPr>
              <w:spacing w:after="0" w:line="480" w:lineRule="auto"/>
              <w:jc w:val="both"/>
              <w:rPr>
                <w:rFonts w:cs="Times New Roman"/>
              </w:rPr>
            </w:pPr>
            <w:r>
              <w:rPr>
                <w:rFonts w:cs="Times New Roman"/>
              </w:rPr>
              <w:t>33.33</w:t>
            </w:r>
          </w:p>
        </w:tc>
        <w:tc>
          <w:tcPr>
            <w:tcW w:w="2554" w:type="dxa"/>
            <w:tcBorders>
              <w:top w:val="single" w:sz="4" w:space="0" w:color="auto"/>
              <w:left w:val="nil"/>
              <w:bottom w:val="nil"/>
              <w:right w:val="nil"/>
            </w:tcBorders>
          </w:tcPr>
          <w:p w14:paraId="17018BCB" w14:textId="77777777" w:rsidR="004C4B7E" w:rsidRDefault="004B1C8B">
            <w:pPr>
              <w:spacing w:after="0" w:line="480" w:lineRule="auto"/>
              <w:jc w:val="both"/>
              <w:rPr>
                <w:rFonts w:cs="Times New Roman"/>
              </w:rPr>
            </w:pPr>
            <w:r>
              <w:rPr>
                <w:rFonts w:cs="Times New Roman"/>
              </w:rPr>
              <w:t>0.88 ± 0.20</w:t>
            </w:r>
          </w:p>
        </w:tc>
      </w:tr>
      <w:tr w:rsidR="004C4B7E" w14:paraId="61A09187" w14:textId="77777777">
        <w:tc>
          <w:tcPr>
            <w:tcW w:w="1935" w:type="dxa"/>
            <w:tcBorders>
              <w:top w:val="nil"/>
              <w:left w:val="nil"/>
              <w:bottom w:val="nil"/>
              <w:right w:val="nil"/>
            </w:tcBorders>
          </w:tcPr>
          <w:p w14:paraId="4973BF46" w14:textId="77777777" w:rsidR="004C4B7E" w:rsidRDefault="004B1C8B">
            <w:pPr>
              <w:spacing w:after="0" w:line="480" w:lineRule="auto"/>
              <w:jc w:val="both"/>
              <w:rPr>
                <w:rFonts w:cs="Times New Roman"/>
              </w:rPr>
            </w:pPr>
            <w:r>
              <w:rPr>
                <w:rFonts w:cs="Times New Roman"/>
              </w:rPr>
              <w:t>40 – 59</w:t>
            </w:r>
          </w:p>
        </w:tc>
        <w:tc>
          <w:tcPr>
            <w:tcW w:w="2540" w:type="dxa"/>
            <w:tcBorders>
              <w:top w:val="nil"/>
              <w:left w:val="nil"/>
              <w:bottom w:val="nil"/>
              <w:right w:val="nil"/>
            </w:tcBorders>
          </w:tcPr>
          <w:p w14:paraId="787DCA00" w14:textId="77777777" w:rsidR="004C4B7E" w:rsidRDefault="004B1C8B">
            <w:pPr>
              <w:spacing w:after="0" w:line="480" w:lineRule="auto"/>
              <w:jc w:val="both"/>
              <w:rPr>
                <w:rFonts w:cs="Times New Roman"/>
              </w:rPr>
            </w:pPr>
            <w:r>
              <w:rPr>
                <w:rFonts w:cs="Times New Roman"/>
              </w:rPr>
              <w:t>50</w:t>
            </w:r>
          </w:p>
        </w:tc>
        <w:tc>
          <w:tcPr>
            <w:tcW w:w="2321" w:type="dxa"/>
            <w:tcBorders>
              <w:top w:val="nil"/>
              <w:left w:val="nil"/>
              <w:bottom w:val="nil"/>
              <w:right w:val="nil"/>
            </w:tcBorders>
          </w:tcPr>
          <w:p w14:paraId="0CBB5F95" w14:textId="77777777" w:rsidR="004C4B7E" w:rsidRDefault="004B1C8B">
            <w:pPr>
              <w:spacing w:after="0" w:line="480" w:lineRule="auto"/>
              <w:jc w:val="both"/>
              <w:rPr>
                <w:rFonts w:cs="Times New Roman"/>
              </w:rPr>
            </w:pPr>
            <w:r>
              <w:rPr>
                <w:rFonts w:cs="Times New Roman"/>
              </w:rPr>
              <w:t>33.33</w:t>
            </w:r>
          </w:p>
        </w:tc>
        <w:tc>
          <w:tcPr>
            <w:tcW w:w="2554" w:type="dxa"/>
            <w:tcBorders>
              <w:top w:val="nil"/>
              <w:left w:val="nil"/>
              <w:bottom w:val="nil"/>
              <w:right w:val="nil"/>
            </w:tcBorders>
          </w:tcPr>
          <w:p w14:paraId="0B4E9B18" w14:textId="77777777" w:rsidR="004C4B7E" w:rsidRDefault="004B1C8B">
            <w:pPr>
              <w:spacing w:after="0" w:line="480" w:lineRule="auto"/>
              <w:jc w:val="both"/>
              <w:rPr>
                <w:rFonts w:cs="Times New Roman"/>
              </w:rPr>
            </w:pPr>
            <w:r>
              <w:rPr>
                <w:rFonts w:cs="Times New Roman"/>
              </w:rPr>
              <w:t>5.62 ± 15.99</w:t>
            </w:r>
          </w:p>
        </w:tc>
      </w:tr>
      <w:tr w:rsidR="004C4B7E" w14:paraId="6378A35C" w14:textId="77777777">
        <w:tc>
          <w:tcPr>
            <w:tcW w:w="1935" w:type="dxa"/>
            <w:tcBorders>
              <w:top w:val="nil"/>
              <w:left w:val="nil"/>
              <w:bottom w:val="single" w:sz="4" w:space="0" w:color="auto"/>
              <w:right w:val="nil"/>
            </w:tcBorders>
          </w:tcPr>
          <w:p w14:paraId="67FBCF84" w14:textId="77777777" w:rsidR="004C4B7E" w:rsidRDefault="004B1C8B">
            <w:pPr>
              <w:spacing w:after="0" w:line="480" w:lineRule="auto"/>
              <w:jc w:val="both"/>
              <w:rPr>
                <w:rFonts w:cs="Times New Roman"/>
              </w:rPr>
            </w:pPr>
            <w:r>
              <w:rPr>
                <w:rFonts w:cs="Times New Roman"/>
              </w:rPr>
              <w:t>60 and above</w:t>
            </w:r>
          </w:p>
        </w:tc>
        <w:tc>
          <w:tcPr>
            <w:tcW w:w="2540" w:type="dxa"/>
            <w:tcBorders>
              <w:top w:val="nil"/>
              <w:left w:val="nil"/>
              <w:bottom w:val="single" w:sz="4" w:space="0" w:color="auto"/>
              <w:right w:val="nil"/>
            </w:tcBorders>
          </w:tcPr>
          <w:p w14:paraId="4254F53C" w14:textId="77777777" w:rsidR="004C4B7E" w:rsidRDefault="004B1C8B">
            <w:pPr>
              <w:spacing w:after="0" w:line="480" w:lineRule="auto"/>
              <w:jc w:val="both"/>
              <w:rPr>
                <w:rFonts w:cs="Times New Roman"/>
              </w:rPr>
            </w:pPr>
            <w:r>
              <w:rPr>
                <w:rFonts w:cs="Times New Roman"/>
              </w:rPr>
              <w:t>50</w:t>
            </w:r>
          </w:p>
        </w:tc>
        <w:tc>
          <w:tcPr>
            <w:tcW w:w="2321" w:type="dxa"/>
            <w:tcBorders>
              <w:top w:val="nil"/>
              <w:left w:val="nil"/>
              <w:bottom w:val="single" w:sz="4" w:space="0" w:color="auto"/>
              <w:right w:val="nil"/>
            </w:tcBorders>
          </w:tcPr>
          <w:p w14:paraId="5050E96B" w14:textId="77777777" w:rsidR="004C4B7E" w:rsidRDefault="004B1C8B">
            <w:pPr>
              <w:spacing w:after="0" w:line="480" w:lineRule="auto"/>
              <w:jc w:val="both"/>
              <w:rPr>
                <w:rFonts w:cs="Times New Roman"/>
              </w:rPr>
            </w:pPr>
            <w:r>
              <w:rPr>
                <w:rFonts w:cs="Times New Roman"/>
              </w:rPr>
              <w:t>33.33</w:t>
            </w:r>
          </w:p>
        </w:tc>
        <w:tc>
          <w:tcPr>
            <w:tcW w:w="2554" w:type="dxa"/>
            <w:tcBorders>
              <w:top w:val="nil"/>
              <w:left w:val="nil"/>
              <w:bottom w:val="single" w:sz="4" w:space="0" w:color="auto"/>
              <w:right w:val="nil"/>
            </w:tcBorders>
          </w:tcPr>
          <w:p w14:paraId="4B1799EB" w14:textId="77777777" w:rsidR="004C4B7E" w:rsidRDefault="004B1C8B">
            <w:pPr>
              <w:spacing w:after="0" w:line="480" w:lineRule="auto"/>
              <w:jc w:val="both"/>
              <w:rPr>
                <w:rFonts w:cs="Times New Roman"/>
              </w:rPr>
            </w:pPr>
            <w:r>
              <w:rPr>
                <w:rFonts w:cs="Times New Roman"/>
              </w:rPr>
              <w:t>13.09 ± 19.32</w:t>
            </w:r>
          </w:p>
        </w:tc>
      </w:tr>
    </w:tbl>
    <w:p w14:paraId="261FFC35" w14:textId="77777777" w:rsidR="004C4B7E" w:rsidRDefault="004C4B7E">
      <w:pPr>
        <w:spacing w:line="480" w:lineRule="auto"/>
        <w:jc w:val="both"/>
        <w:rPr>
          <w:rFonts w:cs="Times New Roman"/>
          <w:kern w:val="2"/>
        </w:rPr>
      </w:pPr>
    </w:p>
    <w:p w14:paraId="341B336E" w14:textId="77777777" w:rsidR="004C4B7E" w:rsidRDefault="00192F82">
      <w:pPr>
        <w:spacing w:line="240" w:lineRule="auto"/>
        <w:jc w:val="both"/>
        <w:rPr>
          <w:rFonts w:ascii="Times New Roman Bold" w:hAnsi="Times New Roman Bold" w:cs="Times New Roman Bold"/>
          <w:b/>
          <w:bCs/>
          <w:kern w:val="2"/>
        </w:rPr>
      </w:pPr>
      <w:r>
        <w:rPr>
          <w:rFonts w:ascii="Times New Roman Bold" w:hAnsi="Times New Roman Bold" w:cs="Times New Roman Bold"/>
          <w:b/>
          <w:bCs/>
          <w:kern w:val="2"/>
        </w:rPr>
        <w:t>3</w:t>
      </w:r>
      <w:r w:rsidR="004B1C8B">
        <w:rPr>
          <w:rFonts w:ascii="Times New Roman Bold" w:hAnsi="Times New Roman Bold" w:cs="Times New Roman Bold"/>
          <w:b/>
          <w:bCs/>
          <w:kern w:val="2"/>
        </w:rPr>
        <w:t>.2 Comparison of Lipid Profile Parameters between Men with Normal and Elevated PSA Levels in the Study Population</w:t>
      </w:r>
    </w:p>
    <w:p w14:paraId="1290C2F4" w14:textId="676D1D8A" w:rsidR="004C4B7E" w:rsidRDefault="004B1C8B">
      <w:pPr>
        <w:spacing w:line="240" w:lineRule="auto"/>
        <w:jc w:val="both"/>
        <w:rPr>
          <w:rFonts w:cs="Times New Roman"/>
          <w:kern w:val="2"/>
        </w:rPr>
      </w:pPr>
      <w:r>
        <w:rPr>
          <w:rFonts w:cs="Times New Roman"/>
          <w:kern w:val="2"/>
        </w:rPr>
        <w:t xml:space="preserve">The comparison of lipid profile parameters between men with normal and elevated PSA levels, </w:t>
      </w:r>
      <w:r w:rsidR="00192F82">
        <w:rPr>
          <w:rFonts w:cs="Times New Roman"/>
          <w:kern w:val="2"/>
        </w:rPr>
        <w:t>stratified by age group (Table</w:t>
      </w:r>
      <w:r>
        <w:rPr>
          <w:rFonts w:cs="Times New Roman"/>
          <w:kern w:val="2"/>
        </w:rPr>
        <w:t xml:space="preserve">.2), reveals both age-dependent patterns and </w:t>
      </w:r>
      <w:r>
        <w:rPr>
          <w:rFonts w:cs="Times New Roman"/>
          <w:kern w:val="2"/>
        </w:rPr>
        <w:lastRenderedPageBreak/>
        <w:t>significant variations across several lipid markers. In the 18–39 years age group, all participants exhibited normal PSA levels. Consequently, no comparisons could be made between PSA categories for this age group. The mean values for lipid parameters in this group were: TC (4.56 ± 0.94 mmol/L), TG (1.04 ± 0.33 mmol/L), LDL (2.70 ± 0.75 mmol/L), and HDL (1.18 ± 0.38 mmol/L).</w:t>
      </w:r>
    </w:p>
    <w:p w14:paraId="5693C2C3" w14:textId="77777777" w:rsidR="004C4B7E" w:rsidRDefault="004B1C8B">
      <w:pPr>
        <w:spacing w:line="240" w:lineRule="auto"/>
        <w:jc w:val="both"/>
        <w:rPr>
          <w:rFonts w:cs="Times New Roman"/>
          <w:kern w:val="2"/>
        </w:rPr>
      </w:pPr>
      <w:r>
        <w:rPr>
          <w:rFonts w:cs="Times New Roman"/>
          <w:kern w:val="2"/>
        </w:rPr>
        <w:t xml:space="preserve">Among individuals aged 40 to 59 years, the mean total </w:t>
      </w:r>
      <w:proofErr w:type="gramStart"/>
      <w:r>
        <w:rPr>
          <w:rFonts w:cs="Times New Roman"/>
          <w:kern w:val="2"/>
        </w:rPr>
        <w:t>cholesterol(</w:t>
      </w:r>
      <w:proofErr w:type="gramEnd"/>
      <w:r>
        <w:rPr>
          <w:rFonts w:cs="Times New Roman"/>
          <w:kern w:val="2"/>
        </w:rPr>
        <w:t xml:space="preserve">TC), low-density lipoprotein(LDL), and high-density lipoprotein(HDL) levels were higher in men with elevated prostate-specific antigen(PSA) compared to those with normal PSA. However, none of these differences were statistically significant. The mean TC was 5.40 ± 1.69 mmol/L in the elevated PSA group versus 4.94 ± 1.24 mmol/L in the normal group (p = 0.458). Similarly, LDL levels were 3.58 ± 1.16 mmol/L compared to 3.15 ± 1.15 mmol/L (p = 0.335), and HDL levels were 1.59 ± 0.53 mmol/L versus 1.34 ± 0.43 mmol/L (p = 0.206). </w:t>
      </w:r>
      <w:proofErr w:type="gramStart"/>
      <w:r>
        <w:rPr>
          <w:rFonts w:cs="Times New Roman"/>
          <w:kern w:val="2"/>
        </w:rPr>
        <w:t>Triglyceride(</w:t>
      </w:r>
      <w:proofErr w:type="gramEnd"/>
      <w:r>
        <w:rPr>
          <w:rFonts w:cs="Times New Roman"/>
          <w:kern w:val="2"/>
        </w:rPr>
        <w:t>TG) levels were slightly lower in men with elevated PSA, measuring 1.09 ± 0.46 mmol/L compared to 1.20 ± 0.49 mmol/L(p = 0.541).</w:t>
      </w:r>
    </w:p>
    <w:p w14:paraId="7DA38E8C" w14:textId="77777777" w:rsidR="004C4B7E" w:rsidRDefault="004B1C8B">
      <w:pPr>
        <w:spacing w:line="240" w:lineRule="auto"/>
        <w:jc w:val="both"/>
        <w:rPr>
          <w:rFonts w:cs="Times New Roman"/>
          <w:kern w:val="2"/>
        </w:rPr>
      </w:pPr>
      <w:r>
        <w:rPr>
          <w:rFonts w:cs="Times New Roman"/>
          <w:kern w:val="2"/>
        </w:rPr>
        <w:t>In the 60 years and above group, a significant difference in triglyceride levels was observed. Men with elevated PSA had significantly lower TG levels compared to those with normal PSA (1.04 ± 0.34 mmol/L vs. 1.33 ± 0.41 mmol/L, p = 0.012). While mean LDL and TC levels were slightly higher in the elevated PSA group (LDL: 3.39 ± 1.27 mmol/L vs. 3.05 ± 0.85 mmol/L, TC: 4.96 ± 1.58 mmol/L vs. 4.99 ± 1.24 mmol/L), the differences were not statistically significant (p = 0.267 and p = 0.945, respectively). HDL levels also showed no significant variation (p = 0.662).</w:t>
      </w:r>
    </w:p>
    <w:p w14:paraId="06A09DA7" w14:textId="77777777" w:rsidR="004C4B7E" w:rsidRDefault="004B1C8B">
      <w:pPr>
        <w:spacing w:line="240" w:lineRule="auto"/>
        <w:jc w:val="both"/>
        <w:rPr>
          <w:rFonts w:cs="Times New Roman"/>
        </w:rPr>
      </w:pPr>
      <w:r>
        <w:rPr>
          <w:rFonts w:cs="Times New Roman"/>
          <w:kern w:val="2"/>
        </w:rPr>
        <w:t>These findings suggest that while lipid profiles appear non-significant in comparison across PSA groups in younger age categories, notable distinctions, particularly in triglyceride levels, emerge in older adults, underscoring the need to consider age-specific metabolic profiles in PSA evaluation and prostate health assessment.</w:t>
      </w:r>
    </w:p>
    <w:p w14:paraId="5ACCCED5" w14:textId="77777777" w:rsidR="004C4B7E" w:rsidRDefault="004C4B7E">
      <w:pPr>
        <w:spacing w:before="240" w:after="0" w:line="480" w:lineRule="auto"/>
        <w:jc w:val="both"/>
        <w:rPr>
          <w:rFonts w:cs="Times New Roman"/>
        </w:rPr>
      </w:pPr>
    </w:p>
    <w:p w14:paraId="7E279FEF" w14:textId="0788DF27" w:rsidR="004C4B7E" w:rsidRDefault="004B1C8B">
      <w:pPr>
        <w:spacing w:before="240" w:after="0" w:line="480" w:lineRule="auto"/>
        <w:jc w:val="both"/>
        <w:rPr>
          <w:rFonts w:ascii="Times New Roman Bold" w:hAnsi="Times New Roman Bold" w:cs="Times New Roman Bold"/>
          <w:b/>
          <w:bCs/>
        </w:rPr>
      </w:pPr>
      <w:r>
        <w:rPr>
          <w:rFonts w:ascii="Times New Roman Bold" w:hAnsi="Times New Roman Bold" w:cs="Times New Roman Bold"/>
          <w:b/>
          <w:bCs/>
        </w:rPr>
        <w:t>Table</w:t>
      </w:r>
      <w:r w:rsidR="00A0536E">
        <w:rPr>
          <w:rFonts w:ascii="Times New Roman Bold" w:hAnsi="Times New Roman Bold" w:cs="Times New Roman Bold"/>
          <w:b/>
          <w:bCs/>
        </w:rPr>
        <w:t xml:space="preserve"> </w:t>
      </w:r>
      <w:r>
        <w:rPr>
          <w:rFonts w:ascii="Times New Roman Bold" w:hAnsi="Times New Roman Bold" w:cs="Times New Roman Bold"/>
          <w:b/>
          <w:bCs/>
        </w:rPr>
        <w:t>2: Comparison of Lipid Profile Parameters between Men with Normal and Elevated PSA Levels by Age Group</w:t>
      </w:r>
    </w:p>
    <w:p w14:paraId="512F9CDE" w14:textId="77777777" w:rsidR="004C4B7E" w:rsidRDefault="004C4B7E">
      <w:pPr>
        <w:spacing w:line="480" w:lineRule="auto"/>
        <w:jc w:val="both"/>
        <w:rPr>
          <w:rFonts w:cs="Times New Roman"/>
          <w:kern w:val="2"/>
        </w:rPr>
      </w:pPr>
    </w:p>
    <w:tbl>
      <w:tblPr>
        <w:tblpPr w:leftFromText="180" w:rightFromText="180" w:horzAnchor="margin" w:tblpXSpec="center" w:tblpY="1166"/>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5"/>
        <w:gridCol w:w="783"/>
        <w:gridCol w:w="1600"/>
        <w:gridCol w:w="1217"/>
        <w:gridCol w:w="1550"/>
        <w:gridCol w:w="1310"/>
        <w:gridCol w:w="841"/>
      </w:tblGrid>
      <w:tr w:rsidR="004C4B7E" w14:paraId="6D5879FB" w14:textId="77777777">
        <w:tc>
          <w:tcPr>
            <w:tcW w:w="0" w:type="auto"/>
            <w:tcBorders>
              <w:top w:val="single" w:sz="4" w:space="0" w:color="auto"/>
              <w:left w:val="nil"/>
              <w:bottom w:val="single" w:sz="4" w:space="0" w:color="auto"/>
              <w:right w:val="nil"/>
            </w:tcBorders>
          </w:tcPr>
          <w:p w14:paraId="2AA1D308" w14:textId="77777777" w:rsidR="004C4B7E" w:rsidRDefault="004B1C8B">
            <w:pPr>
              <w:spacing w:before="240" w:after="0" w:line="240" w:lineRule="auto"/>
              <w:rPr>
                <w:rFonts w:cs="Times New Roman"/>
                <w:b/>
                <w:bCs/>
              </w:rPr>
            </w:pPr>
            <w:r>
              <w:rPr>
                <w:rFonts w:cs="Times New Roman"/>
                <w:b/>
                <w:bCs/>
              </w:rPr>
              <w:lastRenderedPageBreak/>
              <w:t>Age Group</w:t>
            </w:r>
          </w:p>
        </w:tc>
        <w:tc>
          <w:tcPr>
            <w:tcW w:w="0" w:type="auto"/>
            <w:tcBorders>
              <w:top w:val="single" w:sz="4" w:space="0" w:color="auto"/>
              <w:left w:val="nil"/>
              <w:bottom w:val="single" w:sz="4" w:space="0" w:color="auto"/>
              <w:right w:val="nil"/>
            </w:tcBorders>
          </w:tcPr>
          <w:p w14:paraId="1D29A057" w14:textId="77777777" w:rsidR="004C4B7E" w:rsidRDefault="004B1C8B">
            <w:pPr>
              <w:spacing w:before="240" w:after="0" w:line="240" w:lineRule="auto"/>
              <w:ind w:left="-1032"/>
              <w:rPr>
                <w:rFonts w:cs="Times New Roman"/>
                <w:b/>
                <w:bCs/>
              </w:rPr>
            </w:pPr>
            <w:r>
              <w:rPr>
                <w:rFonts w:cs="Times New Roman"/>
                <w:b/>
                <w:bCs/>
              </w:rPr>
              <w:t>Lipid Parameter</w:t>
            </w:r>
          </w:p>
        </w:tc>
        <w:tc>
          <w:tcPr>
            <w:tcW w:w="0" w:type="auto"/>
            <w:tcBorders>
              <w:top w:val="single" w:sz="4" w:space="0" w:color="auto"/>
              <w:left w:val="nil"/>
              <w:bottom w:val="single" w:sz="4" w:space="0" w:color="auto"/>
              <w:right w:val="nil"/>
            </w:tcBorders>
          </w:tcPr>
          <w:p w14:paraId="60F8F98D" w14:textId="77777777" w:rsidR="004C4B7E" w:rsidRDefault="004B1C8B">
            <w:pPr>
              <w:spacing w:after="0" w:line="240" w:lineRule="auto"/>
              <w:ind w:left="-66" w:right="192"/>
              <w:rPr>
                <w:rFonts w:cs="Times New Roman"/>
                <w:b/>
                <w:bCs/>
              </w:rPr>
            </w:pPr>
            <w:r>
              <w:rPr>
                <w:rFonts w:cs="Times New Roman"/>
                <w:b/>
                <w:bCs/>
              </w:rPr>
              <w:t>Normal PSA (mean ± SD)</w:t>
            </w:r>
          </w:p>
          <w:p w14:paraId="4A8A8F28" w14:textId="77777777" w:rsidR="004C4B7E" w:rsidRDefault="004B1C8B">
            <w:pPr>
              <w:spacing w:after="0" w:line="240" w:lineRule="auto"/>
              <w:rPr>
                <w:rFonts w:cs="Times New Roman"/>
                <w:b/>
                <w:bCs/>
              </w:rPr>
            </w:pPr>
            <w:r>
              <w:rPr>
                <w:rFonts w:cs="Times New Roman"/>
                <w:b/>
                <w:bCs/>
              </w:rPr>
              <w:t>(n = 110)</w:t>
            </w:r>
          </w:p>
        </w:tc>
        <w:tc>
          <w:tcPr>
            <w:tcW w:w="0" w:type="auto"/>
            <w:tcBorders>
              <w:top w:val="single" w:sz="4" w:space="0" w:color="auto"/>
              <w:left w:val="nil"/>
              <w:bottom w:val="single" w:sz="4" w:space="0" w:color="auto"/>
              <w:right w:val="nil"/>
            </w:tcBorders>
          </w:tcPr>
          <w:p w14:paraId="40A2D1D0" w14:textId="77777777" w:rsidR="004C4B7E" w:rsidRDefault="004B1C8B">
            <w:pPr>
              <w:spacing w:before="240" w:after="0" w:line="240" w:lineRule="auto"/>
              <w:rPr>
                <w:rFonts w:cs="Times New Roman"/>
                <w:b/>
                <w:bCs/>
              </w:rPr>
            </w:pPr>
            <w:proofErr w:type="spellStart"/>
            <w:r>
              <w:rPr>
                <w:rFonts w:cs="Times New Roman"/>
                <w:b/>
                <w:bCs/>
              </w:rPr>
              <w:t>n_normal</w:t>
            </w:r>
            <w:proofErr w:type="spellEnd"/>
          </w:p>
        </w:tc>
        <w:tc>
          <w:tcPr>
            <w:tcW w:w="0" w:type="auto"/>
            <w:tcBorders>
              <w:top w:val="single" w:sz="4" w:space="0" w:color="auto"/>
              <w:left w:val="nil"/>
              <w:bottom w:val="single" w:sz="4" w:space="0" w:color="auto"/>
              <w:right w:val="nil"/>
            </w:tcBorders>
          </w:tcPr>
          <w:p w14:paraId="41580210" w14:textId="77777777" w:rsidR="004C4B7E" w:rsidRDefault="004B1C8B">
            <w:pPr>
              <w:spacing w:after="0" w:line="240" w:lineRule="auto"/>
              <w:rPr>
                <w:rFonts w:cs="Times New Roman"/>
                <w:b/>
                <w:bCs/>
              </w:rPr>
            </w:pPr>
            <w:r>
              <w:rPr>
                <w:rFonts w:cs="Times New Roman"/>
                <w:b/>
                <w:bCs/>
              </w:rPr>
              <w:t>Elevated PSA (mean ± SD)</w:t>
            </w:r>
          </w:p>
          <w:p w14:paraId="6853F00F" w14:textId="77777777" w:rsidR="004C4B7E" w:rsidRDefault="004B1C8B">
            <w:pPr>
              <w:spacing w:after="0" w:line="240" w:lineRule="auto"/>
              <w:rPr>
                <w:rFonts w:cs="Times New Roman"/>
                <w:b/>
                <w:bCs/>
              </w:rPr>
            </w:pPr>
            <w:r>
              <w:rPr>
                <w:rFonts w:cs="Times New Roman"/>
                <w:b/>
                <w:bCs/>
              </w:rPr>
              <w:t>(n = 40)</w:t>
            </w:r>
          </w:p>
        </w:tc>
        <w:tc>
          <w:tcPr>
            <w:tcW w:w="0" w:type="auto"/>
            <w:tcBorders>
              <w:top w:val="single" w:sz="4" w:space="0" w:color="auto"/>
              <w:left w:val="nil"/>
              <w:bottom w:val="single" w:sz="4" w:space="0" w:color="auto"/>
              <w:right w:val="nil"/>
            </w:tcBorders>
          </w:tcPr>
          <w:p w14:paraId="772D5DE4" w14:textId="77777777" w:rsidR="004C4B7E" w:rsidRDefault="004B1C8B">
            <w:pPr>
              <w:spacing w:before="240" w:after="0" w:line="240" w:lineRule="auto"/>
              <w:rPr>
                <w:rFonts w:cs="Times New Roman"/>
                <w:b/>
                <w:bCs/>
              </w:rPr>
            </w:pPr>
            <w:proofErr w:type="spellStart"/>
            <w:r>
              <w:rPr>
                <w:rFonts w:cs="Times New Roman"/>
                <w:b/>
                <w:bCs/>
              </w:rPr>
              <w:t>n_elevated</w:t>
            </w:r>
            <w:proofErr w:type="spellEnd"/>
          </w:p>
        </w:tc>
        <w:tc>
          <w:tcPr>
            <w:tcW w:w="0" w:type="auto"/>
            <w:tcBorders>
              <w:top w:val="single" w:sz="4" w:space="0" w:color="auto"/>
              <w:left w:val="nil"/>
              <w:bottom w:val="single" w:sz="4" w:space="0" w:color="auto"/>
              <w:right w:val="nil"/>
            </w:tcBorders>
          </w:tcPr>
          <w:p w14:paraId="2277E9FE" w14:textId="77777777" w:rsidR="004C4B7E" w:rsidRDefault="004B1C8B">
            <w:pPr>
              <w:spacing w:before="240" w:after="0" w:line="240" w:lineRule="auto"/>
              <w:jc w:val="both"/>
              <w:rPr>
                <w:rFonts w:cs="Times New Roman"/>
                <w:b/>
                <w:bCs/>
              </w:rPr>
            </w:pPr>
            <w:r>
              <w:rPr>
                <w:rFonts w:cs="Times New Roman"/>
                <w:b/>
                <w:bCs/>
                <w:i/>
              </w:rPr>
              <w:t>P</w:t>
            </w:r>
            <w:r>
              <w:rPr>
                <w:rFonts w:cs="Times New Roman"/>
                <w:b/>
                <w:bCs/>
              </w:rPr>
              <w:t xml:space="preserve"> –value</w:t>
            </w:r>
          </w:p>
        </w:tc>
      </w:tr>
      <w:tr w:rsidR="004C4B7E" w14:paraId="284714D3" w14:textId="77777777">
        <w:trPr>
          <w:trHeight w:val="413"/>
        </w:trPr>
        <w:tc>
          <w:tcPr>
            <w:tcW w:w="0" w:type="auto"/>
            <w:tcBorders>
              <w:top w:val="single" w:sz="4" w:space="0" w:color="auto"/>
              <w:left w:val="nil"/>
              <w:bottom w:val="nil"/>
              <w:right w:val="nil"/>
            </w:tcBorders>
          </w:tcPr>
          <w:p w14:paraId="764C81AD" w14:textId="77777777" w:rsidR="004C4B7E" w:rsidRDefault="004B1C8B">
            <w:pPr>
              <w:spacing w:after="0" w:line="480" w:lineRule="auto"/>
              <w:jc w:val="both"/>
              <w:rPr>
                <w:rFonts w:cs="Times New Roman"/>
              </w:rPr>
            </w:pPr>
            <w:r>
              <w:rPr>
                <w:rFonts w:cs="Times New Roman"/>
              </w:rPr>
              <w:t>18 – 39</w:t>
            </w:r>
          </w:p>
        </w:tc>
        <w:tc>
          <w:tcPr>
            <w:tcW w:w="0" w:type="auto"/>
            <w:tcBorders>
              <w:top w:val="single" w:sz="4" w:space="0" w:color="auto"/>
              <w:left w:val="nil"/>
              <w:bottom w:val="nil"/>
              <w:right w:val="nil"/>
            </w:tcBorders>
          </w:tcPr>
          <w:p w14:paraId="7017AE79" w14:textId="77777777" w:rsidR="004C4B7E" w:rsidRDefault="004B1C8B">
            <w:pPr>
              <w:spacing w:after="0" w:line="480" w:lineRule="auto"/>
              <w:jc w:val="both"/>
              <w:rPr>
                <w:rFonts w:cs="Times New Roman"/>
              </w:rPr>
            </w:pPr>
            <w:r>
              <w:rPr>
                <w:rFonts w:cs="Times New Roman"/>
              </w:rPr>
              <w:t>TC</w:t>
            </w:r>
          </w:p>
        </w:tc>
        <w:tc>
          <w:tcPr>
            <w:tcW w:w="0" w:type="auto"/>
            <w:tcBorders>
              <w:top w:val="single" w:sz="4" w:space="0" w:color="auto"/>
              <w:left w:val="nil"/>
              <w:bottom w:val="nil"/>
              <w:right w:val="nil"/>
            </w:tcBorders>
          </w:tcPr>
          <w:p w14:paraId="578D560F" w14:textId="77777777" w:rsidR="004C4B7E" w:rsidRDefault="004B1C8B">
            <w:pPr>
              <w:spacing w:after="0" w:line="480" w:lineRule="auto"/>
              <w:jc w:val="both"/>
              <w:rPr>
                <w:rFonts w:cs="Times New Roman"/>
              </w:rPr>
            </w:pPr>
            <w:r>
              <w:rPr>
                <w:rFonts w:cs="Times New Roman"/>
              </w:rPr>
              <w:t>4.56 ± 0.94</w:t>
            </w:r>
          </w:p>
        </w:tc>
        <w:tc>
          <w:tcPr>
            <w:tcW w:w="0" w:type="auto"/>
            <w:tcBorders>
              <w:top w:val="single" w:sz="4" w:space="0" w:color="auto"/>
              <w:left w:val="nil"/>
              <w:bottom w:val="nil"/>
              <w:right w:val="nil"/>
            </w:tcBorders>
          </w:tcPr>
          <w:p w14:paraId="642B7243" w14:textId="77777777" w:rsidR="004C4B7E" w:rsidRDefault="004B1C8B">
            <w:pPr>
              <w:spacing w:after="0" w:line="480" w:lineRule="auto"/>
              <w:jc w:val="both"/>
              <w:rPr>
                <w:rFonts w:cs="Times New Roman"/>
              </w:rPr>
            </w:pPr>
            <w:r>
              <w:rPr>
                <w:rFonts w:cs="Times New Roman"/>
              </w:rPr>
              <w:t>50</w:t>
            </w:r>
          </w:p>
        </w:tc>
        <w:tc>
          <w:tcPr>
            <w:tcW w:w="0" w:type="auto"/>
            <w:tcBorders>
              <w:top w:val="single" w:sz="4" w:space="0" w:color="auto"/>
              <w:left w:val="nil"/>
              <w:bottom w:val="nil"/>
              <w:right w:val="nil"/>
            </w:tcBorders>
          </w:tcPr>
          <w:p w14:paraId="71CB54FF" w14:textId="77777777" w:rsidR="004C4B7E" w:rsidRDefault="004B1C8B">
            <w:pPr>
              <w:spacing w:after="0" w:line="480" w:lineRule="auto"/>
              <w:jc w:val="both"/>
              <w:rPr>
                <w:rFonts w:cs="Times New Roman"/>
              </w:rPr>
            </w:pPr>
            <w:r>
              <w:rPr>
                <w:rFonts w:cs="Times New Roman"/>
              </w:rPr>
              <w:t>-</w:t>
            </w:r>
          </w:p>
        </w:tc>
        <w:tc>
          <w:tcPr>
            <w:tcW w:w="0" w:type="auto"/>
            <w:tcBorders>
              <w:top w:val="single" w:sz="4" w:space="0" w:color="auto"/>
              <w:left w:val="nil"/>
              <w:bottom w:val="nil"/>
              <w:right w:val="nil"/>
            </w:tcBorders>
          </w:tcPr>
          <w:p w14:paraId="2088A09E" w14:textId="77777777" w:rsidR="004C4B7E" w:rsidRDefault="004B1C8B">
            <w:pPr>
              <w:spacing w:after="0" w:line="480" w:lineRule="auto"/>
              <w:jc w:val="both"/>
              <w:rPr>
                <w:rFonts w:cs="Times New Roman"/>
              </w:rPr>
            </w:pPr>
            <w:r>
              <w:rPr>
                <w:rFonts w:cs="Times New Roman"/>
              </w:rPr>
              <w:t>0</w:t>
            </w:r>
          </w:p>
        </w:tc>
        <w:tc>
          <w:tcPr>
            <w:tcW w:w="0" w:type="auto"/>
            <w:tcBorders>
              <w:top w:val="single" w:sz="4" w:space="0" w:color="auto"/>
              <w:left w:val="nil"/>
              <w:bottom w:val="nil"/>
              <w:right w:val="nil"/>
            </w:tcBorders>
          </w:tcPr>
          <w:p w14:paraId="3486891E" w14:textId="77777777" w:rsidR="004C4B7E" w:rsidRDefault="004B1C8B">
            <w:pPr>
              <w:spacing w:after="0" w:line="480" w:lineRule="auto"/>
              <w:jc w:val="both"/>
              <w:rPr>
                <w:rFonts w:cs="Times New Roman"/>
              </w:rPr>
            </w:pPr>
            <w:r>
              <w:rPr>
                <w:rFonts w:cs="Times New Roman"/>
              </w:rPr>
              <w:t>-</w:t>
            </w:r>
          </w:p>
        </w:tc>
      </w:tr>
      <w:tr w:rsidR="004C4B7E" w14:paraId="2A67DE17" w14:textId="77777777">
        <w:tc>
          <w:tcPr>
            <w:tcW w:w="0" w:type="auto"/>
            <w:tcBorders>
              <w:top w:val="nil"/>
              <w:left w:val="nil"/>
              <w:bottom w:val="nil"/>
              <w:right w:val="nil"/>
            </w:tcBorders>
          </w:tcPr>
          <w:p w14:paraId="49F69CB9" w14:textId="77777777" w:rsidR="004C4B7E" w:rsidRDefault="004B1C8B">
            <w:pPr>
              <w:spacing w:after="0" w:line="480" w:lineRule="auto"/>
              <w:jc w:val="both"/>
              <w:rPr>
                <w:rFonts w:cs="Times New Roman"/>
              </w:rPr>
            </w:pPr>
            <w:r>
              <w:rPr>
                <w:rFonts w:cs="Times New Roman"/>
              </w:rPr>
              <w:t>(n = 50)</w:t>
            </w:r>
          </w:p>
        </w:tc>
        <w:tc>
          <w:tcPr>
            <w:tcW w:w="0" w:type="auto"/>
            <w:tcBorders>
              <w:top w:val="nil"/>
              <w:left w:val="nil"/>
              <w:bottom w:val="nil"/>
              <w:right w:val="nil"/>
            </w:tcBorders>
          </w:tcPr>
          <w:p w14:paraId="14E73648" w14:textId="77777777" w:rsidR="004C4B7E" w:rsidRDefault="004B1C8B">
            <w:pPr>
              <w:spacing w:after="0" w:line="480" w:lineRule="auto"/>
              <w:jc w:val="both"/>
              <w:rPr>
                <w:rFonts w:cs="Times New Roman"/>
              </w:rPr>
            </w:pPr>
            <w:r>
              <w:rPr>
                <w:rFonts w:cs="Times New Roman"/>
              </w:rPr>
              <w:t>TG</w:t>
            </w:r>
          </w:p>
        </w:tc>
        <w:tc>
          <w:tcPr>
            <w:tcW w:w="0" w:type="auto"/>
            <w:tcBorders>
              <w:top w:val="nil"/>
              <w:left w:val="nil"/>
              <w:bottom w:val="nil"/>
              <w:right w:val="nil"/>
            </w:tcBorders>
          </w:tcPr>
          <w:p w14:paraId="051A302B" w14:textId="77777777" w:rsidR="004C4B7E" w:rsidRDefault="004B1C8B">
            <w:pPr>
              <w:spacing w:after="0" w:line="480" w:lineRule="auto"/>
              <w:jc w:val="both"/>
              <w:rPr>
                <w:rFonts w:cs="Times New Roman"/>
              </w:rPr>
            </w:pPr>
            <w:r>
              <w:rPr>
                <w:rFonts w:cs="Times New Roman"/>
              </w:rPr>
              <w:t>1.04 ± 0.33</w:t>
            </w:r>
          </w:p>
        </w:tc>
        <w:tc>
          <w:tcPr>
            <w:tcW w:w="0" w:type="auto"/>
            <w:tcBorders>
              <w:top w:val="nil"/>
              <w:left w:val="nil"/>
              <w:bottom w:val="nil"/>
              <w:right w:val="nil"/>
            </w:tcBorders>
          </w:tcPr>
          <w:p w14:paraId="58B68416"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6CF62F1C" w14:textId="77777777" w:rsidR="004C4B7E" w:rsidRDefault="004B1C8B">
            <w:pPr>
              <w:spacing w:after="0" w:line="480" w:lineRule="auto"/>
              <w:jc w:val="both"/>
              <w:rPr>
                <w:rFonts w:cs="Times New Roman"/>
              </w:rPr>
            </w:pPr>
            <w:r>
              <w:rPr>
                <w:rFonts w:cs="Times New Roman"/>
              </w:rPr>
              <w:t>-</w:t>
            </w:r>
          </w:p>
        </w:tc>
        <w:tc>
          <w:tcPr>
            <w:tcW w:w="0" w:type="auto"/>
            <w:tcBorders>
              <w:top w:val="nil"/>
              <w:left w:val="nil"/>
              <w:bottom w:val="nil"/>
              <w:right w:val="nil"/>
            </w:tcBorders>
          </w:tcPr>
          <w:p w14:paraId="3B7A2D53"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59298F36" w14:textId="77777777" w:rsidR="004C4B7E" w:rsidRDefault="004B1C8B">
            <w:pPr>
              <w:spacing w:after="0" w:line="480" w:lineRule="auto"/>
              <w:jc w:val="both"/>
              <w:rPr>
                <w:rFonts w:cs="Times New Roman"/>
              </w:rPr>
            </w:pPr>
            <w:r>
              <w:rPr>
                <w:rFonts w:cs="Times New Roman"/>
              </w:rPr>
              <w:t>-</w:t>
            </w:r>
          </w:p>
        </w:tc>
      </w:tr>
      <w:tr w:rsidR="004C4B7E" w14:paraId="4999B48F" w14:textId="77777777">
        <w:tc>
          <w:tcPr>
            <w:tcW w:w="0" w:type="auto"/>
            <w:tcBorders>
              <w:top w:val="nil"/>
              <w:left w:val="nil"/>
              <w:bottom w:val="nil"/>
              <w:right w:val="nil"/>
            </w:tcBorders>
          </w:tcPr>
          <w:p w14:paraId="6DBFD92A"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73FB2507" w14:textId="77777777" w:rsidR="004C4B7E" w:rsidRDefault="004B1C8B">
            <w:pPr>
              <w:spacing w:after="0" w:line="480" w:lineRule="auto"/>
              <w:jc w:val="both"/>
              <w:rPr>
                <w:rFonts w:cs="Times New Roman"/>
              </w:rPr>
            </w:pPr>
            <w:r>
              <w:rPr>
                <w:rFonts w:cs="Times New Roman"/>
              </w:rPr>
              <w:t>LDL</w:t>
            </w:r>
          </w:p>
        </w:tc>
        <w:tc>
          <w:tcPr>
            <w:tcW w:w="0" w:type="auto"/>
            <w:tcBorders>
              <w:top w:val="nil"/>
              <w:left w:val="nil"/>
              <w:bottom w:val="nil"/>
              <w:right w:val="nil"/>
            </w:tcBorders>
          </w:tcPr>
          <w:p w14:paraId="04C878A7" w14:textId="77777777" w:rsidR="004C4B7E" w:rsidRDefault="004B1C8B">
            <w:pPr>
              <w:spacing w:after="0" w:line="480" w:lineRule="auto"/>
              <w:jc w:val="both"/>
              <w:rPr>
                <w:rFonts w:cs="Times New Roman"/>
              </w:rPr>
            </w:pPr>
            <w:r>
              <w:rPr>
                <w:rFonts w:cs="Times New Roman"/>
              </w:rPr>
              <w:t>2.70 ± 0.75</w:t>
            </w:r>
          </w:p>
        </w:tc>
        <w:tc>
          <w:tcPr>
            <w:tcW w:w="0" w:type="auto"/>
            <w:tcBorders>
              <w:top w:val="nil"/>
              <w:left w:val="nil"/>
              <w:bottom w:val="nil"/>
              <w:right w:val="nil"/>
            </w:tcBorders>
          </w:tcPr>
          <w:p w14:paraId="19C962EE"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5DE50A25" w14:textId="77777777" w:rsidR="004C4B7E" w:rsidRDefault="004B1C8B">
            <w:pPr>
              <w:spacing w:after="0" w:line="480" w:lineRule="auto"/>
              <w:jc w:val="both"/>
              <w:rPr>
                <w:rFonts w:cs="Times New Roman"/>
              </w:rPr>
            </w:pPr>
            <w:r>
              <w:rPr>
                <w:rFonts w:cs="Times New Roman"/>
              </w:rPr>
              <w:t>-</w:t>
            </w:r>
          </w:p>
        </w:tc>
        <w:tc>
          <w:tcPr>
            <w:tcW w:w="0" w:type="auto"/>
            <w:tcBorders>
              <w:top w:val="nil"/>
              <w:left w:val="nil"/>
              <w:bottom w:val="nil"/>
              <w:right w:val="nil"/>
            </w:tcBorders>
          </w:tcPr>
          <w:p w14:paraId="36C3046F"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728DEBBD" w14:textId="77777777" w:rsidR="004C4B7E" w:rsidRDefault="004B1C8B">
            <w:pPr>
              <w:spacing w:after="0" w:line="480" w:lineRule="auto"/>
              <w:jc w:val="both"/>
              <w:rPr>
                <w:rFonts w:cs="Times New Roman"/>
              </w:rPr>
            </w:pPr>
            <w:r>
              <w:rPr>
                <w:rFonts w:cs="Times New Roman"/>
              </w:rPr>
              <w:t>-</w:t>
            </w:r>
          </w:p>
        </w:tc>
      </w:tr>
      <w:tr w:rsidR="004C4B7E" w14:paraId="36BB160F" w14:textId="77777777">
        <w:tc>
          <w:tcPr>
            <w:tcW w:w="0" w:type="auto"/>
            <w:tcBorders>
              <w:top w:val="nil"/>
              <w:left w:val="nil"/>
              <w:bottom w:val="nil"/>
              <w:right w:val="nil"/>
            </w:tcBorders>
          </w:tcPr>
          <w:p w14:paraId="28B0B861"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1E9E2055" w14:textId="77777777" w:rsidR="004C4B7E" w:rsidRDefault="004B1C8B">
            <w:pPr>
              <w:spacing w:after="0" w:line="480" w:lineRule="auto"/>
              <w:jc w:val="both"/>
              <w:rPr>
                <w:rFonts w:cs="Times New Roman"/>
              </w:rPr>
            </w:pPr>
            <w:r>
              <w:rPr>
                <w:rFonts w:cs="Times New Roman"/>
              </w:rPr>
              <w:t>HDL</w:t>
            </w:r>
          </w:p>
        </w:tc>
        <w:tc>
          <w:tcPr>
            <w:tcW w:w="0" w:type="auto"/>
            <w:tcBorders>
              <w:top w:val="nil"/>
              <w:left w:val="nil"/>
              <w:bottom w:val="nil"/>
              <w:right w:val="nil"/>
            </w:tcBorders>
          </w:tcPr>
          <w:p w14:paraId="334B0E1C" w14:textId="77777777" w:rsidR="004C4B7E" w:rsidRDefault="004B1C8B">
            <w:pPr>
              <w:spacing w:after="0" w:line="480" w:lineRule="auto"/>
              <w:jc w:val="both"/>
              <w:rPr>
                <w:rFonts w:cs="Times New Roman"/>
              </w:rPr>
            </w:pPr>
            <w:r>
              <w:rPr>
                <w:rFonts w:cs="Times New Roman"/>
              </w:rPr>
              <w:t>1.18 ± 0.38</w:t>
            </w:r>
          </w:p>
        </w:tc>
        <w:tc>
          <w:tcPr>
            <w:tcW w:w="0" w:type="auto"/>
            <w:tcBorders>
              <w:top w:val="nil"/>
              <w:left w:val="nil"/>
              <w:bottom w:val="nil"/>
              <w:right w:val="nil"/>
            </w:tcBorders>
          </w:tcPr>
          <w:p w14:paraId="6169089C"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157C2A9B" w14:textId="77777777" w:rsidR="004C4B7E" w:rsidRDefault="004B1C8B">
            <w:pPr>
              <w:spacing w:after="0" w:line="480" w:lineRule="auto"/>
              <w:jc w:val="both"/>
              <w:rPr>
                <w:rFonts w:cs="Times New Roman"/>
              </w:rPr>
            </w:pPr>
            <w:r>
              <w:rPr>
                <w:rFonts w:cs="Times New Roman"/>
              </w:rPr>
              <w:t>-</w:t>
            </w:r>
          </w:p>
        </w:tc>
        <w:tc>
          <w:tcPr>
            <w:tcW w:w="0" w:type="auto"/>
            <w:tcBorders>
              <w:top w:val="nil"/>
              <w:left w:val="nil"/>
              <w:bottom w:val="nil"/>
              <w:right w:val="nil"/>
            </w:tcBorders>
          </w:tcPr>
          <w:p w14:paraId="577B3F4B"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2E3808EC" w14:textId="77777777" w:rsidR="004C4B7E" w:rsidRDefault="004B1C8B">
            <w:pPr>
              <w:spacing w:after="0" w:line="480" w:lineRule="auto"/>
              <w:jc w:val="both"/>
              <w:rPr>
                <w:rFonts w:cs="Times New Roman"/>
              </w:rPr>
            </w:pPr>
            <w:r>
              <w:rPr>
                <w:rFonts w:cs="Times New Roman"/>
              </w:rPr>
              <w:t>-</w:t>
            </w:r>
          </w:p>
        </w:tc>
      </w:tr>
      <w:tr w:rsidR="004C4B7E" w14:paraId="6D62A78C" w14:textId="77777777">
        <w:tc>
          <w:tcPr>
            <w:tcW w:w="0" w:type="auto"/>
            <w:tcBorders>
              <w:top w:val="nil"/>
              <w:left w:val="nil"/>
              <w:bottom w:val="nil"/>
              <w:right w:val="nil"/>
            </w:tcBorders>
          </w:tcPr>
          <w:p w14:paraId="424A0C80" w14:textId="77777777" w:rsidR="004C4B7E" w:rsidRDefault="004B1C8B">
            <w:pPr>
              <w:spacing w:after="0" w:line="480" w:lineRule="auto"/>
              <w:jc w:val="both"/>
              <w:rPr>
                <w:rFonts w:cs="Times New Roman"/>
              </w:rPr>
            </w:pPr>
            <w:r>
              <w:rPr>
                <w:rFonts w:cs="Times New Roman"/>
              </w:rPr>
              <w:t>40 – 59</w:t>
            </w:r>
          </w:p>
        </w:tc>
        <w:tc>
          <w:tcPr>
            <w:tcW w:w="0" w:type="auto"/>
            <w:tcBorders>
              <w:top w:val="nil"/>
              <w:left w:val="nil"/>
              <w:bottom w:val="nil"/>
              <w:right w:val="nil"/>
            </w:tcBorders>
          </w:tcPr>
          <w:p w14:paraId="2DCE562E" w14:textId="77777777" w:rsidR="004C4B7E" w:rsidRDefault="004B1C8B">
            <w:pPr>
              <w:spacing w:after="0" w:line="480" w:lineRule="auto"/>
              <w:jc w:val="both"/>
              <w:rPr>
                <w:rFonts w:cs="Times New Roman"/>
              </w:rPr>
            </w:pPr>
            <w:r>
              <w:rPr>
                <w:rFonts w:cs="Times New Roman"/>
              </w:rPr>
              <w:t>TC</w:t>
            </w:r>
          </w:p>
        </w:tc>
        <w:tc>
          <w:tcPr>
            <w:tcW w:w="0" w:type="auto"/>
            <w:tcBorders>
              <w:top w:val="nil"/>
              <w:left w:val="nil"/>
              <w:bottom w:val="nil"/>
              <w:right w:val="nil"/>
            </w:tcBorders>
          </w:tcPr>
          <w:p w14:paraId="5FCCE7B8" w14:textId="77777777" w:rsidR="004C4B7E" w:rsidRDefault="004B1C8B">
            <w:pPr>
              <w:spacing w:after="0" w:line="480" w:lineRule="auto"/>
              <w:jc w:val="both"/>
              <w:rPr>
                <w:rFonts w:cs="Times New Roman"/>
              </w:rPr>
            </w:pPr>
            <w:r>
              <w:rPr>
                <w:rFonts w:cs="Times New Roman"/>
              </w:rPr>
              <w:t>4.94 ± 1.24</w:t>
            </w:r>
          </w:p>
        </w:tc>
        <w:tc>
          <w:tcPr>
            <w:tcW w:w="0" w:type="auto"/>
            <w:tcBorders>
              <w:top w:val="nil"/>
              <w:left w:val="nil"/>
              <w:bottom w:val="nil"/>
              <w:right w:val="nil"/>
            </w:tcBorders>
          </w:tcPr>
          <w:p w14:paraId="52E262D9" w14:textId="77777777" w:rsidR="004C4B7E" w:rsidRDefault="004B1C8B">
            <w:pPr>
              <w:spacing w:after="0" w:line="480" w:lineRule="auto"/>
              <w:jc w:val="both"/>
              <w:rPr>
                <w:rFonts w:cs="Times New Roman"/>
              </w:rPr>
            </w:pPr>
            <w:r>
              <w:rPr>
                <w:rFonts w:cs="Times New Roman"/>
              </w:rPr>
              <w:t>41</w:t>
            </w:r>
          </w:p>
        </w:tc>
        <w:tc>
          <w:tcPr>
            <w:tcW w:w="0" w:type="auto"/>
            <w:tcBorders>
              <w:top w:val="nil"/>
              <w:left w:val="nil"/>
              <w:bottom w:val="nil"/>
              <w:right w:val="nil"/>
            </w:tcBorders>
          </w:tcPr>
          <w:p w14:paraId="51F6F2FA" w14:textId="77777777" w:rsidR="004C4B7E" w:rsidRDefault="004B1C8B">
            <w:pPr>
              <w:spacing w:after="0" w:line="480" w:lineRule="auto"/>
              <w:jc w:val="both"/>
              <w:rPr>
                <w:rFonts w:cs="Times New Roman"/>
              </w:rPr>
            </w:pPr>
            <w:r>
              <w:rPr>
                <w:rFonts w:cs="Times New Roman"/>
              </w:rPr>
              <w:t>5.40 ± 1.69</w:t>
            </w:r>
          </w:p>
        </w:tc>
        <w:tc>
          <w:tcPr>
            <w:tcW w:w="0" w:type="auto"/>
            <w:tcBorders>
              <w:top w:val="nil"/>
              <w:left w:val="nil"/>
              <w:bottom w:val="nil"/>
              <w:right w:val="nil"/>
            </w:tcBorders>
          </w:tcPr>
          <w:p w14:paraId="09D439FD" w14:textId="77777777" w:rsidR="004C4B7E" w:rsidRDefault="004B1C8B">
            <w:pPr>
              <w:spacing w:after="0" w:line="480" w:lineRule="auto"/>
              <w:jc w:val="both"/>
              <w:rPr>
                <w:rFonts w:cs="Times New Roman"/>
              </w:rPr>
            </w:pPr>
            <w:r>
              <w:rPr>
                <w:rFonts w:cs="Times New Roman"/>
              </w:rPr>
              <w:t>9</w:t>
            </w:r>
          </w:p>
        </w:tc>
        <w:tc>
          <w:tcPr>
            <w:tcW w:w="0" w:type="auto"/>
            <w:tcBorders>
              <w:top w:val="nil"/>
              <w:left w:val="nil"/>
              <w:bottom w:val="nil"/>
              <w:right w:val="nil"/>
            </w:tcBorders>
          </w:tcPr>
          <w:p w14:paraId="2DC1583B" w14:textId="77777777" w:rsidR="004C4B7E" w:rsidRDefault="004B1C8B">
            <w:pPr>
              <w:spacing w:after="0" w:line="480" w:lineRule="auto"/>
              <w:jc w:val="both"/>
              <w:rPr>
                <w:rFonts w:cs="Times New Roman"/>
              </w:rPr>
            </w:pPr>
            <w:r>
              <w:rPr>
                <w:rFonts w:cs="Times New Roman"/>
              </w:rPr>
              <w:t>0.458</w:t>
            </w:r>
          </w:p>
        </w:tc>
      </w:tr>
      <w:tr w:rsidR="004C4B7E" w14:paraId="5E62A728" w14:textId="77777777">
        <w:tc>
          <w:tcPr>
            <w:tcW w:w="0" w:type="auto"/>
            <w:tcBorders>
              <w:top w:val="nil"/>
              <w:left w:val="nil"/>
              <w:bottom w:val="nil"/>
              <w:right w:val="nil"/>
            </w:tcBorders>
          </w:tcPr>
          <w:p w14:paraId="7CC29713" w14:textId="77777777" w:rsidR="004C4B7E" w:rsidRDefault="004B1C8B">
            <w:pPr>
              <w:spacing w:after="0" w:line="480" w:lineRule="auto"/>
              <w:jc w:val="both"/>
              <w:rPr>
                <w:rFonts w:cs="Times New Roman"/>
              </w:rPr>
            </w:pPr>
            <w:r>
              <w:rPr>
                <w:rFonts w:cs="Times New Roman"/>
              </w:rPr>
              <w:t>(n = 50)</w:t>
            </w:r>
          </w:p>
        </w:tc>
        <w:tc>
          <w:tcPr>
            <w:tcW w:w="0" w:type="auto"/>
            <w:tcBorders>
              <w:top w:val="nil"/>
              <w:left w:val="nil"/>
              <w:bottom w:val="nil"/>
              <w:right w:val="nil"/>
            </w:tcBorders>
          </w:tcPr>
          <w:p w14:paraId="502A9F6C" w14:textId="77777777" w:rsidR="004C4B7E" w:rsidRDefault="004B1C8B">
            <w:pPr>
              <w:spacing w:after="0" w:line="480" w:lineRule="auto"/>
              <w:jc w:val="both"/>
              <w:rPr>
                <w:rFonts w:cs="Times New Roman"/>
              </w:rPr>
            </w:pPr>
            <w:r>
              <w:rPr>
                <w:rFonts w:cs="Times New Roman"/>
              </w:rPr>
              <w:t>TG</w:t>
            </w:r>
          </w:p>
        </w:tc>
        <w:tc>
          <w:tcPr>
            <w:tcW w:w="0" w:type="auto"/>
            <w:tcBorders>
              <w:top w:val="nil"/>
              <w:left w:val="nil"/>
              <w:bottom w:val="nil"/>
              <w:right w:val="nil"/>
            </w:tcBorders>
          </w:tcPr>
          <w:p w14:paraId="0E32E541" w14:textId="77777777" w:rsidR="004C4B7E" w:rsidRDefault="004B1C8B">
            <w:pPr>
              <w:spacing w:after="0" w:line="480" w:lineRule="auto"/>
              <w:jc w:val="both"/>
              <w:rPr>
                <w:rFonts w:cs="Times New Roman"/>
              </w:rPr>
            </w:pPr>
            <w:r>
              <w:rPr>
                <w:rFonts w:cs="Times New Roman"/>
              </w:rPr>
              <w:t>1.20 ± 0.49</w:t>
            </w:r>
          </w:p>
        </w:tc>
        <w:tc>
          <w:tcPr>
            <w:tcW w:w="0" w:type="auto"/>
            <w:tcBorders>
              <w:top w:val="nil"/>
              <w:left w:val="nil"/>
              <w:bottom w:val="nil"/>
              <w:right w:val="nil"/>
            </w:tcBorders>
          </w:tcPr>
          <w:p w14:paraId="51919B1F"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59F8CA0E" w14:textId="77777777" w:rsidR="004C4B7E" w:rsidRDefault="004B1C8B">
            <w:pPr>
              <w:spacing w:after="0" w:line="480" w:lineRule="auto"/>
              <w:jc w:val="both"/>
              <w:rPr>
                <w:rFonts w:cs="Times New Roman"/>
              </w:rPr>
            </w:pPr>
            <w:r>
              <w:rPr>
                <w:rFonts w:cs="Times New Roman"/>
              </w:rPr>
              <w:t>1.09 ± 0.46</w:t>
            </w:r>
          </w:p>
        </w:tc>
        <w:tc>
          <w:tcPr>
            <w:tcW w:w="0" w:type="auto"/>
            <w:tcBorders>
              <w:top w:val="nil"/>
              <w:left w:val="nil"/>
              <w:bottom w:val="nil"/>
              <w:right w:val="nil"/>
            </w:tcBorders>
          </w:tcPr>
          <w:p w14:paraId="386C541A"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2EE33B32" w14:textId="77777777" w:rsidR="004C4B7E" w:rsidRDefault="004B1C8B">
            <w:pPr>
              <w:spacing w:after="0" w:line="480" w:lineRule="auto"/>
              <w:jc w:val="both"/>
              <w:rPr>
                <w:rFonts w:cs="Times New Roman"/>
              </w:rPr>
            </w:pPr>
            <w:r>
              <w:rPr>
                <w:rFonts w:cs="Times New Roman"/>
              </w:rPr>
              <w:t>0.541</w:t>
            </w:r>
          </w:p>
        </w:tc>
      </w:tr>
      <w:tr w:rsidR="004C4B7E" w14:paraId="04CAE476" w14:textId="77777777">
        <w:tc>
          <w:tcPr>
            <w:tcW w:w="0" w:type="auto"/>
            <w:tcBorders>
              <w:top w:val="nil"/>
              <w:left w:val="nil"/>
              <w:bottom w:val="nil"/>
              <w:right w:val="nil"/>
            </w:tcBorders>
          </w:tcPr>
          <w:p w14:paraId="09B39A01"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4A27BE20" w14:textId="77777777" w:rsidR="004C4B7E" w:rsidRDefault="004B1C8B">
            <w:pPr>
              <w:spacing w:after="0" w:line="480" w:lineRule="auto"/>
              <w:jc w:val="both"/>
              <w:rPr>
                <w:rFonts w:cs="Times New Roman"/>
              </w:rPr>
            </w:pPr>
            <w:r>
              <w:rPr>
                <w:rFonts w:cs="Times New Roman"/>
              </w:rPr>
              <w:t>LDL</w:t>
            </w:r>
          </w:p>
        </w:tc>
        <w:tc>
          <w:tcPr>
            <w:tcW w:w="0" w:type="auto"/>
            <w:tcBorders>
              <w:top w:val="nil"/>
              <w:left w:val="nil"/>
              <w:bottom w:val="nil"/>
              <w:right w:val="nil"/>
            </w:tcBorders>
          </w:tcPr>
          <w:p w14:paraId="71B5C071" w14:textId="77777777" w:rsidR="004C4B7E" w:rsidRDefault="004B1C8B">
            <w:pPr>
              <w:spacing w:after="0" w:line="480" w:lineRule="auto"/>
              <w:jc w:val="both"/>
              <w:rPr>
                <w:rFonts w:cs="Times New Roman"/>
              </w:rPr>
            </w:pPr>
            <w:r>
              <w:rPr>
                <w:rFonts w:cs="Times New Roman"/>
              </w:rPr>
              <w:t>3.15 ± 1.15</w:t>
            </w:r>
          </w:p>
        </w:tc>
        <w:tc>
          <w:tcPr>
            <w:tcW w:w="0" w:type="auto"/>
            <w:tcBorders>
              <w:top w:val="nil"/>
              <w:left w:val="nil"/>
              <w:bottom w:val="nil"/>
              <w:right w:val="nil"/>
            </w:tcBorders>
          </w:tcPr>
          <w:p w14:paraId="64A4A1B0"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1ADBD9D8" w14:textId="77777777" w:rsidR="004C4B7E" w:rsidRDefault="004B1C8B">
            <w:pPr>
              <w:spacing w:after="0" w:line="480" w:lineRule="auto"/>
              <w:jc w:val="both"/>
              <w:rPr>
                <w:rFonts w:cs="Times New Roman"/>
              </w:rPr>
            </w:pPr>
            <w:r>
              <w:rPr>
                <w:rFonts w:cs="Times New Roman"/>
              </w:rPr>
              <w:t>3.58 ± 1.16</w:t>
            </w:r>
          </w:p>
        </w:tc>
        <w:tc>
          <w:tcPr>
            <w:tcW w:w="0" w:type="auto"/>
            <w:tcBorders>
              <w:top w:val="nil"/>
              <w:left w:val="nil"/>
              <w:bottom w:val="nil"/>
              <w:right w:val="nil"/>
            </w:tcBorders>
          </w:tcPr>
          <w:p w14:paraId="7F410570"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7C7A8EF2" w14:textId="77777777" w:rsidR="004C4B7E" w:rsidRDefault="004B1C8B">
            <w:pPr>
              <w:spacing w:after="0" w:line="480" w:lineRule="auto"/>
              <w:jc w:val="both"/>
              <w:rPr>
                <w:rFonts w:cs="Times New Roman"/>
              </w:rPr>
            </w:pPr>
            <w:r>
              <w:rPr>
                <w:rFonts w:cs="Times New Roman"/>
              </w:rPr>
              <w:t>0.335</w:t>
            </w:r>
          </w:p>
        </w:tc>
      </w:tr>
      <w:tr w:rsidR="004C4B7E" w14:paraId="7D38CE50" w14:textId="77777777">
        <w:tc>
          <w:tcPr>
            <w:tcW w:w="0" w:type="auto"/>
            <w:tcBorders>
              <w:top w:val="nil"/>
              <w:left w:val="nil"/>
              <w:bottom w:val="nil"/>
              <w:right w:val="nil"/>
            </w:tcBorders>
          </w:tcPr>
          <w:p w14:paraId="76AB30CC"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207BE937" w14:textId="77777777" w:rsidR="004C4B7E" w:rsidRDefault="004B1C8B">
            <w:pPr>
              <w:spacing w:after="0" w:line="480" w:lineRule="auto"/>
              <w:jc w:val="both"/>
              <w:rPr>
                <w:rFonts w:cs="Times New Roman"/>
              </w:rPr>
            </w:pPr>
            <w:r>
              <w:rPr>
                <w:rFonts w:cs="Times New Roman"/>
              </w:rPr>
              <w:t>HDL</w:t>
            </w:r>
          </w:p>
        </w:tc>
        <w:tc>
          <w:tcPr>
            <w:tcW w:w="0" w:type="auto"/>
            <w:tcBorders>
              <w:top w:val="nil"/>
              <w:left w:val="nil"/>
              <w:bottom w:val="nil"/>
              <w:right w:val="nil"/>
            </w:tcBorders>
          </w:tcPr>
          <w:p w14:paraId="4CAE940F" w14:textId="77777777" w:rsidR="004C4B7E" w:rsidRDefault="004B1C8B">
            <w:pPr>
              <w:spacing w:after="0" w:line="480" w:lineRule="auto"/>
              <w:jc w:val="both"/>
              <w:rPr>
                <w:rFonts w:cs="Times New Roman"/>
              </w:rPr>
            </w:pPr>
            <w:r>
              <w:rPr>
                <w:rFonts w:cs="Times New Roman"/>
              </w:rPr>
              <w:t>1.34 ± 0.43</w:t>
            </w:r>
          </w:p>
        </w:tc>
        <w:tc>
          <w:tcPr>
            <w:tcW w:w="0" w:type="auto"/>
            <w:tcBorders>
              <w:top w:val="nil"/>
              <w:left w:val="nil"/>
              <w:bottom w:val="nil"/>
              <w:right w:val="nil"/>
            </w:tcBorders>
          </w:tcPr>
          <w:p w14:paraId="6072DC50"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317AD33D" w14:textId="77777777" w:rsidR="004C4B7E" w:rsidRDefault="004B1C8B">
            <w:pPr>
              <w:spacing w:after="0" w:line="480" w:lineRule="auto"/>
              <w:jc w:val="both"/>
              <w:rPr>
                <w:rFonts w:cs="Times New Roman"/>
              </w:rPr>
            </w:pPr>
            <w:r>
              <w:rPr>
                <w:rFonts w:cs="Times New Roman"/>
              </w:rPr>
              <w:t>1.59 ± 0.53</w:t>
            </w:r>
          </w:p>
        </w:tc>
        <w:tc>
          <w:tcPr>
            <w:tcW w:w="0" w:type="auto"/>
            <w:tcBorders>
              <w:top w:val="nil"/>
              <w:left w:val="nil"/>
              <w:bottom w:val="nil"/>
              <w:right w:val="nil"/>
            </w:tcBorders>
          </w:tcPr>
          <w:p w14:paraId="50068D65"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266B4B69" w14:textId="77777777" w:rsidR="004C4B7E" w:rsidRDefault="004B1C8B">
            <w:pPr>
              <w:spacing w:after="0" w:line="480" w:lineRule="auto"/>
              <w:jc w:val="both"/>
              <w:rPr>
                <w:rFonts w:cs="Times New Roman"/>
              </w:rPr>
            </w:pPr>
            <w:r>
              <w:rPr>
                <w:rFonts w:cs="Times New Roman"/>
              </w:rPr>
              <w:t>0.206</w:t>
            </w:r>
          </w:p>
        </w:tc>
      </w:tr>
      <w:tr w:rsidR="004C4B7E" w14:paraId="34E2330F" w14:textId="77777777">
        <w:tc>
          <w:tcPr>
            <w:tcW w:w="0" w:type="auto"/>
            <w:tcBorders>
              <w:top w:val="nil"/>
              <w:left w:val="nil"/>
              <w:bottom w:val="nil"/>
              <w:right w:val="nil"/>
            </w:tcBorders>
          </w:tcPr>
          <w:p w14:paraId="074FC4BC" w14:textId="77777777" w:rsidR="004C4B7E" w:rsidRDefault="004B1C8B">
            <w:pPr>
              <w:spacing w:after="0" w:line="480" w:lineRule="auto"/>
              <w:jc w:val="both"/>
              <w:rPr>
                <w:rFonts w:cs="Times New Roman"/>
              </w:rPr>
            </w:pPr>
            <w:r>
              <w:rPr>
                <w:rFonts w:cs="Times New Roman"/>
              </w:rPr>
              <w:t>60+</w:t>
            </w:r>
          </w:p>
        </w:tc>
        <w:tc>
          <w:tcPr>
            <w:tcW w:w="0" w:type="auto"/>
            <w:tcBorders>
              <w:top w:val="nil"/>
              <w:left w:val="nil"/>
              <w:bottom w:val="nil"/>
              <w:right w:val="nil"/>
            </w:tcBorders>
          </w:tcPr>
          <w:p w14:paraId="1A3B028B" w14:textId="77777777" w:rsidR="004C4B7E" w:rsidRDefault="004B1C8B">
            <w:pPr>
              <w:spacing w:after="0" w:line="480" w:lineRule="auto"/>
              <w:jc w:val="both"/>
              <w:rPr>
                <w:rFonts w:cs="Times New Roman"/>
              </w:rPr>
            </w:pPr>
            <w:r>
              <w:rPr>
                <w:rFonts w:cs="Times New Roman"/>
              </w:rPr>
              <w:t>TC</w:t>
            </w:r>
          </w:p>
        </w:tc>
        <w:tc>
          <w:tcPr>
            <w:tcW w:w="0" w:type="auto"/>
            <w:tcBorders>
              <w:top w:val="nil"/>
              <w:left w:val="nil"/>
              <w:bottom w:val="nil"/>
              <w:right w:val="nil"/>
            </w:tcBorders>
          </w:tcPr>
          <w:p w14:paraId="64DD4258" w14:textId="77777777" w:rsidR="004C4B7E" w:rsidRDefault="004B1C8B">
            <w:pPr>
              <w:spacing w:after="0" w:line="480" w:lineRule="auto"/>
              <w:jc w:val="both"/>
              <w:rPr>
                <w:rFonts w:cs="Times New Roman"/>
              </w:rPr>
            </w:pPr>
            <w:r>
              <w:rPr>
                <w:rFonts w:cs="Times New Roman"/>
              </w:rPr>
              <w:t>4.99 ± 1.24</w:t>
            </w:r>
          </w:p>
        </w:tc>
        <w:tc>
          <w:tcPr>
            <w:tcW w:w="0" w:type="auto"/>
            <w:tcBorders>
              <w:top w:val="nil"/>
              <w:left w:val="nil"/>
              <w:bottom w:val="nil"/>
              <w:right w:val="nil"/>
            </w:tcBorders>
          </w:tcPr>
          <w:p w14:paraId="17471E7C" w14:textId="77777777" w:rsidR="004C4B7E" w:rsidRDefault="004B1C8B">
            <w:pPr>
              <w:spacing w:after="0" w:line="480" w:lineRule="auto"/>
              <w:jc w:val="both"/>
              <w:rPr>
                <w:rFonts w:cs="Times New Roman"/>
              </w:rPr>
            </w:pPr>
            <w:r>
              <w:rPr>
                <w:rFonts w:cs="Times New Roman"/>
              </w:rPr>
              <w:t>19</w:t>
            </w:r>
          </w:p>
        </w:tc>
        <w:tc>
          <w:tcPr>
            <w:tcW w:w="0" w:type="auto"/>
            <w:tcBorders>
              <w:top w:val="nil"/>
              <w:left w:val="nil"/>
              <w:bottom w:val="nil"/>
              <w:right w:val="nil"/>
            </w:tcBorders>
          </w:tcPr>
          <w:p w14:paraId="1E693FD5" w14:textId="77777777" w:rsidR="004C4B7E" w:rsidRDefault="004B1C8B">
            <w:pPr>
              <w:spacing w:after="0" w:line="480" w:lineRule="auto"/>
              <w:jc w:val="both"/>
              <w:rPr>
                <w:rFonts w:cs="Times New Roman"/>
              </w:rPr>
            </w:pPr>
            <w:r>
              <w:rPr>
                <w:rFonts w:cs="Times New Roman"/>
              </w:rPr>
              <w:t>4.96 ± 1.58</w:t>
            </w:r>
          </w:p>
        </w:tc>
        <w:tc>
          <w:tcPr>
            <w:tcW w:w="0" w:type="auto"/>
            <w:tcBorders>
              <w:top w:val="nil"/>
              <w:left w:val="nil"/>
              <w:bottom w:val="nil"/>
              <w:right w:val="nil"/>
            </w:tcBorders>
          </w:tcPr>
          <w:p w14:paraId="46C29E7A" w14:textId="77777777" w:rsidR="004C4B7E" w:rsidRDefault="004B1C8B">
            <w:pPr>
              <w:spacing w:after="0" w:line="480" w:lineRule="auto"/>
              <w:jc w:val="both"/>
              <w:rPr>
                <w:rFonts w:cs="Times New Roman"/>
              </w:rPr>
            </w:pPr>
            <w:r>
              <w:rPr>
                <w:rFonts w:cs="Times New Roman"/>
              </w:rPr>
              <w:t xml:space="preserve">              31</w:t>
            </w:r>
          </w:p>
        </w:tc>
        <w:tc>
          <w:tcPr>
            <w:tcW w:w="0" w:type="auto"/>
            <w:tcBorders>
              <w:top w:val="nil"/>
              <w:left w:val="nil"/>
              <w:bottom w:val="nil"/>
              <w:right w:val="nil"/>
            </w:tcBorders>
          </w:tcPr>
          <w:p w14:paraId="33468ED4" w14:textId="77777777" w:rsidR="004C4B7E" w:rsidRDefault="004B1C8B">
            <w:pPr>
              <w:spacing w:after="0" w:line="480" w:lineRule="auto"/>
              <w:jc w:val="both"/>
              <w:rPr>
                <w:rFonts w:cs="Times New Roman"/>
              </w:rPr>
            </w:pPr>
            <w:r>
              <w:rPr>
                <w:rFonts w:cs="Times New Roman"/>
              </w:rPr>
              <w:t>0.945</w:t>
            </w:r>
          </w:p>
        </w:tc>
      </w:tr>
      <w:tr w:rsidR="004C4B7E" w14:paraId="29543F02" w14:textId="77777777">
        <w:tc>
          <w:tcPr>
            <w:tcW w:w="0" w:type="auto"/>
            <w:tcBorders>
              <w:top w:val="nil"/>
              <w:left w:val="nil"/>
              <w:bottom w:val="nil"/>
              <w:right w:val="nil"/>
            </w:tcBorders>
          </w:tcPr>
          <w:p w14:paraId="64CD8A55" w14:textId="77777777" w:rsidR="004C4B7E" w:rsidRDefault="004B1C8B">
            <w:pPr>
              <w:spacing w:after="0" w:line="480" w:lineRule="auto"/>
              <w:jc w:val="both"/>
              <w:rPr>
                <w:rFonts w:cs="Times New Roman"/>
              </w:rPr>
            </w:pPr>
            <w:r>
              <w:rPr>
                <w:rFonts w:cs="Times New Roman"/>
              </w:rPr>
              <w:t>(n = 50)</w:t>
            </w:r>
          </w:p>
        </w:tc>
        <w:tc>
          <w:tcPr>
            <w:tcW w:w="0" w:type="auto"/>
            <w:tcBorders>
              <w:top w:val="nil"/>
              <w:left w:val="nil"/>
              <w:bottom w:val="nil"/>
              <w:right w:val="nil"/>
            </w:tcBorders>
          </w:tcPr>
          <w:p w14:paraId="3C40CE73" w14:textId="77777777" w:rsidR="004C4B7E" w:rsidRDefault="004B1C8B">
            <w:pPr>
              <w:spacing w:after="0" w:line="480" w:lineRule="auto"/>
              <w:jc w:val="both"/>
              <w:rPr>
                <w:rFonts w:cs="Times New Roman"/>
              </w:rPr>
            </w:pPr>
            <w:r>
              <w:rPr>
                <w:rFonts w:cs="Times New Roman"/>
              </w:rPr>
              <w:t>TG</w:t>
            </w:r>
          </w:p>
        </w:tc>
        <w:tc>
          <w:tcPr>
            <w:tcW w:w="0" w:type="auto"/>
            <w:tcBorders>
              <w:top w:val="nil"/>
              <w:left w:val="nil"/>
              <w:bottom w:val="nil"/>
              <w:right w:val="nil"/>
            </w:tcBorders>
          </w:tcPr>
          <w:p w14:paraId="1D3CD703" w14:textId="77777777" w:rsidR="004C4B7E" w:rsidRDefault="004B1C8B">
            <w:pPr>
              <w:spacing w:after="0" w:line="480" w:lineRule="auto"/>
              <w:jc w:val="both"/>
              <w:rPr>
                <w:rFonts w:cs="Times New Roman"/>
              </w:rPr>
            </w:pPr>
            <w:r>
              <w:rPr>
                <w:rFonts w:cs="Times New Roman"/>
              </w:rPr>
              <w:t>1.33 ± 0.41</w:t>
            </w:r>
          </w:p>
        </w:tc>
        <w:tc>
          <w:tcPr>
            <w:tcW w:w="0" w:type="auto"/>
            <w:tcBorders>
              <w:top w:val="nil"/>
              <w:left w:val="nil"/>
              <w:bottom w:val="nil"/>
              <w:right w:val="nil"/>
            </w:tcBorders>
          </w:tcPr>
          <w:p w14:paraId="421161A3"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2FDB71FF" w14:textId="77777777" w:rsidR="004C4B7E" w:rsidRDefault="004B1C8B">
            <w:pPr>
              <w:spacing w:after="0" w:line="480" w:lineRule="auto"/>
              <w:jc w:val="both"/>
              <w:rPr>
                <w:rFonts w:cs="Times New Roman"/>
              </w:rPr>
            </w:pPr>
            <w:r>
              <w:rPr>
                <w:rFonts w:cs="Times New Roman"/>
              </w:rPr>
              <w:t>1.04 ± 0.34</w:t>
            </w:r>
          </w:p>
        </w:tc>
        <w:tc>
          <w:tcPr>
            <w:tcW w:w="0" w:type="auto"/>
            <w:tcBorders>
              <w:top w:val="nil"/>
              <w:left w:val="nil"/>
              <w:bottom w:val="nil"/>
              <w:right w:val="nil"/>
            </w:tcBorders>
          </w:tcPr>
          <w:p w14:paraId="10B11DEE"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75D5E237" w14:textId="77777777" w:rsidR="004C4B7E" w:rsidRDefault="004B1C8B">
            <w:pPr>
              <w:spacing w:after="0" w:line="480" w:lineRule="auto"/>
              <w:jc w:val="both"/>
              <w:rPr>
                <w:rFonts w:cs="Times New Roman"/>
              </w:rPr>
            </w:pPr>
            <w:r>
              <w:rPr>
                <w:rFonts w:cs="Times New Roman"/>
              </w:rPr>
              <w:t>0.012</w:t>
            </w:r>
          </w:p>
        </w:tc>
      </w:tr>
      <w:tr w:rsidR="004C4B7E" w14:paraId="40FCB294" w14:textId="77777777">
        <w:tc>
          <w:tcPr>
            <w:tcW w:w="0" w:type="auto"/>
            <w:tcBorders>
              <w:top w:val="nil"/>
              <w:left w:val="nil"/>
              <w:bottom w:val="nil"/>
              <w:right w:val="nil"/>
            </w:tcBorders>
          </w:tcPr>
          <w:p w14:paraId="20020047"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07D16163" w14:textId="77777777" w:rsidR="004C4B7E" w:rsidRDefault="004B1C8B">
            <w:pPr>
              <w:spacing w:after="0" w:line="480" w:lineRule="auto"/>
              <w:jc w:val="both"/>
              <w:rPr>
                <w:rFonts w:cs="Times New Roman"/>
              </w:rPr>
            </w:pPr>
            <w:r>
              <w:rPr>
                <w:rFonts w:cs="Times New Roman"/>
              </w:rPr>
              <w:t>LDL</w:t>
            </w:r>
          </w:p>
        </w:tc>
        <w:tc>
          <w:tcPr>
            <w:tcW w:w="0" w:type="auto"/>
            <w:tcBorders>
              <w:top w:val="nil"/>
              <w:left w:val="nil"/>
              <w:bottom w:val="nil"/>
              <w:right w:val="nil"/>
            </w:tcBorders>
          </w:tcPr>
          <w:p w14:paraId="0691D248" w14:textId="77777777" w:rsidR="004C4B7E" w:rsidRDefault="004B1C8B">
            <w:pPr>
              <w:spacing w:after="0" w:line="480" w:lineRule="auto"/>
              <w:jc w:val="both"/>
              <w:rPr>
                <w:rFonts w:cs="Times New Roman"/>
              </w:rPr>
            </w:pPr>
            <w:r>
              <w:rPr>
                <w:rFonts w:cs="Times New Roman"/>
              </w:rPr>
              <w:t>3.05 ± 0.85</w:t>
            </w:r>
          </w:p>
        </w:tc>
        <w:tc>
          <w:tcPr>
            <w:tcW w:w="0" w:type="auto"/>
            <w:tcBorders>
              <w:top w:val="nil"/>
              <w:left w:val="nil"/>
              <w:bottom w:val="nil"/>
              <w:right w:val="nil"/>
            </w:tcBorders>
          </w:tcPr>
          <w:p w14:paraId="233CDA4B"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708F2352" w14:textId="77777777" w:rsidR="004C4B7E" w:rsidRDefault="004B1C8B">
            <w:pPr>
              <w:spacing w:after="0" w:line="480" w:lineRule="auto"/>
              <w:jc w:val="both"/>
              <w:rPr>
                <w:rFonts w:cs="Times New Roman"/>
              </w:rPr>
            </w:pPr>
            <w:r>
              <w:rPr>
                <w:rFonts w:cs="Times New Roman"/>
              </w:rPr>
              <w:t>3.39 ± 1.27</w:t>
            </w:r>
          </w:p>
        </w:tc>
        <w:tc>
          <w:tcPr>
            <w:tcW w:w="0" w:type="auto"/>
            <w:tcBorders>
              <w:top w:val="nil"/>
              <w:left w:val="nil"/>
              <w:bottom w:val="nil"/>
              <w:right w:val="nil"/>
            </w:tcBorders>
          </w:tcPr>
          <w:p w14:paraId="3E4AE3D8"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5A13B467" w14:textId="77777777" w:rsidR="004C4B7E" w:rsidRDefault="004B1C8B">
            <w:pPr>
              <w:spacing w:after="0" w:line="480" w:lineRule="auto"/>
              <w:jc w:val="both"/>
              <w:rPr>
                <w:rFonts w:cs="Times New Roman"/>
              </w:rPr>
            </w:pPr>
            <w:r>
              <w:rPr>
                <w:rFonts w:cs="Times New Roman"/>
              </w:rPr>
              <w:t>0.267</w:t>
            </w:r>
          </w:p>
        </w:tc>
      </w:tr>
      <w:tr w:rsidR="004C4B7E" w14:paraId="7AD92693" w14:textId="77777777">
        <w:tc>
          <w:tcPr>
            <w:tcW w:w="0" w:type="auto"/>
            <w:tcBorders>
              <w:top w:val="nil"/>
              <w:left w:val="nil"/>
              <w:bottom w:val="single" w:sz="4" w:space="0" w:color="auto"/>
              <w:right w:val="nil"/>
            </w:tcBorders>
          </w:tcPr>
          <w:p w14:paraId="395BA578" w14:textId="77777777" w:rsidR="004C4B7E" w:rsidRDefault="004C4B7E">
            <w:pPr>
              <w:spacing w:after="0" w:line="480" w:lineRule="auto"/>
              <w:jc w:val="both"/>
              <w:rPr>
                <w:rFonts w:cs="Times New Roman"/>
              </w:rPr>
            </w:pPr>
          </w:p>
        </w:tc>
        <w:tc>
          <w:tcPr>
            <w:tcW w:w="0" w:type="auto"/>
            <w:tcBorders>
              <w:top w:val="nil"/>
              <w:left w:val="nil"/>
              <w:bottom w:val="single" w:sz="4" w:space="0" w:color="auto"/>
              <w:right w:val="nil"/>
            </w:tcBorders>
          </w:tcPr>
          <w:p w14:paraId="0BE7ADEF" w14:textId="77777777" w:rsidR="004C4B7E" w:rsidRDefault="004B1C8B">
            <w:pPr>
              <w:spacing w:after="0" w:line="480" w:lineRule="auto"/>
              <w:jc w:val="both"/>
              <w:rPr>
                <w:rFonts w:cs="Times New Roman"/>
              </w:rPr>
            </w:pPr>
            <w:r>
              <w:rPr>
                <w:rFonts w:cs="Times New Roman"/>
              </w:rPr>
              <w:t>HDL</w:t>
            </w:r>
          </w:p>
        </w:tc>
        <w:tc>
          <w:tcPr>
            <w:tcW w:w="0" w:type="auto"/>
            <w:tcBorders>
              <w:top w:val="nil"/>
              <w:left w:val="nil"/>
              <w:bottom w:val="single" w:sz="4" w:space="0" w:color="auto"/>
              <w:right w:val="nil"/>
            </w:tcBorders>
          </w:tcPr>
          <w:p w14:paraId="52086C49" w14:textId="77777777" w:rsidR="004C4B7E" w:rsidRDefault="004B1C8B">
            <w:pPr>
              <w:spacing w:after="0" w:line="480" w:lineRule="auto"/>
              <w:jc w:val="both"/>
              <w:rPr>
                <w:rFonts w:cs="Times New Roman"/>
              </w:rPr>
            </w:pPr>
            <w:r>
              <w:rPr>
                <w:rFonts w:cs="Times New Roman"/>
              </w:rPr>
              <w:t>1.34 ± 0.46</w:t>
            </w:r>
          </w:p>
        </w:tc>
        <w:tc>
          <w:tcPr>
            <w:tcW w:w="0" w:type="auto"/>
            <w:tcBorders>
              <w:top w:val="nil"/>
              <w:left w:val="nil"/>
              <w:bottom w:val="single" w:sz="4" w:space="0" w:color="auto"/>
              <w:right w:val="nil"/>
            </w:tcBorders>
          </w:tcPr>
          <w:p w14:paraId="282F0AC8" w14:textId="77777777" w:rsidR="004C4B7E" w:rsidRDefault="004C4B7E">
            <w:pPr>
              <w:spacing w:after="0" w:line="480" w:lineRule="auto"/>
              <w:jc w:val="both"/>
              <w:rPr>
                <w:rFonts w:cs="Times New Roman"/>
              </w:rPr>
            </w:pPr>
          </w:p>
        </w:tc>
        <w:tc>
          <w:tcPr>
            <w:tcW w:w="0" w:type="auto"/>
            <w:tcBorders>
              <w:top w:val="nil"/>
              <w:left w:val="nil"/>
              <w:bottom w:val="single" w:sz="4" w:space="0" w:color="auto"/>
              <w:right w:val="nil"/>
            </w:tcBorders>
          </w:tcPr>
          <w:p w14:paraId="2FBD6177" w14:textId="77777777" w:rsidR="004C4B7E" w:rsidRDefault="004B1C8B">
            <w:pPr>
              <w:spacing w:after="0" w:line="480" w:lineRule="auto"/>
              <w:jc w:val="both"/>
              <w:rPr>
                <w:rFonts w:cs="Times New Roman"/>
              </w:rPr>
            </w:pPr>
            <w:r>
              <w:rPr>
                <w:rFonts w:cs="Times New Roman"/>
              </w:rPr>
              <w:t>1.28 ± 0.39</w:t>
            </w:r>
          </w:p>
        </w:tc>
        <w:tc>
          <w:tcPr>
            <w:tcW w:w="0" w:type="auto"/>
            <w:tcBorders>
              <w:top w:val="nil"/>
              <w:left w:val="nil"/>
              <w:bottom w:val="single" w:sz="4" w:space="0" w:color="auto"/>
              <w:right w:val="nil"/>
            </w:tcBorders>
          </w:tcPr>
          <w:p w14:paraId="0F50DEA9" w14:textId="77777777" w:rsidR="004C4B7E" w:rsidRDefault="004C4B7E">
            <w:pPr>
              <w:spacing w:after="0" w:line="480" w:lineRule="auto"/>
              <w:jc w:val="both"/>
              <w:rPr>
                <w:rFonts w:cs="Times New Roman"/>
              </w:rPr>
            </w:pPr>
          </w:p>
        </w:tc>
        <w:tc>
          <w:tcPr>
            <w:tcW w:w="0" w:type="auto"/>
            <w:tcBorders>
              <w:top w:val="nil"/>
              <w:left w:val="nil"/>
              <w:bottom w:val="single" w:sz="4" w:space="0" w:color="auto"/>
              <w:right w:val="nil"/>
            </w:tcBorders>
          </w:tcPr>
          <w:p w14:paraId="2C7AB75D" w14:textId="77777777" w:rsidR="004C4B7E" w:rsidRDefault="004B1C8B">
            <w:pPr>
              <w:spacing w:after="0" w:line="480" w:lineRule="auto"/>
              <w:jc w:val="both"/>
              <w:rPr>
                <w:rFonts w:cs="Times New Roman"/>
              </w:rPr>
            </w:pPr>
            <w:r>
              <w:rPr>
                <w:rFonts w:cs="Times New Roman"/>
              </w:rPr>
              <w:t>0.662</w:t>
            </w:r>
          </w:p>
        </w:tc>
      </w:tr>
    </w:tbl>
    <w:p w14:paraId="77A9D3A7" w14:textId="77777777" w:rsidR="004C4B7E" w:rsidRDefault="004C4B7E">
      <w:pPr>
        <w:spacing w:line="480" w:lineRule="auto"/>
        <w:jc w:val="both"/>
        <w:rPr>
          <w:rFonts w:cs="Times New Roman"/>
          <w:kern w:val="2"/>
        </w:rPr>
      </w:pPr>
    </w:p>
    <w:p w14:paraId="4929B06B" w14:textId="77777777" w:rsidR="004C4B7E" w:rsidRDefault="004C4B7E"/>
    <w:p w14:paraId="5F61D15C" w14:textId="77777777" w:rsidR="004C4B7E" w:rsidRDefault="004C4B7E"/>
    <w:p w14:paraId="46A9A41E" w14:textId="77777777" w:rsidR="004C4B7E" w:rsidRDefault="004C4B7E"/>
    <w:p w14:paraId="7509E9BD" w14:textId="77777777" w:rsidR="004C4B7E" w:rsidRDefault="004C4B7E"/>
    <w:p w14:paraId="1858E582" w14:textId="77777777" w:rsidR="004C4B7E" w:rsidRDefault="004C4B7E"/>
    <w:p w14:paraId="25696ACB" w14:textId="77777777" w:rsidR="004C4B7E" w:rsidRDefault="00192F82">
      <w:pPr>
        <w:jc w:val="both"/>
        <w:rPr>
          <w:rFonts w:ascii="Times New Roman Bold" w:hAnsi="Times New Roman Bold" w:cs="Times New Roman Bold"/>
          <w:b/>
          <w:bCs/>
        </w:rPr>
      </w:pPr>
      <w:r>
        <w:rPr>
          <w:rFonts w:ascii="Times New Roman Bold" w:hAnsi="Times New Roman Bold" w:cs="Times New Roman Bold"/>
          <w:b/>
          <w:bCs/>
        </w:rPr>
        <w:t>3</w:t>
      </w:r>
      <w:r w:rsidR="004B1C8B">
        <w:rPr>
          <w:rFonts w:ascii="Times New Roman Bold" w:hAnsi="Times New Roman Bold" w:cs="Times New Roman Bold"/>
          <w:b/>
          <w:bCs/>
        </w:rPr>
        <w:t>.3 Atherogenic Indices (CRI-I, CRI-II, AIP, and AC) Among Study Participants</w:t>
      </w:r>
    </w:p>
    <w:p w14:paraId="5832BAEC" w14:textId="28E57D0A" w:rsidR="004C4B7E" w:rsidRDefault="004B1C8B">
      <w:pPr>
        <w:jc w:val="both"/>
      </w:pPr>
      <w:r>
        <w:t xml:space="preserve"> The result of the analysis of atherogenic indices</w:t>
      </w:r>
      <w:r w:rsidR="00192F82">
        <w:t xml:space="preserve"> in the study </w:t>
      </w:r>
      <w:proofErr w:type="gramStart"/>
      <w:r w:rsidR="00192F82">
        <w:t>population(</w:t>
      </w:r>
      <w:proofErr w:type="gramEnd"/>
      <w:r w:rsidR="00192F82">
        <w:t>Table</w:t>
      </w:r>
      <w:r>
        <w:t>.3) shows the distribution of atherogenic indices—Castelli Risk Index I(CRI-I), Castelli Risk Index II(CRI-II), Atherogenic Index of Plasma(AIP), and Atherogenic Coefficient(AC)—among participants categorized by age group.</w:t>
      </w:r>
    </w:p>
    <w:p w14:paraId="2D39CD06" w14:textId="77777777" w:rsidR="004C4B7E" w:rsidRDefault="004B1C8B">
      <w:pPr>
        <w:jc w:val="both"/>
      </w:pPr>
      <w:r>
        <w:t xml:space="preserve">Among participants aged 18–39, the mean CRI-I was 4.13 ± 1.28, while CRI-II was 2.40 ± 0.86, both of which fall within the moderate cardiovascular risk range. The AIP </w:t>
      </w:r>
      <w:r>
        <w:lastRenderedPageBreak/>
        <w:t>showed a mean of -0.04 ± 0.21(median: -0.04, IQR: -0.14–0.06), suggesting a low atherogenic risk. The AC averaged 3.13 ± 1.28, also indicating a moderate risk level.</w:t>
      </w:r>
    </w:p>
    <w:p w14:paraId="1D7B1821" w14:textId="77777777" w:rsidR="004C4B7E" w:rsidRDefault="004B1C8B">
      <w:pPr>
        <w:jc w:val="both"/>
      </w:pPr>
      <w:r>
        <w:t>In the 40–59 age group, CRI-I slightly decreased to 3.84 ± 1.29, and CRI-II slightly increased to 2.52 ± 1.12. AIP decreased to -0.08 ± 0.23(median: -0.08, IQR: -0.21–0.05), remaining within the low-risk range. Similarly, the AC declined to 2.80 ± 1.29, showing a marginal reduction in lipid-related cardiovascular risk compared to the younger age group.</w:t>
      </w:r>
    </w:p>
    <w:p w14:paraId="16595F44" w14:textId="77777777" w:rsidR="004C4B7E" w:rsidRDefault="004B1C8B">
      <w:pPr>
        <w:jc w:val="both"/>
      </w:pPr>
      <w:r>
        <w:t>Participants aged 60 and older exhibited a mild increase in mean CRI-I (4.04 ± 1.42) and CRI-I I (2.66 ± 1.00), suggesting a slight rise in lipid-related cardiovascular risk among older individuals. The AIP, while highly variable (-0.35 ± 2.27), had a median of -0.04(IQR: -0.20–0.10), remaining within the low-risk category. Notably, the AC displayed a significant increase in mean value to 7.25 ± 29.00, largely influenced by an extreme outlier (maximum value of 208.00). Despite this, the median AC (2.96, IQR: 2.19–4.09) stayed consistent with younger age groups, indicating that the high mean does not accurately represent the typical participant in this age category.</w:t>
      </w:r>
    </w:p>
    <w:p w14:paraId="7DA86CCC" w14:textId="77777777" w:rsidR="004C4B7E" w:rsidRDefault="004B1C8B">
      <w:pPr>
        <w:jc w:val="both"/>
      </w:pPr>
      <w:r>
        <w:t>In summary, the atherogenic indices (particularly CRI-I and CRI-II) remained within moderate ranges across all age groups, with only mild fluctuations observed as age progressed. AIP consistently stayed in the low-risk category, indicating a more stable and reliable measure of atherogenic risk. The substantial variation in AC among older participants highlights the influence of outliers and the need to consider both mean and median values for a balanced interpretation of lipid-related cardiovascular risk across age groups.</w:t>
      </w:r>
    </w:p>
    <w:p w14:paraId="4162B7AF" w14:textId="06FAA002" w:rsidR="004C4B7E" w:rsidRDefault="007B2D26">
      <w:pPr>
        <w:spacing w:after="0"/>
        <w:jc w:val="both"/>
        <w:rPr>
          <w:rFonts w:cs="Times New Roman"/>
          <w:b/>
          <w:bCs/>
        </w:rPr>
      </w:pPr>
      <w:r>
        <w:rPr>
          <w:rFonts w:cs="Times New Roman"/>
          <w:b/>
        </w:rPr>
        <w:t>Table 3</w:t>
      </w:r>
      <w:r w:rsidR="004B1C8B">
        <w:rPr>
          <w:rFonts w:cs="Times New Roman"/>
          <w:b/>
        </w:rPr>
        <w:t>: Atherogenic Indices (CRI-I, CRI-II, AIP, and AC) by Age Group among Study Participants</w:t>
      </w:r>
    </w:p>
    <w:p w14:paraId="032D8BDF" w14:textId="77777777" w:rsidR="004C4B7E" w:rsidRDefault="004C4B7E">
      <w:pPr>
        <w:spacing w:after="0" w:line="480" w:lineRule="auto"/>
        <w:jc w:val="both"/>
        <w:rPr>
          <w:rFonts w:cs="Times New Roman"/>
          <w:b/>
          <w:bCs/>
          <w:kern w:val="2"/>
        </w:rPr>
      </w:pPr>
    </w:p>
    <w:tbl>
      <w:tblPr>
        <w:tblStyle w:val="TableGrid"/>
        <w:tblpPr w:leftFromText="180" w:rightFromText="180" w:vertAnchor="text" w:tblpY="602"/>
        <w:tblW w:w="9360" w:type="dxa"/>
        <w:tblBorders>
          <w:left w:val="none" w:sz="0" w:space="0" w:color="auto"/>
          <w:right w:val="none" w:sz="0" w:space="0" w:color="auto"/>
        </w:tblBorders>
        <w:tblLook w:val="04A0" w:firstRow="1" w:lastRow="0" w:firstColumn="1" w:lastColumn="0" w:noHBand="0" w:noVBand="1"/>
      </w:tblPr>
      <w:tblGrid>
        <w:gridCol w:w="1350"/>
        <w:gridCol w:w="2605"/>
        <w:gridCol w:w="1440"/>
        <w:gridCol w:w="990"/>
        <w:gridCol w:w="990"/>
        <w:gridCol w:w="1985"/>
      </w:tblGrid>
      <w:tr w:rsidR="004C4B7E" w14:paraId="7C25850B" w14:textId="77777777">
        <w:tc>
          <w:tcPr>
            <w:tcW w:w="1350" w:type="dxa"/>
            <w:tcBorders>
              <w:top w:val="single" w:sz="4" w:space="0" w:color="auto"/>
              <w:left w:val="nil"/>
              <w:bottom w:val="single" w:sz="4" w:space="0" w:color="auto"/>
              <w:right w:val="nil"/>
            </w:tcBorders>
          </w:tcPr>
          <w:p w14:paraId="055B8E95" w14:textId="77777777" w:rsidR="004C4B7E" w:rsidRDefault="004B1C8B">
            <w:pPr>
              <w:spacing w:after="0"/>
              <w:rPr>
                <w:rFonts w:cs="Times New Roman"/>
                <w:b/>
                <w:bCs/>
              </w:rPr>
            </w:pPr>
            <w:r>
              <w:rPr>
                <w:rFonts w:cs="Times New Roman"/>
                <w:b/>
                <w:bCs/>
              </w:rPr>
              <w:t>Age Group</w:t>
            </w:r>
          </w:p>
        </w:tc>
        <w:tc>
          <w:tcPr>
            <w:tcW w:w="2605" w:type="dxa"/>
            <w:tcBorders>
              <w:top w:val="single" w:sz="4" w:space="0" w:color="auto"/>
              <w:left w:val="nil"/>
              <w:bottom w:val="single" w:sz="4" w:space="0" w:color="auto"/>
              <w:right w:val="nil"/>
            </w:tcBorders>
          </w:tcPr>
          <w:p w14:paraId="24798FD2" w14:textId="77777777" w:rsidR="004C4B7E" w:rsidRDefault="004B1C8B">
            <w:pPr>
              <w:spacing w:after="0"/>
              <w:rPr>
                <w:rFonts w:cs="Times New Roman"/>
                <w:b/>
                <w:bCs/>
              </w:rPr>
            </w:pPr>
            <w:r>
              <w:rPr>
                <w:rFonts w:cs="Times New Roman"/>
                <w:b/>
                <w:bCs/>
              </w:rPr>
              <w:t>Parameter</w:t>
            </w:r>
          </w:p>
        </w:tc>
        <w:tc>
          <w:tcPr>
            <w:tcW w:w="1440" w:type="dxa"/>
            <w:tcBorders>
              <w:top w:val="single" w:sz="4" w:space="0" w:color="auto"/>
              <w:left w:val="nil"/>
              <w:bottom w:val="single" w:sz="4" w:space="0" w:color="auto"/>
              <w:right w:val="nil"/>
            </w:tcBorders>
          </w:tcPr>
          <w:p w14:paraId="668F43C5" w14:textId="77777777" w:rsidR="004C4B7E" w:rsidRDefault="004B1C8B">
            <w:pPr>
              <w:spacing w:after="0"/>
              <w:rPr>
                <w:rFonts w:cs="Times New Roman"/>
                <w:b/>
                <w:bCs/>
              </w:rPr>
            </w:pPr>
            <w:r>
              <w:rPr>
                <w:rFonts w:cs="Times New Roman"/>
                <w:b/>
                <w:bCs/>
              </w:rPr>
              <w:t>Mean ± SD</w:t>
            </w:r>
          </w:p>
        </w:tc>
        <w:tc>
          <w:tcPr>
            <w:tcW w:w="990" w:type="dxa"/>
            <w:tcBorders>
              <w:top w:val="single" w:sz="4" w:space="0" w:color="auto"/>
              <w:left w:val="nil"/>
              <w:bottom w:val="single" w:sz="4" w:space="0" w:color="auto"/>
              <w:right w:val="nil"/>
            </w:tcBorders>
          </w:tcPr>
          <w:p w14:paraId="2127BB04" w14:textId="77777777" w:rsidR="004C4B7E" w:rsidRDefault="004B1C8B">
            <w:pPr>
              <w:spacing w:after="0"/>
              <w:rPr>
                <w:rFonts w:cs="Times New Roman"/>
                <w:b/>
                <w:bCs/>
              </w:rPr>
            </w:pPr>
            <w:r>
              <w:rPr>
                <w:rFonts w:cs="Times New Roman"/>
                <w:b/>
                <w:bCs/>
              </w:rPr>
              <w:t>Min</w:t>
            </w:r>
          </w:p>
        </w:tc>
        <w:tc>
          <w:tcPr>
            <w:tcW w:w="990" w:type="dxa"/>
            <w:tcBorders>
              <w:top w:val="single" w:sz="4" w:space="0" w:color="auto"/>
              <w:left w:val="nil"/>
              <w:bottom w:val="single" w:sz="4" w:space="0" w:color="auto"/>
              <w:right w:val="nil"/>
            </w:tcBorders>
          </w:tcPr>
          <w:p w14:paraId="0C3E4D8A" w14:textId="77777777" w:rsidR="004C4B7E" w:rsidRDefault="004B1C8B">
            <w:pPr>
              <w:spacing w:after="0"/>
              <w:rPr>
                <w:rFonts w:cs="Times New Roman"/>
                <w:b/>
                <w:bCs/>
              </w:rPr>
            </w:pPr>
            <w:r>
              <w:rPr>
                <w:rFonts w:cs="Times New Roman"/>
                <w:b/>
                <w:bCs/>
              </w:rPr>
              <w:t>Max</w:t>
            </w:r>
          </w:p>
        </w:tc>
        <w:tc>
          <w:tcPr>
            <w:tcW w:w="1985" w:type="dxa"/>
            <w:tcBorders>
              <w:top w:val="single" w:sz="4" w:space="0" w:color="auto"/>
              <w:left w:val="nil"/>
              <w:bottom w:val="single" w:sz="4" w:space="0" w:color="auto"/>
              <w:right w:val="nil"/>
            </w:tcBorders>
          </w:tcPr>
          <w:p w14:paraId="4D316CBE" w14:textId="77777777" w:rsidR="004C4B7E" w:rsidRDefault="004B1C8B">
            <w:pPr>
              <w:spacing w:after="0"/>
              <w:rPr>
                <w:rFonts w:cs="Times New Roman"/>
                <w:b/>
                <w:bCs/>
              </w:rPr>
            </w:pPr>
            <w:r>
              <w:rPr>
                <w:rFonts w:cs="Times New Roman"/>
                <w:b/>
                <w:bCs/>
              </w:rPr>
              <w:t>Median (IQR)</w:t>
            </w:r>
          </w:p>
        </w:tc>
      </w:tr>
      <w:tr w:rsidR="004C4B7E" w14:paraId="52FBDE84" w14:textId="77777777">
        <w:tc>
          <w:tcPr>
            <w:tcW w:w="1350" w:type="dxa"/>
            <w:tcBorders>
              <w:top w:val="single" w:sz="4" w:space="0" w:color="auto"/>
              <w:left w:val="nil"/>
              <w:bottom w:val="nil"/>
              <w:right w:val="nil"/>
            </w:tcBorders>
          </w:tcPr>
          <w:p w14:paraId="466DF6E6" w14:textId="77777777" w:rsidR="004C4B7E" w:rsidRDefault="004B1C8B">
            <w:pPr>
              <w:spacing w:after="0"/>
              <w:rPr>
                <w:rFonts w:cs="Times New Roman"/>
              </w:rPr>
            </w:pPr>
            <w:r>
              <w:rPr>
                <w:rFonts w:cs="Times New Roman"/>
              </w:rPr>
              <w:t>18 – 39</w:t>
            </w:r>
          </w:p>
        </w:tc>
        <w:tc>
          <w:tcPr>
            <w:tcW w:w="2605" w:type="dxa"/>
            <w:tcBorders>
              <w:top w:val="single" w:sz="4" w:space="0" w:color="auto"/>
              <w:left w:val="nil"/>
              <w:bottom w:val="nil"/>
              <w:right w:val="nil"/>
            </w:tcBorders>
          </w:tcPr>
          <w:p w14:paraId="03A5B1CC" w14:textId="77777777" w:rsidR="004C4B7E" w:rsidRDefault="004B1C8B">
            <w:pPr>
              <w:spacing w:after="0"/>
              <w:rPr>
                <w:rFonts w:cs="Times New Roman"/>
              </w:rPr>
            </w:pPr>
            <w:r>
              <w:rPr>
                <w:rFonts w:cs="Times New Roman"/>
              </w:rPr>
              <w:t>Castelli Risk Index I (CRI-I)</w:t>
            </w:r>
          </w:p>
        </w:tc>
        <w:tc>
          <w:tcPr>
            <w:tcW w:w="1440" w:type="dxa"/>
            <w:tcBorders>
              <w:top w:val="single" w:sz="4" w:space="0" w:color="auto"/>
              <w:left w:val="nil"/>
              <w:bottom w:val="nil"/>
              <w:right w:val="nil"/>
            </w:tcBorders>
          </w:tcPr>
          <w:p w14:paraId="06A2833B" w14:textId="77777777" w:rsidR="004C4B7E" w:rsidRDefault="004B1C8B">
            <w:pPr>
              <w:spacing w:after="0"/>
              <w:rPr>
                <w:rFonts w:cs="Times New Roman"/>
              </w:rPr>
            </w:pPr>
            <w:r>
              <w:rPr>
                <w:rFonts w:cs="Times New Roman"/>
              </w:rPr>
              <w:t>4.13 ± 1.28</w:t>
            </w:r>
          </w:p>
        </w:tc>
        <w:tc>
          <w:tcPr>
            <w:tcW w:w="990" w:type="dxa"/>
            <w:tcBorders>
              <w:top w:val="single" w:sz="4" w:space="0" w:color="auto"/>
              <w:left w:val="nil"/>
              <w:bottom w:val="nil"/>
              <w:right w:val="nil"/>
            </w:tcBorders>
          </w:tcPr>
          <w:p w14:paraId="239110AE" w14:textId="77777777" w:rsidR="004C4B7E" w:rsidRDefault="004B1C8B">
            <w:pPr>
              <w:spacing w:after="0"/>
              <w:rPr>
                <w:rFonts w:cs="Times New Roman"/>
              </w:rPr>
            </w:pPr>
            <w:r>
              <w:rPr>
                <w:rFonts w:cs="Times New Roman"/>
              </w:rPr>
              <w:t>2.13</w:t>
            </w:r>
          </w:p>
        </w:tc>
        <w:tc>
          <w:tcPr>
            <w:tcW w:w="990" w:type="dxa"/>
            <w:tcBorders>
              <w:top w:val="single" w:sz="4" w:space="0" w:color="auto"/>
              <w:left w:val="nil"/>
              <w:bottom w:val="nil"/>
              <w:right w:val="nil"/>
            </w:tcBorders>
          </w:tcPr>
          <w:p w14:paraId="0F399711" w14:textId="77777777" w:rsidR="004C4B7E" w:rsidRDefault="004B1C8B">
            <w:pPr>
              <w:spacing w:after="0"/>
              <w:rPr>
                <w:rFonts w:cs="Times New Roman"/>
              </w:rPr>
            </w:pPr>
            <w:r>
              <w:rPr>
                <w:rFonts w:cs="Times New Roman"/>
              </w:rPr>
              <w:t>8.37</w:t>
            </w:r>
          </w:p>
        </w:tc>
        <w:tc>
          <w:tcPr>
            <w:tcW w:w="1985" w:type="dxa"/>
            <w:tcBorders>
              <w:top w:val="single" w:sz="4" w:space="0" w:color="auto"/>
              <w:left w:val="nil"/>
              <w:bottom w:val="nil"/>
              <w:right w:val="nil"/>
            </w:tcBorders>
          </w:tcPr>
          <w:p w14:paraId="2F650EF7" w14:textId="77777777" w:rsidR="004C4B7E" w:rsidRDefault="004B1C8B">
            <w:pPr>
              <w:spacing w:after="0"/>
              <w:rPr>
                <w:rFonts w:cs="Times New Roman"/>
              </w:rPr>
            </w:pPr>
            <w:r>
              <w:rPr>
                <w:rFonts w:cs="Times New Roman"/>
              </w:rPr>
              <w:t>3.98 (3.17–4.88)</w:t>
            </w:r>
          </w:p>
        </w:tc>
      </w:tr>
      <w:tr w:rsidR="004C4B7E" w14:paraId="2F9066FE" w14:textId="77777777">
        <w:tc>
          <w:tcPr>
            <w:tcW w:w="1350" w:type="dxa"/>
            <w:tcBorders>
              <w:top w:val="nil"/>
              <w:left w:val="nil"/>
              <w:bottom w:val="nil"/>
              <w:right w:val="nil"/>
            </w:tcBorders>
          </w:tcPr>
          <w:p w14:paraId="23943E0E" w14:textId="77777777" w:rsidR="004C4B7E" w:rsidRDefault="004C4B7E">
            <w:pPr>
              <w:spacing w:after="0"/>
              <w:rPr>
                <w:rFonts w:cs="Times New Roman"/>
              </w:rPr>
            </w:pPr>
          </w:p>
        </w:tc>
        <w:tc>
          <w:tcPr>
            <w:tcW w:w="2605" w:type="dxa"/>
            <w:tcBorders>
              <w:top w:val="nil"/>
              <w:left w:val="nil"/>
              <w:bottom w:val="nil"/>
              <w:right w:val="nil"/>
            </w:tcBorders>
          </w:tcPr>
          <w:p w14:paraId="091D593C" w14:textId="77777777" w:rsidR="004C4B7E" w:rsidRDefault="004B1C8B">
            <w:pPr>
              <w:spacing w:after="0"/>
              <w:rPr>
                <w:rFonts w:cs="Times New Roman"/>
              </w:rPr>
            </w:pPr>
            <w:r>
              <w:rPr>
                <w:rFonts w:cs="Times New Roman"/>
              </w:rPr>
              <w:t>Castelli Risk Index II (CRI-II)</w:t>
            </w:r>
          </w:p>
        </w:tc>
        <w:tc>
          <w:tcPr>
            <w:tcW w:w="1440" w:type="dxa"/>
            <w:tcBorders>
              <w:top w:val="nil"/>
              <w:left w:val="nil"/>
              <w:bottom w:val="nil"/>
              <w:right w:val="nil"/>
            </w:tcBorders>
          </w:tcPr>
          <w:p w14:paraId="45F50479" w14:textId="77777777" w:rsidR="004C4B7E" w:rsidRDefault="004B1C8B">
            <w:pPr>
              <w:spacing w:after="0"/>
              <w:rPr>
                <w:rFonts w:cs="Times New Roman"/>
              </w:rPr>
            </w:pPr>
            <w:r>
              <w:rPr>
                <w:rFonts w:cs="Times New Roman"/>
              </w:rPr>
              <w:t>2.40 ± 0.86</w:t>
            </w:r>
          </w:p>
        </w:tc>
        <w:tc>
          <w:tcPr>
            <w:tcW w:w="990" w:type="dxa"/>
            <w:tcBorders>
              <w:top w:val="nil"/>
              <w:left w:val="nil"/>
              <w:bottom w:val="nil"/>
              <w:right w:val="nil"/>
            </w:tcBorders>
          </w:tcPr>
          <w:p w14:paraId="63B98034" w14:textId="77777777" w:rsidR="004C4B7E" w:rsidRDefault="004B1C8B">
            <w:pPr>
              <w:spacing w:after="0"/>
              <w:rPr>
                <w:rFonts w:cs="Times New Roman"/>
              </w:rPr>
            </w:pPr>
            <w:r>
              <w:rPr>
                <w:rFonts w:cs="Times New Roman"/>
              </w:rPr>
              <w:t>1.26</w:t>
            </w:r>
          </w:p>
        </w:tc>
        <w:tc>
          <w:tcPr>
            <w:tcW w:w="990" w:type="dxa"/>
            <w:tcBorders>
              <w:top w:val="nil"/>
              <w:left w:val="nil"/>
              <w:bottom w:val="nil"/>
              <w:right w:val="nil"/>
            </w:tcBorders>
          </w:tcPr>
          <w:p w14:paraId="5E783A75" w14:textId="77777777" w:rsidR="004C4B7E" w:rsidRDefault="004B1C8B">
            <w:pPr>
              <w:spacing w:after="0"/>
              <w:rPr>
                <w:rFonts w:cs="Times New Roman"/>
              </w:rPr>
            </w:pPr>
            <w:r>
              <w:rPr>
                <w:rFonts w:cs="Times New Roman"/>
              </w:rPr>
              <w:t>5.19</w:t>
            </w:r>
          </w:p>
        </w:tc>
        <w:tc>
          <w:tcPr>
            <w:tcW w:w="1985" w:type="dxa"/>
            <w:tcBorders>
              <w:top w:val="nil"/>
              <w:left w:val="nil"/>
              <w:bottom w:val="nil"/>
              <w:right w:val="nil"/>
            </w:tcBorders>
          </w:tcPr>
          <w:p w14:paraId="4567861A" w14:textId="77777777" w:rsidR="004C4B7E" w:rsidRDefault="004B1C8B">
            <w:pPr>
              <w:spacing w:after="0"/>
              <w:rPr>
                <w:rFonts w:cs="Times New Roman"/>
              </w:rPr>
            </w:pPr>
            <w:r>
              <w:rPr>
                <w:rFonts w:cs="Times New Roman"/>
              </w:rPr>
              <w:t>2.17 (1.84–2.94)</w:t>
            </w:r>
          </w:p>
        </w:tc>
      </w:tr>
      <w:tr w:rsidR="004C4B7E" w14:paraId="06DDEDDB" w14:textId="77777777">
        <w:tc>
          <w:tcPr>
            <w:tcW w:w="1350" w:type="dxa"/>
            <w:tcBorders>
              <w:top w:val="nil"/>
              <w:left w:val="nil"/>
              <w:bottom w:val="nil"/>
              <w:right w:val="nil"/>
            </w:tcBorders>
          </w:tcPr>
          <w:p w14:paraId="51CBE60E" w14:textId="77777777" w:rsidR="004C4B7E" w:rsidRDefault="004C4B7E">
            <w:pPr>
              <w:spacing w:after="0"/>
              <w:rPr>
                <w:rFonts w:cs="Times New Roman"/>
              </w:rPr>
            </w:pPr>
          </w:p>
        </w:tc>
        <w:tc>
          <w:tcPr>
            <w:tcW w:w="2605" w:type="dxa"/>
            <w:tcBorders>
              <w:top w:val="nil"/>
              <w:left w:val="nil"/>
              <w:bottom w:val="nil"/>
              <w:right w:val="nil"/>
            </w:tcBorders>
          </w:tcPr>
          <w:p w14:paraId="16458161" w14:textId="77777777" w:rsidR="004C4B7E" w:rsidRDefault="004B1C8B">
            <w:pPr>
              <w:spacing w:after="0"/>
              <w:rPr>
                <w:rFonts w:cs="Times New Roman"/>
              </w:rPr>
            </w:pPr>
            <w:r>
              <w:rPr>
                <w:rFonts w:cs="Times New Roman"/>
              </w:rPr>
              <w:t>Atherogenic Index of Plasma (AIP)</w:t>
            </w:r>
          </w:p>
        </w:tc>
        <w:tc>
          <w:tcPr>
            <w:tcW w:w="1440" w:type="dxa"/>
            <w:tcBorders>
              <w:top w:val="nil"/>
              <w:left w:val="nil"/>
              <w:bottom w:val="nil"/>
              <w:right w:val="nil"/>
            </w:tcBorders>
          </w:tcPr>
          <w:p w14:paraId="038114FF" w14:textId="77777777" w:rsidR="004C4B7E" w:rsidRDefault="004B1C8B">
            <w:pPr>
              <w:spacing w:after="0"/>
              <w:rPr>
                <w:rFonts w:cs="Times New Roman"/>
              </w:rPr>
            </w:pPr>
            <w:r>
              <w:rPr>
                <w:rFonts w:cs="Times New Roman"/>
              </w:rPr>
              <w:t>-0.04 ± 0.21</w:t>
            </w:r>
          </w:p>
        </w:tc>
        <w:tc>
          <w:tcPr>
            <w:tcW w:w="990" w:type="dxa"/>
            <w:tcBorders>
              <w:top w:val="nil"/>
              <w:left w:val="nil"/>
              <w:bottom w:val="nil"/>
              <w:right w:val="nil"/>
            </w:tcBorders>
          </w:tcPr>
          <w:p w14:paraId="0A0F3B4E" w14:textId="77777777" w:rsidR="004C4B7E" w:rsidRDefault="004B1C8B">
            <w:pPr>
              <w:spacing w:after="0"/>
              <w:rPr>
                <w:rFonts w:cs="Times New Roman"/>
              </w:rPr>
            </w:pPr>
            <w:r>
              <w:rPr>
                <w:rFonts w:cs="Times New Roman"/>
              </w:rPr>
              <w:t>-0.67</w:t>
            </w:r>
          </w:p>
        </w:tc>
        <w:tc>
          <w:tcPr>
            <w:tcW w:w="990" w:type="dxa"/>
            <w:tcBorders>
              <w:top w:val="nil"/>
              <w:left w:val="nil"/>
              <w:bottom w:val="nil"/>
              <w:right w:val="nil"/>
            </w:tcBorders>
          </w:tcPr>
          <w:p w14:paraId="0562C973" w14:textId="77777777" w:rsidR="004C4B7E" w:rsidRDefault="004B1C8B">
            <w:pPr>
              <w:spacing w:after="0"/>
              <w:rPr>
                <w:rFonts w:cs="Times New Roman"/>
              </w:rPr>
            </w:pPr>
            <w:r>
              <w:rPr>
                <w:rFonts w:cs="Times New Roman"/>
              </w:rPr>
              <w:t>0.29</w:t>
            </w:r>
          </w:p>
        </w:tc>
        <w:tc>
          <w:tcPr>
            <w:tcW w:w="1985" w:type="dxa"/>
            <w:tcBorders>
              <w:top w:val="nil"/>
              <w:left w:val="nil"/>
              <w:bottom w:val="nil"/>
              <w:right w:val="nil"/>
            </w:tcBorders>
          </w:tcPr>
          <w:p w14:paraId="39D6F767" w14:textId="77777777" w:rsidR="004C4B7E" w:rsidRDefault="004B1C8B">
            <w:pPr>
              <w:spacing w:after="0"/>
              <w:rPr>
                <w:rFonts w:cs="Times New Roman"/>
              </w:rPr>
            </w:pPr>
            <w:r>
              <w:rPr>
                <w:rFonts w:cs="Times New Roman"/>
              </w:rPr>
              <w:t>-0.04 (-0.14–0.06)</w:t>
            </w:r>
          </w:p>
        </w:tc>
      </w:tr>
      <w:tr w:rsidR="004C4B7E" w14:paraId="7527ECCF" w14:textId="77777777">
        <w:tc>
          <w:tcPr>
            <w:tcW w:w="1350" w:type="dxa"/>
            <w:tcBorders>
              <w:top w:val="nil"/>
              <w:left w:val="nil"/>
              <w:bottom w:val="nil"/>
              <w:right w:val="nil"/>
            </w:tcBorders>
          </w:tcPr>
          <w:p w14:paraId="0AFAB052" w14:textId="77777777" w:rsidR="004C4B7E" w:rsidRDefault="004C4B7E">
            <w:pPr>
              <w:spacing w:after="0"/>
              <w:rPr>
                <w:rFonts w:cs="Times New Roman"/>
              </w:rPr>
            </w:pPr>
          </w:p>
        </w:tc>
        <w:tc>
          <w:tcPr>
            <w:tcW w:w="2605" w:type="dxa"/>
            <w:tcBorders>
              <w:top w:val="nil"/>
              <w:left w:val="nil"/>
              <w:bottom w:val="nil"/>
              <w:right w:val="nil"/>
            </w:tcBorders>
          </w:tcPr>
          <w:p w14:paraId="4E4AF163" w14:textId="77777777" w:rsidR="004C4B7E" w:rsidRDefault="004B1C8B">
            <w:pPr>
              <w:spacing w:after="0"/>
              <w:rPr>
                <w:rFonts w:cs="Times New Roman"/>
              </w:rPr>
            </w:pPr>
            <w:r>
              <w:rPr>
                <w:rFonts w:cs="Times New Roman"/>
              </w:rPr>
              <w:t>Atherogenic Coefficient (AC)</w:t>
            </w:r>
          </w:p>
        </w:tc>
        <w:tc>
          <w:tcPr>
            <w:tcW w:w="1440" w:type="dxa"/>
            <w:tcBorders>
              <w:top w:val="nil"/>
              <w:left w:val="nil"/>
              <w:bottom w:val="nil"/>
              <w:right w:val="nil"/>
            </w:tcBorders>
          </w:tcPr>
          <w:p w14:paraId="2C1B3443" w14:textId="77777777" w:rsidR="004C4B7E" w:rsidRDefault="004B1C8B">
            <w:pPr>
              <w:spacing w:after="0"/>
              <w:rPr>
                <w:rFonts w:cs="Times New Roman"/>
              </w:rPr>
            </w:pPr>
            <w:r>
              <w:rPr>
                <w:rFonts w:cs="Times New Roman"/>
              </w:rPr>
              <w:t>3.13 ± 1.28</w:t>
            </w:r>
          </w:p>
        </w:tc>
        <w:tc>
          <w:tcPr>
            <w:tcW w:w="990" w:type="dxa"/>
            <w:tcBorders>
              <w:top w:val="nil"/>
              <w:left w:val="nil"/>
              <w:bottom w:val="nil"/>
              <w:right w:val="nil"/>
            </w:tcBorders>
          </w:tcPr>
          <w:p w14:paraId="2AB0CB41" w14:textId="77777777" w:rsidR="004C4B7E" w:rsidRDefault="004B1C8B">
            <w:pPr>
              <w:spacing w:after="0"/>
              <w:rPr>
                <w:rFonts w:cs="Times New Roman"/>
              </w:rPr>
            </w:pPr>
            <w:r>
              <w:rPr>
                <w:rFonts w:cs="Times New Roman"/>
              </w:rPr>
              <w:t>1.13</w:t>
            </w:r>
          </w:p>
        </w:tc>
        <w:tc>
          <w:tcPr>
            <w:tcW w:w="990" w:type="dxa"/>
            <w:tcBorders>
              <w:top w:val="nil"/>
              <w:left w:val="nil"/>
              <w:bottom w:val="nil"/>
              <w:right w:val="nil"/>
            </w:tcBorders>
          </w:tcPr>
          <w:p w14:paraId="5B723914" w14:textId="77777777" w:rsidR="004C4B7E" w:rsidRDefault="004B1C8B">
            <w:pPr>
              <w:spacing w:after="0"/>
              <w:rPr>
                <w:rFonts w:cs="Times New Roman"/>
              </w:rPr>
            </w:pPr>
            <w:r>
              <w:rPr>
                <w:rFonts w:cs="Times New Roman"/>
              </w:rPr>
              <w:t>7.37</w:t>
            </w:r>
          </w:p>
        </w:tc>
        <w:tc>
          <w:tcPr>
            <w:tcW w:w="1985" w:type="dxa"/>
            <w:tcBorders>
              <w:top w:val="nil"/>
              <w:left w:val="nil"/>
              <w:bottom w:val="nil"/>
              <w:right w:val="nil"/>
            </w:tcBorders>
          </w:tcPr>
          <w:p w14:paraId="4804A482" w14:textId="77777777" w:rsidR="004C4B7E" w:rsidRDefault="004B1C8B">
            <w:pPr>
              <w:spacing w:after="0"/>
              <w:rPr>
                <w:rFonts w:cs="Times New Roman"/>
              </w:rPr>
            </w:pPr>
            <w:r>
              <w:rPr>
                <w:rFonts w:cs="Times New Roman"/>
              </w:rPr>
              <w:t>2.99 (2.17–3.89)</w:t>
            </w:r>
          </w:p>
        </w:tc>
      </w:tr>
      <w:tr w:rsidR="004C4B7E" w14:paraId="31B250F5" w14:textId="77777777">
        <w:tc>
          <w:tcPr>
            <w:tcW w:w="1350" w:type="dxa"/>
            <w:tcBorders>
              <w:top w:val="nil"/>
              <w:left w:val="nil"/>
              <w:bottom w:val="nil"/>
              <w:right w:val="nil"/>
            </w:tcBorders>
          </w:tcPr>
          <w:p w14:paraId="17B4BC62" w14:textId="77777777" w:rsidR="004C4B7E" w:rsidRDefault="004B1C8B">
            <w:pPr>
              <w:spacing w:after="0"/>
              <w:rPr>
                <w:rFonts w:cs="Times New Roman"/>
              </w:rPr>
            </w:pPr>
            <w:r>
              <w:rPr>
                <w:rFonts w:cs="Times New Roman"/>
              </w:rPr>
              <w:t>40 – 59</w:t>
            </w:r>
          </w:p>
        </w:tc>
        <w:tc>
          <w:tcPr>
            <w:tcW w:w="2605" w:type="dxa"/>
            <w:tcBorders>
              <w:top w:val="nil"/>
              <w:left w:val="nil"/>
              <w:bottom w:val="nil"/>
              <w:right w:val="nil"/>
            </w:tcBorders>
          </w:tcPr>
          <w:p w14:paraId="0BABC6C2" w14:textId="77777777" w:rsidR="004C4B7E" w:rsidRDefault="004B1C8B">
            <w:pPr>
              <w:spacing w:after="0"/>
              <w:rPr>
                <w:rFonts w:cs="Times New Roman"/>
              </w:rPr>
            </w:pPr>
            <w:r>
              <w:rPr>
                <w:rFonts w:cs="Times New Roman"/>
              </w:rPr>
              <w:t>Castelli Risk Index I (CRI-I)</w:t>
            </w:r>
          </w:p>
        </w:tc>
        <w:tc>
          <w:tcPr>
            <w:tcW w:w="1440" w:type="dxa"/>
            <w:tcBorders>
              <w:top w:val="nil"/>
              <w:left w:val="nil"/>
              <w:bottom w:val="nil"/>
              <w:right w:val="nil"/>
            </w:tcBorders>
          </w:tcPr>
          <w:p w14:paraId="57F4BB12" w14:textId="77777777" w:rsidR="004C4B7E" w:rsidRDefault="004B1C8B">
            <w:pPr>
              <w:spacing w:after="0"/>
              <w:rPr>
                <w:rFonts w:cs="Times New Roman"/>
              </w:rPr>
            </w:pPr>
            <w:r>
              <w:rPr>
                <w:rFonts w:cs="Times New Roman"/>
              </w:rPr>
              <w:t>3.84 ± 1.29</w:t>
            </w:r>
          </w:p>
        </w:tc>
        <w:tc>
          <w:tcPr>
            <w:tcW w:w="990" w:type="dxa"/>
            <w:tcBorders>
              <w:top w:val="nil"/>
              <w:left w:val="nil"/>
              <w:bottom w:val="nil"/>
              <w:right w:val="nil"/>
            </w:tcBorders>
          </w:tcPr>
          <w:p w14:paraId="62B97D06" w14:textId="77777777" w:rsidR="004C4B7E" w:rsidRDefault="004B1C8B">
            <w:pPr>
              <w:spacing w:after="0"/>
              <w:rPr>
                <w:rFonts w:cs="Times New Roman"/>
              </w:rPr>
            </w:pPr>
            <w:r>
              <w:rPr>
                <w:rFonts w:cs="Times New Roman"/>
              </w:rPr>
              <w:t>1.55</w:t>
            </w:r>
          </w:p>
        </w:tc>
        <w:tc>
          <w:tcPr>
            <w:tcW w:w="990" w:type="dxa"/>
            <w:tcBorders>
              <w:top w:val="nil"/>
              <w:left w:val="nil"/>
              <w:bottom w:val="nil"/>
              <w:right w:val="nil"/>
            </w:tcBorders>
          </w:tcPr>
          <w:p w14:paraId="00FE4712" w14:textId="77777777" w:rsidR="004C4B7E" w:rsidRDefault="004B1C8B">
            <w:pPr>
              <w:spacing w:after="0"/>
              <w:rPr>
                <w:rFonts w:cs="Times New Roman"/>
              </w:rPr>
            </w:pPr>
            <w:r>
              <w:rPr>
                <w:rFonts w:cs="Times New Roman"/>
              </w:rPr>
              <w:t>8.52</w:t>
            </w:r>
          </w:p>
        </w:tc>
        <w:tc>
          <w:tcPr>
            <w:tcW w:w="1985" w:type="dxa"/>
            <w:tcBorders>
              <w:top w:val="nil"/>
              <w:left w:val="nil"/>
              <w:bottom w:val="nil"/>
              <w:right w:val="nil"/>
            </w:tcBorders>
          </w:tcPr>
          <w:p w14:paraId="35F922A1" w14:textId="77777777" w:rsidR="004C4B7E" w:rsidRDefault="004B1C8B">
            <w:pPr>
              <w:spacing w:after="0"/>
              <w:rPr>
                <w:rFonts w:cs="Times New Roman"/>
              </w:rPr>
            </w:pPr>
            <w:r>
              <w:rPr>
                <w:rFonts w:cs="Times New Roman"/>
              </w:rPr>
              <w:t>3.46 (3.15–4.37)</w:t>
            </w:r>
          </w:p>
        </w:tc>
      </w:tr>
      <w:tr w:rsidR="004C4B7E" w14:paraId="713C7663" w14:textId="77777777">
        <w:tc>
          <w:tcPr>
            <w:tcW w:w="1350" w:type="dxa"/>
            <w:tcBorders>
              <w:top w:val="nil"/>
              <w:left w:val="nil"/>
              <w:bottom w:val="nil"/>
              <w:right w:val="nil"/>
            </w:tcBorders>
          </w:tcPr>
          <w:p w14:paraId="20D89D79" w14:textId="77777777" w:rsidR="004C4B7E" w:rsidRDefault="004C4B7E">
            <w:pPr>
              <w:spacing w:after="0"/>
              <w:rPr>
                <w:rFonts w:cs="Times New Roman"/>
              </w:rPr>
            </w:pPr>
          </w:p>
        </w:tc>
        <w:tc>
          <w:tcPr>
            <w:tcW w:w="2605" w:type="dxa"/>
            <w:tcBorders>
              <w:top w:val="nil"/>
              <w:left w:val="nil"/>
              <w:bottom w:val="nil"/>
              <w:right w:val="nil"/>
            </w:tcBorders>
          </w:tcPr>
          <w:p w14:paraId="311DF5F6" w14:textId="77777777" w:rsidR="004C4B7E" w:rsidRDefault="004B1C8B">
            <w:pPr>
              <w:spacing w:after="0"/>
              <w:rPr>
                <w:rFonts w:cs="Times New Roman"/>
              </w:rPr>
            </w:pPr>
            <w:r>
              <w:rPr>
                <w:rFonts w:cs="Times New Roman"/>
              </w:rPr>
              <w:t>Castelli Risk Index II (CRI-II)</w:t>
            </w:r>
          </w:p>
        </w:tc>
        <w:tc>
          <w:tcPr>
            <w:tcW w:w="1440" w:type="dxa"/>
            <w:tcBorders>
              <w:top w:val="nil"/>
              <w:left w:val="nil"/>
              <w:bottom w:val="nil"/>
              <w:right w:val="nil"/>
            </w:tcBorders>
          </w:tcPr>
          <w:p w14:paraId="6571B163" w14:textId="77777777" w:rsidR="004C4B7E" w:rsidRDefault="004B1C8B">
            <w:pPr>
              <w:spacing w:after="0"/>
              <w:rPr>
                <w:rFonts w:cs="Times New Roman"/>
              </w:rPr>
            </w:pPr>
            <w:r>
              <w:rPr>
                <w:rFonts w:cs="Times New Roman"/>
              </w:rPr>
              <w:t>2.52 ± 1.12</w:t>
            </w:r>
          </w:p>
        </w:tc>
        <w:tc>
          <w:tcPr>
            <w:tcW w:w="990" w:type="dxa"/>
            <w:tcBorders>
              <w:top w:val="nil"/>
              <w:left w:val="nil"/>
              <w:bottom w:val="nil"/>
              <w:right w:val="nil"/>
            </w:tcBorders>
          </w:tcPr>
          <w:p w14:paraId="55AF06B2" w14:textId="77777777" w:rsidR="004C4B7E" w:rsidRDefault="004B1C8B">
            <w:pPr>
              <w:spacing w:after="0"/>
              <w:rPr>
                <w:rFonts w:cs="Times New Roman"/>
              </w:rPr>
            </w:pPr>
            <w:r>
              <w:rPr>
                <w:rFonts w:cs="Times New Roman"/>
              </w:rPr>
              <w:t>0.55</w:t>
            </w:r>
          </w:p>
        </w:tc>
        <w:tc>
          <w:tcPr>
            <w:tcW w:w="990" w:type="dxa"/>
            <w:tcBorders>
              <w:top w:val="nil"/>
              <w:left w:val="nil"/>
              <w:bottom w:val="nil"/>
              <w:right w:val="nil"/>
            </w:tcBorders>
          </w:tcPr>
          <w:p w14:paraId="36A0AB70" w14:textId="77777777" w:rsidR="004C4B7E" w:rsidRDefault="004B1C8B">
            <w:pPr>
              <w:spacing w:after="0"/>
              <w:rPr>
                <w:rFonts w:cs="Times New Roman"/>
              </w:rPr>
            </w:pPr>
            <w:r>
              <w:rPr>
                <w:rFonts w:cs="Times New Roman"/>
              </w:rPr>
              <w:t>6.07</w:t>
            </w:r>
          </w:p>
        </w:tc>
        <w:tc>
          <w:tcPr>
            <w:tcW w:w="1985" w:type="dxa"/>
            <w:tcBorders>
              <w:top w:val="nil"/>
              <w:left w:val="nil"/>
              <w:bottom w:val="nil"/>
              <w:right w:val="nil"/>
            </w:tcBorders>
          </w:tcPr>
          <w:p w14:paraId="4CDDBA2F" w14:textId="77777777" w:rsidR="004C4B7E" w:rsidRDefault="004B1C8B">
            <w:pPr>
              <w:spacing w:after="0"/>
              <w:rPr>
                <w:rFonts w:cs="Times New Roman"/>
              </w:rPr>
            </w:pPr>
            <w:r>
              <w:rPr>
                <w:rFonts w:cs="Times New Roman"/>
              </w:rPr>
              <w:t>2.24 (1.87–2.96)</w:t>
            </w:r>
          </w:p>
        </w:tc>
      </w:tr>
      <w:tr w:rsidR="004C4B7E" w14:paraId="7690AD0B" w14:textId="77777777">
        <w:tc>
          <w:tcPr>
            <w:tcW w:w="1350" w:type="dxa"/>
            <w:tcBorders>
              <w:top w:val="nil"/>
              <w:left w:val="nil"/>
              <w:bottom w:val="nil"/>
              <w:right w:val="nil"/>
            </w:tcBorders>
          </w:tcPr>
          <w:p w14:paraId="3796A196" w14:textId="77777777" w:rsidR="004C4B7E" w:rsidRDefault="004C4B7E">
            <w:pPr>
              <w:spacing w:after="0"/>
              <w:rPr>
                <w:rFonts w:cs="Times New Roman"/>
              </w:rPr>
            </w:pPr>
          </w:p>
        </w:tc>
        <w:tc>
          <w:tcPr>
            <w:tcW w:w="2605" w:type="dxa"/>
            <w:tcBorders>
              <w:top w:val="nil"/>
              <w:left w:val="nil"/>
              <w:bottom w:val="nil"/>
              <w:right w:val="nil"/>
            </w:tcBorders>
          </w:tcPr>
          <w:p w14:paraId="28C1C771" w14:textId="77777777" w:rsidR="004C4B7E" w:rsidRDefault="004B1C8B">
            <w:pPr>
              <w:spacing w:after="0"/>
              <w:rPr>
                <w:rFonts w:cs="Times New Roman"/>
              </w:rPr>
            </w:pPr>
            <w:r>
              <w:rPr>
                <w:rFonts w:cs="Times New Roman"/>
              </w:rPr>
              <w:t>Atherogenic Index of Plasma (AIP)</w:t>
            </w:r>
          </w:p>
        </w:tc>
        <w:tc>
          <w:tcPr>
            <w:tcW w:w="1440" w:type="dxa"/>
            <w:tcBorders>
              <w:top w:val="nil"/>
              <w:left w:val="nil"/>
              <w:bottom w:val="nil"/>
              <w:right w:val="nil"/>
            </w:tcBorders>
          </w:tcPr>
          <w:p w14:paraId="2D0D0CA0" w14:textId="77777777" w:rsidR="004C4B7E" w:rsidRDefault="004B1C8B">
            <w:pPr>
              <w:spacing w:after="0"/>
              <w:rPr>
                <w:rFonts w:cs="Times New Roman"/>
              </w:rPr>
            </w:pPr>
            <w:r>
              <w:rPr>
                <w:rFonts w:cs="Times New Roman"/>
              </w:rPr>
              <w:t>-0.08 ± 0.23</w:t>
            </w:r>
          </w:p>
        </w:tc>
        <w:tc>
          <w:tcPr>
            <w:tcW w:w="990" w:type="dxa"/>
            <w:tcBorders>
              <w:top w:val="nil"/>
              <w:left w:val="nil"/>
              <w:bottom w:val="nil"/>
              <w:right w:val="nil"/>
            </w:tcBorders>
          </w:tcPr>
          <w:p w14:paraId="68AA100B" w14:textId="77777777" w:rsidR="004C4B7E" w:rsidRDefault="004B1C8B">
            <w:pPr>
              <w:spacing w:after="0"/>
              <w:rPr>
                <w:rFonts w:cs="Times New Roman"/>
              </w:rPr>
            </w:pPr>
            <w:r>
              <w:rPr>
                <w:rFonts w:cs="Times New Roman"/>
              </w:rPr>
              <w:t>-0.54</w:t>
            </w:r>
          </w:p>
        </w:tc>
        <w:tc>
          <w:tcPr>
            <w:tcW w:w="990" w:type="dxa"/>
            <w:tcBorders>
              <w:top w:val="nil"/>
              <w:left w:val="nil"/>
              <w:bottom w:val="nil"/>
              <w:right w:val="nil"/>
            </w:tcBorders>
          </w:tcPr>
          <w:p w14:paraId="5F365F7E" w14:textId="77777777" w:rsidR="004C4B7E" w:rsidRDefault="004B1C8B">
            <w:pPr>
              <w:spacing w:after="0"/>
              <w:rPr>
                <w:rFonts w:cs="Times New Roman"/>
              </w:rPr>
            </w:pPr>
            <w:r>
              <w:rPr>
                <w:rFonts w:cs="Times New Roman"/>
              </w:rPr>
              <w:t>0.53</w:t>
            </w:r>
          </w:p>
        </w:tc>
        <w:tc>
          <w:tcPr>
            <w:tcW w:w="1985" w:type="dxa"/>
            <w:tcBorders>
              <w:top w:val="nil"/>
              <w:left w:val="nil"/>
              <w:bottom w:val="nil"/>
              <w:right w:val="nil"/>
            </w:tcBorders>
          </w:tcPr>
          <w:p w14:paraId="43FA5B63" w14:textId="77777777" w:rsidR="004C4B7E" w:rsidRDefault="004B1C8B">
            <w:pPr>
              <w:spacing w:after="0"/>
              <w:rPr>
                <w:rFonts w:cs="Times New Roman"/>
              </w:rPr>
            </w:pPr>
            <w:r>
              <w:rPr>
                <w:rFonts w:cs="Times New Roman"/>
              </w:rPr>
              <w:t>-0.08 (-0.21–0.05)</w:t>
            </w:r>
          </w:p>
        </w:tc>
      </w:tr>
      <w:tr w:rsidR="004C4B7E" w14:paraId="6E94926F" w14:textId="77777777">
        <w:tc>
          <w:tcPr>
            <w:tcW w:w="1350" w:type="dxa"/>
            <w:tcBorders>
              <w:top w:val="nil"/>
              <w:left w:val="nil"/>
              <w:bottom w:val="nil"/>
              <w:right w:val="nil"/>
            </w:tcBorders>
          </w:tcPr>
          <w:p w14:paraId="274B7529" w14:textId="77777777" w:rsidR="004C4B7E" w:rsidRDefault="004C4B7E">
            <w:pPr>
              <w:spacing w:after="0"/>
              <w:rPr>
                <w:rFonts w:cs="Times New Roman"/>
              </w:rPr>
            </w:pPr>
          </w:p>
        </w:tc>
        <w:tc>
          <w:tcPr>
            <w:tcW w:w="2605" w:type="dxa"/>
            <w:tcBorders>
              <w:top w:val="nil"/>
              <w:left w:val="nil"/>
              <w:bottom w:val="nil"/>
              <w:right w:val="nil"/>
            </w:tcBorders>
          </w:tcPr>
          <w:p w14:paraId="14DA6A9B" w14:textId="77777777" w:rsidR="004C4B7E" w:rsidRDefault="004B1C8B">
            <w:pPr>
              <w:spacing w:after="0"/>
              <w:rPr>
                <w:rFonts w:cs="Times New Roman"/>
              </w:rPr>
            </w:pPr>
            <w:r>
              <w:rPr>
                <w:rFonts w:cs="Times New Roman"/>
              </w:rPr>
              <w:t>Atherogenic Coefficient (AC)</w:t>
            </w:r>
          </w:p>
        </w:tc>
        <w:tc>
          <w:tcPr>
            <w:tcW w:w="1440" w:type="dxa"/>
            <w:tcBorders>
              <w:top w:val="nil"/>
              <w:left w:val="nil"/>
              <w:bottom w:val="nil"/>
              <w:right w:val="nil"/>
            </w:tcBorders>
          </w:tcPr>
          <w:p w14:paraId="1A388571" w14:textId="77777777" w:rsidR="004C4B7E" w:rsidRDefault="004B1C8B">
            <w:pPr>
              <w:spacing w:after="0"/>
              <w:rPr>
                <w:rFonts w:cs="Times New Roman"/>
              </w:rPr>
            </w:pPr>
            <w:r>
              <w:rPr>
                <w:rFonts w:cs="Times New Roman"/>
              </w:rPr>
              <w:t>2.80 ± 1.29</w:t>
            </w:r>
          </w:p>
        </w:tc>
        <w:tc>
          <w:tcPr>
            <w:tcW w:w="990" w:type="dxa"/>
            <w:tcBorders>
              <w:top w:val="nil"/>
              <w:left w:val="nil"/>
              <w:bottom w:val="nil"/>
              <w:right w:val="nil"/>
            </w:tcBorders>
          </w:tcPr>
          <w:p w14:paraId="0563FE52" w14:textId="77777777" w:rsidR="004C4B7E" w:rsidRDefault="004B1C8B">
            <w:pPr>
              <w:spacing w:after="0"/>
              <w:rPr>
                <w:rFonts w:cs="Times New Roman"/>
              </w:rPr>
            </w:pPr>
            <w:r>
              <w:rPr>
                <w:rFonts w:cs="Times New Roman"/>
              </w:rPr>
              <w:t>0.55</w:t>
            </w:r>
          </w:p>
        </w:tc>
        <w:tc>
          <w:tcPr>
            <w:tcW w:w="990" w:type="dxa"/>
            <w:tcBorders>
              <w:top w:val="nil"/>
              <w:left w:val="nil"/>
              <w:bottom w:val="nil"/>
              <w:right w:val="nil"/>
            </w:tcBorders>
          </w:tcPr>
          <w:p w14:paraId="68204117" w14:textId="77777777" w:rsidR="004C4B7E" w:rsidRDefault="004B1C8B">
            <w:pPr>
              <w:spacing w:after="0"/>
              <w:rPr>
                <w:rFonts w:cs="Times New Roman"/>
              </w:rPr>
            </w:pPr>
            <w:r>
              <w:rPr>
                <w:rFonts w:cs="Times New Roman"/>
              </w:rPr>
              <w:t>7.52</w:t>
            </w:r>
          </w:p>
        </w:tc>
        <w:tc>
          <w:tcPr>
            <w:tcW w:w="1985" w:type="dxa"/>
            <w:tcBorders>
              <w:top w:val="nil"/>
              <w:left w:val="nil"/>
              <w:bottom w:val="nil"/>
              <w:right w:val="nil"/>
            </w:tcBorders>
          </w:tcPr>
          <w:p w14:paraId="386DFD20" w14:textId="77777777" w:rsidR="004C4B7E" w:rsidRDefault="004B1C8B">
            <w:pPr>
              <w:spacing w:after="0"/>
              <w:rPr>
                <w:rFonts w:cs="Times New Roman"/>
              </w:rPr>
            </w:pPr>
            <w:r>
              <w:rPr>
                <w:rFonts w:cs="Times New Roman"/>
              </w:rPr>
              <w:t>2.44 (2.15–3.30)</w:t>
            </w:r>
          </w:p>
        </w:tc>
      </w:tr>
      <w:tr w:rsidR="004C4B7E" w14:paraId="613BA5FF" w14:textId="77777777">
        <w:tc>
          <w:tcPr>
            <w:tcW w:w="1350" w:type="dxa"/>
            <w:tcBorders>
              <w:top w:val="nil"/>
              <w:left w:val="nil"/>
              <w:bottom w:val="nil"/>
              <w:right w:val="nil"/>
            </w:tcBorders>
          </w:tcPr>
          <w:p w14:paraId="54C2960C" w14:textId="77777777" w:rsidR="004C4B7E" w:rsidRDefault="004B1C8B">
            <w:pPr>
              <w:spacing w:after="0"/>
              <w:rPr>
                <w:rFonts w:cs="Times New Roman"/>
              </w:rPr>
            </w:pPr>
            <w:r>
              <w:rPr>
                <w:rFonts w:cs="Times New Roman"/>
              </w:rPr>
              <w:t>60+</w:t>
            </w:r>
          </w:p>
        </w:tc>
        <w:tc>
          <w:tcPr>
            <w:tcW w:w="2605" w:type="dxa"/>
            <w:tcBorders>
              <w:top w:val="nil"/>
              <w:left w:val="nil"/>
              <w:bottom w:val="nil"/>
              <w:right w:val="nil"/>
            </w:tcBorders>
          </w:tcPr>
          <w:p w14:paraId="48032F96" w14:textId="77777777" w:rsidR="004C4B7E" w:rsidRDefault="004B1C8B">
            <w:pPr>
              <w:spacing w:after="0"/>
              <w:rPr>
                <w:rFonts w:cs="Times New Roman"/>
              </w:rPr>
            </w:pPr>
            <w:r>
              <w:rPr>
                <w:rFonts w:cs="Times New Roman"/>
              </w:rPr>
              <w:t>Castelli Risk Index I (CRI-I)</w:t>
            </w:r>
          </w:p>
        </w:tc>
        <w:tc>
          <w:tcPr>
            <w:tcW w:w="1440" w:type="dxa"/>
            <w:tcBorders>
              <w:top w:val="nil"/>
              <w:left w:val="nil"/>
              <w:bottom w:val="nil"/>
              <w:right w:val="nil"/>
            </w:tcBorders>
          </w:tcPr>
          <w:p w14:paraId="3D45768B" w14:textId="77777777" w:rsidR="004C4B7E" w:rsidRDefault="004B1C8B">
            <w:pPr>
              <w:spacing w:after="0"/>
              <w:rPr>
                <w:rFonts w:cs="Times New Roman"/>
              </w:rPr>
            </w:pPr>
            <w:r>
              <w:rPr>
                <w:rFonts w:cs="Times New Roman"/>
              </w:rPr>
              <w:t>4.04 ± 1.42</w:t>
            </w:r>
          </w:p>
        </w:tc>
        <w:tc>
          <w:tcPr>
            <w:tcW w:w="990" w:type="dxa"/>
            <w:tcBorders>
              <w:top w:val="nil"/>
              <w:left w:val="nil"/>
              <w:bottom w:val="nil"/>
              <w:right w:val="nil"/>
            </w:tcBorders>
          </w:tcPr>
          <w:p w14:paraId="2CE17F4D" w14:textId="77777777" w:rsidR="004C4B7E" w:rsidRDefault="004B1C8B">
            <w:pPr>
              <w:spacing w:after="0"/>
              <w:rPr>
                <w:rFonts w:cs="Times New Roman"/>
              </w:rPr>
            </w:pPr>
            <w:r>
              <w:rPr>
                <w:rFonts w:cs="Times New Roman"/>
              </w:rPr>
              <w:t>0.95</w:t>
            </w:r>
          </w:p>
        </w:tc>
        <w:tc>
          <w:tcPr>
            <w:tcW w:w="990" w:type="dxa"/>
            <w:tcBorders>
              <w:top w:val="nil"/>
              <w:left w:val="nil"/>
              <w:bottom w:val="nil"/>
              <w:right w:val="nil"/>
            </w:tcBorders>
          </w:tcPr>
          <w:p w14:paraId="61DD676A" w14:textId="77777777" w:rsidR="004C4B7E" w:rsidRDefault="004B1C8B">
            <w:pPr>
              <w:spacing w:after="0"/>
              <w:rPr>
                <w:rFonts w:cs="Times New Roman"/>
              </w:rPr>
            </w:pPr>
            <w:r>
              <w:rPr>
                <w:rFonts w:cs="Times New Roman"/>
              </w:rPr>
              <w:t>7.99</w:t>
            </w:r>
          </w:p>
        </w:tc>
        <w:tc>
          <w:tcPr>
            <w:tcW w:w="1985" w:type="dxa"/>
            <w:tcBorders>
              <w:top w:val="nil"/>
              <w:left w:val="nil"/>
              <w:bottom w:val="nil"/>
              <w:right w:val="nil"/>
            </w:tcBorders>
          </w:tcPr>
          <w:p w14:paraId="05D5416D" w14:textId="77777777" w:rsidR="004C4B7E" w:rsidRDefault="004B1C8B">
            <w:pPr>
              <w:spacing w:after="0"/>
              <w:rPr>
                <w:rFonts w:cs="Times New Roman"/>
              </w:rPr>
            </w:pPr>
            <w:r>
              <w:rPr>
                <w:rFonts w:cs="Times New Roman"/>
              </w:rPr>
              <w:t>3.78 (3.12–4.90)</w:t>
            </w:r>
          </w:p>
        </w:tc>
      </w:tr>
      <w:tr w:rsidR="004C4B7E" w14:paraId="0584FD0C" w14:textId="77777777">
        <w:tc>
          <w:tcPr>
            <w:tcW w:w="1350" w:type="dxa"/>
            <w:tcBorders>
              <w:top w:val="nil"/>
              <w:left w:val="nil"/>
              <w:bottom w:val="nil"/>
              <w:right w:val="nil"/>
            </w:tcBorders>
          </w:tcPr>
          <w:p w14:paraId="485C18B4" w14:textId="77777777" w:rsidR="004C4B7E" w:rsidRDefault="004C4B7E">
            <w:pPr>
              <w:spacing w:after="0"/>
              <w:rPr>
                <w:rFonts w:cs="Times New Roman"/>
              </w:rPr>
            </w:pPr>
          </w:p>
        </w:tc>
        <w:tc>
          <w:tcPr>
            <w:tcW w:w="2605" w:type="dxa"/>
            <w:tcBorders>
              <w:top w:val="nil"/>
              <w:left w:val="nil"/>
              <w:bottom w:val="nil"/>
              <w:right w:val="nil"/>
            </w:tcBorders>
          </w:tcPr>
          <w:p w14:paraId="102C8EE8" w14:textId="77777777" w:rsidR="004C4B7E" w:rsidRDefault="004B1C8B">
            <w:pPr>
              <w:spacing w:after="0"/>
              <w:rPr>
                <w:rFonts w:cs="Times New Roman"/>
              </w:rPr>
            </w:pPr>
            <w:r>
              <w:rPr>
                <w:rFonts w:cs="Times New Roman"/>
              </w:rPr>
              <w:t>Castelli Risk Index II (CRI-II)</w:t>
            </w:r>
          </w:p>
        </w:tc>
        <w:tc>
          <w:tcPr>
            <w:tcW w:w="1440" w:type="dxa"/>
            <w:tcBorders>
              <w:top w:val="nil"/>
              <w:left w:val="nil"/>
              <w:bottom w:val="nil"/>
              <w:right w:val="nil"/>
            </w:tcBorders>
          </w:tcPr>
          <w:p w14:paraId="187301C5" w14:textId="77777777" w:rsidR="004C4B7E" w:rsidRDefault="004B1C8B">
            <w:pPr>
              <w:spacing w:after="0"/>
              <w:rPr>
                <w:rFonts w:cs="Times New Roman"/>
              </w:rPr>
            </w:pPr>
            <w:r>
              <w:rPr>
                <w:rFonts w:cs="Times New Roman"/>
              </w:rPr>
              <w:t>2.66 ± 1.00</w:t>
            </w:r>
          </w:p>
        </w:tc>
        <w:tc>
          <w:tcPr>
            <w:tcW w:w="990" w:type="dxa"/>
            <w:tcBorders>
              <w:top w:val="nil"/>
              <w:left w:val="nil"/>
              <w:bottom w:val="nil"/>
              <w:right w:val="nil"/>
            </w:tcBorders>
          </w:tcPr>
          <w:p w14:paraId="0F17B1D8" w14:textId="77777777" w:rsidR="004C4B7E" w:rsidRDefault="004B1C8B">
            <w:pPr>
              <w:spacing w:after="0"/>
              <w:rPr>
                <w:rFonts w:cs="Times New Roman"/>
              </w:rPr>
            </w:pPr>
            <w:r>
              <w:rPr>
                <w:rFonts w:cs="Times New Roman"/>
              </w:rPr>
              <w:t>1.09</w:t>
            </w:r>
          </w:p>
        </w:tc>
        <w:tc>
          <w:tcPr>
            <w:tcW w:w="990" w:type="dxa"/>
            <w:tcBorders>
              <w:top w:val="nil"/>
              <w:left w:val="nil"/>
              <w:bottom w:val="nil"/>
              <w:right w:val="nil"/>
            </w:tcBorders>
          </w:tcPr>
          <w:p w14:paraId="1B0E65B1" w14:textId="77777777" w:rsidR="004C4B7E" w:rsidRDefault="004B1C8B">
            <w:pPr>
              <w:spacing w:after="0"/>
              <w:rPr>
                <w:rFonts w:cs="Times New Roman"/>
              </w:rPr>
            </w:pPr>
            <w:r>
              <w:rPr>
                <w:rFonts w:cs="Times New Roman"/>
              </w:rPr>
              <w:t>4.67</w:t>
            </w:r>
          </w:p>
        </w:tc>
        <w:tc>
          <w:tcPr>
            <w:tcW w:w="1985" w:type="dxa"/>
            <w:tcBorders>
              <w:top w:val="nil"/>
              <w:left w:val="nil"/>
              <w:bottom w:val="nil"/>
              <w:right w:val="nil"/>
            </w:tcBorders>
          </w:tcPr>
          <w:p w14:paraId="125FEFF3" w14:textId="77777777" w:rsidR="004C4B7E" w:rsidRDefault="004B1C8B">
            <w:pPr>
              <w:spacing w:after="0"/>
              <w:rPr>
                <w:rFonts w:cs="Times New Roman"/>
              </w:rPr>
            </w:pPr>
            <w:r>
              <w:rPr>
                <w:rFonts w:cs="Times New Roman"/>
              </w:rPr>
              <w:t>2.33 (1.94–3.58)</w:t>
            </w:r>
          </w:p>
        </w:tc>
      </w:tr>
      <w:tr w:rsidR="004C4B7E" w14:paraId="33B4035F" w14:textId="77777777">
        <w:tc>
          <w:tcPr>
            <w:tcW w:w="1350" w:type="dxa"/>
            <w:tcBorders>
              <w:top w:val="nil"/>
              <w:left w:val="nil"/>
              <w:bottom w:val="nil"/>
              <w:right w:val="nil"/>
            </w:tcBorders>
          </w:tcPr>
          <w:p w14:paraId="59EC5893" w14:textId="77777777" w:rsidR="004C4B7E" w:rsidRDefault="004C4B7E">
            <w:pPr>
              <w:pStyle w:val="NoSpacing"/>
              <w:spacing w:line="276" w:lineRule="auto"/>
              <w:rPr>
                <w:rFonts w:ascii="Calibri" w:eastAsia="Calibri" w:hAnsi="Calibri" w:cs="Calibri"/>
              </w:rPr>
            </w:pPr>
          </w:p>
        </w:tc>
        <w:tc>
          <w:tcPr>
            <w:tcW w:w="2605" w:type="dxa"/>
            <w:tcBorders>
              <w:top w:val="nil"/>
              <w:left w:val="nil"/>
              <w:bottom w:val="nil"/>
              <w:right w:val="nil"/>
            </w:tcBorders>
          </w:tcPr>
          <w:p w14:paraId="5B0EE77A" w14:textId="77777777" w:rsidR="004C4B7E" w:rsidRDefault="004B1C8B">
            <w:pPr>
              <w:spacing w:after="0"/>
              <w:rPr>
                <w:rFonts w:cs="Times New Roman"/>
              </w:rPr>
            </w:pPr>
            <w:r>
              <w:rPr>
                <w:rFonts w:cs="Times New Roman"/>
              </w:rPr>
              <w:t>Atherogenic Index of Plasma (AIP)</w:t>
            </w:r>
          </w:p>
        </w:tc>
        <w:tc>
          <w:tcPr>
            <w:tcW w:w="1440" w:type="dxa"/>
            <w:tcBorders>
              <w:top w:val="nil"/>
              <w:left w:val="nil"/>
              <w:bottom w:val="nil"/>
              <w:right w:val="nil"/>
            </w:tcBorders>
          </w:tcPr>
          <w:p w14:paraId="65D3189F" w14:textId="77777777" w:rsidR="004C4B7E" w:rsidRDefault="004B1C8B">
            <w:pPr>
              <w:spacing w:after="0"/>
              <w:rPr>
                <w:rFonts w:cs="Times New Roman"/>
              </w:rPr>
            </w:pPr>
            <w:r>
              <w:rPr>
                <w:rFonts w:cs="Times New Roman"/>
              </w:rPr>
              <w:t>-0.35 ± 2.27</w:t>
            </w:r>
          </w:p>
        </w:tc>
        <w:tc>
          <w:tcPr>
            <w:tcW w:w="990" w:type="dxa"/>
            <w:tcBorders>
              <w:top w:val="nil"/>
              <w:left w:val="nil"/>
              <w:bottom w:val="nil"/>
              <w:right w:val="nil"/>
            </w:tcBorders>
          </w:tcPr>
          <w:p w14:paraId="6E647BC7" w14:textId="77777777" w:rsidR="004C4B7E" w:rsidRDefault="004B1C8B">
            <w:pPr>
              <w:spacing w:after="0"/>
              <w:rPr>
                <w:rFonts w:cs="Times New Roman"/>
              </w:rPr>
            </w:pPr>
            <w:r>
              <w:rPr>
                <w:rFonts w:cs="Times New Roman"/>
              </w:rPr>
              <w:t>-16.00</w:t>
            </w:r>
          </w:p>
        </w:tc>
        <w:tc>
          <w:tcPr>
            <w:tcW w:w="990" w:type="dxa"/>
            <w:tcBorders>
              <w:top w:val="nil"/>
              <w:left w:val="nil"/>
              <w:bottom w:val="nil"/>
              <w:right w:val="nil"/>
            </w:tcBorders>
          </w:tcPr>
          <w:p w14:paraId="1FED7057" w14:textId="77777777" w:rsidR="004C4B7E" w:rsidRDefault="004B1C8B">
            <w:pPr>
              <w:spacing w:after="0"/>
              <w:rPr>
                <w:rFonts w:cs="Times New Roman"/>
              </w:rPr>
            </w:pPr>
            <w:r>
              <w:rPr>
                <w:rFonts w:cs="Times New Roman"/>
              </w:rPr>
              <w:t>0.51</w:t>
            </w:r>
          </w:p>
        </w:tc>
        <w:tc>
          <w:tcPr>
            <w:tcW w:w="1985" w:type="dxa"/>
            <w:tcBorders>
              <w:top w:val="nil"/>
              <w:left w:val="nil"/>
              <w:bottom w:val="nil"/>
              <w:right w:val="nil"/>
            </w:tcBorders>
          </w:tcPr>
          <w:p w14:paraId="72FB7492" w14:textId="77777777" w:rsidR="004C4B7E" w:rsidRDefault="004B1C8B">
            <w:pPr>
              <w:spacing w:after="0"/>
              <w:rPr>
                <w:rFonts w:cs="Times New Roman"/>
              </w:rPr>
            </w:pPr>
            <w:r>
              <w:rPr>
                <w:rFonts w:cs="Times New Roman"/>
              </w:rPr>
              <w:t>-0.04 (-0.20–0.10)</w:t>
            </w:r>
          </w:p>
        </w:tc>
      </w:tr>
      <w:tr w:rsidR="004C4B7E" w14:paraId="53F45AB9" w14:textId="77777777">
        <w:tc>
          <w:tcPr>
            <w:tcW w:w="1350" w:type="dxa"/>
            <w:tcBorders>
              <w:top w:val="nil"/>
              <w:left w:val="nil"/>
              <w:bottom w:val="single" w:sz="4" w:space="0" w:color="auto"/>
              <w:right w:val="nil"/>
            </w:tcBorders>
          </w:tcPr>
          <w:p w14:paraId="1BF21095" w14:textId="77777777" w:rsidR="004C4B7E" w:rsidRDefault="004C4B7E">
            <w:pPr>
              <w:spacing w:after="0"/>
              <w:rPr>
                <w:rFonts w:cs="Times New Roman"/>
              </w:rPr>
            </w:pPr>
          </w:p>
        </w:tc>
        <w:tc>
          <w:tcPr>
            <w:tcW w:w="2605" w:type="dxa"/>
            <w:tcBorders>
              <w:top w:val="nil"/>
              <w:left w:val="nil"/>
              <w:bottom w:val="single" w:sz="4" w:space="0" w:color="auto"/>
              <w:right w:val="nil"/>
            </w:tcBorders>
          </w:tcPr>
          <w:p w14:paraId="3072D908" w14:textId="77777777" w:rsidR="004C4B7E" w:rsidRDefault="004B1C8B">
            <w:pPr>
              <w:spacing w:after="0"/>
              <w:rPr>
                <w:rFonts w:cs="Times New Roman"/>
              </w:rPr>
            </w:pPr>
            <w:r>
              <w:rPr>
                <w:rFonts w:cs="Times New Roman"/>
              </w:rPr>
              <w:t>Atherogenic Coefficient (AC)</w:t>
            </w:r>
          </w:p>
        </w:tc>
        <w:tc>
          <w:tcPr>
            <w:tcW w:w="1440" w:type="dxa"/>
            <w:tcBorders>
              <w:top w:val="nil"/>
              <w:left w:val="nil"/>
              <w:bottom w:val="single" w:sz="4" w:space="0" w:color="auto"/>
              <w:right w:val="nil"/>
            </w:tcBorders>
          </w:tcPr>
          <w:p w14:paraId="40FCC486" w14:textId="77777777" w:rsidR="004C4B7E" w:rsidRDefault="004B1C8B">
            <w:pPr>
              <w:spacing w:after="0"/>
              <w:rPr>
                <w:rFonts w:cs="Times New Roman"/>
              </w:rPr>
            </w:pPr>
            <w:r>
              <w:rPr>
                <w:rFonts w:cs="Times New Roman"/>
              </w:rPr>
              <w:t>7.25 ± 29.00</w:t>
            </w:r>
          </w:p>
        </w:tc>
        <w:tc>
          <w:tcPr>
            <w:tcW w:w="990" w:type="dxa"/>
            <w:tcBorders>
              <w:top w:val="nil"/>
              <w:left w:val="nil"/>
              <w:bottom w:val="single" w:sz="4" w:space="0" w:color="auto"/>
              <w:right w:val="nil"/>
            </w:tcBorders>
          </w:tcPr>
          <w:p w14:paraId="3C0C207F" w14:textId="77777777" w:rsidR="004C4B7E" w:rsidRDefault="004B1C8B">
            <w:pPr>
              <w:spacing w:after="0"/>
              <w:rPr>
                <w:rFonts w:cs="Times New Roman"/>
              </w:rPr>
            </w:pPr>
            <w:r>
              <w:rPr>
                <w:rFonts w:cs="Times New Roman"/>
              </w:rPr>
              <w:t>0.84</w:t>
            </w:r>
          </w:p>
        </w:tc>
        <w:tc>
          <w:tcPr>
            <w:tcW w:w="990" w:type="dxa"/>
            <w:tcBorders>
              <w:top w:val="nil"/>
              <w:left w:val="nil"/>
              <w:bottom w:val="single" w:sz="4" w:space="0" w:color="auto"/>
              <w:right w:val="nil"/>
            </w:tcBorders>
          </w:tcPr>
          <w:p w14:paraId="38477D7B" w14:textId="77777777" w:rsidR="004C4B7E" w:rsidRDefault="004B1C8B">
            <w:pPr>
              <w:spacing w:after="0"/>
              <w:rPr>
                <w:rFonts w:cs="Times New Roman"/>
              </w:rPr>
            </w:pPr>
            <w:r>
              <w:rPr>
                <w:rFonts w:cs="Times New Roman"/>
              </w:rPr>
              <w:t>208.00</w:t>
            </w:r>
          </w:p>
        </w:tc>
        <w:tc>
          <w:tcPr>
            <w:tcW w:w="1985" w:type="dxa"/>
            <w:tcBorders>
              <w:top w:val="nil"/>
              <w:left w:val="nil"/>
              <w:bottom w:val="single" w:sz="4" w:space="0" w:color="auto"/>
              <w:right w:val="nil"/>
            </w:tcBorders>
          </w:tcPr>
          <w:p w14:paraId="29A5AD41" w14:textId="77777777" w:rsidR="004C4B7E" w:rsidRDefault="004B1C8B">
            <w:pPr>
              <w:spacing w:after="0"/>
              <w:rPr>
                <w:rFonts w:cs="Times New Roman"/>
              </w:rPr>
            </w:pPr>
            <w:r>
              <w:rPr>
                <w:rFonts w:cs="Times New Roman"/>
              </w:rPr>
              <w:t>2.96 (2.19–4.09)</w:t>
            </w:r>
          </w:p>
        </w:tc>
      </w:tr>
    </w:tbl>
    <w:p w14:paraId="60494951" w14:textId="77777777" w:rsidR="004C4B7E" w:rsidRDefault="004C4B7E">
      <w:pPr>
        <w:spacing w:after="0" w:line="480" w:lineRule="auto"/>
        <w:jc w:val="both"/>
        <w:rPr>
          <w:rFonts w:cs="Times New Roman"/>
          <w:b/>
          <w:bCs/>
          <w:kern w:val="2"/>
        </w:rPr>
      </w:pPr>
    </w:p>
    <w:p w14:paraId="768E87A8" w14:textId="77777777" w:rsidR="004C4B7E" w:rsidRDefault="004C4B7E">
      <w:pPr>
        <w:spacing w:after="0" w:line="480" w:lineRule="auto"/>
        <w:jc w:val="both"/>
        <w:rPr>
          <w:rFonts w:cs="Times New Roman"/>
        </w:rPr>
      </w:pPr>
    </w:p>
    <w:p w14:paraId="54F73310" w14:textId="77777777" w:rsidR="004C4B7E" w:rsidRPr="007B2D26" w:rsidRDefault="007B2D26">
      <w:pPr>
        <w:jc w:val="both"/>
        <w:rPr>
          <w:b/>
        </w:rPr>
      </w:pPr>
      <w:r w:rsidRPr="007B2D26">
        <w:rPr>
          <w:b/>
        </w:rPr>
        <w:t>3.4</w:t>
      </w:r>
      <w:r w:rsidR="004B1C8B" w:rsidRPr="007B2D26">
        <w:rPr>
          <w:b/>
        </w:rPr>
        <w:t xml:space="preserve"> Comparison of Lipid Profile Parameters and Atherogenic Indices between Men with Normal and Elevated PSA Levels</w:t>
      </w:r>
    </w:p>
    <w:p w14:paraId="2A6ED08B" w14:textId="57D9291E" w:rsidR="004C4B7E" w:rsidRDefault="004B1C8B">
      <w:pPr>
        <w:jc w:val="both"/>
      </w:pPr>
      <w:r>
        <w:t>The analysis comparing lipid profile parameters and atherogenic indices between men with normal and elevated prostate-spec</w:t>
      </w:r>
      <w:r w:rsidR="00192F82">
        <w:t xml:space="preserve">ific </w:t>
      </w:r>
      <w:proofErr w:type="gramStart"/>
      <w:r w:rsidR="00192F82">
        <w:t>antigen(</w:t>
      </w:r>
      <w:proofErr w:type="gramEnd"/>
      <w:r w:rsidR="00192F82">
        <w:t xml:space="preserve">PSA) levels(Table </w:t>
      </w:r>
      <w:r>
        <w:t>4) indicates that total cholesterol(TC) was slightly higher in the elevated PSA group(5.06 ± 1.59 mmol/L) compared to the normal PSA group(4.78 ± 1.12 mmol/L), however, this difference was not statistically significant(p = 0.229).</w:t>
      </w:r>
    </w:p>
    <w:p w14:paraId="78433544" w14:textId="77777777" w:rsidR="004C4B7E" w:rsidRDefault="004B1C8B">
      <w:pPr>
        <w:jc w:val="both"/>
      </w:pPr>
      <w:r>
        <w:t>Triglyceride (TG) levels were lower in the elevated PSA group (1.05 ± 0.36 mmol/L) compared with the normal PSA group (1.15 ± 0.42 mmol/L), with a p-value of 0.185, suggesting no significant difference.</w:t>
      </w:r>
    </w:p>
    <w:p w14:paraId="455F6A90" w14:textId="77777777" w:rsidR="004C4B7E" w:rsidRDefault="004B1C8B">
      <w:pPr>
        <w:jc w:val="both"/>
      </w:pPr>
      <w:r>
        <w:t>However, low-density lipoprotein (LDL) cholesterol levels were significantly higher in the elevated PSA group (3.43 ± 1.24 mmol/L) compared to the normal PSA group (2.93 ± 0.95 mmol/L), resulting in a p-value of 0.009. This indicates a statistically significant increase and may suggest a link between elevated PSA levels and increased LDL cholesterol.</w:t>
      </w:r>
    </w:p>
    <w:p w14:paraId="7887EFB3" w14:textId="77777777" w:rsidR="004C4B7E" w:rsidRDefault="004B1C8B">
      <w:pPr>
        <w:jc w:val="both"/>
      </w:pPr>
      <w:r>
        <w:t>High-density lipoprotein (HDL) levels were slightly higher in men with elevated PSA (1.35 ± 0.44 mmol/L) compared to those with normal PSA (1.27 ± 0.42 mmol/L), but the difference was not statistically significant (p = 0.268).</w:t>
      </w:r>
    </w:p>
    <w:p w14:paraId="12039A9E" w14:textId="77777777" w:rsidR="004C4B7E" w:rsidRDefault="004B1C8B">
      <w:pPr>
        <w:jc w:val="both"/>
      </w:pPr>
      <w:r>
        <w:t>The Atherogenic Index of Plasma (AIP) showed more negative values in the elevated PSA group (-0.48 ± 2.53) compared to the normal group (-0.04 ± 0.22), however, the large standard deviation in the elevated group and a p-value of 0.075 indicate high variability and a lack of statistical significance.</w:t>
      </w:r>
    </w:p>
    <w:p w14:paraId="2F4F6B27" w14:textId="77777777" w:rsidR="004C4B7E" w:rsidRDefault="004B1C8B">
      <w:pPr>
        <w:jc w:val="both"/>
      </w:pPr>
      <w:r>
        <w:lastRenderedPageBreak/>
        <w:t>For the Castelli Risk Indices, CRI-I was almost identical between groups (4.02 ± 1.38 vs. 3.96 ± 1.19, p = 0.812), and CRI-II was also not significantly different (2.47 ± 1.01 vs. 2.68 ± 0.97, p = 0.260).</w:t>
      </w:r>
    </w:p>
    <w:p w14:paraId="14CE8326" w14:textId="77777777" w:rsidR="004C4B7E" w:rsidRDefault="004B1C8B">
      <w:pPr>
        <w:jc w:val="both"/>
      </w:pPr>
      <w:r>
        <w:t>The Atherogenic Coefficient (AC) was higher in the normal PSA group (4.89 ± 19.59) compared to the elevated PSA group (3.03 ± 1.17), however, the difference was not significant (p = 0.549). The wide standard deviation in the normal PSA group indicates the presence of extreme outliers.</w:t>
      </w:r>
    </w:p>
    <w:p w14:paraId="518A0353" w14:textId="77777777" w:rsidR="004C4B7E" w:rsidRDefault="004B1C8B">
      <w:pPr>
        <w:jc w:val="both"/>
      </w:pPr>
      <w:r>
        <w:t>In summary, among the lipid parameters and atherogenic indices compared between men with normal and elevated PSA levels, only LDL cholesterol showed a statistically significant difference, which is higher in the elevated PSA group. Other parameters, including TC, TG, HDL, AIP, CRI-I, CRI-II, and AC, did not show significant differences, however, AIP and AC values exhibited high variability, particularly in the elevated PSA group, likely due to outliers.</w:t>
      </w:r>
    </w:p>
    <w:p w14:paraId="36AE5BAC" w14:textId="77777777" w:rsidR="004C4B7E" w:rsidRDefault="004C4B7E"/>
    <w:p w14:paraId="59FFAB20" w14:textId="699C72B0" w:rsidR="004C4B7E" w:rsidRDefault="00CA6369">
      <w:pPr>
        <w:spacing w:before="240" w:after="0"/>
        <w:jc w:val="both"/>
        <w:rPr>
          <w:rFonts w:cs="Times New Roman"/>
          <w:b/>
        </w:rPr>
      </w:pPr>
      <w:r>
        <w:rPr>
          <w:rFonts w:cs="Times New Roman"/>
          <w:b/>
        </w:rPr>
        <w:t xml:space="preserve">Table </w:t>
      </w:r>
      <w:r w:rsidR="00A0536E">
        <w:rPr>
          <w:rFonts w:cs="Times New Roman"/>
          <w:b/>
        </w:rPr>
        <w:t>4</w:t>
      </w:r>
      <w:r w:rsidR="004B1C8B">
        <w:rPr>
          <w:rFonts w:cs="Times New Roman"/>
          <w:b/>
        </w:rPr>
        <w:t>: Comparison of Lipid Profile Parameters and Atherogenic Indices between Men with Normal and Elevated PSA Levels</w:t>
      </w:r>
    </w:p>
    <w:p w14:paraId="4054DC11" w14:textId="77777777" w:rsidR="004C4B7E" w:rsidRDefault="004C4B7E">
      <w:pPr>
        <w:spacing w:before="240" w:after="0"/>
        <w:jc w:val="both"/>
        <w:rPr>
          <w:rFonts w:cs="Times New Roman"/>
          <w:b/>
          <w:bCs/>
        </w:rPr>
      </w:pPr>
    </w:p>
    <w:tbl>
      <w:tblPr>
        <w:tblW w:w="0" w:type="auto"/>
        <w:tblBorders>
          <w:top w:val="single" w:sz="4" w:space="0" w:color="auto"/>
          <w:bottom w:val="single" w:sz="4" w:space="0" w:color="auto"/>
        </w:tblBorders>
        <w:tblLook w:val="04A0" w:firstRow="1" w:lastRow="0" w:firstColumn="1" w:lastColumn="0" w:noHBand="0" w:noVBand="1"/>
      </w:tblPr>
      <w:tblGrid>
        <w:gridCol w:w="3226"/>
        <w:gridCol w:w="1988"/>
        <w:gridCol w:w="1784"/>
        <w:gridCol w:w="1308"/>
      </w:tblGrid>
      <w:tr w:rsidR="004C4B7E" w14:paraId="2C165886" w14:textId="77777777">
        <w:tc>
          <w:tcPr>
            <w:tcW w:w="3685" w:type="dxa"/>
            <w:tcBorders>
              <w:top w:val="single" w:sz="4" w:space="0" w:color="auto"/>
              <w:bottom w:val="single" w:sz="4" w:space="0" w:color="auto"/>
            </w:tcBorders>
          </w:tcPr>
          <w:p w14:paraId="128B522B" w14:textId="77777777" w:rsidR="004C4B7E" w:rsidRDefault="004B1C8B">
            <w:pPr>
              <w:spacing w:after="0" w:line="360" w:lineRule="auto"/>
              <w:rPr>
                <w:rFonts w:cs="Times New Roman"/>
                <w:b/>
                <w:bCs/>
              </w:rPr>
            </w:pPr>
            <w:r>
              <w:rPr>
                <w:rFonts w:cs="Times New Roman"/>
                <w:b/>
                <w:bCs/>
              </w:rPr>
              <w:t>Parameter</w:t>
            </w:r>
          </w:p>
        </w:tc>
        <w:tc>
          <w:tcPr>
            <w:tcW w:w="2250" w:type="dxa"/>
            <w:tcBorders>
              <w:top w:val="single" w:sz="4" w:space="0" w:color="auto"/>
              <w:bottom w:val="single" w:sz="4" w:space="0" w:color="auto"/>
            </w:tcBorders>
          </w:tcPr>
          <w:p w14:paraId="05DBF4DF" w14:textId="77777777" w:rsidR="004C4B7E" w:rsidRDefault="004B1C8B">
            <w:pPr>
              <w:spacing w:after="0" w:line="360" w:lineRule="auto"/>
              <w:jc w:val="both"/>
              <w:rPr>
                <w:rFonts w:cs="Times New Roman"/>
                <w:b/>
                <w:bCs/>
              </w:rPr>
            </w:pPr>
            <w:r>
              <w:rPr>
                <w:rFonts w:cs="Times New Roman"/>
                <w:b/>
                <w:bCs/>
              </w:rPr>
              <w:t xml:space="preserve">Normal PSA </w:t>
            </w:r>
          </w:p>
          <w:p w14:paraId="624DB9CB" w14:textId="77777777" w:rsidR="004C4B7E" w:rsidRDefault="004B1C8B">
            <w:pPr>
              <w:spacing w:after="0" w:line="360" w:lineRule="auto"/>
              <w:jc w:val="both"/>
              <w:rPr>
                <w:rFonts w:cs="Times New Roman"/>
                <w:b/>
                <w:bCs/>
              </w:rPr>
            </w:pPr>
            <w:r>
              <w:rPr>
                <w:rFonts w:cs="Times New Roman"/>
                <w:b/>
                <w:bCs/>
              </w:rPr>
              <w:t>(Mean ± SD)</w:t>
            </w:r>
          </w:p>
        </w:tc>
        <w:tc>
          <w:tcPr>
            <w:tcW w:w="1963" w:type="dxa"/>
            <w:tcBorders>
              <w:top w:val="single" w:sz="4" w:space="0" w:color="auto"/>
              <w:bottom w:val="single" w:sz="4" w:space="0" w:color="auto"/>
            </w:tcBorders>
          </w:tcPr>
          <w:p w14:paraId="5ADD9615" w14:textId="77777777" w:rsidR="004C4B7E" w:rsidRDefault="004B1C8B">
            <w:pPr>
              <w:spacing w:after="0" w:line="360" w:lineRule="auto"/>
              <w:rPr>
                <w:rFonts w:cs="Times New Roman"/>
                <w:b/>
                <w:bCs/>
              </w:rPr>
            </w:pPr>
            <w:r>
              <w:rPr>
                <w:rFonts w:cs="Times New Roman"/>
                <w:b/>
                <w:bCs/>
              </w:rPr>
              <w:t>Elevated PSA (Mean ± SD)</w:t>
            </w:r>
          </w:p>
        </w:tc>
        <w:tc>
          <w:tcPr>
            <w:tcW w:w="1452" w:type="dxa"/>
            <w:tcBorders>
              <w:top w:val="single" w:sz="4" w:space="0" w:color="auto"/>
              <w:bottom w:val="single" w:sz="4" w:space="0" w:color="auto"/>
            </w:tcBorders>
          </w:tcPr>
          <w:p w14:paraId="01D38EB5" w14:textId="77777777" w:rsidR="004C4B7E" w:rsidRDefault="004B1C8B">
            <w:pPr>
              <w:spacing w:after="0" w:line="360" w:lineRule="auto"/>
              <w:jc w:val="both"/>
              <w:rPr>
                <w:rFonts w:cs="Times New Roman"/>
                <w:b/>
                <w:bCs/>
              </w:rPr>
            </w:pPr>
            <w:r>
              <w:rPr>
                <w:rFonts w:cs="Times New Roman"/>
                <w:b/>
                <w:bCs/>
              </w:rPr>
              <w:t>P –value</w:t>
            </w:r>
          </w:p>
        </w:tc>
      </w:tr>
      <w:tr w:rsidR="004C4B7E" w14:paraId="763304A0" w14:textId="77777777">
        <w:tc>
          <w:tcPr>
            <w:tcW w:w="3685" w:type="dxa"/>
            <w:tcBorders>
              <w:top w:val="single" w:sz="4" w:space="0" w:color="auto"/>
            </w:tcBorders>
          </w:tcPr>
          <w:p w14:paraId="704ECAF2" w14:textId="77777777" w:rsidR="004C4B7E" w:rsidRDefault="004B1C8B">
            <w:pPr>
              <w:spacing w:after="0" w:line="360" w:lineRule="auto"/>
              <w:rPr>
                <w:rFonts w:cs="Times New Roman"/>
              </w:rPr>
            </w:pPr>
            <w:r>
              <w:rPr>
                <w:rFonts w:cs="Times New Roman"/>
              </w:rPr>
              <w:t>Total Cholesterol (TC)</w:t>
            </w:r>
          </w:p>
        </w:tc>
        <w:tc>
          <w:tcPr>
            <w:tcW w:w="2250" w:type="dxa"/>
            <w:tcBorders>
              <w:top w:val="single" w:sz="4" w:space="0" w:color="auto"/>
            </w:tcBorders>
          </w:tcPr>
          <w:p w14:paraId="19CC9496" w14:textId="77777777" w:rsidR="004C4B7E" w:rsidRDefault="004B1C8B">
            <w:pPr>
              <w:spacing w:after="0" w:line="360" w:lineRule="auto"/>
              <w:jc w:val="both"/>
              <w:rPr>
                <w:rFonts w:cs="Times New Roman"/>
              </w:rPr>
            </w:pPr>
            <w:r>
              <w:rPr>
                <w:rFonts w:cs="Times New Roman"/>
              </w:rPr>
              <w:t>4.78 ± 1.12</w:t>
            </w:r>
          </w:p>
        </w:tc>
        <w:tc>
          <w:tcPr>
            <w:tcW w:w="1963" w:type="dxa"/>
            <w:tcBorders>
              <w:top w:val="single" w:sz="4" w:space="0" w:color="auto"/>
            </w:tcBorders>
          </w:tcPr>
          <w:p w14:paraId="586CFCE8" w14:textId="77777777" w:rsidR="004C4B7E" w:rsidRDefault="004B1C8B">
            <w:pPr>
              <w:spacing w:after="0" w:line="360" w:lineRule="auto"/>
              <w:rPr>
                <w:rFonts w:cs="Times New Roman"/>
              </w:rPr>
            </w:pPr>
            <w:r>
              <w:rPr>
                <w:rFonts w:cs="Times New Roman"/>
              </w:rPr>
              <w:t>5.06 ± 1.59</w:t>
            </w:r>
          </w:p>
        </w:tc>
        <w:tc>
          <w:tcPr>
            <w:tcW w:w="1452" w:type="dxa"/>
            <w:tcBorders>
              <w:top w:val="single" w:sz="4" w:space="0" w:color="auto"/>
            </w:tcBorders>
          </w:tcPr>
          <w:p w14:paraId="682F35E2" w14:textId="77777777" w:rsidR="004C4B7E" w:rsidRDefault="004B1C8B">
            <w:pPr>
              <w:spacing w:after="0" w:line="360" w:lineRule="auto"/>
              <w:jc w:val="both"/>
              <w:rPr>
                <w:rFonts w:cs="Times New Roman"/>
              </w:rPr>
            </w:pPr>
            <w:r>
              <w:rPr>
                <w:rFonts w:cs="Times New Roman"/>
              </w:rPr>
              <w:t>0.229</w:t>
            </w:r>
          </w:p>
        </w:tc>
      </w:tr>
      <w:tr w:rsidR="004C4B7E" w14:paraId="4314CE01" w14:textId="77777777">
        <w:tc>
          <w:tcPr>
            <w:tcW w:w="3685" w:type="dxa"/>
          </w:tcPr>
          <w:p w14:paraId="1E45730D" w14:textId="77777777" w:rsidR="004C4B7E" w:rsidRDefault="004B1C8B">
            <w:pPr>
              <w:spacing w:after="0" w:line="360" w:lineRule="auto"/>
              <w:rPr>
                <w:rFonts w:cs="Times New Roman"/>
              </w:rPr>
            </w:pPr>
            <w:r>
              <w:rPr>
                <w:rFonts w:cs="Times New Roman"/>
              </w:rPr>
              <w:t>Triglycerides (TG)</w:t>
            </w:r>
          </w:p>
        </w:tc>
        <w:tc>
          <w:tcPr>
            <w:tcW w:w="2250" w:type="dxa"/>
          </w:tcPr>
          <w:p w14:paraId="695B7630" w14:textId="77777777" w:rsidR="004C4B7E" w:rsidRDefault="004B1C8B">
            <w:pPr>
              <w:spacing w:after="0" w:line="360" w:lineRule="auto"/>
              <w:jc w:val="both"/>
              <w:rPr>
                <w:rFonts w:cs="Times New Roman"/>
              </w:rPr>
            </w:pPr>
            <w:r>
              <w:rPr>
                <w:rFonts w:cs="Times New Roman"/>
              </w:rPr>
              <w:t>1.15 ± 0.42</w:t>
            </w:r>
          </w:p>
        </w:tc>
        <w:tc>
          <w:tcPr>
            <w:tcW w:w="1963" w:type="dxa"/>
          </w:tcPr>
          <w:p w14:paraId="74D1FFAD" w14:textId="77777777" w:rsidR="004C4B7E" w:rsidRDefault="004B1C8B">
            <w:pPr>
              <w:spacing w:after="0" w:line="360" w:lineRule="auto"/>
              <w:rPr>
                <w:rFonts w:cs="Times New Roman"/>
              </w:rPr>
            </w:pPr>
            <w:r>
              <w:rPr>
                <w:rFonts w:cs="Times New Roman"/>
              </w:rPr>
              <w:t>1.05 ± 0.36</w:t>
            </w:r>
          </w:p>
        </w:tc>
        <w:tc>
          <w:tcPr>
            <w:tcW w:w="1452" w:type="dxa"/>
          </w:tcPr>
          <w:p w14:paraId="374A93CC" w14:textId="77777777" w:rsidR="004C4B7E" w:rsidRDefault="004B1C8B">
            <w:pPr>
              <w:spacing w:after="0" w:line="360" w:lineRule="auto"/>
              <w:jc w:val="both"/>
              <w:rPr>
                <w:rFonts w:cs="Times New Roman"/>
              </w:rPr>
            </w:pPr>
            <w:r>
              <w:rPr>
                <w:rFonts w:cs="Times New Roman"/>
              </w:rPr>
              <w:t>0.185</w:t>
            </w:r>
          </w:p>
        </w:tc>
      </w:tr>
      <w:tr w:rsidR="004C4B7E" w14:paraId="2C5A7425" w14:textId="77777777">
        <w:tc>
          <w:tcPr>
            <w:tcW w:w="3685" w:type="dxa"/>
          </w:tcPr>
          <w:p w14:paraId="102FCE7D" w14:textId="77777777" w:rsidR="004C4B7E" w:rsidRDefault="004B1C8B">
            <w:pPr>
              <w:spacing w:after="0" w:line="360" w:lineRule="auto"/>
              <w:rPr>
                <w:rFonts w:cs="Times New Roman"/>
              </w:rPr>
            </w:pPr>
            <w:r>
              <w:rPr>
                <w:rFonts w:cs="Times New Roman"/>
              </w:rPr>
              <w:t>LDL</w:t>
            </w:r>
          </w:p>
        </w:tc>
        <w:tc>
          <w:tcPr>
            <w:tcW w:w="2250" w:type="dxa"/>
          </w:tcPr>
          <w:p w14:paraId="151147E3" w14:textId="77777777" w:rsidR="004C4B7E" w:rsidRDefault="004B1C8B">
            <w:pPr>
              <w:spacing w:after="0" w:line="360" w:lineRule="auto"/>
              <w:jc w:val="both"/>
              <w:rPr>
                <w:rFonts w:cs="Times New Roman"/>
              </w:rPr>
            </w:pPr>
            <w:r>
              <w:rPr>
                <w:rFonts w:cs="Times New Roman"/>
              </w:rPr>
              <w:t>2.93 ± 0.95</w:t>
            </w:r>
          </w:p>
        </w:tc>
        <w:tc>
          <w:tcPr>
            <w:tcW w:w="1963" w:type="dxa"/>
          </w:tcPr>
          <w:p w14:paraId="52FF84F6" w14:textId="77777777" w:rsidR="004C4B7E" w:rsidRDefault="004B1C8B">
            <w:pPr>
              <w:spacing w:after="0" w:line="360" w:lineRule="auto"/>
              <w:rPr>
                <w:rFonts w:cs="Times New Roman"/>
              </w:rPr>
            </w:pPr>
            <w:r>
              <w:rPr>
                <w:rFonts w:cs="Times New Roman"/>
              </w:rPr>
              <w:t>3.43 ± 1.24</w:t>
            </w:r>
          </w:p>
        </w:tc>
        <w:tc>
          <w:tcPr>
            <w:tcW w:w="1452" w:type="dxa"/>
          </w:tcPr>
          <w:p w14:paraId="2F9CC5BB" w14:textId="77777777" w:rsidR="004C4B7E" w:rsidRDefault="004B1C8B">
            <w:pPr>
              <w:spacing w:after="0" w:line="360" w:lineRule="auto"/>
              <w:jc w:val="both"/>
              <w:rPr>
                <w:rFonts w:cs="Times New Roman"/>
              </w:rPr>
            </w:pPr>
            <w:r>
              <w:rPr>
                <w:rFonts w:cs="Times New Roman"/>
              </w:rPr>
              <w:t>0.009</w:t>
            </w:r>
          </w:p>
        </w:tc>
      </w:tr>
      <w:tr w:rsidR="004C4B7E" w14:paraId="7E758718" w14:textId="77777777">
        <w:tc>
          <w:tcPr>
            <w:tcW w:w="3685" w:type="dxa"/>
          </w:tcPr>
          <w:p w14:paraId="252687C9" w14:textId="77777777" w:rsidR="004C4B7E" w:rsidRDefault="004B1C8B">
            <w:pPr>
              <w:spacing w:after="0" w:line="360" w:lineRule="auto"/>
              <w:rPr>
                <w:rFonts w:cs="Times New Roman"/>
              </w:rPr>
            </w:pPr>
            <w:r>
              <w:rPr>
                <w:rFonts w:cs="Times New Roman"/>
              </w:rPr>
              <w:t>HDL</w:t>
            </w:r>
          </w:p>
        </w:tc>
        <w:tc>
          <w:tcPr>
            <w:tcW w:w="2250" w:type="dxa"/>
          </w:tcPr>
          <w:p w14:paraId="5233E36A" w14:textId="77777777" w:rsidR="004C4B7E" w:rsidRDefault="004B1C8B">
            <w:pPr>
              <w:spacing w:after="0" w:line="360" w:lineRule="auto"/>
              <w:jc w:val="both"/>
              <w:rPr>
                <w:rFonts w:cs="Times New Roman"/>
              </w:rPr>
            </w:pPr>
            <w:r>
              <w:rPr>
                <w:rFonts w:cs="Times New Roman"/>
              </w:rPr>
              <w:t>1.27 ± 0.42</w:t>
            </w:r>
          </w:p>
        </w:tc>
        <w:tc>
          <w:tcPr>
            <w:tcW w:w="1963" w:type="dxa"/>
          </w:tcPr>
          <w:p w14:paraId="2BA83898" w14:textId="77777777" w:rsidR="004C4B7E" w:rsidRDefault="004B1C8B">
            <w:pPr>
              <w:spacing w:after="0" w:line="360" w:lineRule="auto"/>
              <w:rPr>
                <w:rFonts w:cs="Times New Roman"/>
              </w:rPr>
            </w:pPr>
            <w:r>
              <w:rPr>
                <w:rFonts w:cs="Times New Roman"/>
              </w:rPr>
              <w:t>1.35 ± 0.44</w:t>
            </w:r>
          </w:p>
        </w:tc>
        <w:tc>
          <w:tcPr>
            <w:tcW w:w="1452" w:type="dxa"/>
          </w:tcPr>
          <w:p w14:paraId="6F8FE5F3" w14:textId="77777777" w:rsidR="004C4B7E" w:rsidRDefault="004B1C8B">
            <w:pPr>
              <w:spacing w:after="0" w:line="360" w:lineRule="auto"/>
              <w:jc w:val="both"/>
              <w:rPr>
                <w:rFonts w:cs="Times New Roman"/>
              </w:rPr>
            </w:pPr>
            <w:r>
              <w:rPr>
                <w:rFonts w:cs="Times New Roman"/>
              </w:rPr>
              <w:t>0.268</w:t>
            </w:r>
          </w:p>
        </w:tc>
      </w:tr>
      <w:tr w:rsidR="004C4B7E" w14:paraId="4291B4C9" w14:textId="77777777">
        <w:tc>
          <w:tcPr>
            <w:tcW w:w="3685" w:type="dxa"/>
          </w:tcPr>
          <w:p w14:paraId="7DCCB29B" w14:textId="77777777" w:rsidR="004C4B7E" w:rsidRDefault="004B1C8B">
            <w:pPr>
              <w:spacing w:after="0" w:line="360" w:lineRule="auto"/>
              <w:rPr>
                <w:rFonts w:cs="Times New Roman"/>
              </w:rPr>
            </w:pPr>
            <w:r>
              <w:rPr>
                <w:rFonts w:cs="Times New Roman"/>
              </w:rPr>
              <w:t>Atherogenic Index of Plasma (AIP)</w:t>
            </w:r>
          </w:p>
        </w:tc>
        <w:tc>
          <w:tcPr>
            <w:tcW w:w="2250" w:type="dxa"/>
          </w:tcPr>
          <w:p w14:paraId="30ECCD22" w14:textId="77777777" w:rsidR="004C4B7E" w:rsidRDefault="004B1C8B">
            <w:pPr>
              <w:spacing w:after="0" w:line="360" w:lineRule="auto"/>
              <w:jc w:val="both"/>
              <w:rPr>
                <w:rFonts w:cs="Times New Roman"/>
              </w:rPr>
            </w:pPr>
            <w:r>
              <w:rPr>
                <w:rFonts w:cs="Times New Roman"/>
              </w:rPr>
              <w:t>-0.04 ± 0.22</w:t>
            </w:r>
          </w:p>
        </w:tc>
        <w:tc>
          <w:tcPr>
            <w:tcW w:w="1963" w:type="dxa"/>
          </w:tcPr>
          <w:p w14:paraId="07866FB1" w14:textId="77777777" w:rsidR="004C4B7E" w:rsidRDefault="004B1C8B">
            <w:pPr>
              <w:spacing w:after="0" w:line="360" w:lineRule="auto"/>
              <w:rPr>
                <w:rFonts w:cs="Times New Roman"/>
              </w:rPr>
            </w:pPr>
            <w:r>
              <w:rPr>
                <w:rFonts w:cs="Times New Roman"/>
              </w:rPr>
              <w:t>-0.48 ± 2.53</w:t>
            </w:r>
          </w:p>
        </w:tc>
        <w:tc>
          <w:tcPr>
            <w:tcW w:w="1452" w:type="dxa"/>
          </w:tcPr>
          <w:p w14:paraId="4B7780B6" w14:textId="77777777" w:rsidR="004C4B7E" w:rsidRDefault="004B1C8B">
            <w:pPr>
              <w:spacing w:after="0" w:line="360" w:lineRule="auto"/>
              <w:jc w:val="both"/>
              <w:rPr>
                <w:rFonts w:cs="Times New Roman"/>
              </w:rPr>
            </w:pPr>
            <w:r>
              <w:rPr>
                <w:rFonts w:cs="Times New Roman"/>
              </w:rPr>
              <w:t>0.075</w:t>
            </w:r>
          </w:p>
        </w:tc>
      </w:tr>
      <w:tr w:rsidR="004C4B7E" w14:paraId="6A80E892" w14:textId="77777777">
        <w:tc>
          <w:tcPr>
            <w:tcW w:w="3685" w:type="dxa"/>
          </w:tcPr>
          <w:p w14:paraId="6AD167B9" w14:textId="77777777" w:rsidR="004C4B7E" w:rsidRDefault="004B1C8B">
            <w:pPr>
              <w:spacing w:after="0" w:line="360" w:lineRule="auto"/>
              <w:rPr>
                <w:rFonts w:cs="Times New Roman"/>
              </w:rPr>
            </w:pPr>
            <w:r>
              <w:rPr>
                <w:rFonts w:cs="Times New Roman"/>
              </w:rPr>
              <w:t>Castelli Risk Index I (CRI-I)</w:t>
            </w:r>
          </w:p>
        </w:tc>
        <w:tc>
          <w:tcPr>
            <w:tcW w:w="2250" w:type="dxa"/>
          </w:tcPr>
          <w:p w14:paraId="7E8502D7" w14:textId="77777777" w:rsidR="004C4B7E" w:rsidRDefault="004B1C8B">
            <w:pPr>
              <w:spacing w:after="0" w:line="360" w:lineRule="auto"/>
              <w:jc w:val="both"/>
              <w:rPr>
                <w:rFonts w:cs="Times New Roman"/>
              </w:rPr>
            </w:pPr>
            <w:r>
              <w:rPr>
                <w:rFonts w:cs="Times New Roman"/>
              </w:rPr>
              <w:t>4.02 ± 1.38</w:t>
            </w:r>
          </w:p>
        </w:tc>
        <w:tc>
          <w:tcPr>
            <w:tcW w:w="1963" w:type="dxa"/>
          </w:tcPr>
          <w:p w14:paraId="4FCADBD4" w14:textId="77777777" w:rsidR="004C4B7E" w:rsidRDefault="004B1C8B">
            <w:pPr>
              <w:spacing w:after="0" w:line="360" w:lineRule="auto"/>
              <w:rPr>
                <w:rFonts w:cs="Times New Roman"/>
              </w:rPr>
            </w:pPr>
            <w:r>
              <w:rPr>
                <w:rFonts w:cs="Times New Roman"/>
              </w:rPr>
              <w:t>3.96 ± 1.19</w:t>
            </w:r>
          </w:p>
        </w:tc>
        <w:tc>
          <w:tcPr>
            <w:tcW w:w="1452" w:type="dxa"/>
          </w:tcPr>
          <w:p w14:paraId="3460393F" w14:textId="77777777" w:rsidR="004C4B7E" w:rsidRDefault="004B1C8B">
            <w:pPr>
              <w:spacing w:after="0" w:line="360" w:lineRule="auto"/>
              <w:jc w:val="both"/>
              <w:rPr>
                <w:rFonts w:cs="Times New Roman"/>
              </w:rPr>
            </w:pPr>
            <w:r>
              <w:rPr>
                <w:rFonts w:cs="Times New Roman"/>
              </w:rPr>
              <w:t>0.812</w:t>
            </w:r>
          </w:p>
        </w:tc>
      </w:tr>
      <w:tr w:rsidR="004C4B7E" w14:paraId="59928A1C" w14:textId="77777777">
        <w:tc>
          <w:tcPr>
            <w:tcW w:w="3685" w:type="dxa"/>
          </w:tcPr>
          <w:p w14:paraId="6E671C34" w14:textId="77777777" w:rsidR="004C4B7E" w:rsidRDefault="004B1C8B">
            <w:pPr>
              <w:spacing w:after="0" w:line="360" w:lineRule="auto"/>
              <w:rPr>
                <w:rFonts w:cs="Times New Roman"/>
              </w:rPr>
            </w:pPr>
            <w:r>
              <w:rPr>
                <w:rFonts w:cs="Times New Roman"/>
              </w:rPr>
              <w:t>Castelli Risk Index II (CRI-II)</w:t>
            </w:r>
          </w:p>
        </w:tc>
        <w:tc>
          <w:tcPr>
            <w:tcW w:w="2250" w:type="dxa"/>
          </w:tcPr>
          <w:p w14:paraId="04B1D7B4" w14:textId="77777777" w:rsidR="004C4B7E" w:rsidRDefault="004B1C8B">
            <w:pPr>
              <w:spacing w:after="0" w:line="360" w:lineRule="auto"/>
              <w:jc w:val="both"/>
              <w:rPr>
                <w:rFonts w:cs="Times New Roman"/>
              </w:rPr>
            </w:pPr>
            <w:r>
              <w:rPr>
                <w:rFonts w:cs="Times New Roman"/>
              </w:rPr>
              <w:t>2.47 ± 1.01</w:t>
            </w:r>
          </w:p>
        </w:tc>
        <w:tc>
          <w:tcPr>
            <w:tcW w:w="1963" w:type="dxa"/>
          </w:tcPr>
          <w:p w14:paraId="35ACBB94" w14:textId="77777777" w:rsidR="004C4B7E" w:rsidRDefault="004B1C8B">
            <w:pPr>
              <w:spacing w:after="0" w:line="360" w:lineRule="auto"/>
              <w:rPr>
                <w:rFonts w:cs="Times New Roman"/>
              </w:rPr>
            </w:pPr>
            <w:r>
              <w:rPr>
                <w:rFonts w:cs="Times New Roman"/>
              </w:rPr>
              <w:t>2.68 ± 0.97</w:t>
            </w:r>
          </w:p>
        </w:tc>
        <w:tc>
          <w:tcPr>
            <w:tcW w:w="1452" w:type="dxa"/>
          </w:tcPr>
          <w:p w14:paraId="3EA4F688" w14:textId="77777777" w:rsidR="004C4B7E" w:rsidRDefault="004B1C8B">
            <w:pPr>
              <w:spacing w:after="0" w:line="360" w:lineRule="auto"/>
              <w:jc w:val="both"/>
              <w:rPr>
                <w:rFonts w:cs="Times New Roman"/>
              </w:rPr>
            </w:pPr>
            <w:r>
              <w:rPr>
                <w:rFonts w:cs="Times New Roman"/>
              </w:rPr>
              <w:t>0.260</w:t>
            </w:r>
          </w:p>
        </w:tc>
      </w:tr>
      <w:tr w:rsidR="004C4B7E" w14:paraId="79C50CF7" w14:textId="77777777">
        <w:tc>
          <w:tcPr>
            <w:tcW w:w="3685" w:type="dxa"/>
          </w:tcPr>
          <w:p w14:paraId="65C931AE" w14:textId="77777777" w:rsidR="004C4B7E" w:rsidRDefault="004B1C8B">
            <w:pPr>
              <w:spacing w:after="0" w:line="360" w:lineRule="auto"/>
              <w:rPr>
                <w:rFonts w:cs="Times New Roman"/>
              </w:rPr>
            </w:pPr>
            <w:r>
              <w:rPr>
                <w:rFonts w:cs="Times New Roman"/>
              </w:rPr>
              <w:t>Atherogenic Coefficient (AC)</w:t>
            </w:r>
          </w:p>
        </w:tc>
        <w:tc>
          <w:tcPr>
            <w:tcW w:w="2250" w:type="dxa"/>
          </w:tcPr>
          <w:p w14:paraId="7283D46C" w14:textId="77777777" w:rsidR="004C4B7E" w:rsidRDefault="004B1C8B">
            <w:pPr>
              <w:spacing w:after="0" w:line="360" w:lineRule="auto"/>
              <w:jc w:val="both"/>
              <w:rPr>
                <w:rFonts w:cs="Times New Roman"/>
              </w:rPr>
            </w:pPr>
            <w:r>
              <w:rPr>
                <w:rFonts w:cs="Times New Roman"/>
              </w:rPr>
              <w:t>4.89 ± 19.59</w:t>
            </w:r>
          </w:p>
        </w:tc>
        <w:tc>
          <w:tcPr>
            <w:tcW w:w="1963" w:type="dxa"/>
          </w:tcPr>
          <w:p w14:paraId="467928DF" w14:textId="77777777" w:rsidR="004C4B7E" w:rsidRDefault="004B1C8B">
            <w:pPr>
              <w:spacing w:after="0" w:line="360" w:lineRule="auto"/>
              <w:rPr>
                <w:rFonts w:cs="Times New Roman"/>
              </w:rPr>
            </w:pPr>
            <w:r>
              <w:rPr>
                <w:rFonts w:cs="Times New Roman"/>
              </w:rPr>
              <w:t>3.03 ± 1.17</w:t>
            </w:r>
          </w:p>
        </w:tc>
        <w:tc>
          <w:tcPr>
            <w:tcW w:w="1452" w:type="dxa"/>
          </w:tcPr>
          <w:p w14:paraId="3121D3BF" w14:textId="77777777" w:rsidR="004C4B7E" w:rsidRDefault="004B1C8B">
            <w:pPr>
              <w:spacing w:after="0" w:line="360" w:lineRule="auto"/>
              <w:jc w:val="both"/>
              <w:rPr>
                <w:rFonts w:cs="Times New Roman"/>
              </w:rPr>
            </w:pPr>
            <w:r>
              <w:rPr>
                <w:rFonts w:cs="Times New Roman"/>
              </w:rPr>
              <w:t>0.549</w:t>
            </w:r>
          </w:p>
        </w:tc>
      </w:tr>
    </w:tbl>
    <w:p w14:paraId="178F63FB" w14:textId="77777777" w:rsidR="004C4B7E" w:rsidRDefault="004B1C8B">
      <w:pPr>
        <w:spacing w:line="480" w:lineRule="auto"/>
        <w:jc w:val="both"/>
        <w:rPr>
          <w:rFonts w:cs="Times New Roman"/>
          <w:kern w:val="2"/>
        </w:rPr>
      </w:pPr>
      <w:r>
        <w:rPr>
          <w:rFonts w:cs="Times New Roman"/>
        </w:rPr>
        <w:t>P &lt; 0.05 was considered statistically significant</w:t>
      </w:r>
    </w:p>
    <w:p w14:paraId="72FB5E96" w14:textId="77777777" w:rsidR="004C4B7E" w:rsidRDefault="004B1C8B">
      <w:pPr>
        <w:jc w:val="both"/>
      </w:pPr>
      <w:r>
        <w:rPr>
          <w:rFonts w:ascii="Times New Roman Bold" w:hAnsi="Times New Roman Bold" w:cs="Times New Roman Bold"/>
          <w:b/>
          <w:bCs/>
        </w:rPr>
        <w:t>Discussion</w:t>
      </w:r>
      <w:r>
        <w:t xml:space="preserve"> </w:t>
      </w:r>
    </w:p>
    <w:p w14:paraId="3068887E" w14:textId="77777777" w:rsidR="004C4B7E" w:rsidRDefault="004B1C8B">
      <w:pPr>
        <w:jc w:val="both"/>
      </w:pPr>
      <w:r>
        <w:t xml:space="preserve">This study found that serum LDL-C levels were significantly higher among men with elevated PSA compared to those with normal PSA, suggesting that LDL-C may serve as a metabolic marker associated with prostate enlargement or other prostate conditions. These findings are consistent with reports from other populations, such as the study by Kim et al. (2017) in Korean men and the large Chinese cohort examined by Zhang et </w:t>
      </w:r>
      <w:r>
        <w:lastRenderedPageBreak/>
        <w:t>al. (2021), which similarly observed higher LDL-C in men with increased PSA or prostate disease. Together, these results reinforce the hypothesis that lipid metabolism, particularly LDL-C, may influence PSA levels and potentially contribute to prostate pathology.</w:t>
      </w:r>
    </w:p>
    <w:p w14:paraId="3549281C" w14:textId="77777777" w:rsidR="004C4B7E" w:rsidRDefault="004B1C8B">
      <w:pPr>
        <w:jc w:val="both"/>
      </w:pPr>
      <w:r>
        <w:t>Mechanistically, elevated LDL-C can lead to greater cholesterol accumulation in the membranes of prostatic epithelial cells, which may alter androgen receptor signaling and stimulate cell proliferation (Pelton et al., 2012). Freeman and Solomon (2004) also described how cholesterol-rich membrane rafts could promote oncogenic signaling pathways within the prostate, potentially facilitating tumor development. These biological mechanisms provide a plausible explanation for the association between higher LDL-C and increased PSA observed in this study.</w:t>
      </w:r>
    </w:p>
    <w:p w14:paraId="529487F2" w14:textId="77777777" w:rsidR="004C4B7E" w:rsidRDefault="004B1C8B">
      <w:pPr>
        <w:jc w:val="both"/>
      </w:pPr>
      <w:r>
        <w:t xml:space="preserve">Interestingly, the composite atherogenic indices—CRI-I, CRI-II, AIP, and AC—did not emerge as significant predictors of elevated PSA in this cohort. This aligns with earlier findings from Nigerian studies such as </w:t>
      </w:r>
      <w:proofErr w:type="spellStart"/>
      <w:r>
        <w:t>Akinloye</w:t>
      </w:r>
      <w:proofErr w:type="spellEnd"/>
      <w:r>
        <w:t xml:space="preserve"> et al. (2010) and more recent work by </w:t>
      </w:r>
      <w:proofErr w:type="spellStart"/>
      <w:r>
        <w:t>Omoyinmi</w:t>
      </w:r>
      <w:proofErr w:type="spellEnd"/>
      <w:r>
        <w:t xml:space="preserve"> et al. (2021), both of which reported a lack of association between these indices and PSA levels. While these indices are established markers for cardiovascular risk (Millán et al., 2009; </w:t>
      </w:r>
      <w:proofErr w:type="spellStart"/>
      <w:r>
        <w:t>Dobiásová</w:t>
      </w:r>
      <w:proofErr w:type="spellEnd"/>
      <w:r>
        <w:t>, 2004), our findings suggest they may not effectively reflect prostate-specific metabolic changes. This distinction highlights that while lipid ratios capture systemic cardiovascular risk, individual lipid fractions like LDL-C may be more relevant for prostate disease.</w:t>
      </w:r>
    </w:p>
    <w:p w14:paraId="27303D96" w14:textId="77777777" w:rsidR="004C4B7E" w:rsidRDefault="004B1C8B">
      <w:pPr>
        <w:jc w:val="both"/>
      </w:pPr>
      <w:r>
        <w:t>Age ≥60 years was identified as the strongest independent predictor of PSA elevation, consistent with the well-documented increase in prostate volume, benign hyperplasia, and risk of malignancy associated with aging (Thompson et al., 2005; Mottet et al., 2022). These age-related changes support the clinical recommendation to use age-adjusted PSA reference ranges (Loeb &amp; Carter, 2013), which can help improve screening specificity and reduce unnecessary biopsies among older men.</w:t>
      </w:r>
    </w:p>
    <w:p w14:paraId="00B761D6" w14:textId="77777777" w:rsidR="004C4B7E" w:rsidRDefault="004B1C8B">
      <w:pPr>
        <w:jc w:val="both"/>
      </w:pPr>
      <w:r>
        <w:t>The correlation analysis in this study revealed a strong positive relationship between total cholesterol and LDL-C (r = 0.85–0.92, p &lt; 0.001), confirming LDL-C as a major contributor to total serum cholesterol. This pattern mirrors broader lipid metabolism trends described by Grundy et al. (2005), where LDL-C accounts for a substantial proportion of total cholesterol levels. In contrast, HDL-C showed only moderate correlations, suggesting a more independently regulated role in lipid homeostasis.</w:t>
      </w:r>
    </w:p>
    <w:p w14:paraId="16310704" w14:textId="77777777" w:rsidR="004C4B7E" w:rsidRDefault="004B1C8B">
      <w:pPr>
        <w:jc w:val="both"/>
      </w:pPr>
      <w:r>
        <w:t>Beyond the statistical associations, these findings may have practical implications for prostate disease screening in Nigerian men and similar populations. Including lipid profile assessments—particularly LDL-C—in routine PSA testing could improve risk stratification, especially in men aged 60 and above who are at higher baseline risk. Additionally, lifestyle interventions that lower LDL-C, such as dietary modification and statin use, have been associated with reductions in serum PSA levels (Smith et al., 2022), hinting at potential dual benefits for cardiovascular and prostate health.</w:t>
      </w:r>
    </w:p>
    <w:p w14:paraId="71E6E7BD" w14:textId="77777777" w:rsidR="004C4B7E" w:rsidRDefault="004B1C8B">
      <w:pPr>
        <w:jc w:val="both"/>
      </w:pPr>
      <w:r>
        <w:lastRenderedPageBreak/>
        <w:t>While this study's cross-sectional design limits causal interpretations, it contributes valuable localized evidence by highlighting LDL-C’s potential role in prostate health—an area previously underexplored in Nigerian settings. The data suggest that LDL-C may have a more direct relationship with PSA elevation compared to composite lipid ratios, supporting a more targeted approach to prostate risk assessment. Collectively, these findings emphasize the value of integrating metabolic profiling, demographic risk factors like age, and clinical history to enhance early detection and personalized management of prostate disorders. Such an integrated strategy could be particularly impactful in resource-limited settings, where access to specialized prostate care is constrained.</w:t>
      </w:r>
    </w:p>
    <w:p w14:paraId="42552759" w14:textId="77777777" w:rsidR="004C4B7E" w:rsidRDefault="004B1C8B">
      <w:pPr>
        <w:jc w:val="both"/>
        <w:rPr>
          <w:rFonts w:ascii="Times New Roman Bold" w:hAnsi="Times New Roman Bold" w:cs="Times New Roman Bold"/>
          <w:b/>
          <w:bCs/>
        </w:rPr>
      </w:pPr>
      <w:r>
        <w:t>Ultimately, this study adds to the growing body of evidence linking metabolic health with prostate disease and underscores the importance of further longitudinal research to clarify these associations and inform evidence-based screening guidelines tailored to local populations.</w:t>
      </w:r>
    </w:p>
    <w:p w14:paraId="57D34FEE" w14:textId="77777777" w:rsidR="004C4B7E" w:rsidRDefault="004B1C8B">
      <w:pPr>
        <w:jc w:val="both"/>
      </w:pPr>
      <w:proofErr w:type="spellStart"/>
      <w:r>
        <w:rPr>
          <w:rFonts w:ascii="Times New Roman Bold" w:hAnsi="Times New Roman Bold" w:cs="Times New Roman Bold"/>
          <w:b/>
          <w:bCs/>
        </w:rPr>
        <w:t>Conclution</w:t>
      </w:r>
      <w:proofErr w:type="spellEnd"/>
      <w:r>
        <w:rPr>
          <w:rFonts w:ascii="Times New Roman Bold" w:hAnsi="Times New Roman Bold" w:cs="Times New Roman Bold"/>
          <w:b/>
          <w:bCs/>
        </w:rPr>
        <w:t>:</w:t>
      </w:r>
      <w:r>
        <w:t xml:space="preserve">  This study examined the relationship between prostate-specific antigen (PSA), serum lipid profiles, and atherogenic indices among adult males in Abuja, Nigeria. The findings revealed a significant positive association between elevated LDL-C and PSA levels, suggesting that LDL-C may have a role in prostate biology and could complement PSA in assessing prostate risk. In contrast, composite atherogenic indices did not independently predict PSA elevation.</w:t>
      </w:r>
    </w:p>
    <w:p w14:paraId="60AE4C0E" w14:textId="77777777" w:rsidR="004C4B7E" w:rsidRDefault="004B1C8B">
      <w:pPr>
        <w:jc w:val="both"/>
      </w:pPr>
      <w:r>
        <w:t>Age ≥60 years emerged as the strongest predictor of higher PSA levels, highlighting the influence of advancing age on prostate changes. The results support the potential clinical benefit of including lipid profile testing, particularly LDL-C measurement, in routine prostate health assessments to improve early detection and risk stratification. Although this study’s cross-sectional design limits conclusions about causality, it provides valuable local evidence and suggests the need for larger prospective studies that explore additional metabolic and inflammatory markers. Integrating metabolic, demographic, and clinical factors could ultimately enhance early detection and personalized management of prostate disorders in this setting.</w:t>
      </w:r>
    </w:p>
    <w:p w14:paraId="420DE5A0" w14:textId="77777777" w:rsidR="00CA2C4B" w:rsidRDefault="00CA2C4B" w:rsidP="00CA2C4B">
      <w:pPr>
        <w:spacing w:before="100" w:beforeAutospacing="1" w:after="100" w:afterAutospacing="1" w:line="360" w:lineRule="auto"/>
        <w:jc w:val="both"/>
        <w:rPr>
          <w:rFonts w:eastAsia="Times New Roman" w:cs="Times New Roman"/>
          <w:b/>
          <w:bCs/>
        </w:rPr>
      </w:pPr>
      <w:bookmarkStart w:id="0" w:name="_GoBack"/>
      <w:bookmarkEnd w:id="0"/>
      <w:r>
        <w:rPr>
          <w:rFonts w:eastAsia="Times New Roman" w:cs="Times New Roman"/>
          <w:b/>
          <w:bCs/>
        </w:rPr>
        <w:t>ETHICAL APPROVAL</w:t>
      </w:r>
    </w:p>
    <w:p w14:paraId="2A2F0138" w14:textId="77777777" w:rsidR="00CA2C4B" w:rsidRDefault="00CA2C4B" w:rsidP="00CA2C4B">
      <w:pPr>
        <w:spacing w:before="100" w:beforeAutospacing="1" w:after="100" w:afterAutospacing="1" w:line="360" w:lineRule="auto"/>
        <w:jc w:val="both"/>
        <w:rPr>
          <w:rFonts w:eastAsia="Times New Roman" w:cs="Times New Roman"/>
        </w:rPr>
      </w:pPr>
      <w:r>
        <w:rPr>
          <w:rFonts w:eastAsia="Times New Roman" w:cs="Times New Roman"/>
        </w:rPr>
        <w:t>Ethical approval was obtained from the Health Research Ethics Committees of UATH and FMC Jabi.</w:t>
      </w:r>
    </w:p>
    <w:p w14:paraId="5E16696C" w14:textId="77777777" w:rsidR="00130F10" w:rsidRDefault="00130F10" w:rsidP="00CA2C4B">
      <w:pPr>
        <w:spacing w:before="100" w:beforeAutospacing="1" w:after="100" w:afterAutospacing="1" w:line="360" w:lineRule="auto"/>
        <w:jc w:val="both"/>
        <w:rPr>
          <w:rFonts w:eastAsia="Times New Roman" w:cs="Times New Roman"/>
        </w:rPr>
      </w:pPr>
    </w:p>
    <w:p w14:paraId="0F686FC9" w14:textId="77777777" w:rsidR="00130F10" w:rsidRPr="00130F10" w:rsidRDefault="00130F10" w:rsidP="00130F10">
      <w:pPr>
        <w:jc w:val="both"/>
        <w:outlineLvl w:val="0"/>
        <w:rPr>
          <w:rFonts w:ascii="Arial" w:eastAsia="Times New Roman" w:hAnsi="Arial" w:cs="Arial"/>
          <w:sz w:val="22"/>
          <w:szCs w:val="22"/>
          <w:lang w:val="en-GB" w:eastAsia="en-GB"/>
        </w:rPr>
      </w:pPr>
      <w:r w:rsidRPr="00130F10">
        <w:rPr>
          <w:rFonts w:ascii="Arial" w:eastAsia="Times New Roman" w:hAnsi="Arial" w:cs="Arial"/>
          <w:b/>
          <w:bCs/>
          <w:sz w:val="22"/>
          <w:szCs w:val="22"/>
          <w:lang w:val="en-GB" w:eastAsia="en-GB"/>
        </w:rPr>
        <w:t>COMPETING INTERESTS DISCLAIMER:</w:t>
      </w:r>
    </w:p>
    <w:p w14:paraId="3495195C" w14:textId="77777777" w:rsidR="00130F10" w:rsidRPr="00130F10" w:rsidRDefault="00130F10" w:rsidP="00130F10">
      <w:pPr>
        <w:rPr>
          <w:rFonts w:ascii="Calibri" w:eastAsia="Times New Roman" w:hAnsi="Calibri" w:cs="Times New Roman"/>
          <w:sz w:val="22"/>
          <w:szCs w:val="22"/>
          <w:lang w:val="en-GB" w:eastAsia="en-GB"/>
        </w:rPr>
      </w:pPr>
      <w:r w:rsidRPr="00130F10">
        <w:rPr>
          <w:rFonts w:ascii="Calibri" w:eastAsia="Times New Roman" w:hAnsi="Calibri" w:cs="Times New Roman"/>
          <w:sz w:val="22"/>
          <w:szCs w:val="22"/>
          <w:lang w:val="en-GB" w:eastAsia="en-GB"/>
        </w:rPr>
        <w:t>Authors have declared that they have no known competing financial interests OR non-financial interests OR personal relationships that could have appeared to influence the work reported in this paper.</w:t>
      </w:r>
    </w:p>
    <w:p w14:paraId="095C7A8E" w14:textId="77777777" w:rsidR="00130F10" w:rsidRDefault="00130F10" w:rsidP="00CA2C4B">
      <w:pPr>
        <w:spacing w:before="100" w:beforeAutospacing="1" w:after="100" w:afterAutospacing="1" w:line="360" w:lineRule="auto"/>
        <w:jc w:val="both"/>
        <w:rPr>
          <w:rFonts w:eastAsia="Times New Roman" w:cs="Times New Roman"/>
        </w:rPr>
      </w:pPr>
    </w:p>
    <w:p w14:paraId="684E8FDE" w14:textId="77777777" w:rsidR="00954EFE" w:rsidRDefault="00CA6369" w:rsidP="00CA2C4B">
      <w:pPr>
        <w:spacing w:before="100" w:beforeAutospacing="1" w:after="100" w:afterAutospacing="1" w:line="360" w:lineRule="auto"/>
        <w:jc w:val="both"/>
        <w:rPr>
          <w:rStyle w:val="Strong"/>
          <w:color w:val="000000"/>
        </w:rPr>
      </w:pPr>
      <w:r>
        <w:rPr>
          <w:rStyle w:val="Strong"/>
          <w:color w:val="000000"/>
        </w:rPr>
        <w:t>REFERENCES</w:t>
      </w:r>
    </w:p>
    <w:p w14:paraId="28F21F47" w14:textId="77777777" w:rsidR="00954EFE" w:rsidRPr="00954EFE" w:rsidRDefault="00954EFE" w:rsidP="00954EFE">
      <w:pPr>
        <w:pStyle w:val="NormalWeb"/>
        <w:rPr>
          <w:rFonts w:eastAsia="Times New Roman"/>
        </w:rPr>
      </w:pPr>
      <w:r>
        <w:t xml:space="preserve"> </w:t>
      </w:r>
      <w:proofErr w:type="spellStart"/>
      <w:r w:rsidRPr="00954EFE">
        <w:t>Adeloye</w:t>
      </w:r>
      <w:proofErr w:type="spellEnd"/>
      <w:r w:rsidRPr="00954EFE">
        <w:t xml:space="preserve">, D., David, R. A., Aderemi, A. V., </w:t>
      </w:r>
      <w:proofErr w:type="spellStart"/>
      <w:r w:rsidRPr="00954EFE">
        <w:t>Iseolorunkanmi</w:t>
      </w:r>
      <w:proofErr w:type="spellEnd"/>
      <w:r w:rsidRPr="00954EFE">
        <w:t xml:space="preserve">, A., </w:t>
      </w:r>
      <w:proofErr w:type="spellStart"/>
      <w:r w:rsidRPr="00954EFE">
        <w:t>Oyedokun</w:t>
      </w:r>
      <w:proofErr w:type="spellEnd"/>
      <w:r w:rsidRPr="00954EFE">
        <w:t xml:space="preserve">, A., Iweala, E. E., et al. (2016). An estimate of the incidence of prostate cancer in Africa: A systematic review and meta-analysis. </w:t>
      </w:r>
      <w:r w:rsidRPr="00954EFE">
        <w:rPr>
          <w:rStyle w:val="Emphasis"/>
        </w:rPr>
        <w:t>BMC Cancer, 16</w:t>
      </w:r>
      <w:r w:rsidRPr="00954EFE">
        <w:t xml:space="preserve">(1), 1–10. </w:t>
      </w:r>
      <w:hyperlink r:id="rId7" w:tgtFrame="_new" w:history="1">
        <w:r w:rsidRPr="00954EFE">
          <w:rPr>
            <w:rStyle w:val="Hyperlink"/>
          </w:rPr>
          <w:t>https://doi.org/10.1186/s12885-016-2973-7</w:t>
        </w:r>
      </w:hyperlink>
    </w:p>
    <w:p w14:paraId="6BA6A249" w14:textId="77777777" w:rsidR="00954EFE" w:rsidRPr="00954EFE" w:rsidRDefault="00954EFE" w:rsidP="00954EFE">
      <w:pPr>
        <w:pStyle w:val="NormalWeb"/>
      </w:pPr>
      <w:r w:rsidRPr="00954EFE">
        <w:t xml:space="preserve">  Agbo, S. P., </w:t>
      </w:r>
      <w:proofErr w:type="spellStart"/>
      <w:r w:rsidRPr="00954EFE">
        <w:t>Oboirien</w:t>
      </w:r>
      <w:proofErr w:type="spellEnd"/>
      <w:r w:rsidRPr="00954EFE">
        <w:t xml:space="preserve">, M., and </w:t>
      </w:r>
      <w:proofErr w:type="spellStart"/>
      <w:r w:rsidRPr="00954EFE">
        <w:t>Ofoha</w:t>
      </w:r>
      <w:proofErr w:type="spellEnd"/>
      <w:r w:rsidRPr="00954EFE">
        <w:t xml:space="preserve">, C. G. (2017). Pattern of urologic diseases in a Nigerian tertiary hospital. </w:t>
      </w:r>
      <w:r w:rsidRPr="00954EFE">
        <w:rPr>
          <w:rStyle w:val="Emphasis"/>
        </w:rPr>
        <w:t>Nigerian Journal of Clinical Practice, 20</w:t>
      </w:r>
      <w:r w:rsidRPr="00954EFE">
        <w:t xml:space="preserve">(8), 986–990. </w:t>
      </w:r>
      <w:hyperlink r:id="rId8" w:tgtFrame="_new" w:history="1">
        <w:r w:rsidRPr="00954EFE">
          <w:rPr>
            <w:rStyle w:val="Hyperlink"/>
          </w:rPr>
          <w:t>https://doi.org/10.4103/1119-3077.187329</w:t>
        </w:r>
      </w:hyperlink>
    </w:p>
    <w:p w14:paraId="72ACACE6" w14:textId="77777777" w:rsidR="00954EFE" w:rsidRPr="00954EFE" w:rsidRDefault="00954EFE" w:rsidP="00954EFE">
      <w:pPr>
        <w:pStyle w:val="NormalWeb"/>
      </w:pPr>
      <w:r w:rsidRPr="00954EFE">
        <w:t xml:space="preserve">  </w:t>
      </w:r>
      <w:proofErr w:type="spellStart"/>
      <w:r w:rsidRPr="00954EFE">
        <w:t>Akinloye</w:t>
      </w:r>
      <w:proofErr w:type="spellEnd"/>
      <w:r w:rsidRPr="00954EFE">
        <w:t xml:space="preserve">, O., </w:t>
      </w:r>
      <w:proofErr w:type="spellStart"/>
      <w:r w:rsidRPr="00954EFE">
        <w:t>Adaramoye</w:t>
      </w:r>
      <w:proofErr w:type="spellEnd"/>
      <w:r w:rsidRPr="00954EFE">
        <w:t xml:space="preserve">, O. A., and Kareem, O. A. (2010). Serum lipid profile in Nigerian patients with prostatic diseases. </w:t>
      </w:r>
      <w:r w:rsidRPr="00954EFE">
        <w:rPr>
          <w:rStyle w:val="Emphasis"/>
        </w:rPr>
        <w:t>Nigerian Journal of Clinical Practice, 13</w:t>
      </w:r>
      <w:r w:rsidRPr="00954EFE">
        <w:t xml:space="preserve">(4), 453–456. </w:t>
      </w:r>
      <w:hyperlink r:id="rId9" w:tgtFrame="_new" w:history="1">
        <w:r w:rsidRPr="00954EFE">
          <w:rPr>
            <w:rStyle w:val="Hyperlink"/>
          </w:rPr>
          <w:t>https://doi.org/10.4103/1119-3077.74672</w:t>
        </w:r>
      </w:hyperlink>
    </w:p>
    <w:p w14:paraId="6571E06C" w14:textId="77777777" w:rsidR="00954EFE" w:rsidRPr="00954EFE" w:rsidRDefault="00954EFE" w:rsidP="00954EFE">
      <w:pPr>
        <w:pStyle w:val="NormalWeb"/>
      </w:pPr>
      <w:r w:rsidRPr="00954EFE">
        <w:t xml:space="preserve">  Allott, E. H., and </w:t>
      </w:r>
      <w:proofErr w:type="spellStart"/>
      <w:r w:rsidRPr="00954EFE">
        <w:t>Hursting</w:t>
      </w:r>
      <w:proofErr w:type="spellEnd"/>
      <w:r w:rsidRPr="00954EFE">
        <w:t xml:space="preserve">, S. D. (2015). Obesity and cancer: Mechanistic insights from transdisciplinary studies. </w:t>
      </w:r>
      <w:r w:rsidRPr="00954EFE">
        <w:rPr>
          <w:rStyle w:val="Emphasis"/>
        </w:rPr>
        <w:t>Endocrine-Related Cancer, 22</w:t>
      </w:r>
      <w:r w:rsidRPr="00954EFE">
        <w:t xml:space="preserve">(6), R365–R386. </w:t>
      </w:r>
      <w:hyperlink r:id="rId10" w:tgtFrame="_new" w:history="1">
        <w:r w:rsidRPr="00954EFE">
          <w:rPr>
            <w:rStyle w:val="Hyperlink"/>
          </w:rPr>
          <w:t>https://doi.org/10.1530/ERC-15-0233</w:t>
        </w:r>
      </w:hyperlink>
    </w:p>
    <w:p w14:paraId="5CBB8C97" w14:textId="77777777" w:rsidR="00954EFE" w:rsidRPr="00954EFE" w:rsidRDefault="00954EFE" w:rsidP="00954EFE">
      <w:pPr>
        <w:pStyle w:val="NormalWeb"/>
      </w:pPr>
      <w:r w:rsidRPr="00954EFE">
        <w:t xml:space="preserve">  </w:t>
      </w:r>
      <w:proofErr w:type="spellStart"/>
      <w:r w:rsidRPr="00954EFE">
        <w:t>Dobiásová</w:t>
      </w:r>
      <w:proofErr w:type="spellEnd"/>
      <w:r w:rsidRPr="00954EFE">
        <w:t xml:space="preserve">, M. (2004). Atherogenic index of plasma [log (triglycerides/HDL-cholesterol)]: Theoretical and practical implications. </w:t>
      </w:r>
      <w:r w:rsidRPr="00954EFE">
        <w:rPr>
          <w:rStyle w:val="Emphasis"/>
        </w:rPr>
        <w:t>Clinical Chemistry, 50</w:t>
      </w:r>
      <w:r w:rsidRPr="00954EFE">
        <w:t xml:space="preserve">(7), 1113–1115. </w:t>
      </w:r>
      <w:hyperlink r:id="rId11" w:tgtFrame="_new" w:history="1">
        <w:r w:rsidRPr="00954EFE">
          <w:rPr>
            <w:rStyle w:val="Hyperlink"/>
          </w:rPr>
          <w:t>https://doi.org/10.1373/clinchem.2004.033175</w:t>
        </w:r>
      </w:hyperlink>
    </w:p>
    <w:p w14:paraId="220D5247" w14:textId="77777777" w:rsidR="00954EFE" w:rsidRPr="00954EFE" w:rsidRDefault="00954EFE" w:rsidP="00954EFE">
      <w:pPr>
        <w:pStyle w:val="NormalWeb"/>
      </w:pPr>
      <w:r w:rsidRPr="00954EFE">
        <w:t xml:space="preserve">  Freeman, M. R., and Solomon, K. R. (2004). Cholesterol and prostate cancer. </w:t>
      </w:r>
      <w:r w:rsidRPr="00954EFE">
        <w:rPr>
          <w:rStyle w:val="Emphasis"/>
        </w:rPr>
        <w:t>Nature Reviews Cancer, 4</w:t>
      </w:r>
      <w:r w:rsidRPr="00954EFE">
        <w:t xml:space="preserve">(8), 623–634. </w:t>
      </w:r>
      <w:hyperlink r:id="rId12" w:tgtFrame="_new" w:history="1">
        <w:r w:rsidRPr="00954EFE">
          <w:rPr>
            <w:rStyle w:val="Hyperlink"/>
          </w:rPr>
          <w:t>https://doi.org/10.1038/nrc1416</w:t>
        </w:r>
      </w:hyperlink>
    </w:p>
    <w:p w14:paraId="741A23F7" w14:textId="77777777" w:rsidR="00954EFE" w:rsidRPr="00954EFE" w:rsidRDefault="00954EFE" w:rsidP="00954EFE">
      <w:pPr>
        <w:pStyle w:val="NormalWeb"/>
      </w:pPr>
      <w:r w:rsidRPr="00954EFE">
        <w:t xml:space="preserve">  Grundy, S. M. (2005). Metabolic syndrome scientific statement. </w:t>
      </w:r>
      <w:r w:rsidRPr="00954EFE">
        <w:rPr>
          <w:rStyle w:val="Emphasis"/>
        </w:rPr>
        <w:t>Circulation, 112</w:t>
      </w:r>
      <w:r w:rsidRPr="00954EFE">
        <w:t xml:space="preserve">(17), 2735–2752. </w:t>
      </w:r>
      <w:hyperlink r:id="rId13" w:tgtFrame="_new" w:history="1">
        <w:r w:rsidRPr="00954EFE">
          <w:rPr>
            <w:rStyle w:val="Hyperlink"/>
          </w:rPr>
          <w:t>https://doi.org/10.1161/CIRCULATIONAHA.105.169404</w:t>
        </w:r>
      </w:hyperlink>
    </w:p>
    <w:p w14:paraId="29E2A116" w14:textId="77777777" w:rsidR="00954EFE" w:rsidRPr="00954EFE" w:rsidRDefault="00954EFE" w:rsidP="00954EFE">
      <w:pPr>
        <w:pStyle w:val="NormalWeb"/>
      </w:pPr>
      <w:r w:rsidRPr="00954EFE">
        <w:t xml:space="preserve">Hulley, S. B., Cummings, S. R., Browner, W. S., Grady, D. G., and Newman, T. B. (2013). </w:t>
      </w:r>
      <w:r w:rsidRPr="00954EFE">
        <w:rPr>
          <w:rStyle w:val="Emphasis"/>
        </w:rPr>
        <w:t>Designing clinical research</w:t>
      </w:r>
      <w:r w:rsidRPr="00954EFE">
        <w:t xml:space="preserve"> (4th ed.). Lippincott Williams &amp; Wilkins. https://www.elsevier.com/books/designing-clinical-research/hulley/978-1-4557-0658-7</w:t>
      </w:r>
    </w:p>
    <w:p w14:paraId="764A8143" w14:textId="77777777" w:rsidR="00954EFE" w:rsidRPr="00954EFE" w:rsidRDefault="00954EFE" w:rsidP="00954EFE">
      <w:pPr>
        <w:pStyle w:val="NormalWeb"/>
      </w:pPr>
      <w:r w:rsidRPr="00954EFE">
        <w:t xml:space="preserve">  Kim, J. H., Ha, Y. S., Jeong, S. J., Kim, W. J., and Kim, I. Y. (2017). Association of serum lipid levels with prostate cancer risk in Korean men. </w:t>
      </w:r>
      <w:r w:rsidRPr="00954EFE">
        <w:rPr>
          <w:rStyle w:val="Emphasis"/>
        </w:rPr>
        <w:t>Korean Journal of Urology, 58</w:t>
      </w:r>
      <w:r w:rsidRPr="00954EFE">
        <w:t xml:space="preserve">(6), 362–367. </w:t>
      </w:r>
      <w:hyperlink r:id="rId14" w:tgtFrame="_new" w:history="1">
        <w:r w:rsidRPr="00954EFE">
          <w:rPr>
            <w:rStyle w:val="Hyperlink"/>
          </w:rPr>
          <w:t>https://doi.org/10.4111/kju.2017.58.6.362</w:t>
        </w:r>
      </w:hyperlink>
    </w:p>
    <w:p w14:paraId="234DD0FE" w14:textId="77777777" w:rsidR="00954EFE" w:rsidRPr="00954EFE" w:rsidRDefault="00954EFE" w:rsidP="00954EFE">
      <w:pPr>
        <w:pStyle w:val="NormalWeb"/>
      </w:pPr>
      <w:r w:rsidRPr="00954EFE">
        <w:t xml:space="preserve"> Liu, J., Wang, Z. Q., Li, M. X., Zhang, M., and Zhang, Y. (2020). Dyslipidemia and risk of prostate cancer. </w:t>
      </w:r>
      <w:r w:rsidRPr="00954EFE">
        <w:rPr>
          <w:rStyle w:val="Emphasis"/>
        </w:rPr>
        <w:t>Asian Journal of Andrology, 22</w:t>
      </w:r>
      <w:r w:rsidRPr="00954EFE">
        <w:t xml:space="preserve">(2), 213–216. </w:t>
      </w:r>
      <w:hyperlink r:id="rId15" w:tgtFrame="_new" w:history="1">
        <w:r w:rsidRPr="00954EFE">
          <w:rPr>
            <w:rStyle w:val="Hyperlink"/>
          </w:rPr>
          <w:t>https://doi.org/10.4103/aja.aja_75_19</w:t>
        </w:r>
      </w:hyperlink>
    </w:p>
    <w:p w14:paraId="7B57583E" w14:textId="77777777" w:rsidR="00954EFE" w:rsidRPr="00954EFE" w:rsidRDefault="00954EFE" w:rsidP="00954EFE">
      <w:pPr>
        <w:pStyle w:val="NormalWeb"/>
      </w:pPr>
      <w:r w:rsidRPr="00954EFE">
        <w:t xml:space="preserve"> Loeb, S., and Carter, H. B. (2013). Importance of population-based screening for prostate cancer. </w:t>
      </w:r>
      <w:r w:rsidRPr="00954EFE">
        <w:rPr>
          <w:rStyle w:val="Emphasis"/>
        </w:rPr>
        <w:t>The Journal of Urology, 189</w:t>
      </w:r>
      <w:r w:rsidRPr="00954EFE">
        <w:t xml:space="preserve">(2), 674–679. </w:t>
      </w:r>
      <w:hyperlink r:id="rId16" w:tgtFrame="_new" w:history="1">
        <w:r w:rsidRPr="00954EFE">
          <w:rPr>
            <w:rStyle w:val="Hyperlink"/>
          </w:rPr>
          <w:t>https://doi.org/10.1016/j.juro.2012.08.207</w:t>
        </w:r>
      </w:hyperlink>
    </w:p>
    <w:p w14:paraId="60E136A9" w14:textId="77777777" w:rsidR="00954EFE" w:rsidRPr="00954EFE" w:rsidRDefault="00954EFE" w:rsidP="00954EFE">
      <w:pPr>
        <w:pStyle w:val="NormalWeb"/>
      </w:pPr>
      <w:r w:rsidRPr="00954EFE">
        <w:lastRenderedPageBreak/>
        <w:t xml:space="preserve">  Millán, J., </w:t>
      </w:r>
      <w:proofErr w:type="spellStart"/>
      <w:r w:rsidRPr="00954EFE">
        <w:t>Pintó</w:t>
      </w:r>
      <w:proofErr w:type="spellEnd"/>
      <w:r w:rsidRPr="00954EFE">
        <w:t xml:space="preserve">, X., Muñoz, A., Zúñiga, M., </w:t>
      </w:r>
      <w:proofErr w:type="spellStart"/>
      <w:r w:rsidRPr="00954EFE">
        <w:t>Rubiés</w:t>
      </w:r>
      <w:proofErr w:type="spellEnd"/>
      <w:r w:rsidRPr="00954EFE">
        <w:t xml:space="preserve">-Prat, J., </w:t>
      </w:r>
      <w:proofErr w:type="spellStart"/>
      <w:r w:rsidRPr="00954EFE">
        <w:t>Pallardo</w:t>
      </w:r>
      <w:proofErr w:type="spellEnd"/>
      <w:r w:rsidRPr="00954EFE">
        <w:t xml:space="preserve">, L. F., et al. (2009). Lipoprotein ratios: Physiological significance and clinical usefulness in cardiovascular prevention. </w:t>
      </w:r>
      <w:r w:rsidRPr="00954EFE">
        <w:rPr>
          <w:rStyle w:val="Emphasis"/>
        </w:rPr>
        <w:t>Vascular Health and Risk Management, 5</w:t>
      </w:r>
      <w:r w:rsidRPr="00954EFE">
        <w:t xml:space="preserve">, 757–765. </w:t>
      </w:r>
      <w:hyperlink r:id="rId17" w:tgtFrame="_new" w:history="1">
        <w:r w:rsidRPr="00954EFE">
          <w:rPr>
            <w:rStyle w:val="Hyperlink"/>
          </w:rPr>
          <w:t>https://doi.org/10.2147/VHRM.S6265</w:t>
        </w:r>
      </w:hyperlink>
    </w:p>
    <w:p w14:paraId="3AFAE037" w14:textId="77777777" w:rsidR="00954EFE" w:rsidRPr="00954EFE" w:rsidRDefault="00954EFE" w:rsidP="00954EFE">
      <w:pPr>
        <w:pStyle w:val="NormalWeb"/>
      </w:pPr>
      <w:r w:rsidRPr="00954EFE">
        <w:t xml:space="preserve">  Mottet, N., van den Bergh, R. C. N., Briers, E., Bourke, L., Cornford, P., De Santis, M., et al. (2022). EAU–EANM–ESTRO–ESUR–ISUP–SIOG guidelines on prostate cancer. </w:t>
      </w:r>
      <w:r w:rsidRPr="00954EFE">
        <w:rPr>
          <w:rStyle w:val="Emphasis"/>
        </w:rPr>
        <w:t>European Urology, 81</w:t>
      </w:r>
      <w:r w:rsidRPr="00954EFE">
        <w:t xml:space="preserve">(1), 124–143. </w:t>
      </w:r>
      <w:hyperlink r:id="rId18" w:tgtFrame="_new" w:history="1">
        <w:r w:rsidRPr="00954EFE">
          <w:rPr>
            <w:rStyle w:val="Hyperlink"/>
          </w:rPr>
          <w:t>https://doi.org/10.1016/j.eururo.2021.07.005</w:t>
        </w:r>
      </w:hyperlink>
    </w:p>
    <w:p w14:paraId="45786A42" w14:textId="77777777" w:rsidR="00954EFE" w:rsidRPr="00954EFE" w:rsidRDefault="00954EFE" w:rsidP="00954EFE">
      <w:pPr>
        <w:pStyle w:val="NormalWeb"/>
      </w:pPr>
      <w:r w:rsidRPr="00954EFE">
        <w:t xml:space="preserve"> National Population Commission. (2021). </w:t>
      </w:r>
      <w:r w:rsidRPr="00954EFE">
        <w:rPr>
          <w:rStyle w:val="Emphasis"/>
        </w:rPr>
        <w:t>Population estimates for Nigeria</w:t>
      </w:r>
      <w:r w:rsidRPr="00954EFE">
        <w:t xml:space="preserve">. </w:t>
      </w:r>
      <w:hyperlink r:id="rId19" w:tgtFrame="_new" w:history="1">
        <w:r w:rsidRPr="00954EFE">
          <w:rPr>
            <w:rStyle w:val="Hyperlink"/>
          </w:rPr>
          <w:t>https://nationalpopulation.gov.ng</w:t>
        </w:r>
      </w:hyperlink>
    </w:p>
    <w:p w14:paraId="37913C5F" w14:textId="77777777" w:rsidR="00954EFE" w:rsidRPr="00954EFE" w:rsidRDefault="00954EFE" w:rsidP="00954EFE">
      <w:pPr>
        <w:pStyle w:val="NormalWeb"/>
      </w:pPr>
      <w:r w:rsidRPr="00954EFE">
        <w:t xml:space="preserve"> </w:t>
      </w:r>
      <w:proofErr w:type="spellStart"/>
      <w:r w:rsidRPr="00954EFE">
        <w:t>Omoyinmi</w:t>
      </w:r>
      <w:proofErr w:type="spellEnd"/>
      <w:r w:rsidRPr="00954EFE">
        <w:t xml:space="preserve">, S. P., Oduwole, O., </w:t>
      </w:r>
      <w:proofErr w:type="spellStart"/>
      <w:r w:rsidRPr="00954EFE">
        <w:t>Okwor</w:t>
      </w:r>
      <w:proofErr w:type="spellEnd"/>
      <w:r w:rsidRPr="00954EFE">
        <w:t xml:space="preserve">, O., Adewale, O., and </w:t>
      </w:r>
      <w:proofErr w:type="spellStart"/>
      <w:r w:rsidRPr="00954EFE">
        <w:t>Idu</w:t>
      </w:r>
      <w:proofErr w:type="spellEnd"/>
      <w:r w:rsidRPr="00954EFE">
        <w:t xml:space="preserve">, F. K. (2021). Serum lipids and PSA among Nigerian men. </w:t>
      </w:r>
      <w:r w:rsidRPr="00954EFE">
        <w:rPr>
          <w:rStyle w:val="Emphasis"/>
        </w:rPr>
        <w:t>Journal of West African College of Surgeons, 11</w:t>
      </w:r>
      <w:r w:rsidRPr="00954EFE">
        <w:t>(3), 33–40. https://www.jwacs-jcoac.org/article.asp?issn=2141-0142;year=2021;volume=11;issue=3;spage=33;epage=40;aulast=Omoyinmi</w:t>
      </w:r>
    </w:p>
    <w:p w14:paraId="59C5CC8C" w14:textId="77777777" w:rsidR="00954EFE" w:rsidRPr="00954EFE" w:rsidRDefault="00954EFE" w:rsidP="00954EFE">
      <w:pPr>
        <w:pStyle w:val="NormalWeb"/>
      </w:pPr>
      <w:r w:rsidRPr="00954EFE">
        <w:t xml:space="preserve"> Pelton, K., Freeman, M. R., and Solomon, K. R. (2012). Cholesterol and prostate cancer. </w:t>
      </w:r>
      <w:r w:rsidRPr="00954EFE">
        <w:rPr>
          <w:rStyle w:val="Emphasis"/>
        </w:rPr>
        <w:t>Current Opinion in Pharmacology, 12</w:t>
      </w:r>
      <w:r w:rsidRPr="00954EFE">
        <w:t xml:space="preserve">(6), 751–759. </w:t>
      </w:r>
      <w:hyperlink r:id="rId20" w:tgtFrame="_new" w:history="1">
        <w:r w:rsidRPr="00954EFE">
          <w:rPr>
            <w:rStyle w:val="Hyperlink"/>
          </w:rPr>
          <w:t>https://doi.org/10.1016/j.coph.2012.07.007</w:t>
        </w:r>
      </w:hyperlink>
    </w:p>
    <w:p w14:paraId="1444EE01" w14:textId="77777777" w:rsidR="00954EFE" w:rsidRPr="00954EFE" w:rsidRDefault="00954EFE" w:rsidP="00954EFE">
      <w:pPr>
        <w:pStyle w:val="NormalWeb"/>
      </w:pPr>
      <w:r w:rsidRPr="00954EFE">
        <w:t xml:space="preserve">  </w:t>
      </w:r>
      <w:proofErr w:type="spellStart"/>
      <w:r w:rsidRPr="00954EFE">
        <w:t>Rebbeck</w:t>
      </w:r>
      <w:proofErr w:type="spellEnd"/>
      <w:r w:rsidRPr="00954EFE">
        <w:t xml:space="preserve">, T. R. (2020). Prostate cancer genetics: Variation by race, ethnicity, and geography. </w:t>
      </w:r>
      <w:r w:rsidRPr="00954EFE">
        <w:rPr>
          <w:rStyle w:val="Emphasis"/>
        </w:rPr>
        <w:t>Cancer Epidemiology, Biomarkers &amp; Prevention, 29</w:t>
      </w:r>
      <w:r w:rsidRPr="00954EFE">
        <w:t xml:space="preserve">(9), 1681–1692. </w:t>
      </w:r>
      <w:hyperlink r:id="rId21" w:tgtFrame="_new" w:history="1">
        <w:r w:rsidRPr="00954EFE">
          <w:rPr>
            <w:rStyle w:val="Hyperlink"/>
          </w:rPr>
          <w:t>https://doi.org/10.1158/1055-9965.EPI-19-1070</w:t>
        </w:r>
      </w:hyperlink>
    </w:p>
    <w:p w14:paraId="336B595B" w14:textId="77777777" w:rsidR="00954EFE" w:rsidRPr="00954EFE" w:rsidRDefault="00954EFE" w:rsidP="00954EFE">
      <w:pPr>
        <w:pStyle w:val="NormalWeb"/>
      </w:pPr>
      <w:r w:rsidRPr="00954EFE">
        <w:t xml:space="preserve"> Roche Diagnostics. (2020). </w:t>
      </w:r>
      <w:proofErr w:type="spellStart"/>
      <w:r w:rsidRPr="00954EFE">
        <w:rPr>
          <w:rStyle w:val="Emphasis"/>
        </w:rPr>
        <w:t>Elecsys</w:t>
      </w:r>
      <w:proofErr w:type="spellEnd"/>
      <w:r w:rsidRPr="00954EFE">
        <w:rPr>
          <w:rStyle w:val="Emphasis"/>
        </w:rPr>
        <w:t xml:space="preserve"> PSA Package Insert</w:t>
      </w:r>
      <w:r w:rsidRPr="00954EFE">
        <w:t>. https://diagnostics.roche.com/global/en/products/params/elecsys-total-and-free-psa.html</w:t>
      </w:r>
    </w:p>
    <w:p w14:paraId="384FCC5B" w14:textId="77777777" w:rsidR="00954EFE" w:rsidRPr="00954EFE" w:rsidRDefault="00954EFE" w:rsidP="00954EFE">
      <w:pPr>
        <w:pStyle w:val="NormalWeb"/>
      </w:pPr>
      <w:r w:rsidRPr="00954EFE">
        <w:t xml:space="preserve"> Smith, M. R., Cook, R., Greenberg, N. M., and Tran, C. (2022). Lifestyle interventions and serum PSA reduction. </w:t>
      </w:r>
      <w:r w:rsidRPr="00954EFE">
        <w:rPr>
          <w:rStyle w:val="Emphasis"/>
        </w:rPr>
        <w:t>Nutrition &amp; Metabolism, 19</w:t>
      </w:r>
      <w:r w:rsidRPr="00954EFE">
        <w:t xml:space="preserve">(1), 58. </w:t>
      </w:r>
      <w:hyperlink r:id="rId22" w:tgtFrame="_new" w:history="1">
        <w:r w:rsidRPr="00954EFE">
          <w:rPr>
            <w:rStyle w:val="Hyperlink"/>
          </w:rPr>
          <w:t>https://doi.org/10.1186/s12986-022-00688-7</w:t>
        </w:r>
      </w:hyperlink>
    </w:p>
    <w:p w14:paraId="685F7FCB" w14:textId="77777777" w:rsidR="00954EFE" w:rsidRPr="00954EFE" w:rsidRDefault="00954EFE" w:rsidP="00954EFE">
      <w:pPr>
        <w:pStyle w:val="NormalWeb"/>
      </w:pPr>
      <w:r w:rsidRPr="00954EFE">
        <w:t xml:space="preserve">  Thompson, I. M., Pauler, D. K., Goodman, P. J., Tangen, C. M., Lucia, M. S., Parnes, H. L., et al. (2005). Assessing prostate cancer risk: Results from the Prostate Cancer Prevention Trial. </w:t>
      </w:r>
      <w:r w:rsidRPr="00954EFE">
        <w:rPr>
          <w:rStyle w:val="Emphasis"/>
        </w:rPr>
        <w:t>JAMA, 294</w:t>
      </w:r>
      <w:r w:rsidRPr="00954EFE">
        <w:t xml:space="preserve">(1), 66–70. </w:t>
      </w:r>
      <w:hyperlink r:id="rId23" w:tgtFrame="_new" w:history="1">
        <w:r w:rsidRPr="00954EFE">
          <w:rPr>
            <w:rStyle w:val="Hyperlink"/>
          </w:rPr>
          <w:t>https://doi.org/10.1001/jama.294.1.66</w:t>
        </w:r>
      </w:hyperlink>
    </w:p>
    <w:p w14:paraId="32B68C8D" w14:textId="77777777" w:rsidR="00954EFE" w:rsidRPr="00954EFE" w:rsidRDefault="00954EFE" w:rsidP="00954EFE">
      <w:pPr>
        <w:pStyle w:val="NormalWeb"/>
      </w:pPr>
      <w:r w:rsidRPr="00954EFE">
        <w:t xml:space="preserve"> World Health Organization (WHO). (2022). </w:t>
      </w:r>
      <w:r w:rsidRPr="00954EFE">
        <w:rPr>
          <w:rStyle w:val="Emphasis"/>
        </w:rPr>
        <w:t>Global Cancer Observatory</w:t>
      </w:r>
      <w:r w:rsidRPr="00954EFE">
        <w:t xml:space="preserve">. </w:t>
      </w:r>
      <w:hyperlink r:id="rId24" w:tgtFrame="_new" w:history="1">
        <w:r w:rsidRPr="00954EFE">
          <w:rPr>
            <w:rStyle w:val="Hyperlink"/>
          </w:rPr>
          <w:t>https://gco.iarc.fr</w:t>
        </w:r>
      </w:hyperlink>
    </w:p>
    <w:p w14:paraId="203AD617" w14:textId="77777777" w:rsidR="00954EFE" w:rsidRPr="00954EFE" w:rsidRDefault="00954EFE" w:rsidP="00954EFE">
      <w:pPr>
        <w:pStyle w:val="NormalWeb"/>
      </w:pPr>
      <w:r w:rsidRPr="00954EFE">
        <w:t xml:space="preserve">World Medical Association (WMA). (2013). World Medical Association Declaration of Helsinki: Ethical principles for medical research involving human subjects. </w:t>
      </w:r>
      <w:r w:rsidRPr="00954EFE">
        <w:rPr>
          <w:rStyle w:val="Emphasis"/>
        </w:rPr>
        <w:t>JAMA, 310</w:t>
      </w:r>
      <w:r w:rsidRPr="00954EFE">
        <w:t xml:space="preserve">(20), 2191–2194. </w:t>
      </w:r>
      <w:hyperlink r:id="rId25" w:tgtFrame="_new" w:history="1">
        <w:r w:rsidRPr="00954EFE">
          <w:rPr>
            <w:rStyle w:val="Hyperlink"/>
          </w:rPr>
          <w:t>https://doi.org/10.1001/jama.2013.281053</w:t>
        </w:r>
      </w:hyperlink>
    </w:p>
    <w:p w14:paraId="0C33F42B" w14:textId="77777777" w:rsidR="00954EFE" w:rsidRPr="00954EFE" w:rsidRDefault="00954EFE" w:rsidP="00954EFE">
      <w:pPr>
        <w:pStyle w:val="NormalWeb"/>
      </w:pPr>
      <w:r w:rsidRPr="00954EFE">
        <w:t xml:space="preserve"> Zhang, Y., Zhang, L., Liu, J., Liu, C., Wang, Y., et al. (2021). The relationship between serum lipid levels and prostate cancer risk. </w:t>
      </w:r>
      <w:proofErr w:type="spellStart"/>
      <w:r w:rsidRPr="00954EFE">
        <w:rPr>
          <w:rStyle w:val="Emphasis"/>
        </w:rPr>
        <w:t>OncoTargets</w:t>
      </w:r>
      <w:proofErr w:type="spellEnd"/>
      <w:r w:rsidRPr="00954EFE">
        <w:rPr>
          <w:rStyle w:val="Emphasis"/>
        </w:rPr>
        <w:t xml:space="preserve"> and Therapy, 14</w:t>
      </w:r>
      <w:r w:rsidRPr="00954EFE">
        <w:t xml:space="preserve">, 2451–2460. </w:t>
      </w:r>
      <w:hyperlink r:id="rId26" w:tgtFrame="_new" w:history="1">
        <w:r w:rsidRPr="00954EFE">
          <w:rPr>
            <w:rStyle w:val="Hyperlink"/>
          </w:rPr>
          <w:t>https://doi.org/10.2147/OTT.S294320</w:t>
        </w:r>
      </w:hyperlink>
    </w:p>
    <w:p w14:paraId="402AD7DC" w14:textId="77777777" w:rsidR="00954EFE" w:rsidRPr="00954EFE" w:rsidRDefault="00954EFE" w:rsidP="00954EFE">
      <w:pPr>
        <w:pStyle w:val="NormalWeb"/>
      </w:pPr>
      <w:r w:rsidRPr="00954EFE">
        <w:lastRenderedPageBreak/>
        <w:t xml:space="preserve">  </w:t>
      </w:r>
      <w:proofErr w:type="spellStart"/>
      <w:r w:rsidRPr="00954EFE">
        <w:t>Jamnagerwalla</w:t>
      </w:r>
      <w:proofErr w:type="spellEnd"/>
      <w:r w:rsidRPr="00954EFE">
        <w:t xml:space="preserve">, J., Howard, L. E., Allott, E. H., Vidal, A. C., Moreira, D. M., Castro-Santamaria, R., et al. (2018). Serum cholesterol and risk of high-grade prostate cancer: Results from the REDUCE study. </w:t>
      </w:r>
      <w:r w:rsidRPr="00954EFE">
        <w:rPr>
          <w:rStyle w:val="Emphasis"/>
        </w:rPr>
        <w:t>Prostate Cancer and Prostatic Diseases, 21</w:t>
      </w:r>
      <w:r w:rsidRPr="00954EFE">
        <w:t>(2), 252–259. https://doi.org/10.1038/s41391-017-0007-4</w:t>
      </w:r>
    </w:p>
    <w:p w14:paraId="46A7DC47"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30BA62F7"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79736908"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5B9146CC"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6F55F9B7"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5059DA1D"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22117576"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12D3EB10"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66ED8B51"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42069FB5"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1329B135"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417FF88C"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656EF8D6" w14:textId="77777777" w:rsidR="004C4B7E" w:rsidRPr="00954EFE" w:rsidRDefault="004B1C8B" w:rsidP="00CA2C4B">
      <w:pPr>
        <w:spacing w:before="100" w:beforeAutospacing="1" w:after="100" w:afterAutospacing="1" w:line="360" w:lineRule="auto"/>
        <w:jc w:val="both"/>
        <w:rPr>
          <w:rFonts w:cs="Times New Roman"/>
        </w:rPr>
      </w:pPr>
      <w:r w:rsidRPr="00954EFE">
        <w:rPr>
          <w:rStyle w:val="Strong"/>
          <w:rFonts w:cs="Times New Roman"/>
          <w:color w:val="000000"/>
        </w:rPr>
        <w:t xml:space="preserve"> </w:t>
      </w:r>
    </w:p>
    <w:p w14:paraId="6D4D0BBF" w14:textId="77777777" w:rsidR="004C4B7E" w:rsidRPr="00954EFE" w:rsidRDefault="004C4B7E">
      <w:pPr>
        <w:rPr>
          <w:rFonts w:cs="Times New Roman"/>
        </w:rPr>
      </w:pPr>
    </w:p>
    <w:sectPr w:rsidR="004C4B7E" w:rsidRPr="00954EFE">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DA0D" w14:textId="77777777" w:rsidR="007B1D22" w:rsidRDefault="007B1D22">
      <w:pPr>
        <w:spacing w:line="240" w:lineRule="auto"/>
      </w:pPr>
      <w:r>
        <w:separator/>
      </w:r>
    </w:p>
  </w:endnote>
  <w:endnote w:type="continuationSeparator" w:id="0">
    <w:p w14:paraId="37002C81" w14:textId="77777777" w:rsidR="007B1D22" w:rsidRDefault="007B1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default"/>
    <w:sig w:usb0="E0000AFF" w:usb1="00007843" w:usb2="00000001" w:usb3="00000000" w:csb0="400001BF" w:csb1="DFF70000"/>
  </w:font>
  <w:font w:name="Times New Roman Regular">
    <w:altName w:val="Times New Roman"/>
    <w:charset w:val="00"/>
    <w:family w:val="auto"/>
    <w:pitch w:val="default"/>
    <w:sig w:usb0="00000000" w:usb1="00007843" w:usb2="00000001" w:usb3="00000000" w:csb0="400001BF" w:csb1="DFF7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F624" w14:textId="77777777" w:rsidR="00216188" w:rsidRDefault="00216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359E" w14:textId="77777777" w:rsidR="00216188" w:rsidRDefault="00216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50D4" w14:textId="77777777" w:rsidR="00216188" w:rsidRDefault="00216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50C5" w14:textId="77777777" w:rsidR="007B1D22" w:rsidRDefault="007B1D22">
      <w:pPr>
        <w:spacing w:after="0"/>
      </w:pPr>
      <w:r>
        <w:separator/>
      </w:r>
    </w:p>
  </w:footnote>
  <w:footnote w:type="continuationSeparator" w:id="0">
    <w:p w14:paraId="2260D98D" w14:textId="77777777" w:rsidR="007B1D22" w:rsidRDefault="007B1D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9381" w14:textId="4E0A933F" w:rsidR="00216188" w:rsidRDefault="00216188">
    <w:pPr>
      <w:pStyle w:val="Header"/>
    </w:pPr>
    <w:r>
      <w:rPr>
        <w:noProof/>
      </w:rPr>
      <w:pict w14:anchorId="590FC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2016"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35EF7" w14:textId="6B4955D3" w:rsidR="00216188" w:rsidRDefault="00216188">
    <w:pPr>
      <w:pStyle w:val="Header"/>
    </w:pPr>
    <w:r>
      <w:rPr>
        <w:noProof/>
      </w:rPr>
      <w:pict w14:anchorId="6DC2F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2017"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0577" w14:textId="029DAA60" w:rsidR="00216188" w:rsidRDefault="00216188">
    <w:pPr>
      <w:pStyle w:val="Header"/>
    </w:pPr>
    <w:r>
      <w:rPr>
        <w:noProof/>
      </w:rPr>
      <w:pict w14:anchorId="25928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2015"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FF6F27"/>
    <w:multiLevelType w:val="singleLevel"/>
    <w:tmpl w:val="D7FF6F27"/>
    <w:lvl w:ilvl="0">
      <w:start w:val="4"/>
      <w:numFmt w:val="decimal"/>
      <w:suff w:val="space"/>
      <w:lvlText w:val="%1."/>
      <w:lvlJc w:val="left"/>
    </w:lvl>
  </w:abstractNum>
  <w:abstractNum w:abstractNumId="1" w15:restartNumberingAfterBreak="0">
    <w:nsid w:val="FBEEDB4B"/>
    <w:multiLevelType w:val="singleLevel"/>
    <w:tmpl w:val="FBEEDB4B"/>
    <w:lvl w:ilvl="0">
      <w:start w:val="1"/>
      <w:numFmt w:val="decimal"/>
      <w:lvlText w:val="%1."/>
      <w:lvlJc w:val="left"/>
      <w:pPr>
        <w:tabs>
          <w:tab w:val="left" w:pos="425"/>
        </w:tabs>
        <w:ind w:left="425" w:hanging="425"/>
      </w:pPr>
      <w:rPr>
        <w:rFonts w:hint="default"/>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EFDB3ECF"/>
    <w:rsid w:val="CAADE2BC"/>
    <w:rsid w:val="EFDB3ECF"/>
    <w:rsid w:val="FF7FD773"/>
    <w:rsid w:val="00050A31"/>
    <w:rsid w:val="000716D2"/>
    <w:rsid w:val="00071AAB"/>
    <w:rsid w:val="00087D00"/>
    <w:rsid w:val="000B76C4"/>
    <w:rsid w:val="000C5610"/>
    <w:rsid w:val="000E6552"/>
    <w:rsid w:val="000F3A4F"/>
    <w:rsid w:val="000F59AC"/>
    <w:rsid w:val="00130F10"/>
    <w:rsid w:val="001364FE"/>
    <w:rsid w:val="001368DD"/>
    <w:rsid w:val="00147DB3"/>
    <w:rsid w:val="001518A5"/>
    <w:rsid w:val="00170095"/>
    <w:rsid w:val="00170E4F"/>
    <w:rsid w:val="001743F4"/>
    <w:rsid w:val="00187C33"/>
    <w:rsid w:val="00192F82"/>
    <w:rsid w:val="001936B7"/>
    <w:rsid w:val="00196AB1"/>
    <w:rsid w:val="001B0729"/>
    <w:rsid w:val="00201333"/>
    <w:rsid w:val="00210FA7"/>
    <w:rsid w:val="00216188"/>
    <w:rsid w:val="00216417"/>
    <w:rsid w:val="0026631D"/>
    <w:rsid w:val="002C2F53"/>
    <w:rsid w:val="0033518C"/>
    <w:rsid w:val="003437C2"/>
    <w:rsid w:val="00377186"/>
    <w:rsid w:val="003A1C03"/>
    <w:rsid w:val="00414627"/>
    <w:rsid w:val="00425D63"/>
    <w:rsid w:val="004643D8"/>
    <w:rsid w:val="00497C24"/>
    <w:rsid w:val="004B1C8B"/>
    <w:rsid w:val="004C4B7E"/>
    <w:rsid w:val="004C7BA5"/>
    <w:rsid w:val="004E7628"/>
    <w:rsid w:val="004F48F2"/>
    <w:rsid w:val="005149B1"/>
    <w:rsid w:val="00561C86"/>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B1D22"/>
    <w:rsid w:val="007B2D26"/>
    <w:rsid w:val="007C2C59"/>
    <w:rsid w:val="007F1723"/>
    <w:rsid w:val="00801F23"/>
    <w:rsid w:val="00837632"/>
    <w:rsid w:val="0085640F"/>
    <w:rsid w:val="008567AA"/>
    <w:rsid w:val="00892712"/>
    <w:rsid w:val="008A680A"/>
    <w:rsid w:val="008B0BB0"/>
    <w:rsid w:val="008E6C4B"/>
    <w:rsid w:val="008F18C0"/>
    <w:rsid w:val="009003BC"/>
    <w:rsid w:val="00907648"/>
    <w:rsid w:val="00930FDE"/>
    <w:rsid w:val="00954EFE"/>
    <w:rsid w:val="00984C93"/>
    <w:rsid w:val="00987CE1"/>
    <w:rsid w:val="0099405C"/>
    <w:rsid w:val="009C600F"/>
    <w:rsid w:val="009D3723"/>
    <w:rsid w:val="009E04F2"/>
    <w:rsid w:val="00A03B7B"/>
    <w:rsid w:val="00A0536E"/>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4B"/>
    <w:rsid w:val="00CA2C6C"/>
    <w:rsid w:val="00CA6369"/>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0F9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BB0A37"/>
  <w15:docId w15:val="{0023DF29-169A-4C73-BD3D-B5C75F0D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footer" w:qFormat="1"/>
    <w:lsdException w:name="index heading" w:qFormat="1"/>
    <w:lsdException w:name="caption" w:unhideWhenUsed="1" w:qFormat="1"/>
    <w:lsdException w:name="envelope address" w:qFormat="1"/>
    <w:lsdException w:name="envelope return" w:qFormat="1"/>
    <w:lsdException w:name="footnote reference" w:qFormat="1"/>
    <w:lsdException w:name="toa heading" w:qFormat="1"/>
    <w:lsdException w:name="List 2" w:qFormat="1"/>
    <w:lsdException w:name="List Bullet 3" w:qFormat="1"/>
    <w:lsdException w:name="List Bullet 4" w:qFormat="1"/>
    <w:lsdException w:name="Title" w:qFormat="1"/>
    <w:lsdException w:name="Default Paragraph Font" w:semiHidden="1" w:qFormat="1"/>
    <w:lsdException w:name="Body Text" w:qFormat="1"/>
    <w:lsdException w:name="Body Text Indent" w:qFormat="1"/>
    <w:lsdException w:name="List Continue 2" w:qFormat="1"/>
    <w:lsdException w:name="List Continue 3" w:qFormat="1"/>
    <w:lsdException w:name="List Continue 4" w:qFormat="1"/>
    <w:lsdException w:name="Message Header" w:qFormat="1"/>
    <w:lsdException w:name="Subtitle" w:qFormat="1"/>
    <w:lsdException w:name="Body Text First Indent" w:qFormat="1"/>
    <w:lsdException w:name="Body Text First Indent 2" w:qFormat="1"/>
    <w:lsdException w:name="Body Text 2" w:qFormat="1"/>
    <w:lsdException w:name="Body Text 3" w:qFormat="1"/>
    <w:lsdException w:name="Block Text"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Acronym" w:qFormat="1"/>
    <w:lsdException w:name="HTML Address" w:qFormat="1"/>
    <w:lsdException w:name="HTML Cit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qFormat="1"/>
    <w:lsdException w:name="Table Columns 5" w:semiHidden="1" w:unhideWhenUsed="1" w:qFormat="1"/>
    <w:lsdException w:name="Table Grid 1" w:semiHidden="1" w:unhideWhenUsed="1"/>
    <w:lsdException w:name="Table Grid 2" w:semiHidden="1" w:unhideWhenUsed="1" w:qFormat="1"/>
    <w:lsdException w:name="Table Grid 3" w:semiHidden="1" w:unhideWhenUsed="1" w:qFormat="1"/>
    <w:lsdException w:name="Table Grid 4" w:semiHidden="1" w:unhideWhenUsed="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qFormat="1"/>
    <w:lsdException w:name="Light List" w:uiPriority="61" w:qFormat="1"/>
    <w:lsdException w:name="Light Grid" w:uiPriority="62" w:qFormat="1"/>
    <w:lsdException w:name="Medium Shading 1" w:uiPriority="63"/>
    <w:lsdException w:name="Medium Shading 2" w:uiPriority="64"/>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lsdException w:name="Colorful Shading" w:uiPriority="71" w:qFormat="1"/>
    <w:lsdException w:name="Colorful List" w:uiPriority="72" w:qFormat="1"/>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lsdException w:name="Medium List 1 Accent 1" w:uiPriority="65" w:qFormat="1"/>
    <w:lsdException w:name="Revision" w:semiHidden="1" w:uiPriority="99"/>
    <w:lsdException w:name="List Paragraph" w:uiPriority="99"/>
    <w:lsdException w:name="Quote" w:uiPriority="99"/>
    <w:lsdException w:name="Intense Quote" w:uiPriority="99"/>
    <w:lsdException w:name="Medium List 2 Accent 1" w:uiPriority="66" w:qFormat="1"/>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qFormat="1"/>
    <w:lsdException w:name="Colorful List Accent 1" w:uiPriority="72" w:qFormat="1"/>
    <w:lsdException w:name="Colorful Grid Accent 1" w:uiPriority="73"/>
    <w:lsdException w:name="Light Shading Accent 2" w:uiPriority="60" w:qFormat="1"/>
    <w:lsdException w:name="Light List Accent 2" w:uiPriority="6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lsdException w:name="Colorful List Accent 2" w:uiPriority="72" w:qFormat="1"/>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lsdException w:name="Medium Grid 1 Accent 3" w:uiPriority="67" w:qFormat="1"/>
    <w:lsdException w:name="Medium Grid 2 Accent 3" w:uiPriority="68" w:qFormat="1"/>
    <w:lsdException w:name="Medium Grid 3 Accent 3" w:uiPriority="69"/>
    <w:lsdException w:name="Dark List Accent 3" w:uiPriority="70"/>
    <w:lsdException w:name="Colorful Shading Accent 3" w:uiPriority="71" w:qFormat="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lsdException w:name="Medium Grid 2 Accent 4" w:uiPriority="68" w:qFormat="1"/>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lsdException w:name="Medium Grid 2 Accent 5" w:uiPriority="68" w:qFormat="1"/>
    <w:lsdException w:name="Medium Grid 3 Accent 5" w:uiPriority="69"/>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cstheme="minorBidi"/>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uiPriority w:val="20"/>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uiPriority w:val="99"/>
    <w:pPr>
      <w:spacing w:beforeAutospacing="1" w:afterAutospacing="1"/>
    </w:pPr>
    <w:rPr>
      <w:sz w:val="24"/>
      <w:szCs w:val="24"/>
      <w:lang w:eastAsia="zh-CN"/>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uiPriority w:val="1"/>
    <w:qFormat/>
    <w:rPr>
      <w:rFonts w:asciiTheme="minorHAnsi" w:eastAsiaTheme="minorHAnsi" w:hAnsiTheme="minorHAnsi" w:cstheme="minorBidi"/>
      <w:kern w:val="2"/>
      <w:sz w:val="24"/>
      <w:szCs w:val="24"/>
    </w:rPr>
  </w:style>
  <w:style w:type="character" w:styleId="UnresolvedMention">
    <w:name w:val="Unresolved Mention"/>
    <w:basedOn w:val="DefaultParagraphFont"/>
    <w:uiPriority w:val="99"/>
    <w:semiHidden/>
    <w:unhideWhenUsed/>
    <w:rsid w:val="001B0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23574">
      <w:bodyDiv w:val="1"/>
      <w:marLeft w:val="0"/>
      <w:marRight w:val="0"/>
      <w:marTop w:val="0"/>
      <w:marBottom w:val="0"/>
      <w:divBdr>
        <w:top w:val="none" w:sz="0" w:space="0" w:color="auto"/>
        <w:left w:val="none" w:sz="0" w:space="0" w:color="auto"/>
        <w:bottom w:val="none" w:sz="0" w:space="0" w:color="auto"/>
        <w:right w:val="none" w:sz="0" w:space="0" w:color="auto"/>
      </w:divBdr>
    </w:div>
    <w:div w:id="916212569">
      <w:bodyDiv w:val="1"/>
      <w:marLeft w:val="0"/>
      <w:marRight w:val="0"/>
      <w:marTop w:val="0"/>
      <w:marBottom w:val="0"/>
      <w:divBdr>
        <w:top w:val="none" w:sz="0" w:space="0" w:color="auto"/>
        <w:left w:val="none" w:sz="0" w:space="0" w:color="auto"/>
        <w:bottom w:val="none" w:sz="0" w:space="0" w:color="auto"/>
        <w:right w:val="none" w:sz="0" w:space="0" w:color="auto"/>
      </w:divBdr>
    </w:div>
    <w:div w:id="94827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61/CIRCULATIONAHA.105.169404" TargetMode="External"/><Relationship Id="rId18" Type="http://schemas.openxmlformats.org/officeDocument/2006/relationships/hyperlink" Target="https://doi.org/10.1016/j.eururo.2021.07.005" TargetMode="External"/><Relationship Id="rId26" Type="http://schemas.openxmlformats.org/officeDocument/2006/relationships/hyperlink" Target="https://doi.org/10.2147/OTT.S294320" TargetMode="External"/><Relationship Id="rId3" Type="http://schemas.openxmlformats.org/officeDocument/2006/relationships/settings" Target="settings.xml"/><Relationship Id="rId21" Type="http://schemas.openxmlformats.org/officeDocument/2006/relationships/hyperlink" Target="https://doi.org/10.1158/1055-9965.EPI-19-1070" TargetMode="External"/><Relationship Id="rId34" Type="http://schemas.openxmlformats.org/officeDocument/2006/relationships/theme" Target="theme/theme1.xml"/><Relationship Id="rId7" Type="http://schemas.openxmlformats.org/officeDocument/2006/relationships/hyperlink" Target="https://doi.org/10.1186/s12885-016-2973-7" TargetMode="External"/><Relationship Id="rId12" Type="http://schemas.openxmlformats.org/officeDocument/2006/relationships/hyperlink" Target="https://doi.org/10.1038/nrc1416" TargetMode="External"/><Relationship Id="rId17" Type="http://schemas.openxmlformats.org/officeDocument/2006/relationships/hyperlink" Target="https://doi.org/10.2147/VHRM.S6265" TargetMode="External"/><Relationship Id="rId25" Type="http://schemas.openxmlformats.org/officeDocument/2006/relationships/hyperlink" Target="https://doi.org/10.1001/jama.2013.28105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juro.2012.08.207" TargetMode="External"/><Relationship Id="rId20" Type="http://schemas.openxmlformats.org/officeDocument/2006/relationships/hyperlink" Target="https://doi.org/10.1016/j.coph.2012.07.00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3/clinchem.2004.033175" TargetMode="External"/><Relationship Id="rId24" Type="http://schemas.openxmlformats.org/officeDocument/2006/relationships/hyperlink" Target="https://gco.iarc.fr"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4103/aja.aja_75_19" TargetMode="External"/><Relationship Id="rId23" Type="http://schemas.openxmlformats.org/officeDocument/2006/relationships/hyperlink" Target="https://doi.org/10.1001/jama.294.1.66" TargetMode="External"/><Relationship Id="rId28" Type="http://schemas.openxmlformats.org/officeDocument/2006/relationships/header" Target="header2.xml"/><Relationship Id="rId10" Type="http://schemas.openxmlformats.org/officeDocument/2006/relationships/hyperlink" Target="https://doi.org/10.1530/ERC-15-0233" TargetMode="External"/><Relationship Id="rId19" Type="http://schemas.openxmlformats.org/officeDocument/2006/relationships/hyperlink" Target="https://nationalpopulation.gov.ng"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4103/1119-3077.74672" TargetMode="External"/><Relationship Id="rId14" Type="http://schemas.openxmlformats.org/officeDocument/2006/relationships/hyperlink" Target="https://doi.org/10.4111/kju.2017.58.6.362" TargetMode="External"/><Relationship Id="rId22" Type="http://schemas.openxmlformats.org/officeDocument/2006/relationships/hyperlink" Target="https://doi.org/10.1186/s12986-022-00688-7"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4103/1119-3077.1873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4790</Words>
  <Characters>27308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PhilominaOmoike</dc:creator>
  <cp:lastModifiedBy>SDI 1084</cp:lastModifiedBy>
  <cp:revision>8</cp:revision>
  <dcterms:created xsi:type="dcterms:W3CDTF">2025-07-28T18:53:00Z</dcterms:created>
  <dcterms:modified xsi:type="dcterms:W3CDTF">2025-07-29T06:52:00Z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21D325EA4031AF45C57F87684B8F9C5E_41</vt:lpwstr>
  </property>
  <property fmtid="{D5CDD505-2E9C-101B-9397-08002B2CF9AE}" pid="4" name="GrammarlyDocumentId">
    <vt:lpwstr>be723bd8-42f5-4b8a-ab8d-00d19f226919</vt:lpwstr>
  </property>
</Properties>
</file>