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62754" w14:textId="77777777" w:rsidR="00EF7191" w:rsidRDefault="00760E68">
      <w:pPr>
        <w:pStyle w:val="NoSpacing"/>
        <w:jc w:val="center"/>
        <w:rPr>
          <w:rFonts w:ascii="Times New Roman" w:hAnsi="Times New Roman"/>
          <w:b/>
          <w:sz w:val="24"/>
          <w:szCs w:val="24"/>
        </w:rPr>
      </w:pPr>
      <w:r>
        <w:rPr>
          <w:rFonts w:ascii="Times New Roman" w:hAnsi="Times New Roman"/>
          <w:b/>
          <w:sz w:val="24"/>
          <w:szCs w:val="24"/>
        </w:rPr>
        <w:t>CERVICAL LESIONS AMONG HIV-INFECTED WOMEN AT HIV CLINIC, UNIVERSITY OF ABUJA TEACHING HOSPITAL, NIGERIA</w:t>
      </w:r>
    </w:p>
    <w:p w14:paraId="310FAB8A" w14:textId="77777777" w:rsidR="00EF7191" w:rsidRDefault="00EF7191">
      <w:pPr>
        <w:spacing w:after="0" w:line="360" w:lineRule="auto"/>
        <w:ind w:right="-873"/>
        <w:rPr>
          <w:rFonts w:ascii="Times New Roman" w:hAnsi="Times New Roman"/>
          <w:b/>
          <w:sz w:val="20"/>
          <w:szCs w:val="20"/>
        </w:rPr>
      </w:pPr>
    </w:p>
    <w:p w14:paraId="46E2E843" w14:textId="77777777" w:rsidR="00EF7191" w:rsidRDefault="00EF7191">
      <w:pPr>
        <w:spacing w:after="0" w:line="360" w:lineRule="auto"/>
        <w:jc w:val="both"/>
        <w:rPr>
          <w:rFonts w:ascii="Times New Roman" w:hAnsi="Times New Roman"/>
          <w:b/>
          <w:sz w:val="24"/>
          <w:szCs w:val="24"/>
        </w:rPr>
      </w:pPr>
    </w:p>
    <w:p w14:paraId="09F524FD" w14:textId="77777777" w:rsidR="00EF7191" w:rsidRDefault="00760E68">
      <w:pPr>
        <w:spacing w:after="0" w:line="360" w:lineRule="auto"/>
        <w:jc w:val="both"/>
        <w:rPr>
          <w:rFonts w:ascii="Times New Roman" w:hAnsi="Times New Roman"/>
          <w:b/>
          <w:sz w:val="24"/>
          <w:szCs w:val="24"/>
        </w:rPr>
      </w:pPr>
      <w:r>
        <w:rPr>
          <w:rFonts w:ascii="Times New Roman" w:hAnsi="Times New Roman"/>
          <w:b/>
          <w:sz w:val="24"/>
          <w:szCs w:val="24"/>
        </w:rPr>
        <w:t>ABSTRACT</w:t>
      </w:r>
    </w:p>
    <w:p w14:paraId="1C98BECD" w14:textId="77777777" w:rsidR="00EF7191" w:rsidRDefault="00760E68">
      <w:pPr>
        <w:spacing w:line="360" w:lineRule="auto"/>
        <w:jc w:val="both"/>
        <w:rPr>
          <w:rFonts w:ascii="Times New Roman" w:hAnsi="Times New Roman"/>
          <w:sz w:val="24"/>
          <w:szCs w:val="24"/>
        </w:rPr>
      </w:pPr>
      <w:r>
        <w:rPr>
          <w:rFonts w:ascii="Times New Roman" w:hAnsi="Times New Roman"/>
          <w:sz w:val="24"/>
          <w:szCs w:val="24"/>
        </w:rPr>
        <w:t>Human Immunodefficiency Virus (HIV) infection significantly increases the risk of cervical lesions and cervical cancer in women. The aim of this study was to characterize cervica</w:t>
      </w:r>
      <w:r>
        <w:rPr>
          <w:rFonts w:ascii="Times New Roman" w:hAnsi="Times New Roman"/>
          <w:sz w:val="24"/>
          <w:szCs w:val="24"/>
        </w:rPr>
        <w:t xml:space="preserve">l lesions among HIV-positive women at the University of Abuja Teaching Hospital, Abuja for the purpose of development of targeted screening and intervention strategies for this high-risk population. A total of 61 samples of HIV patients were collected and </w:t>
      </w:r>
      <w:r>
        <w:rPr>
          <w:rFonts w:ascii="Times New Roman" w:hAnsi="Times New Roman"/>
          <w:sz w:val="24"/>
          <w:szCs w:val="24"/>
        </w:rPr>
        <w:t>studied using liquid base technique and glacial acetic acid method of visual inspection, and analyzed statistically. The results showed 51.7% had cervical lesions, 61.3% had low-grade squamous intraepithelial lesion (LSIL). Significant associations were ob</w:t>
      </w:r>
      <w:r>
        <w:rPr>
          <w:rFonts w:ascii="Times New Roman" w:hAnsi="Times New Roman"/>
          <w:sz w:val="24"/>
          <w:szCs w:val="24"/>
        </w:rPr>
        <w:t xml:space="preserve">served between the severity of the lesion and CD4+ count at a P value less than .05, but not with viral load or ART duration. The social- demographic factors were not significantly associated with progression of the lesion. The findings highlight the need </w:t>
      </w:r>
      <w:r>
        <w:rPr>
          <w:rFonts w:ascii="Times New Roman" w:hAnsi="Times New Roman"/>
          <w:sz w:val="24"/>
          <w:szCs w:val="24"/>
        </w:rPr>
        <w:t>for routine screening and i</w:t>
      </w:r>
      <w:bookmarkStart w:id="0" w:name="_GoBack"/>
      <w:bookmarkEnd w:id="0"/>
      <w:r>
        <w:rPr>
          <w:rFonts w:ascii="Times New Roman" w:hAnsi="Times New Roman"/>
          <w:sz w:val="24"/>
          <w:szCs w:val="24"/>
        </w:rPr>
        <w:t>ntegrated HPV strategies in HPV care.</w:t>
      </w:r>
    </w:p>
    <w:p w14:paraId="2ADC7D7D" w14:textId="77777777" w:rsidR="00EF7191" w:rsidRDefault="00760E68">
      <w:pPr>
        <w:spacing w:line="360" w:lineRule="auto"/>
        <w:jc w:val="both"/>
        <w:rPr>
          <w:rFonts w:ascii="Times New Roman" w:hAnsi="Times New Roman"/>
          <w:b/>
          <w:sz w:val="24"/>
          <w:szCs w:val="24"/>
        </w:rPr>
      </w:pPr>
      <w:r>
        <w:rPr>
          <w:rFonts w:ascii="Times New Roman" w:hAnsi="Times New Roman"/>
          <w:b/>
          <w:bCs/>
          <w:sz w:val="24"/>
          <w:szCs w:val="24"/>
        </w:rPr>
        <w:t>Keywords:</w:t>
      </w:r>
      <w:r>
        <w:rPr>
          <w:rFonts w:ascii="Times New Roman" w:hAnsi="Times New Roman"/>
          <w:sz w:val="24"/>
          <w:szCs w:val="24"/>
        </w:rPr>
        <w:t xml:space="preserve"> Cervical lesions, HIV, Pap Smear, Women’s health</w:t>
      </w:r>
    </w:p>
    <w:p w14:paraId="67C6F508" w14:textId="77777777" w:rsidR="00EF7191" w:rsidRDefault="00EF7191">
      <w:pPr>
        <w:spacing w:after="0" w:line="360" w:lineRule="auto"/>
        <w:jc w:val="both"/>
        <w:rPr>
          <w:rFonts w:ascii="Times New Roman" w:hAnsi="Times New Roman"/>
          <w:b/>
          <w:sz w:val="24"/>
          <w:szCs w:val="24"/>
        </w:rPr>
      </w:pPr>
    </w:p>
    <w:p w14:paraId="56B31ED4" w14:textId="77777777" w:rsidR="00EF7191" w:rsidRDefault="00760E68">
      <w:pPr>
        <w:spacing w:line="360" w:lineRule="auto"/>
        <w:jc w:val="both"/>
        <w:rPr>
          <w:rFonts w:ascii="Times New Roman" w:hAnsi="Times New Roman"/>
          <w:b/>
          <w:bCs/>
          <w:sz w:val="24"/>
          <w:szCs w:val="24"/>
        </w:rPr>
      </w:pPr>
      <w:r>
        <w:rPr>
          <w:rFonts w:ascii="Times New Roman" w:hAnsi="Times New Roman"/>
          <w:b/>
          <w:bCs/>
          <w:sz w:val="24"/>
          <w:szCs w:val="24"/>
        </w:rPr>
        <w:t>1. INTRODUCTION</w:t>
      </w:r>
    </w:p>
    <w:p w14:paraId="30B28C93" w14:textId="77777777" w:rsidR="00EF7191" w:rsidRDefault="00760E68">
      <w:pPr>
        <w:spacing w:after="0" w:line="360" w:lineRule="auto"/>
        <w:jc w:val="both"/>
        <w:rPr>
          <w:rFonts w:ascii="Times New Roman" w:hAnsi="Times New Roman"/>
          <w:sz w:val="24"/>
          <w:szCs w:val="24"/>
        </w:rPr>
      </w:pPr>
      <w:r>
        <w:rPr>
          <w:rFonts w:ascii="Times New Roman" w:hAnsi="Times New Roman"/>
          <w:sz w:val="24"/>
          <w:szCs w:val="24"/>
        </w:rPr>
        <w:t xml:space="preserve">Cervical cancer remains a leading cause of morbidity and mortality among women in sub-Saharan Africa, particularly </w:t>
      </w:r>
      <w:r>
        <w:rPr>
          <w:rFonts w:ascii="Times New Roman" w:hAnsi="Times New Roman"/>
          <w:sz w:val="24"/>
          <w:szCs w:val="24"/>
        </w:rPr>
        <w:t>among HIV-positive populations due to their immunocompromised status (WHO, 2021). In Nigeria, cervical cancer is the second most common cancer among women, with an estimated age-standardized incidence rate of 25 per 100,000 women and a mortality rate of 18</w:t>
      </w:r>
      <w:r>
        <w:rPr>
          <w:rFonts w:ascii="Times New Roman" w:hAnsi="Times New Roman"/>
          <w:sz w:val="24"/>
          <w:szCs w:val="24"/>
        </w:rPr>
        <w:t>.9 per 100,000 women (Jedy-Agba et al., 2012). The burden is disproportionately higher in northern Nigeria, where cultural barriers and limited access to screening services contribute to advanced disease presentation (Omole-Ohonsi &amp; Attah, 2010). Current e</w:t>
      </w:r>
      <w:r>
        <w:rPr>
          <w:rFonts w:ascii="Times New Roman" w:hAnsi="Times New Roman"/>
          <w:sz w:val="24"/>
          <w:szCs w:val="24"/>
        </w:rPr>
        <w:t>stimates suggest that approximately 14,089 new cases of cervical cancer are diagnosed annually in Nigeria, with over 10,403 deaths recorded yearly (Ferlay et al., 2015). HIV infection significantly increases the risk of persistent human papillomavirus (HPV</w:t>
      </w:r>
      <w:r>
        <w:rPr>
          <w:rFonts w:ascii="Times New Roman" w:hAnsi="Times New Roman"/>
          <w:sz w:val="24"/>
          <w:szCs w:val="24"/>
        </w:rPr>
        <w:t>) infection, which is a known etiological factor for cervical lesions. HIV-positive women have a 2 – 12 fold increased risk of developing cervical intraepithelial neoplasia and invasive cervical cancer compared to HIV-negative women (Abraham et al., 2013).</w:t>
      </w:r>
      <w:r>
        <w:rPr>
          <w:rFonts w:ascii="Times New Roman" w:hAnsi="Times New Roman"/>
          <w:sz w:val="24"/>
          <w:szCs w:val="24"/>
        </w:rPr>
        <w:t xml:space="preserve"> The immunosuppressive effects of HIV lead to impaired clearance of HPV infections, increased viral persistence, and </w:t>
      </w:r>
      <w:r>
        <w:rPr>
          <w:rFonts w:ascii="Times New Roman" w:hAnsi="Times New Roman"/>
          <w:sz w:val="24"/>
          <w:szCs w:val="24"/>
        </w:rPr>
        <w:lastRenderedPageBreak/>
        <w:t>accelerated progression from low-grade to high-grade lesions (Denslow et al., 2014). HIV-positive women demonstrate higher rates of HPV co-</w:t>
      </w:r>
      <w:r>
        <w:rPr>
          <w:rFonts w:ascii="Times New Roman" w:hAnsi="Times New Roman"/>
          <w:sz w:val="24"/>
          <w:szCs w:val="24"/>
        </w:rPr>
        <w:t>infection with multiple high-risk types, increased viral load, and reduced response to standard treatments (Palefsky et al., 1999). The synergistic relationship between HIV and HPV creates a complex pathophysiological environment where immune dysfunction f</w:t>
      </w:r>
      <w:r>
        <w:rPr>
          <w:rFonts w:ascii="Times New Roman" w:hAnsi="Times New Roman"/>
          <w:sz w:val="24"/>
          <w:szCs w:val="24"/>
        </w:rPr>
        <w:t>acilitates HPV persistence, leading to a more aggressive cervical disease progression. Despite the widespread use of antiretroviral therapy (ART), cervical cancer screening for HIV positive individuals remains inconsistent, and the relationship between imm</w:t>
      </w:r>
      <w:r>
        <w:rPr>
          <w:rFonts w:ascii="Times New Roman" w:hAnsi="Times New Roman"/>
          <w:sz w:val="24"/>
          <w:szCs w:val="24"/>
        </w:rPr>
        <w:t xml:space="preserve">unological parameters and lesion progression is still unclear in some populations </w:t>
      </w:r>
      <w:r>
        <w:rPr>
          <w:rFonts w:ascii="Times New Roman" w:hAnsi="Times New Roman"/>
        </w:rPr>
        <w:t>(Ovuakporaye et al., 2020)</w:t>
      </w:r>
      <w:r>
        <w:rPr>
          <w:rFonts w:ascii="Times New Roman" w:hAnsi="Times New Roman"/>
          <w:sz w:val="24"/>
          <w:szCs w:val="24"/>
        </w:rPr>
        <w:t>. Given the high burden of both HIV and cervical cancer in Nigeria, and the limited data on cervical lesion characterization among HIV-positive wome</w:t>
      </w:r>
      <w:r>
        <w:rPr>
          <w:rFonts w:ascii="Times New Roman" w:hAnsi="Times New Roman"/>
          <w:sz w:val="24"/>
          <w:szCs w:val="24"/>
        </w:rPr>
        <w:t>n in this region. This study justified evidence-based insights into improved clinical management and prevention strategies as well as identifying prevalence and types of cervical lesions and sociodemographic, reproductive, and clinical correlates.</w:t>
      </w:r>
    </w:p>
    <w:p w14:paraId="4CC7A9E9" w14:textId="77777777" w:rsidR="00EF7191" w:rsidRDefault="00EF7191">
      <w:pPr>
        <w:spacing w:after="0" w:line="360" w:lineRule="auto"/>
        <w:jc w:val="both"/>
        <w:rPr>
          <w:rFonts w:ascii="Times New Roman" w:hAnsi="Times New Roman"/>
          <w:b/>
          <w:sz w:val="24"/>
          <w:szCs w:val="24"/>
        </w:rPr>
      </w:pPr>
    </w:p>
    <w:p w14:paraId="22CE2690" w14:textId="77777777" w:rsidR="00EF7191" w:rsidRDefault="00760E68">
      <w:pPr>
        <w:spacing w:line="360" w:lineRule="auto"/>
        <w:rPr>
          <w:rFonts w:ascii="Times New Roman" w:hAnsi="Times New Roman"/>
          <w:b/>
          <w:bCs/>
          <w:sz w:val="24"/>
          <w:szCs w:val="24"/>
        </w:rPr>
      </w:pPr>
      <w:r>
        <w:rPr>
          <w:rFonts w:ascii="Times New Roman" w:hAnsi="Times New Roman"/>
          <w:b/>
          <w:bCs/>
          <w:sz w:val="24"/>
          <w:szCs w:val="24"/>
        </w:rPr>
        <w:t>2. METH</w:t>
      </w:r>
      <w:r>
        <w:rPr>
          <w:rFonts w:ascii="Times New Roman" w:hAnsi="Times New Roman"/>
          <w:b/>
          <w:bCs/>
          <w:sz w:val="24"/>
          <w:szCs w:val="24"/>
        </w:rPr>
        <w:t>ODS</w:t>
      </w:r>
    </w:p>
    <w:p w14:paraId="59AA30C3" w14:textId="77777777" w:rsidR="00EF7191" w:rsidRDefault="00760E68">
      <w:pPr>
        <w:spacing w:line="360" w:lineRule="auto"/>
        <w:jc w:val="both"/>
        <w:rPr>
          <w:rFonts w:ascii="Times New Roman" w:hAnsi="Times New Roman"/>
          <w:sz w:val="24"/>
          <w:szCs w:val="24"/>
        </w:rPr>
      </w:pPr>
      <w:r>
        <w:rPr>
          <w:rFonts w:ascii="Times New Roman" w:hAnsi="Times New Roman"/>
          <w:sz w:val="24"/>
          <w:szCs w:val="24"/>
        </w:rPr>
        <w:t>This descriptive cross-sectional study was conducted among 61 HIV-positive women attending the HIV clinic at UATH. Data collection tools included structured questionnaire, clinical record reviews, visual examination and Pap smear tests. Participants we</w:t>
      </w:r>
      <w:r>
        <w:rPr>
          <w:rFonts w:ascii="Times New Roman" w:hAnsi="Times New Roman"/>
          <w:sz w:val="24"/>
          <w:szCs w:val="24"/>
        </w:rPr>
        <w:t>re selected using purposive sampling. Samples were obtained from the ectocervix and endocervix with a cyto-brush for liquid based cytology and stained by the Papaniculaou technique. Cytological diagnoses were made using the Bethesda System of classificatio</w:t>
      </w:r>
      <w:r>
        <w:rPr>
          <w:rFonts w:ascii="Times New Roman" w:hAnsi="Times New Roman"/>
          <w:sz w:val="24"/>
          <w:szCs w:val="24"/>
        </w:rPr>
        <w:t>n. CD4+ count and viral load were also obtained from available participants' most recent clinical records.</w:t>
      </w:r>
    </w:p>
    <w:p w14:paraId="711D897F" w14:textId="77777777" w:rsidR="00EF7191" w:rsidRDefault="00760E68">
      <w:pPr>
        <w:pStyle w:val="NoSpacing"/>
        <w:rPr>
          <w:rFonts w:ascii="Times New Roman" w:hAnsi="Times New Roman"/>
          <w:b/>
          <w:sz w:val="24"/>
          <w:szCs w:val="24"/>
        </w:rPr>
      </w:pPr>
      <w:r>
        <w:rPr>
          <w:rFonts w:ascii="Times New Roman" w:hAnsi="Times New Roman"/>
          <w:b/>
          <w:sz w:val="24"/>
          <w:szCs w:val="24"/>
        </w:rPr>
        <w:t xml:space="preserve">Ethical Considerations </w:t>
      </w:r>
    </w:p>
    <w:p w14:paraId="1530B31E" w14:textId="77777777" w:rsidR="00EF7191" w:rsidRDefault="00760E68">
      <w:pPr>
        <w:spacing w:line="360" w:lineRule="auto"/>
        <w:jc w:val="both"/>
        <w:rPr>
          <w:rFonts w:ascii="Times New Roman" w:hAnsi="Times New Roman"/>
          <w:sz w:val="24"/>
          <w:szCs w:val="24"/>
        </w:rPr>
      </w:pPr>
      <w:r>
        <w:rPr>
          <w:rFonts w:ascii="Times New Roman" w:hAnsi="Times New Roman"/>
          <w:sz w:val="24"/>
          <w:szCs w:val="24"/>
        </w:rPr>
        <w:t xml:space="preserve">Ethical approval was obtained from the University of Abuja Teaching Hospital Research Ethics Committee with approval number: </w:t>
      </w:r>
      <w:r>
        <w:rPr>
          <w:rFonts w:ascii="Times New Roman" w:hAnsi="Times New Roman"/>
          <w:sz w:val="24"/>
          <w:szCs w:val="24"/>
        </w:rPr>
        <w:t>UATH/HREC/PR/2025/03/318). All participants provided written informed consent after receiving detailed information about the study objectives, procedures, potential risks, and benefits. Participants were assured of confidentiality and their right to withdr</w:t>
      </w:r>
      <w:r>
        <w:rPr>
          <w:rFonts w:ascii="Times New Roman" w:hAnsi="Times New Roman"/>
          <w:sz w:val="24"/>
          <w:szCs w:val="24"/>
        </w:rPr>
        <w:t>aw from the study at any time without affecting their clinical care. Data were analyzed using SPSS version 23. Descriptive statistics described frequencies and percentages for categorical variables, while means and standard deviations were calculated for c</w:t>
      </w:r>
      <w:r>
        <w:rPr>
          <w:rFonts w:ascii="Times New Roman" w:hAnsi="Times New Roman"/>
          <w:sz w:val="24"/>
          <w:szCs w:val="24"/>
        </w:rPr>
        <w:t>ontinuous variables. Chi-square tests were used to compare proportions between groups with and without cervical lesions. Ordinal logistic regression was used to assess the relationship between immunological parameters (CD4+ count and viral load) and lesion</w:t>
      </w:r>
      <w:r>
        <w:rPr>
          <w:rFonts w:ascii="Times New Roman" w:hAnsi="Times New Roman"/>
          <w:sz w:val="24"/>
          <w:szCs w:val="24"/>
        </w:rPr>
        <w:t xml:space="preserve"> severity. Pearson product-</w:t>
      </w:r>
      <w:r>
        <w:rPr>
          <w:rFonts w:ascii="Times New Roman" w:hAnsi="Times New Roman"/>
          <w:sz w:val="24"/>
          <w:szCs w:val="24"/>
        </w:rPr>
        <w:lastRenderedPageBreak/>
        <w:t xml:space="preserve">moment correlation was specifically used to analyze the relationship between ART duration and lesion occurrence, as well as correlations between continuous variables such as age, CD4+ count, and viral load. All statistical tests </w:t>
      </w:r>
      <w:r>
        <w:rPr>
          <w:rFonts w:ascii="Times New Roman" w:hAnsi="Times New Roman"/>
          <w:sz w:val="24"/>
          <w:szCs w:val="24"/>
        </w:rPr>
        <w:t>were conducted at a 0.05 significance level.</w:t>
      </w:r>
    </w:p>
    <w:p w14:paraId="0854419F" w14:textId="77777777" w:rsidR="00EF7191" w:rsidRDefault="00EF7191">
      <w:pPr>
        <w:spacing w:after="0" w:line="360" w:lineRule="auto"/>
        <w:jc w:val="both"/>
        <w:rPr>
          <w:rFonts w:ascii="Times New Roman" w:hAnsi="Times New Roman"/>
          <w:b/>
          <w:sz w:val="24"/>
          <w:szCs w:val="24"/>
        </w:rPr>
      </w:pPr>
    </w:p>
    <w:p w14:paraId="23661B53" w14:textId="77777777" w:rsidR="00EF7191" w:rsidRDefault="00760E68">
      <w:pPr>
        <w:spacing w:after="0" w:line="360" w:lineRule="auto"/>
        <w:jc w:val="both"/>
        <w:rPr>
          <w:rFonts w:ascii="Times New Roman" w:hAnsi="Times New Roman"/>
          <w:b/>
          <w:sz w:val="24"/>
          <w:szCs w:val="24"/>
        </w:rPr>
      </w:pPr>
      <w:r>
        <w:rPr>
          <w:rFonts w:ascii="Times New Roman" w:hAnsi="Times New Roman"/>
          <w:b/>
          <w:sz w:val="24"/>
          <w:szCs w:val="24"/>
        </w:rPr>
        <w:t>3. RESULTS</w:t>
      </w:r>
    </w:p>
    <w:p w14:paraId="1F32F939" w14:textId="2ED32794" w:rsidR="00EF7191" w:rsidRDefault="00760E68">
      <w:pPr>
        <w:spacing w:after="0" w:line="240" w:lineRule="auto"/>
        <w:jc w:val="both"/>
        <w:rPr>
          <w:rFonts w:ascii="Times New Roman" w:hAnsi="Times New Roman"/>
          <w:bCs/>
          <w:sz w:val="24"/>
          <w:szCs w:val="24"/>
        </w:rPr>
      </w:pPr>
      <w:r>
        <w:rPr>
          <w:rFonts w:ascii="Times New Roman" w:hAnsi="Times New Roman"/>
          <w:bCs/>
          <w:sz w:val="24"/>
          <w:szCs w:val="24"/>
        </w:rPr>
        <w:t>Table 1: Percentage distribution of cases and the various types of cervical lesions among HIV-positive women attending UATH</w:t>
      </w:r>
    </w:p>
    <w:tbl>
      <w:tblPr>
        <w:tblStyle w:val="ListTable6Colorfu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70"/>
        <w:gridCol w:w="1620"/>
        <w:gridCol w:w="1260"/>
        <w:gridCol w:w="720"/>
      </w:tblGrid>
      <w:tr w:rsidR="00EF7191" w14:paraId="5902DE00" w14:textId="77777777" w:rsidTr="00EF7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left w:val="nil"/>
              <w:bottom w:val="single" w:sz="4" w:space="0" w:color="auto"/>
              <w:right w:val="nil"/>
            </w:tcBorders>
            <w:shd w:val="clear" w:color="auto" w:fill="FFFFFF"/>
          </w:tcPr>
          <w:p w14:paraId="018FD0C9" w14:textId="77777777" w:rsidR="00EF7191" w:rsidRDefault="00760E68">
            <w:pPr>
              <w:pStyle w:val="NoSpacing"/>
              <w:rPr>
                <w:rFonts w:ascii="Times New Roman" w:hAnsi="Times New Roman"/>
              </w:rPr>
            </w:pPr>
            <w:r>
              <w:rPr>
                <w:rFonts w:ascii="Times New Roman" w:hAnsi="Times New Roman"/>
              </w:rPr>
              <w:t>Cases</w:t>
            </w:r>
          </w:p>
        </w:tc>
        <w:tc>
          <w:tcPr>
            <w:tcW w:w="1620" w:type="dxa"/>
            <w:tcBorders>
              <w:left w:val="nil"/>
              <w:bottom w:val="single" w:sz="4" w:space="0" w:color="auto"/>
              <w:right w:val="nil"/>
            </w:tcBorders>
            <w:shd w:val="clear" w:color="auto" w:fill="FFFFFF"/>
          </w:tcPr>
          <w:p w14:paraId="054950AB"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Type of Cervical Lesion</w:t>
            </w:r>
          </w:p>
        </w:tc>
        <w:tc>
          <w:tcPr>
            <w:tcW w:w="1260" w:type="dxa"/>
            <w:tcBorders>
              <w:left w:val="nil"/>
              <w:bottom w:val="single" w:sz="4" w:space="0" w:color="auto"/>
              <w:right w:val="nil"/>
            </w:tcBorders>
            <w:shd w:val="clear" w:color="auto" w:fill="FFFFFF"/>
          </w:tcPr>
          <w:p w14:paraId="68A85296"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Frequency</w:t>
            </w:r>
          </w:p>
        </w:tc>
        <w:tc>
          <w:tcPr>
            <w:tcW w:w="720" w:type="dxa"/>
            <w:tcBorders>
              <w:left w:val="nil"/>
              <w:bottom w:val="single" w:sz="4" w:space="0" w:color="auto"/>
              <w:right w:val="nil"/>
            </w:tcBorders>
            <w:shd w:val="clear" w:color="auto" w:fill="FFFFFF"/>
          </w:tcPr>
          <w:p w14:paraId="1C753F1C"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p>
        </w:tc>
      </w:tr>
      <w:tr w:rsidR="00EF7191" w14:paraId="70F8FAE3"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left w:val="nil"/>
              <w:bottom w:val="nil"/>
              <w:right w:val="nil"/>
            </w:tcBorders>
            <w:shd w:val="clear" w:color="auto" w:fill="FFFFFF"/>
          </w:tcPr>
          <w:p w14:paraId="5E0B951E" w14:textId="77777777" w:rsidR="00EF7191" w:rsidRDefault="00760E68">
            <w:pPr>
              <w:pStyle w:val="NoSpacing"/>
              <w:rPr>
                <w:rFonts w:ascii="Times New Roman" w:hAnsi="Times New Roman"/>
              </w:rPr>
            </w:pPr>
            <w:r>
              <w:rPr>
                <w:rFonts w:ascii="Times New Roman" w:hAnsi="Times New Roman"/>
                <w:b w:val="0"/>
              </w:rPr>
              <w:t>Negative</w:t>
            </w:r>
          </w:p>
        </w:tc>
        <w:tc>
          <w:tcPr>
            <w:tcW w:w="1620" w:type="dxa"/>
            <w:tcBorders>
              <w:left w:val="nil"/>
              <w:bottom w:val="nil"/>
              <w:right w:val="nil"/>
            </w:tcBorders>
            <w:shd w:val="clear" w:color="auto" w:fill="FFFFFF"/>
          </w:tcPr>
          <w:p w14:paraId="7D64880C"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Nil</w:t>
            </w:r>
          </w:p>
        </w:tc>
        <w:tc>
          <w:tcPr>
            <w:tcW w:w="1260" w:type="dxa"/>
            <w:tcBorders>
              <w:left w:val="nil"/>
              <w:bottom w:val="nil"/>
              <w:right w:val="nil"/>
            </w:tcBorders>
            <w:shd w:val="clear" w:color="auto" w:fill="FFFFFF"/>
          </w:tcPr>
          <w:p w14:paraId="14C420A2"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30</w:t>
            </w:r>
          </w:p>
        </w:tc>
        <w:tc>
          <w:tcPr>
            <w:tcW w:w="720" w:type="dxa"/>
            <w:tcBorders>
              <w:left w:val="nil"/>
              <w:bottom w:val="nil"/>
              <w:right w:val="nil"/>
            </w:tcBorders>
            <w:shd w:val="clear" w:color="auto" w:fill="FFFFFF"/>
          </w:tcPr>
          <w:p w14:paraId="4324AC76"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r>
      <w:tr w:rsidR="00EF7191" w14:paraId="725E0FC5" w14:textId="77777777" w:rsidTr="00EF7191">
        <w:tc>
          <w:tcPr>
            <w:cnfStyle w:val="001000000000" w:firstRow="0" w:lastRow="0" w:firstColumn="1" w:lastColumn="0" w:oddVBand="0" w:evenVBand="0" w:oddHBand="0" w:evenHBand="0" w:firstRowFirstColumn="0" w:firstRowLastColumn="0" w:lastRowFirstColumn="0" w:lastRowLastColumn="0"/>
            <w:tcW w:w="1170" w:type="dxa"/>
            <w:tcBorders>
              <w:top w:val="nil"/>
              <w:left w:val="nil"/>
              <w:bottom w:val="nil"/>
              <w:right w:val="nil"/>
            </w:tcBorders>
            <w:shd w:val="clear" w:color="auto" w:fill="FFFFFF"/>
          </w:tcPr>
          <w:p w14:paraId="1ABDD65F" w14:textId="77777777" w:rsidR="00EF7191" w:rsidRDefault="00760E68">
            <w:pPr>
              <w:pStyle w:val="NoSpacing"/>
              <w:rPr>
                <w:rFonts w:ascii="Times New Roman" w:hAnsi="Times New Roman"/>
              </w:rPr>
            </w:pPr>
            <w:r>
              <w:rPr>
                <w:rFonts w:ascii="Times New Roman" w:hAnsi="Times New Roman"/>
                <w:b w:val="0"/>
              </w:rPr>
              <w:t>Total</w:t>
            </w:r>
          </w:p>
        </w:tc>
        <w:tc>
          <w:tcPr>
            <w:tcW w:w="1620" w:type="dxa"/>
            <w:tcBorders>
              <w:top w:val="nil"/>
              <w:left w:val="nil"/>
              <w:bottom w:val="nil"/>
              <w:right w:val="nil"/>
            </w:tcBorders>
            <w:shd w:val="clear" w:color="auto" w:fill="FFFFFF"/>
          </w:tcPr>
          <w:p w14:paraId="7FD5B062" w14:textId="77777777" w:rsidR="00EF7191" w:rsidRDefault="00EF719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260" w:type="dxa"/>
            <w:tcBorders>
              <w:top w:val="nil"/>
              <w:left w:val="nil"/>
              <w:bottom w:val="nil"/>
              <w:right w:val="nil"/>
            </w:tcBorders>
            <w:shd w:val="clear" w:color="auto" w:fill="FFFFFF"/>
          </w:tcPr>
          <w:p w14:paraId="43DC9072"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30</w:t>
            </w:r>
          </w:p>
        </w:tc>
        <w:tc>
          <w:tcPr>
            <w:tcW w:w="720" w:type="dxa"/>
            <w:tcBorders>
              <w:top w:val="nil"/>
              <w:left w:val="nil"/>
              <w:bottom w:val="nil"/>
              <w:right w:val="nil"/>
            </w:tcBorders>
            <w:shd w:val="clear" w:color="auto" w:fill="FFFFFF"/>
          </w:tcPr>
          <w:p w14:paraId="7F9E2E2A"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w:t>
            </w:r>
          </w:p>
        </w:tc>
      </w:tr>
      <w:tr w:rsidR="00EF7191" w14:paraId="5083E151"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left w:val="nil"/>
              <w:bottom w:val="nil"/>
              <w:right w:val="nil"/>
            </w:tcBorders>
            <w:shd w:val="clear" w:color="auto" w:fill="FFFFFF"/>
          </w:tcPr>
          <w:p w14:paraId="1D8FE4FD" w14:textId="77777777" w:rsidR="00EF7191" w:rsidRDefault="00760E68">
            <w:pPr>
              <w:pStyle w:val="NoSpacing"/>
              <w:rPr>
                <w:rFonts w:ascii="Times New Roman" w:hAnsi="Times New Roman"/>
              </w:rPr>
            </w:pPr>
            <w:r>
              <w:rPr>
                <w:rFonts w:ascii="Times New Roman" w:hAnsi="Times New Roman"/>
                <w:b w:val="0"/>
              </w:rPr>
              <w:t>Positive</w:t>
            </w:r>
          </w:p>
        </w:tc>
        <w:tc>
          <w:tcPr>
            <w:tcW w:w="1620" w:type="dxa"/>
            <w:tcBorders>
              <w:left w:val="nil"/>
              <w:bottom w:val="nil"/>
              <w:right w:val="nil"/>
            </w:tcBorders>
            <w:shd w:val="clear" w:color="auto" w:fill="FFFFFF"/>
          </w:tcPr>
          <w:p w14:paraId="34509175"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Inflammation</w:t>
            </w:r>
          </w:p>
        </w:tc>
        <w:tc>
          <w:tcPr>
            <w:tcW w:w="1260" w:type="dxa"/>
            <w:tcBorders>
              <w:left w:val="nil"/>
              <w:bottom w:val="nil"/>
              <w:right w:val="nil"/>
            </w:tcBorders>
            <w:shd w:val="clear" w:color="auto" w:fill="FFFFFF"/>
          </w:tcPr>
          <w:p w14:paraId="11E8FD4A"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w:t>
            </w:r>
          </w:p>
        </w:tc>
        <w:tc>
          <w:tcPr>
            <w:tcW w:w="720" w:type="dxa"/>
            <w:tcBorders>
              <w:left w:val="nil"/>
              <w:bottom w:val="nil"/>
              <w:right w:val="nil"/>
            </w:tcBorders>
            <w:shd w:val="clear" w:color="auto" w:fill="FFFFFF"/>
          </w:tcPr>
          <w:p w14:paraId="3249B3CF"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19.4</w:t>
            </w:r>
          </w:p>
        </w:tc>
      </w:tr>
      <w:tr w:rsidR="00EF7191" w14:paraId="3495A0F0" w14:textId="77777777" w:rsidTr="00EF7191">
        <w:tc>
          <w:tcPr>
            <w:cnfStyle w:val="001000000000" w:firstRow="0" w:lastRow="0" w:firstColumn="1" w:lastColumn="0" w:oddVBand="0" w:evenVBand="0" w:oddHBand="0" w:evenHBand="0" w:firstRowFirstColumn="0" w:firstRowLastColumn="0" w:lastRowFirstColumn="0" w:lastRowLastColumn="0"/>
            <w:tcW w:w="1170" w:type="dxa"/>
            <w:tcBorders>
              <w:top w:val="nil"/>
              <w:left w:val="nil"/>
              <w:bottom w:val="nil"/>
              <w:right w:val="nil"/>
            </w:tcBorders>
            <w:shd w:val="clear" w:color="auto" w:fill="FFFFFF"/>
          </w:tcPr>
          <w:p w14:paraId="6E67C773" w14:textId="77777777" w:rsidR="00EF7191" w:rsidRDefault="00EF7191">
            <w:pPr>
              <w:pStyle w:val="NoSpacing"/>
              <w:rPr>
                <w:rFonts w:ascii="Times New Roman" w:hAnsi="Times New Roman"/>
              </w:rPr>
            </w:pPr>
          </w:p>
        </w:tc>
        <w:tc>
          <w:tcPr>
            <w:tcW w:w="1620" w:type="dxa"/>
            <w:tcBorders>
              <w:top w:val="nil"/>
              <w:left w:val="nil"/>
              <w:bottom w:val="nil"/>
              <w:right w:val="nil"/>
            </w:tcBorders>
            <w:shd w:val="clear" w:color="auto" w:fill="FFFFFF"/>
          </w:tcPr>
          <w:p w14:paraId="1E5B7D9E"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ASCUS</w:t>
            </w:r>
          </w:p>
        </w:tc>
        <w:tc>
          <w:tcPr>
            <w:tcW w:w="1260" w:type="dxa"/>
            <w:tcBorders>
              <w:top w:val="nil"/>
              <w:left w:val="nil"/>
              <w:bottom w:val="nil"/>
              <w:right w:val="nil"/>
            </w:tcBorders>
            <w:shd w:val="clear" w:color="auto" w:fill="FFFFFF"/>
          </w:tcPr>
          <w:p w14:paraId="36EECD2C"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w:t>
            </w:r>
          </w:p>
        </w:tc>
        <w:tc>
          <w:tcPr>
            <w:tcW w:w="720" w:type="dxa"/>
            <w:tcBorders>
              <w:top w:val="nil"/>
              <w:left w:val="nil"/>
              <w:bottom w:val="nil"/>
              <w:right w:val="nil"/>
            </w:tcBorders>
            <w:shd w:val="clear" w:color="auto" w:fill="FFFFFF"/>
          </w:tcPr>
          <w:p w14:paraId="0241E25C"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12.9</w:t>
            </w:r>
          </w:p>
        </w:tc>
      </w:tr>
      <w:tr w:rsidR="00EF7191" w14:paraId="1395976E"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nil"/>
              <w:left w:val="nil"/>
              <w:bottom w:val="nil"/>
              <w:right w:val="nil"/>
            </w:tcBorders>
            <w:shd w:val="clear" w:color="auto" w:fill="FFFFFF"/>
          </w:tcPr>
          <w:p w14:paraId="6B4BF5E6" w14:textId="77777777" w:rsidR="00EF7191" w:rsidRDefault="00EF7191">
            <w:pPr>
              <w:pStyle w:val="NoSpacing"/>
              <w:rPr>
                <w:rFonts w:ascii="Times New Roman" w:hAnsi="Times New Roman"/>
              </w:rPr>
            </w:pPr>
          </w:p>
        </w:tc>
        <w:tc>
          <w:tcPr>
            <w:tcW w:w="1620" w:type="dxa"/>
            <w:tcBorders>
              <w:top w:val="nil"/>
              <w:left w:val="nil"/>
              <w:bottom w:val="nil"/>
              <w:right w:val="nil"/>
            </w:tcBorders>
            <w:shd w:val="clear" w:color="auto" w:fill="FFFFFF"/>
          </w:tcPr>
          <w:p w14:paraId="5C2559CF"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LSIL</w:t>
            </w:r>
          </w:p>
        </w:tc>
        <w:tc>
          <w:tcPr>
            <w:tcW w:w="1260" w:type="dxa"/>
            <w:tcBorders>
              <w:top w:val="nil"/>
              <w:left w:val="nil"/>
              <w:bottom w:val="nil"/>
              <w:right w:val="nil"/>
            </w:tcBorders>
            <w:shd w:val="clear" w:color="auto" w:fill="FFFFFF"/>
          </w:tcPr>
          <w:p w14:paraId="1FF351B6"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19</w:t>
            </w:r>
          </w:p>
        </w:tc>
        <w:tc>
          <w:tcPr>
            <w:tcW w:w="720" w:type="dxa"/>
            <w:tcBorders>
              <w:top w:val="nil"/>
              <w:left w:val="nil"/>
              <w:bottom w:val="nil"/>
              <w:right w:val="nil"/>
            </w:tcBorders>
            <w:shd w:val="clear" w:color="auto" w:fill="FFFFFF"/>
          </w:tcPr>
          <w:p w14:paraId="54928217"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61.3</w:t>
            </w:r>
          </w:p>
        </w:tc>
      </w:tr>
      <w:tr w:rsidR="00EF7191" w14:paraId="2F786FD1" w14:textId="77777777" w:rsidTr="00EF7191">
        <w:tc>
          <w:tcPr>
            <w:cnfStyle w:val="001000000000" w:firstRow="0" w:lastRow="0" w:firstColumn="1" w:lastColumn="0" w:oddVBand="0" w:evenVBand="0" w:oddHBand="0" w:evenHBand="0" w:firstRowFirstColumn="0" w:firstRowLastColumn="0" w:lastRowFirstColumn="0" w:lastRowLastColumn="0"/>
            <w:tcW w:w="1170" w:type="dxa"/>
            <w:tcBorders>
              <w:top w:val="nil"/>
              <w:left w:val="nil"/>
              <w:bottom w:val="nil"/>
              <w:right w:val="nil"/>
            </w:tcBorders>
            <w:shd w:val="clear" w:color="auto" w:fill="FFFFFF"/>
          </w:tcPr>
          <w:p w14:paraId="6CDF2017" w14:textId="77777777" w:rsidR="00EF7191" w:rsidRDefault="00EF7191">
            <w:pPr>
              <w:pStyle w:val="NoSpacing"/>
              <w:rPr>
                <w:rFonts w:ascii="Times New Roman" w:hAnsi="Times New Roman"/>
              </w:rPr>
            </w:pPr>
          </w:p>
        </w:tc>
        <w:tc>
          <w:tcPr>
            <w:tcW w:w="1620" w:type="dxa"/>
            <w:tcBorders>
              <w:top w:val="nil"/>
              <w:left w:val="nil"/>
              <w:bottom w:val="nil"/>
              <w:right w:val="nil"/>
            </w:tcBorders>
            <w:shd w:val="clear" w:color="auto" w:fill="FFFFFF"/>
          </w:tcPr>
          <w:p w14:paraId="46DEF6FC"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HSIL</w:t>
            </w:r>
          </w:p>
        </w:tc>
        <w:tc>
          <w:tcPr>
            <w:tcW w:w="1260" w:type="dxa"/>
            <w:tcBorders>
              <w:top w:val="nil"/>
              <w:left w:val="nil"/>
              <w:bottom w:val="nil"/>
              <w:right w:val="nil"/>
            </w:tcBorders>
            <w:shd w:val="clear" w:color="auto" w:fill="FFFFFF"/>
          </w:tcPr>
          <w:p w14:paraId="72B5F949"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c>
          <w:tcPr>
            <w:tcW w:w="720" w:type="dxa"/>
            <w:tcBorders>
              <w:top w:val="nil"/>
              <w:left w:val="nil"/>
              <w:bottom w:val="nil"/>
              <w:right w:val="nil"/>
            </w:tcBorders>
            <w:shd w:val="clear" w:color="auto" w:fill="FFFFFF"/>
          </w:tcPr>
          <w:p w14:paraId="4A295A42"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6.5</w:t>
            </w:r>
          </w:p>
        </w:tc>
      </w:tr>
      <w:tr w:rsidR="00EF7191" w14:paraId="5306F57E" w14:textId="77777777" w:rsidTr="00EF7191">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170" w:type="dxa"/>
            <w:tcBorders>
              <w:top w:val="nil"/>
              <w:left w:val="nil"/>
              <w:right w:val="nil"/>
            </w:tcBorders>
            <w:shd w:val="clear" w:color="auto" w:fill="FFFFFF"/>
          </w:tcPr>
          <w:p w14:paraId="3A667699" w14:textId="77777777" w:rsidR="00EF7191" w:rsidRDefault="00760E68">
            <w:pPr>
              <w:pStyle w:val="NoSpacing"/>
              <w:rPr>
                <w:rFonts w:ascii="Times New Roman" w:hAnsi="Times New Roman"/>
              </w:rPr>
            </w:pPr>
            <w:r>
              <w:rPr>
                <w:rFonts w:ascii="Times New Roman" w:hAnsi="Times New Roman"/>
                <w:b w:val="0"/>
              </w:rPr>
              <w:t>Total</w:t>
            </w:r>
          </w:p>
        </w:tc>
        <w:tc>
          <w:tcPr>
            <w:tcW w:w="1620" w:type="dxa"/>
            <w:tcBorders>
              <w:top w:val="nil"/>
              <w:left w:val="nil"/>
              <w:right w:val="nil"/>
            </w:tcBorders>
            <w:shd w:val="clear" w:color="auto" w:fill="FFFFFF"/>
          </w:tcPr>
          <w:p w14:paraId="07E0A4FA" w14:textId="77777777" w:rsidR="00EF7191" w:rsidRDefault="00EF719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60" w:type="dxa"/>
            <w:tcBorders>
              <w:top w:val="nil"/>
              <w:left w:val="nil"/>
              <w:right w:val="nil"/>
            </w:tcBorders>
            <w:shd w:val="clear" w:color="auto" w:fill="FFFFFF"/>
          </w:tcPr>
          <w:p w14:paraId="5025B2AE"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31</w:t>
            </w:r>
          </w:p>
        </w:tc>
        <w:tc>
          <w:tcPr>
            <w:tcW w:w="720" w:type="dxa"/>
            <w:tcBorders>
              <w:top w:val="nil"/>
              <w:left w:val="nil"/>
              <w:right w:val="nil"/>
            </w:tcBorders>
            <w:shd w:val="clear" w:color="auto" w:fill="FFFFFF"/>
          </w:tcPr>
          <w:p w14:paraId="5144AF53"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100.0</w:t>
            </w:r>
          </w:p>
        </w:tc>
      </w:tr>
    </w:tbl>
    <w:p w14:paraId="4D04C3A8" w14:textId="77777777" w:rsidR="00EF7191" w:rsidRDefault="00760E68">
      <w:pPr>
        <w:pStyle w:val="NoSpacing"/>
        <w:rPr>
          <w:rFonts w:ascii="Times New Roman" w:hAnsi="Times New Roman"/>
          <w:sz w:val="20"/>
          <w:szCs w:val="20"/>
        </w:rPr>
      </w:pPr>
      <w:r>
        <w:rPr>
          <w:rFonts w:ascii="Times New Roman" w:hAnsi="Times New Roman"/>
          <w:sz w:val="20"/>
          <w:szCs w:val="20"/>
        </w:rPr>
        <w:t xml:space="preserve">Out of 61 HIV-positive women, 30 (49.2%) had normal cervical cytology while 31 (50.8%) had various abnormalities. LSIL accounted for the majority (61.3%) of </w:t>
      </w:r>
      <w:r>
        <w:rPr>
          <w:rFonts w:ascii="Times New Roman" w:hAnsi="Times New Roman"/>
          <w:sz w:val="20"/>
          <w:szCs w:val="20"/>
        </w:rPr>
        <w:t>lesions, followed by inflammatory changes (19.4%), atypical squamous cells of undetermined significance (ASCUS, 12.9%), and high-grade squamous intraepithelial lesion (HGSIL, 6.5%).</w:t>
      </w:r>
    </w:p>
    <w:p w14:paraId="4AD2D88D" w14:textId="77777777" w:rsidR="00EF7191" w:rsidRDefault="00EF7191">
      <w:pPr>
        <w:spacing w:after="0" w:line="360" w:lineRule="auto"/>
        <w:jc w:val="both"/>
        <w:rPr>
          <w:rFonts w:ascii="Times New Roman" w:hAnsi="Times New Roman"/>
          <w:b/>
          <w:sz w:val="24"/>
          <w:szCs w:val="24"/>
        </w:rPr>
      </w:pPr>
    </w:p>
    <w:p w14:paraId="15CA6EDE" w14:textId="77777777" w:rsidR="00EF7191" w:rsidRDefault="00760E68">
      <w:pPr>
        <w:spacing w:after="160" w:line="259" w:lineRule="auto"/>
        <w:rPr>
          <w:rFonts w:ascii="Times New Roman" w:hAnsi="Times New Roman"/>
          <w:sz w:val="24"/>
          <w:szCs w:val="24"/>
        </w:rPr>
      </w:pPr>
      <w:r>
        <w:rPr>
          <w:rFonts w:ascii="Times New Roman" w:hAnsi="Times New Roman"/>
          <w:sz w:val="24"/>
          <w:szCs w:val="24"/>
        </w:rPr>
        <w:br w:type="page"/>
      </w:r>
    </w:p>
    <w:p w14:paraId="120C05BB" w14:textId="75A22783" w:rsidR="00EF7191" w:rsidRDefault="00760E68">
      <w:pPr>
        <w:spacing w:after="0" w:line="240" w:lineRule="auto"/>
        <w:jc w:val="both"/>
        <w:rPr>
          <w:rFonts w:ascii="Times New Roman" w:hAnsi="Times New Roman"/>
          <w:sz w:val="24"/>
          <w:szCs w:val="24"/>
        </w:rPr>
      </w:pPr>
      <w:r>
        <w:rPr>
          <w:rFonts w:ascii="Times New Roman" w:hAnsi="Times New Roman"/>
          <w:sz w:val="24"/>
          <w:szCs w:val="24"/>
        </w:rPr>
        <w:lastRenderedPageBreak/>
        <w:t>Table 2: Socio-demographic, reproductive, and clinical factors associat</w:t>
      </w:r>
      <w:r>
        <w:rPr>
          <w:rFonts w:ascii="Times New Roman" w:hAnsi="Times New Roman"/>
          <w:sz w:val="24"/>
          <w:szCs w:val="24"/>
        </w:rPr>
        <w:t>ed with the development of cervical lesions in HIV-positive women at UATH</w:t>
      </w:r>
    </w:p>
    <w:tbl>
      <w:tblPr>
        <w:tblStyle w:val="LightShading1"/>
        <w:tblW w:w="817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929"/>
        <w:gridCol w:w="2947"/>
        <w:gridCol w:w="1127"/>
        <w:gridCol w:w="1169"/>
      </w:tblGrid>
      <w:tr w:rsidR="00EF7191" w14:paraId="64DB3C28" w14:textId="77777777" w:rsidTr="00EF7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bottom w:val="single" w:sz="4" w:space="0" w:color="auto"/>
            </w:tcBorders>
            <w:shd w:val="clear" w:color="auto" w:fill="FFFFFF"/>
          </w:tcPr>
          <w:p w14:paraId="72448A8E" w14:textId="77777777" w:rsidR="00EF7191" w:rsidRDefault="00760E68">
            <w:pPr>
              <w:pStyle w:val="NoSpacing"/>
              <w:rPr>
                <w:rFonts w:ascii="Times New Roman" w:hAnsi="Times New Roman"/>
              </w:rPr>
            </w:pPr>
            <w:r>
              <w:rPr>
                <w:rFonts w:ascii="Times New Roman" w:hAnsi="Times New Roman"/>
              </w:rPr>
              <w:t>Factors Associated with the Development of Cervical Legions</w:t>
            </w:r>
          </w:p>
        </w:tc>
        <w:tc>
          <w:tcPr>
            <w:tcW w:w="2970" w:type="dxa"/>
            <w:tcBorders>
              <w:top w:val="none" w:sz="0" w:space="0" w:color="auto"/>
              <w:bottom w:val="single" w:sz="4" w:space="0" w:color="auto"/>
            </w:tcBorders>
            <w:shd w:val="clear" w:color="auto" w:fill="FFFFFF"/>
          </w:tcPr>
          <w:p w14:paraId="4A846F8F"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Socio-Demographic, Reproductive and Clinical Factors </w:t>
            </w:r>
          </w:p>
        </w:tc>
        <w:tc>
          <w:tcPr>
            <w:tcW w:w="1081" w:type="dxa"/>
            <w:tcBorders>
              <w:top w:val="none" w:sz="0" w:space="0" w:color="auto"/>
              <w:bottom w:val="single" w:sz="4" w:space="0" w:color="auto"/>
            </w:tcBorders>
            <w:shd w:val="clear" w:color="auto" w:fill="FFFFFF"/>
          </w:tcPr>
          <w:p w14:paraId="55B89218"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Frequency</w:t>
            </w:r>
          </w:p>
        </w:tc>
        <w:tc>
          <w:tcPr>
            <w:tcW w:w="1169" w:type="dxa"/>
            <w:tcBorders>
              <w:top w:val="none" w:sz="0" w:space="0" w:color="auto"/>
              <w:bottom w:val="single" w:sz="4" w:space="0" w:color="auto"/>
            </w:tcBorders>
            <w:shd w:val="clear" w:color="auto" w:fill="FFFFFF"/>
          </w:tcPr>
          <w:p w14:paraId="24C9980F"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Percentage</w:t>
            </w:r>
          </w:p>
        </w:tc>
      </w:tr>
      <w:tr w:rsidR="00EF7191" w14:paraId="15BEDAF9"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bottom w:val="nil"/>
            </w:tcBorders>
            <w:shd w:val="clear" w:color="auto" w:fill="FFFFFF"/>
          </w:tcPr>
          <w:p w14:paraId="499FBA06" w14:textId="77777777" w:rsidR="00EF7191" w:rsidRDefault="00760E68">
            <w:pPr>
              <w:pStyle w:val="NoSpacing"/>
              <w:rPr>
                <w:rFonts w:ascii="Times New Roman" w:hAnsi="Times New Roman"/>
              </w:rPr>
            </w:pPr>
            <w:r>
              <w:rPr>
                <w:rFonts w:ascii="Times New Roman" w:hAnsi="Times New Roman"/>
              </w:rPr>
              <w:t>Socio-Demographic</w:t>
            </w:r>
          </w:p>
        </w:tc>
        <w:tc>
          <w:tcPr>
            <w:tcW w:w="2970" w:type="dxa"/>
            <w:tcBorders>
              <w:bottom w:val="nil"/>
            </w:tcBorders>
            <w:shd w:val="clear" w:color="auto" w:fill="FFFFFF"/>
          </w:tcPr>
          <w:p w14:paraId="0FB05CD0"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Age</w:t>
            </w:r>
          </w:p>
        </w:tc>
        <w:tc>
          <w:tcPr>
            <w:tcW w:w="1081" w:type="dxa"/>
            <w:tcBorders>
              <w:bottom w:val="nil"/>
            </w:tcBorders>
            <w:shd w:val="clear" w:color="auto" w:fill="FFFFFF"/>
          </w:tcPr>
          <w:p w14:paraId="7BE548DD"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39</w:t>
            </w:r>
          </w:p>
        </w:tc>
        <w:tc>
          <w:tcPr>
            <w:tcW w:w="1169" w:type="dxa"/>
            <w:tcBorders>
              <w:bottom w:val="nil"/>
            </w:tcBorders>
            <w:shd w:val="clear" w:color="auto" w:fill="FFFFFF"/>
          </w:tcPr>
          <w:p w14:paraId="2629340F"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63.9</w:t>
            </w:r>
          </w:p>
        </w:tc>
      </w:tr>
      <w:tr w:rsidR="00EF7191" w14:paraId="2C87175D" w14:textId="77777777" w:rsidTr="00EF7191">
        <w:tc>
          <w:tcPr>
            <w:cnfStyle w:val="001000000000" w:firstRow="0" w:lastRow="0" w:firstColumn="1" w:lastColumn="0" w:oddVBand="0" w:evenVBand="0" w:oddHBand="0" w:evenHBand="0" w:firstRowFirstColumn="0" w:firstRowLastColumn="0" w:lastRowFirstColumn="0" w:lastRowLastColumn="0"/>
            <w:tcW w:w="2952" w:type="dxa"/>
            <w:tcBorders>
              <w:top w:val="nil"/>
              <w:left w:val="nil"/>
              <w:bottom w:val="nil"/>
              <w:right w:val="nil"/>
            </w:tcBorders>
            <w:shd w:val="clear" w:color="auto" w:fill="FFFFFF"/>
          </w:tcPr>
          <w:p w14:paraId="55E34CC9" w14:textId="77777777" w:rsidR="00EF7191" w:rsidRDefault="00EF7191">
            <w:pPr>
              <w:pStyle w:val="NoSpacing"/>
              <w:rPr>
                <w:rFonts w:ascii="Times New Roman" w:hAnsi="Times New Roman"/>
              </w:rPr>
            </w:pPr>
          </w:p>
        </w:tc>
        <w:tc>
          <w:tcPr>
            <w:tcW w:w="2970" w:type="dxa"/>
            <w:tcBorders>
              <w:top w:val="nil"/>
              <w:left w:val="nil"/>
              <w:bottom w:val="nil"/>
              <w:right w:val="nil"/>
            </w:tcBorders>
            <w:shd w:val="clear" w:color="auto" w:fill="FFFFFF"/>
          </w:tcPr>
          <w:p w14:paraId="0C059C0E"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Marital Status</w:t>
            </w:r>
          </w:p>
        </w:tc>
        <w:tc>
          <w:tcPr>
            <w:tcW w:w="1081" w:type="dxa"/>
            <w:tcBorders>
              <w:top w:val="nil"/>
              <w:left w:val="nil"/>
              <w:bottom w:val="nil"/>
              <w:right w:val="nil"/>
            </w:tcBorders>
            <w:shd w:val="clear" w:color="auto" w:fill="FFFFFF"/>
          </w:tcPr>
          <w:p w14:paraId="4E40812E"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w:t>
            </w:r>
          </w:p>
        </w:tc>
        <w:tc>
          <w:tcPr>
            <w:tcW w:w="1169" w:type="dxa"/>
            <w:tcBorders>
              <w:top w:val="nil"/>
              <w:left w:val="nil"/>
              <w:bottom w:val="nil"/>
              <w:right w:val="nil"/>
            </w:tcBorders>
            <w:shd w:val="clear" w:color="auto" w:fill="FFFFFF"/>
          </w:tcPr>
          <w:p w14:paraId="1BA88F1D"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8.2</w:t>
            </w:r>
          </w:p>
        </w:tc>
      </w:tr>
      <w:tr w:rsidR="00EF7191" w14:paraId="3A792F60"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il"/>
              <w:bottom w:val="nil"/>
            </w:tcBorders>
            <w:shd w:val="clear" w:color="auto" w:fill="FFFFFF"/>
          </w:tcPr>
          <w:p w14:paraId="55981DBB" w14:textId="77777777" w:rsidR="00EF7191" w:rsidRDefault="00EF7191">
            <w:pPr>
              <w:pStyle w:val="NoSpacing"/>
              <w:rPr>
                <w:rFonts w:ascii="Times New Roman" w:hAnsi="Times New Roman"/>
              </w:rPr>
            </w:pPr>
          </w:p>
        </w:tc>
        <w:tc>
          <w:tcPr>
            <w:tcW w:w="2970" w:type="dxa"/>
            <w:tcBorders>
              <w:top w:val="nil"/>
              <w:bottom w:val="nil"/>
            </w:tcBorders>
            <w:shd w:val="clear" w:color="auto" w:fill="FFFFFF"/>
          </w:tcPr>
          <w:p w14:paraId="47B96BB2"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Educational Level</w:t>
            </w:r>
          </w:p>
        </w:tc>
        <w:tc>
          <w:tcPr>
            <w:tcW w:w="1081" w:type="dxa"/>
            <w:tcBorders>
              <w:top w:val="nil"/>
              <w:bottom w:val="nil"/>
            </w:tcBorders>
            <w:shd w:val="clear" w:color="auto" w:fill="FFFFFF"/>
          </w:tcPr>
          <w:p w14:paraId="2F65608F"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15</w:t>
            </w:r>
          </w:p>
        </w:tc>
        <w:tc>
          <w:tcPr>
            <w:tcW w:w="1169" w:type="dxa"/>
            <w:tcBorders>
              <w:top w:val="nil"/>
              <w:bottom w:val="nil"/>
            </w:tcBorders>
            <w:shd w:val="clear" w:color="auto" w:fill="FFFFFF"/>
          </w:tcPr>
          <w:p w14:paraId="5F362012"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24.6</w:t>
            </w:r>
          </w:p>
        </w:tc>
      </w:tr>
      <w:tr w:rsidR="00EF7191" w14:paraId="1709BB11" w14:textId="77777777" w:rsidTr="00EF7191">
        <w:tc>
          <w:tcPr>
            <w:cnfStyle w:val="001000000000" w:firstRow="0" w:lastRow="0" w:firstColumn="1" w:lastColumn="0" w:oddVBand="0" w:evenVBand="0" w:oddHBand="0" w:evenHBand="0" w:firstRowFirstColumn="0" w:firstRowLastColumn="0" w:lastRowFirstColumn="0" w:lastRowLastColumn="0"/>
            <w:tcW w:w="2952" w:type="dxa"/>
            <w:tcBorders>
              <w:top w:val="nil"/>
              <w:left w:val="nil"/>
              <w:bottom w:val="nil"/>
              <w:right w:val="nil"/>
            </w:tcBorders>
            <w:shd w:val="clear" w:color="auto" w:fill="FFFFFF"/>
          </w:tcPr>
          <w:p w14:paraId="561B51BC" w14:textId="77777777" w:rsidR="00EF7191" w:rsidRDefault="00EF7191">
            <w:pPr>
              <w:pStyle w:val="NoSpacing"/>
              <w:rPr>
                <w:rFonts w:ascii="Times New Roman" w:hAnsi="Times New Roman"/>
              </w:rPr>
            </w:pPr>
          </w:p>
        </w:tc>
        <w:tc>
          <w:tcPr>
            <w:tcW w:w="2970" w:type="dxa"/>
            <w:tcBorders>
              <w:top w:val="nil"/>
              <w:left w:val="nil"/>
              <w:bottom w:val="nil"/>
              <w:right w:val="nil"/>
            </w:tcBorders>
            <w:shd w:val="clear" w:color="auto" w:fill="FFFFFF"/>
          </w:tcPr>
          <w:p w14:paraId="711B8DA8"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Occupation</w:t>
            </w:r>
          </w:p>
        </w:tc>
        <w:tc>
          <w:tcPr>
            <w:tcW w:w="1081" w:type="dxa"/>
            <w:tcBorders>
              <w:top w:val="nil"/>
              <w:left w:val="nil"/>
              <w:bottom w:val="nil"/>
              <w:right w:val="nil"/>
            </w:tcBorders>
            <w:shd w:val="clear" w:color="auto" w:fill="FFFFFF"/>
          </w:tcPr>
          <w:p w14:paraId="4916699B"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c>
          <w:tcPr>
            <w:tcW w:w="1169" w:type="dxa"/>
            <w:tcBorders>
              <w:top w:val="nil"/>
              <w:left w:val="nil"/>
              <w:bottom w:val="nil"/>
              <w:right w:val="nil"/>
            </w:tcBorders>
            <w:shd w:val="clear" w:color="auto" w:fill="FFFFFF"/>
          </w:tcPr>
          <w:p w14:paraId="7BDE37A5"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3.3</w:t>
            </w:r>
          </w:p>
        </w:tc>
      </w:tr>
      <w:tr w:rsidR="00EF7191" w14:paraId="17E5DC43"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il"/>
              <w:bottom w:val="single" w:sz="4" w:space="0" w:color="auto"/>
            </w:tcBorders>
            <w:shd w:val="clear" w:color="auto" w:fill="FFFFFF"/>
          </w:tcPr>
          <w:p w14:paraId="6B5A340B" w14:textId="77777777" w:rsidR="00EF7191" w:rsidRDefault="00EF7191">
            <w:pPr>
              <w:pStyle w:val="NoSpacing"/>
              <w:rPr>
                <w:rFonts w:ascii="Times New Roman" w:hAnsi="Times New Roman"/>
              </w:rPr>
            </w:pPr>
          </w:p>
        </w:tc>
        <w:tc>
          <w:tcPr>
            <w:tcW w:w="2970" w:type="dxa"/>
            <w:tcBorders>
              <w:top w:val="nil"/>
              <w:bottom w:val="single" w:sz="4" w:space="0" w:color="auto"/>
            </w:tcBorders>
            <w:shd w:val="clear" w:color="auto" w:fill="FFFFFF"/>
          </w:tcPr>
          <w:p w14:paraId="7E8B8506"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Total</w:t>
            </w:r>
          </w:p>
        </w:tc>
        <w:tc>
          <w:tcPr>
            <w:tcW w:w="1081" w:type="dxa"/>
            <w:tcBorders>
              <w:top w:val="nil"/>
              <w:bottom w:val="single" w:sz="4" w:space="0" w:color="auto"/>
            </w:tcBorders>
            <w:shd w:val="clear" w:color="auto" w:fill="FFFFFF"/>
          </w:tcPr>
          <w:p w14:paraId="497B4146"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61</w:t>
            </w:r>
          </w:p>
        </w:tc>
        <w:tc>
          <w:tcPr>
            <w:tcW w:w="1169" w:type="dxa"/>
            <w:tcBorders>
              <w:top w:val="nil"/>
              <w:bottom w:val="single" w:sz="4" w:space="0" w:color="auto"/>
            </w:tcBorders>
            <w:shd w:val="clear" w:color="auto" w:fill="FFFFFF"/>
          </w:tcPr>
          <w:p w14:paraId="1883EB48"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100.0</w:t>
            </w:r>
          </w:p>
        </w:tc>
      </w:tr>
      <w:tr w:rsidR="00EF7191" w14:paraId="794FC051" w14:textId="77777777" w:rsidTr="00EF7191">
        <w:tc>
          <w:tcPr>
            <w:cnfStyle w:val="001000000000" w:firstRow="0" w:lastRow="0" w:firstColumn="1" w:lastColumn="0" w:oddVBand="0" w:evenVBand="0" w:oddHBand="0" w:evenHBand="0" w:firstRowFirstColumn="0" w:firstRowLastColumn="0" w:lastRowFirstColumn="0" w:lastRowLastColumn="0"/>
            <w:tcW w:w="2952" w:type="dxa"/>
            <w:tcBorders>
              <w:left w:val="nil"/>
              <w:bottom w:val="nil"/>
              <w:right w:val="nil"/>
            </w:tcBorders>
            <w:shd w:val="clear" w:color="auto" w:fill="FFFFFF"/>
          </w:tcPr>
          <w:p w14:paraId="683FA52B" w14:textId="77777777" w:rsidR="00EF7191" w:rsidRDefault="00760E68">
            <w:pPr>
              <w:pStyle w:val="NoSpacing"/>
              <w:rPr>
                <w:rFonts w:ascii="Times New Roman" w:hAnsi="Times New Roman"/>
              </w:rPr>
            </w:pPr>
            <w:r>
              <w:rPr>
                <w:rFonts w:ascii="Times New Roman" w:hAnsi="Times New Roman"/>
              </w:rPr>
              <w:t>Reproductive</w:t>
            </w:r>
          </w:p>
        </w:tc>
        <w:tc>
          <w:tcPr>
            <w:tcW w:w="2970" w:type="dxa"/>
            <w:tcBorders>
              <w:left w:val="nil"/>
              <w:bottom w:val="nil"/>
              <w:right w:val="nil"/>
            </w:tcBorders>
            <w:shd w:val="clear" w:color="auto" w:fill="FFFFFF"/>
          </w:tcPr>
          <w:p w14:paraId="6CB0509D"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Age at first sexual intercourse</w:t>
            </w:r>
          </w:p>
        </w:tc>
        <w:tc>
          <w:tcPr>
            <w:tcW w:w="1081" w:type="dxa"/>
            <w:tcBorders>
              <w:left w:val="nil"/>
              <w:bottom w:val="nil"/>
              <w:right w:val="nil"/>
            </w:tcBorders>
            <w:shd w:val="clear" w:color="auto" w:fill="FFFFFF"/>
          </w:tcPr>
          <w:p w14:paraId="431189C0"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29</w:t>
            </w:r>
          </w:p>
        </w:tc>
        <w:tc>
          <w:tcPr>
            <w:tcW w:w="1169" w:type="dxa"/>
            <w:tcBorders>
              <w:left w:val="nil"/>
              <w:bottom w:val="nil"/>
              <w:right w:val="nil"/>
            </w:tcBorders>
            <w:shd w:val="clear" w:color="auto" w:fill="FFFFFF"/>
          </w:tcPr>
          <w:p w14:paraId="12DE6830"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47.5</w:t>
            </w:r>
          </w:p>
        </w:tc>
      </w:tr>
      <w:tr w:rsidR="00EF7191" w14:paraId="62E8E29B"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il"/>
              <w:bottom w:val="nil"/>
            </w:tcBorders>
            <w:shd w:val="clear" w:color="auto" w:fill="FFFFFF"/>
          </w:tcPr>
          <w:p w14:paraId="0391DD30" w14:textId="77777777" w:rsidR="00EF7191" w:rsidRDefault="00EF7191">
            <w:pPr>
              <w:pStyle w:val="NoSpacing"/>
              <w:rPr>
                <w:rFonts w:ascii="Times New Roman" w:hAnsi="Times New Roman"/>
              </w:rPr>
            </w:pPr>
          </w:p>
        </w:tc>
        <w:tc>
          <w:tcPr>
            <w:tcW w:w="2970" w:type="dxa"/>
            <w:tcBorders>
              <w:top w:val="nil"/>
              <w:bottom w:val="nil"/>
            </w:tcBorders>
            <w:shd w:val="clear" w:color="auto" w:fill="FFFFFF"/>
          </w:tcPr>
          <w:p w14:paraId="0DDF345C"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Number of sexual partners in lifetime</w:t>
            </w:r>
          </w:p>
        </w:tc>
        <w:tc>
          <w:tcPr>
            <w:tcW w:w="1081" w:type="dxa"/>
            <w:tcBorders>
              <w:top w:val="nil"/>
              <w:bottom w:val="nil"/>
            </w:tcBorders>
            <w:shd w:val="clear" w:color="auto" w:fill="FFFFFF"/>
          </w:tcPr>
          <w:p w14:paraId="46E8708F"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19</w:t>
            </w:r>
          </w:p>
        </w:tc>
        <w:tc>
          <w:tcPr>
            <w:tcW w:w="1169" w:type="dxa"/>
            <w:tcBorders>
              <w:top w:val="nil"/>
              <w:bottom w:val="nil"/>
            </w:tcBorders>
            <w:shd w:val="clear" w:color="auto" w:fill="FFFFFF"/>
          </w:tcPr>
          <w:p w14:paraId="5E32EE32"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31.1</w:t>
            </w:r>
          </w:p>
        </w:tc>
      </w:tr>
      <w:tr w:rsidR="00EF7191" w14:paraId="71B34733" w14:textId="77777777" w:rsidTr="00EF7191">
        <w:tc>
          <w:tcPr>
            <w:cnfStyle w:val="001000000000" w:firstRow="0" w:lastRow="0" w:firstColumn="1" w:lastColumn="0" w:oddVBand="0" w:evenVBand="0" w:oddHBand="0" w:evenHBand="0" w:firstRowFirstColumn="0" w:firstRowLastColumn="0" w:lastRowFirstColumn="0" w:lastRowLastColumn="0"/>
            <w:tcW w:w="2952" w:type="dxa"/>
            <w:tcBorders>
              <w:top w:val="nil"/>
              <w:left w:val="nil"/>
              <w:bottom w:val="nil"/>
              <w:right w:val="nil"/>
            </w:tcBorders>
            <w:shd w:val="clear" w:color="auto" w:fill="FFFFFF"/>
          </w:tcPr>
          <w:p w14:paraId="1B4A4A79" w14:textId="77777777" w:rsidR="00EF7191" w:rsidRDefault="00EF7191">
            <w:pPr>
              <w:pStyle w:val="NoSpacing"/>
              <w:rPr>
                <w:rFonts w:ascii="Times New Roman" w:hAnsi="Times New Roman"/>
              </w:rPr>
            </w:pPr>
          </w:p>
        </w:tc>
        <w:tc>
          <w:tcPr>
            <w:tcW w:w="2970" w:type="dxa"/>
            <w:tcBorders>
              <w:top w:val="nil"/>
              <w:left w:val="nil"/>
              <w:bottom w:val="nil"/>
              <w:right w:val="nil"/>
            </w:tcBorders>
            <w:shd w:val="clear" w:color="auto" w:fill="FFFFFF"/>
          </w:tcPr>
          <w:p w14:paraId="0C17C898"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Number of pregnancies</w:t>
            </w:r>
          </w:p>
        </w:tc>
        <w:tc>
          <w:tcPr>
            <w:tcW w:w="1081" w:type="dxa"/>
            <w:tcBorders>
              <w:top w:val="nil"/>
              <w:left w:val="nil"/>
              <w:bottom w:val="nil"/>
              <w:right w:val="nil"/>
            </w:tcBorders>
            <w:shd w:val="clear" w:color="auto" w:fill="FFFFFF"/>
          </w:tcPr>
          <w:p w14:paraId="07773162"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w:t>
            </w:r>
          </w:p>
        </w:tc>
        <w:tc>
          <w:tcPr>
            <w:tcW w:w="1169" w:type="dxa"/>
            <w:tcBorders>
              <w:top w:val="nil"/>
              <w:left w:val="nil"/>
              <w:bottom w:val="nil"/>
              <w:right w:val="nil"/>
            </w:tcBorders>
            <w:shd w:val="clear" w:color="auto" w:fill="FFFFFF"/>
          </w:tcPr>
          <w:p w14:paraId="02AE3EFE"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9.8</w:t>
            </w:r>
          </w:p>
        </w:tc>
      </w:tr>
      <w:tr w:rsidR="00EF7191" w14:paraId="053BD777"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il"/>
              <w:bottom w:val="nil"/>
            </w:tcBorders>
            <w:shd w:val="clear" w:color="auto" w:fill="FFFFFF"/>
          </w:tcPr>
          <w:p w14:paraId="05BF60D3" w14:textId="77777777" w:rsidR="00EF7191" w:rsidRDefault="00EF7191">
            <w:pPr>
              <w:pStyle w:val="NoSpacing"/>
              <w:rPr>
                <w:rFonts w:ascii="Times New Roman" w:hAnsi="Times New Roman"/>
              </w:rPr>
            </w:pPr>
          </w:p>
        </w:tc>
        <w:tc>
          <w:tcPr>
            <w:tcW w:w="2970" w:type="dxa"/>
            <w:tcBorders>
              <w:top w:val="nil"/>
              <w:bottom w:val="nil"/>
            </w:tcBorders>
            <w:shd w:val="clear" w:color="auto" w:fill="FFFFFF"/>
          </w:tcPr>
          <w:p w14:paraId="19F23B6C"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Number of live births</w:t>
            </w:r>
          </w:p>
        </w:tc>
        <w:tc>
          <w:tcPr>
            <w:tcW w:w="1081" w:type="dxa"/>
            <w:tcBorders>
              <w:top w:val="nil"/>
              <w:bottom w:val="nil"/>
            </w:tcBorders>
            <w:shd w:val="clear" w:color="auto" w:fill="FFFFFF"/>
          </w:tcPr>
          <w:p w14:paraId="7CDE5D9F"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c>
          <w:tcPr>
            <w:tcW w:w="1169" w:type="dxa"/>
            <w:tcBorders>
              <w:top w:val="nil"/>
              <w:bottom w:val="nil"/>
            </w:tcBorders>
            <w:shd w:val="clear" w:color="auto" w:fill="FFFFFF"/>
          </w:tcPr>
          <w:p w14:paraId="79BA9039"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3.3</w:t>
            </w:r>
          </w:p>
        </w:tc>
      </w:tr>
      <w:tr w:rsidR="00EF7191" w14:paraId="22278C63" w14:textId="77777777" w:rsidTr="00EF7191">
        <w:tc>
          <w:tcPr>
            <w:cnfStyle w:val="001000000000" w:firstRow="0" w:lastRow="0" w:firstColumn="1" w:lastColumn="0" w:oddVBand="0" w:evenVBand="0" w:oddHBand="0" w:evenHBand="0" w:firstRowFirstColumn="0" w:firstRowLastColumn="0" w:lastRowFirstColumn="0" w:lastRowLastColumn="0"/>
            <w:tcW w:w="2952" w:type="dxa"/>
            <w:tcBorders>
              <w:top w:val="nil"/>
              <w:left w:val="nil"/>
              <w:bottom w:val="nil"/>
              <w:right w:val="nil"/>
            </w:tcBorders>
            <w:shd w:val="clear" w:color="auto" w:fill="FFFFFF"/>
          </w:tcPr>
          <w:p w14:paraId="63C5B457" w14:textId="77777777" w:rsidR="00EF7191" w:rsidRDefault="00EF7191">
            <w:pPr>
              <w:pStyle w:val="NoSpacing"/>
              <w:rPr>
                <w:rFonts w:ascii="Times New Roman" w:hAnsi="Times New Roman"/>
              </w:rPr>
            </w:pPr>
          </w:p>
        </w:tc>
        <w:tc>
          <w:tcPr>
            <w:tcW w:w="2970" w:type="dxa"/>
            <w:tcBorders>
              <w:top w:val="nil"/>
              <w:left w:val="nil"/>
              <w:bottom w:val="nil"/>
              <w:right w:val="nil"/>
            </w:tcBorders>
            <w:shd w:val="clear" w:color="auto" w:fill="FFFFFF"/>
          </w:tcPr>
          <w:p w14:paraId="32A44BB7"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Number of those who </w:t>
            </w:r>
            <w:r>
              <w:rPr>
                <w:rFonts w:ascii="Times New Roman" w:hAnsi="Times New Roman"/>
              </w:rPr>
              <w:t>took contraceptives</w:t>
            </w:r>
          </w:p>
        </w:tc>
        <w:tc>
          <w:tcPr>
            <w:tcW w:w="1081" w:type="dxa"/>
            <w:tcBorders>
              <w:top w:val="nil"/>
              <w:left w:val="nil"/>
              <w:bottom w:val="nil"/>
              <w:right w:val="nil"/>
            </w:tcBorders>
            <w:shd w:val="clear" w:color="auto" w:fill="FFFFFF"/>
          </w:tcPr>
          <w:p w14:paraId="63F98AB6"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w:t>
            </w:r>
          </w:p>
        </w:tc>
        <w:tc>
          <w:tcPr>
            <w:tcW w:w="1169" w:type="dxa"/>
            <w:tcBorders>
              <w:top w:val="nil"/>
              <w:left w:val="nil"/>
              <w:bottom w:val="nil"/>
              <w:right w:val="nil"/>
            </w:tcBorders>
            <w:shd w:val="clear" w:color="auto" w:fill="FFFFFF"/>
          </w:tcPr>
          <w:p w14:paraId="774B6325"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8.2</w:t>
            </w:r>
          </w:p>
        </w:tc>
      </w:tr>
      <w:tr w:rsidR="00EF7191" w14:paraId="7B95E4F6"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il"/>
              <w:bottom w:val="single" w:sz="4" w:space="0" w:color="auto"/>
            </w:tcBorders>
            <w:shd w:val="clear" w:color="auto" w:fill="FFFFFF"/>
          </w:tcPr>
          <w:p w14:paraId="624174E0" w14:textId="77777777" w:rsidR="00EF7191" w:rsidRDefault="00EF7191">
            <w:pPr>
              <w:pStyle w:val="NoSpacing"/>
              <w:rPr>
                <w:rFonts w:ascii="Times New Roman" w:hAnsi="Times New Roman"/>
              </w:rPr>
            </w:pPr>
          </w:p>
        </w:tc>
        <w:tc>
          <w:tcPr>
            <w:tcW w:w="2970" w:type="dxa"/>
            <w:tcBorders>
              <w:top w:val="nil"/>
              <w:bottom w:val="single" w:sz="4" w:space="0" w:color="auto"/>
            </w:tcBorders>
            <w:shd w:val="clear" w:color="auto" w:fill="FFFFFF"/>
          </w:tcPr>
          <w:p w14:paraId="042D9716"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Total</w:t>
            </w:r>
          </w:p>
        </w:tc>
        <w:tc>
          <w:tcPr>
            <w:tcW w:w="1081" w:type="dxa"/>
            <w:tcBorders>
              <w:top w:val="nil"/>
              <w:bottom w:val="single" w:sz="4" w:space="0" w:color="auto"/>
            </w:tcBorders>
            <w:shd w:val="clear" w:color="auto" w:fill="FFFFFF"/>
          </w:tcPr>
          <w:p w14:paraId="6409D512"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61</w:t>
            </w:r>
          </w:p>
        </w:tc>
        <w:tc>
          <w:tcPr>
            <w:tcW w:w="1169" w:type="dxa"/>
            <w:tcBorders>
              <w:top w:val="nil"/>
              <w:bottom w:val="single" w:sz="4" w:space="0" w:color="auto"/>
            </w:tcBorders>
            <w:shd w:val="clear" w:color="auto" w:fill="FFFFFF"/>
          </w:tcPr>
          <w:p w14:paraId="68400893"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100.0</w:t>
            </w:r>
          </w:p>
        </w:tc>
      </w:tr>
      <w:tr w:rsidR="00EF7191" w14:paraId="70C17EC9" w14:textId="77777777" w:rsidTr="00EF7191">
        <w:tc>
          <w:tcPr>
            <w:cnfStyle w:val="001000000000" w:firstRow="0" w:lastRow="0" w:firstColumn="1" w:lastColumn="0" w:oddVBand="0" w:evenVBand="0" w:oddHBand="0" w:evenHBand="0" w:firstRowFirstColumn="0" w:firstRowLastColumn="0" w:lastRowFirstColumn="0" w:lastRowLastColumn="0"/>
            <w:tcW w:w="2952" w:type="dxa"/>
            <w:tcBorders>
              <w:left w:val="nil"/>
              <w:bottom w:val="nil"/>
              <w:right w:val="nil"/>
            </w:tcBorders>
            <w:shd w:val="clear" w:color="auto" w:fill="FFFFFF"/>
          </w:tcPr>
          <w:p w14:paraId="407DB158" w14:textId="77777777" w:rsidR="00EF7191" w:rsidRDefault="00760E68">
            <w:pPr>
              <w:pStyle w:val="NoSpacing"/>
              <w:rPr>
                <w:rFonts w:ascii="Times New Roman" w:hAnsi="Times New Roman"/>
              </w:rPr>
            </w:pPr>
            <w:r>
              <w:rPr>
                <w:rFonts w:ascii="Times New Roman" w:hAnsi="Times New Roman"/>
              </w:rPr>
              <w:t>Clinical Factors</w:t>
            </w:r>
          </w:p>
        </w:tc>
        <w:tc>
          <w:tcPr>
            <w:tcW w:w="2970" w:type="dxa"/>
            <w:tcBorders>
              <w:left w:val="nil"/>
              <w:bottom w:val="nil"/>
              <w:right w:val="nil"/>
            </w:tcBorders>
            <w:shd w:val="clear" w:color="auto" w:fill="FFFFFF"/>
          </w:tcPr>
          <w:p w14:paraId="3109601A"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CD4+ Count</w:t>
            </w:r>
          </w:p>
        </w:tc>
        <w:tc>
          <w:tcPr>
            <w:tcW w:w="1081" w:type="dxa"/>
            <w:tcBorders>
              <w:left w:val="nil"/>
              <w:bottom w:val="nil"/>
              <w:right w:val="nil"/>
            </w:tcBorders>
            <w:shd w:val="clear" w:color="auto" w:fill="FFFFFF"/>
          </w:tcPr>
          <w:p w14:paraId="4FB884D6"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32</w:t>
            </w:r>
          </w:p>
        </w:tc>
        <w:tc>
          <w:tcPr>
            <w:tcW w:w="1169" w:type="dxa"/>
            <w:tcBorders>
              <w:left w:val="nil"/>
              <w:bottom w:val="nil"/>
              <w:right w:val="nil"/>
            </w:tcBorders>
            <w:shd w:val="clear" w:color="auto" w:fill="FFFFFF"/>
          </w:tcPr>
          <w:p w14:paraId="74CCD2D7"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52.5</w:t>
            </w:r>
          </w:p>
        </w:tc>
      </w:tr>
      <w:tr w:rsidR="00EF7191" w14:paraId="356BA3BE"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il"/>
              <w:bottom w:val="nil"/>
            </w:tcBorders>
            <w:shd w:val="clear" w:color="auto" w:fill="FFFFFF"/>
          </w:tcPr>
          <w:p w14:paraId="4A29C873" w14:textId="77777777" w:rsidR="00EF7191" w:rsidRDefault="00EF7191">
            <w:pPr>
              <w:pStyle w:val="NoSpacing"/>
              <w:rPr>
                <w:rFonts w:ascii="Times New Roman" w:hAnsi="Times New Roman"/>
              </w:rPr>
            </w:pPr>
          </w:p>
        </w:tc>
        <w:tc>
          <w:tcPr>
            <w:tcW w:w="2970" w:type="dxa"/>
            <w:tcBorders>
              <w:top w:val="nil"/>
              <w:bottom w:val="nil"/>
            </w:tcBorders>
            <w:shd w:val="clear" w:color="auto" w:fill="FFFFFF"/>
          </w:tcPr>
          <w:p w14:paraId="3FFBBF1E"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Viral Load</w:t>
            </w:r>
          </w:p>
        </w:tc>
        <w:tc>
          <w:tcPr>
            <w:tcW w:w="1081" w:type="dxa"/>
            <w:tcBorders>
              <w:top w:val="nil"/>
              <w:bottom w:val="nil"/>
            </w:tcBorders>
            <w:shd w:val="clear" w:color="auto" w:fill="FFFFFF"/>
          </w:tcPr>
          <w:p w14:paraId="37DFA57C"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19</w:t>
            </w:r>
          </w:p>
        </w:tc>
        <w:tc>
          <w:tcPr>
            <w:tcW w:w="1169" w:type="dxa"/>
            <w:tcBorders>
              <w:top w:val="nil"/>
              <w:bottom w:val="nil"/>
            </w:tcBorders>
            <w:shd w:val="clear" w:color="auto" w:fill="FFFFFF"/>
          </w:tcPr>
          <w:p w14:paraId="19DC59BF"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31.1</w:t>
            </w:r>
          </w:p>
        </w:tc>
      </w:tr>
      <w:tr w:rsidR="00EF7191" w14:paraId="65171CAD" w14:textId="77777777" w:rsidTr="00EF7191">
        <w:tc>
          <w:tcPr>
            <w:cnfStyle w:val="001000000000" w:firstRow="0" w:lastRow="0" w:firstColumn="1" w:lastColumn="0" w:oddVBand="0" w:evenVBand="0" w:oddHBand="0" w:evenHBand="0" w:firstRowFirstColumn="0" w:firstRowLastColumn="0" w:lastRowFirstColumn="0" w:lastRowLastColumn="0"/>
            <w:tcW w:w="2952" w:type="dxa"/>
            <w:tcBorders>
              <w:top w:val="nil"/>
              <w:left w:val="nil"/>
              <w:bottom w:val="nil"/>
              <w:right w:val="nil"/>
            </w:tcBorders>
            <w:shd w:val="clear" w:color="auto" w:fill="FFFFFF"/>
          </w:tcPr>
          <w:p w14:paraId="7D758211" w14:textId="77777777" w:rsidR="00EF7191" w:rsidRDefault="00EF7191">
            <w:pPr>
              <w:pStyle w:val="NoSpacing"/>
              <w:rPr>
                <w:rFonts w:ascii="Times New Roman" w:hAnsi="Times New Roman"/>
              </w:rPr>
            </w:pPr>
          </w:p>
        </w:tc>
        <w:tc>
          <w:tcPr>
            <w:tcW w:w="2970" w:type="dxa"/>
            <w:tcBorders>
              <w:top w:val="nil"/>
              <w:left w:val="nil"/>
              <w:bottom w:val="nil"/>
              <w:right w:val="nil"/>
            </w:tcBorders>
            <w:shd w:val="clear" w:color="auto" w:fill="FFFFFF"/>
          </w:tcPr>
          <w:p w14:paraId="200BC269"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ART</w:t>
            </w:r>
          </w:p>
        </w:tc>
        <w:tc>
          <w:tcPr>
            <w:tcW w:w="1081" w:type="dxa"/>
            <w:tcBorders>
              <w:top w:val="nil"/>
              <w:left w:val="nil"/>
              <w:bottom w:val="nil"/>
              <w:right w:val="nil"/>
            </w:tcBorders>
            <w:shd w:val="clear" w:color="auto" w:fill="FFFFFF"/>
          </w:tcPr>
          <w:p w14:paraId="7E2DEFE9"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w:t>
            </w:r>
          </w:p>
        </w:tc>
        <w:tc>
          <w:tcPr>
            <w:tcW w:w="1169" w:type="dxa"/>
            <w:tcBorders>
              <w:top w:val="nil"/>
              <w:left w:val="nil"/>
              <w:bottom w:val="nil"/>
              <w:right w:val="nil"/>
            </w:tcBorders>
            <w:shd w:val="clear" w:color="auto" w:fill="FFFFFF"/>
          </w:tcPr>
          <w:p w14:paraId="4359BF92"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16.4</w:t>
            </w:r>
          </w:p>
        </w:tc>
      </w:tr>
      <w:tr w:rsidR="00EF7191" w14:paraId="573DABCD"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il"/>
            </w:tcBorders>
            <w:shd w:val="clear" w:color="auto" w:fill="FFFFFF"/>
          </w:tcPr>
          <w:p w14:paraId="42B4147B" w14:textId="77777777" w:rsidR="00EF7191" w:rsidRDefault="00EF7191">
            <w:pPr>
              <w:pStyle w:val="NoSpacing"/>
              <w:rPr>
                <w:rFonts w:ascii="Times New Roman" w:hAnsi="Times New Roman"/>
              </w:rPr>
            </w:pPr>
          </w:p>
        </w:tc>
        <w:tc>
          <w:tcPr>
            <w:tcW w:w="2970" w:type="dxa"/>
            <w:tcBorders>
              <w:top w:val="nil"/>
            </w:tcBorders>
            <w:shd w:val="clear" w:color="auto" w:fill="FFFFFF"/>
          </w:tcPr>
          <w:p w14:paraId="11828149"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Total</w:t>
            </w:r>
          </w:p>
        </w:tc>
        <w:tc>
          <w:tcPr>
            <w:tcW w:w="1081" w:type="dxa"/>
            <w:tcBorders>
              <w:top w:val="nil"/>
            </w:tcBorders>
            <w:shd w:val="clear" w:color="auto" w:fill="FFFFFF"/>
          </w:tcPr>
          <w:p w14:paraId="56A695C0" w14:textId="77777777" w:rsidR="00EF7191" w:rsidRDefault="00EF719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69" w:type="dxa"/>
            <w:tcBorders>
              <w:top w:val="nil"/>
            </w:tcBorders>
            <w:shd w:val="clear" w:color="auto" w:fill="FFFFFF"/>
          </w:tcPr>
          <w:p w14:paraId="4FCBC47C" w14:textId="77777777" w:rsidR="00EF7191" w:rsidRDefault="00EF719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bl>
    <w:p w14:paraId="73F4C0BE" w14:textId="77777777" w:rsidR="00EF7191" w:rsidRDefault="00760E68">
      <w:pPr>
        <w:pStyle w:val="NoSpacing"/>
        <w:rPr>
          <w:rFonts w:ascii="Times New Roman" w:hAnsi="Times New Roman"/>
          <w:sz w:val="20"/>
          <w:szCs w:val="20"/>
        </w:rPr>
      </w:pPr>
      <w:r>
        <w:rPr>
          <w:rFonts w:ascii="Times New Roman" w:hAnsi="Times New Roman"/>
          <w:sz w:val="20"/>
          <w:szCs w:val="20"/>
        </w:rPr>
        <w:t xml:space="preserve">Sociodemographic and reproductive factors such as age, marital status, number of pregnancies, age at first sexual intercourse, number of sexual partners, and HPV infection status were found to be associated with lesion presence. </w:t>
      </w:r>
    </w:p>
    <w:p w14:paraId="0F934119" w14:textId="77777777" w:rsidR="00EF7191" w:rsidRDefault="00EF7191">
      <w:pPr>
        <w:spacing w:after="0" w:line="360" w:lineRule="auto"/>
        <w:jc w:val="both"/>
        <w:rPr>
          <w:rFonts w:ascii="Times New Roman" w:hAnsi="Times New Roman"/>
          <w:b/>
          <w:sz w:val="24"/>
          <w:szCs w:val="24"/>
        </w:rPr>
      </w:pPr>
    </w:p>
    <w:p w14:paraId="1F350A2A" w14:textId="77777777" w:rsidR="00EF7191" w:rsidRDefault="00EF7191">
      <w:pPr>
        <w:spacing w:after="0" w:line="240" w:lineRule="auto"/>
        <w:jc w:val="both"/>
        <w:rPr>
          <w:rFonts w:ascii="Times New Roman" w:hAnsi="Times New Roman"/>
          <w:b/>
          <w:i/>
          <w:sz w:val="24"/>
          <w:szCs w:val="24"/>
        </w:rPr>
      </w:pPr>
    </w:p>
    <w:p w14:paraId="50D3BBEF" w14:textId="77777777" w:rsidR="00EF7191" w:rsidRDefault="00760E68">
      <w:pPr>
        <w:spacing w:after="160" w:line="259" w:lineRule="auto"/>
        <w:rPr>
          <w:rFonts w:ascii="Times New Roman" w:hAnsi="Times New Roman"/>
          <w:sz w:val="24"/>
          <w:szCs w:val="24"/>
        </w:rPr>
      </w:pPr>
      <w:r>
        <w:rPr>
          <w:rFonts w:ascii="Times New Roman" w:hAnsi="Times New Roman"/>
          <w:sz w:val="24"/>
          <w:szCs w:val="24"/>
        </w:rPr>
        <w:br w:type="page"/>
      </w:r>
    </w:p>
    <w:p w14:paraId="65DD8F05" w14:textId="68D2C91E" w:rsidR="00EF7191" w:rsidRDefault="00760E68">
      <w:pPr>
        <w:spacing w:after="0" w:line="240" w:lineRule="auto"/>
        <w:jc w:val="both"/>
        <w:rPr>
          <w:rFonts w:ascii="Times New Roman" w:hAnsi="Times New Roman"/>
          <w:sz w:val="24"/>
          <w:szCs w:val="24"/>
        </w:rPr>
      </w:pPr>
      <w:r>
        <w:rPr>
          <w:rFonts w:ascii="Times New Roman" w:hAnsi="Times New Roman"/>
          <w:sz w:val="24"/>
          <w:szCs w:val="24"/>
        </w:rPr>
        <w:lastRenderedPageBreak/>
        <w:t>Table 3: Ordinal Logis</w:t>
      </w:r>
      <w:r>
        <w:rPr>
          <w:rFonts w:ascii="Times New Roman" w:hAnsi="Times New Roman"/>
          <w:sz w:val="24"/>
          <w:szCs w:val="24"/>
        </w:rPr>
        <w:t xml:space="preserve">tic Regression Analysis of the Correlation between Immunological Parameters (CD4+ Count and Viral Load) and the Severity of Cervical Lesions in HIV-Positive Women </w:t>
      </w:r>
    </w:p>
    <w:tbl>
      <w:tblPr>
        <w:tblStyle w:val="ListTable6Colorfu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55"/>
        <w:gridCol w:w="1545"/>
        <w:gridCol w:w="1475"/>
        <w:gridCol w:w="1318"/>
        <w:gridCol w:w="961"/>
        <w:gridCol w:w="2463"/>
      </w:tblGrid>
      <w:tr w:rsidR="00EF7191" w14:paraId="366CE41E" w14:textId="77777777" w:rsidTr="00EF7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0" w:type="dxa"/>
            <w:gridSpan w:val="2"/>
            <w:tcBorders>
              <w:left w:val="nil"/>
              <w:bottom w:val="single" w:sz="4" w:space="0" w:color="auto"/>
              <w:right w:val="nil"/>
            </w:tcBorders>
            <w:shd w:val="clear" w:color="auto" w:fill="FFFFFF"/>
          </w:tcPr>
          <w:p w14:paraId="7FC4B2CA" w14:textId="77777777" w:rsidR="00EF7191" w:rsidRDefault="00760E68">
            <w:pPr>
              <w:pStyle w:val="NoSpacing"/>
              <w:rPr>
                <w:rFonts w:ascii="Times New Roman" w:hAnsi="Times New Roman"/>
              </w:rPr>
            </w:pPr>
            <w:r>
              <w:rPr>
                <w:rFonts w:ascii="Times New Roman" w:hAnsi="Times New Roman"/>
              </w:rPr>
              <w:t xml:space="preserve">Predictor </w:t>
            </w:r>
          </w:p>
        </w:tc>
        <w:tc>
          <w:tcPr>
            <w:tcW w:w="1475" w:type="dxa"/>
            <w:tcBorders>
              <w:left w:val="nil"/>
              <w:bottom w:val="single" w:sz="4" w:space="0" w:color="auto"/>
              <w:right w:val="nil"/>
            </w:tcBorders>
            <w:shd w:val="clear" w:color="auto" w:fill="FFFFFF"/>
          </w:tcPr>
          <w:p w14:paraId="380BF8E1"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Estimate (B)</w:t>
            </w:r>
          </w:p>
        </w:tc>
        <w:tc>
          <w:tcPr>
            <w:tcW w:w="1318" w:type="dxa"/>
            <w:tcBorders>
              <w:left w:val="nil"/>
              <w:bottom w:val="single" w:sz="4" w:space="0" w:color="auto"/>
              <w:right w:val="nil"/>
            </w:tcBorders>
            <w:shd w:val="clear" w:color="auto" w:fill="FFFFFF"/>
          </w:tcPr>
          <w:p w14:paraId="3E578F34"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Std. Error</w:t>
            </w:r>
          </w:p>
        </w:tc>
        <w:tc>
          <w:tcPr>
            <w:tcW w:w="961" w:type="dxa"/>
            <w:tcBorders>
              <w:left w:val="nil"/>
              <w:bottom w:val="single" w:sz="4" w:space="0" w:color="auto"/>
              <w:right w:val="nil"/>
            </w:tcBorders>
            <w:shd w:val="clear" w:color="auto" w:fill="FFFFFF"/>
          </w:tcPr>
          <w:p w14:paraId="401D91F6"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Ward</w:t>
            </w:r>
          </w:p>
        </w:tc>
        <w:tc>
          <w:tcPr>
            <w:tcW w:w="2463" w:type="dxa"/>
            <w:tcBorders>
              <w:left w:val="nil"/>
              <w:bottom w:val="single" w:sz="4" w:space="0" w:color="auto"/>
              <w:right w:val="nil"/>
            </w:tcBorders>
            <w:shd w:val="clear" w:color="auto" w:fill="FFFFFF"/>
          </w:tcPr>
          <w:p w14:paraId="49755C90"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Decision</w:t>
            </w:r>
          </w:p>
        </w:tc>
      </w:tr>
      <w:tr w:rsidR="00EF7191" w14:paraId="39D4F287"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il"/>
              <w:bottom w:val="nil"/>
              <w:right w:val="nil"/>
            </w:tcBorders>
            <w:shd w:val="clear" w:color="auto" w:fill="FFFFFF"/>
          </w:tcPr>
          <w:p w14:paraId="0A782AA5" w14:textId="77777777" w:rsidR="00EF7191" w:rsidRDefault="00760E68">
            <w:pPr>
              <w:pStyle w:val="NoSpacing"/>
              <w:rPr>
                <w:rFonts w:ascii="Times New Roman" w:hAnsi="Times New Roman"/>
              </w:rPr>
            </w:pPr>
            <w:r>
              <w:rPr>
                <w:rFonts w:ascii="Times New Roman" w:hAnsi="Times New Roman"/>
              </w:rPr>
              <w:t>Threshold</w:t>
            </w:r>
          </w:p>
        </w:tc>
        <w:tc>
          <w:tcPr>
            <w:tcW w:w="1545" w:type="dxa"/>
            <w:tcBorders>
              <w:left w:val="nil"/>
              <w:bottom w:val="nil"/>
              <w:right w:val="nil"/>
            </w:tcBorders>
            <w:shd w:val="clear" w:color="auto" w:fill="FFFFFF"/>
          </w:tcPr>
          <w:p w14:paraId="3F08A3F4"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[Severity = 1] </w:t>
            </w:r>
          </w:p>
        </w:tc>
        <w:tc>
          <w:tcPr>
            <w:tcW w:w="1475" w:type="dxa"/>
            <w:tcBorders>
              <w:left w:val="nil"/>
              <w:bottom w:val="nil"/>
              <w:right w:val="nil"/>
            </w:tcBorders>
            <w:shd w:val="clear" w:color="auto" w:fill="FFFFFF"/>
          </w:tcPr>
          <w:p w14:paraId="4986A154"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-31.237</w:t>
            </w:r>
          </w:p>
        </w:tc>
        <w:tc>
          <w:tcPr>
            <w:tcW w:w="1318" w:type="dxa"/>
            <w:tcBorders>
              <w:left w:val="nil"/>
              <w:bottom w:val="nil"/>
              <w:right w:val="nil"/>
            </w:tcBorders>
            <w:shd w:val="clear" w:color="auto" w:fill="FFFFFF"/>
          </w:tcPr>
          <w:p w14:paraId="4CE7FD9D"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2285.096</w:t>
            </w:r>
          </w:p>
        </w:tc>
        <w:tc>
          <w:tcPr>
            <w:tcW w:w="961" w:type="dxa"/>
            <w:tcBorders>
              <w:left w:val="nil"/>
              <w:bottom w:val="nil"/>
              <w:right w:val="nil"/>
            </w:tcBorders>
            <w:shd w:val="clear" w:color="auto" w:fill="FFFFFF"/>
          </w:tcPr>
          <w:p w14:paraId="7AF951AA"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.000</w:t>
            </w:r>
          </w:p>
        </w:tc>
        <w:tc>
          <w:tcPr>
            <w:tcW w:w="2463" w:type="dxa"/>
            <w:tcBorders>
              <w:left w:val="nil"/>
              <w:bottom w:val="nil"/>
              <w:right w:val="nil"/>
            </w:tcBorders>
            <w:shd w:val="clear" w:color="auto" w:fill="FFFFFF"/>
          </w:tcPr>
          <w:p w14:paraId="49BEDA99" w14:textId="77777777" w:rsidR="00EF7191" w:rsidRDefault="00EF719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EF7191" w14:paraId="59BED257" w14:textId="77777777" w:rsidTr="00EF7191">
        <w:tc>
          <w:tcPr>
            <w:cnfStyle w:val="001000000000" w:firstRow="0" w:lastRow="0" w:firstColumn="1" w:lastColumn="0" w:oddVBand="0" w:evenVBand="0" w:oddHBand="0" w:evenHBand="0" w:firstRowFirstColumn="0" w:firstRowLastColumn="0" w:lastRowFirstColumn="0" w:lastRowLastColumn="0"/>
            <w:tcW w:w="1255" w:type="dxa"/>
            <w:tcBorders>
              <w:top w:val="nil"/>
              <w:left w:val="nil"/>
              <w:bottom w:val="nil"/>
              <w:right w:val="nil"/>
            </w:tcBorders>
            <w:shd w:val="clear" w:color="auto" w:fill="FFFFFF"/>
          </w:tcPr>
          <w:p w14:paraId="396901CE" w14:textId="77777777" w:rsidR="00EF7191" w:rsidRDefault="00EF7191">
            <w:pPr>
              <w:pStyle w:val="NoSpacing"/>
              <w:rPr>
                <w:rFonts w:ascii="Times New Roman" w:hAnsi="Times New Roman"/>
              </w:rPr>
            </w:pPr>
          </w:p>
        </w:tc>
        <w:tc>
          <w:tcPr>
            <w:tcW w:w="1545" w:type="dxa"/>
            <w:tcBorders>
              <w:top w:val="nil"/>
              <w:left w:val="nil"/>
              <w:bottom w:val="nil"/>
              <w:right w:val="nil"/>
            </w:tcBorders>
            <w:shd w:val="clear" w:color="auto" w:fill="FFFFFF"/>
          </w:tcPr>
          <w:p w14:paraId="0C7710BC"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[Severity =2]</w:t>
            </w:r>
          </w:p>
        </w:tc>
        <w:tc>
          <w:tcPr>
            <w:tcW w:w="1475" w:type="dxa"/>
            <w:tcBorders>
              <w:top w:val="nil"/>
              <w:left w:val="nil"/>
              <w:bottom w:val="nil"/>
              <w:right w:val="nil"/>
            </w:tcBorders>
            <w:shd w:val="clear" w:color="auto" w:fill="FFFFFF"/>
          </w:tcPr>
          <w:p w14:paraId="4EC9A80E"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-29.010</w:t>
            </w:r>
          </w:p>
        </w:tc>
        <w:tc>
          <w:tcPr>
            <w:tcW w:w="1318" w:type="dxa"/>
            <w:tcBorders>
              <w:top w:val="nil"/>
              <w:left w:val="nil"/>
              <w:bottom w:val="nil"/>
              <w:right w:val="nil"/>
            </w:tcBorders>
            <w:shd w:val="clear" w:color="auto" w:fill="FFFFFF"/>
          </w:tcPr>
          <w:p w14:paraId="2940FDEC"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2285.096</w:t>
            </w:r>
          </w:p>
        </w:tc>
        <w:tc>
          <w:tcPr>
            <w:tcW w:w="961" w:type="dxa"/>
            <w:tcBorders>
              <w:top w:val="nil"/>
              <w:left w:val="nil"/>
              <w:bottom w:val="nil"/>
              <w:right w:val="nil"/>
            </w:tcBorders>
            <w:shd w:val="clear" w:color="auto" w:fill="FFFFFF"/>
          </w:tcPr>
          <w:p w14:paraId="3D5A2299"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.000</w:t>
            </w:r>
          </w:p>
        </w:tc>
        <w:tc>
          <w:tcPr>
            <w:tcW w:w="2463" w:type="dxa"/>
            <w:tcBorders>
              <w:top w:val="nil"/>
              <w:left w:val="nil"/>
              <w:bottom w:val="nil"/>
              <w:right w:val="nil"/>
            </w:tcBorders>
            <w:shd w:val="clear" w:color="auto" w:fill="FFFFFF"/>
          </w:tcPr>
          <w:p w14:paraId="45EE1595" w14:textId="77777777" w:rsidR="00EF7191" w:rsidRDefault="00EF719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EF7191" w14:paraId="7E39F53B"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il"/>
              <w:left w:val="nil"/>
              <w:bottom w:val="single" w:sz="4" w:space="0" w:color="auto"/>
              <w:right w:val="nil"/>
            </w:tcBorders>
            <w:shd w:val="clear" w:color="auto" w:fill="FFFFFF"/>
          </w:tcPr>
          <w:p w14:paraId="08982BF3" w14:textId="77777777" w:rsidR="00EF7191" w:rsidRDefault="00EF7191">
            <w:pPr>
              <w:pStyle w:val="NoSpacing"/>
              <w:rPr>
                <w:rFonts w:ascii="Times New Roman" w:hAnsi="Times New Roman"/>
              </w:rPr>
            </w:pPr>
          </w:p>
        </w:tc>
        <w:tc>
          <w:tcPr>
            <w:tcW w:w="1545" w:type="dxa"/>
            <w:tcBorders>
              <w:top w:val="nil"/>
              <w:left w:val="nil"/>
              <w:bottom w:val="single" w:sz="4" w:space="0" w:color="auto"/>
              <w:right w:val="nil"/>
            </w:tcBorders>
            <w:shd w:val="clear" w:color="auto" w:fill="FFFFFF"/>
          </w:tcPr>
          <w:p w14:paraId="50DAC2AC"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[Severity =3/]</w:t>
            </w:r>
          </w:p>
        </w:tc>
        <w:tc>
          <w:tcPr>
            <w:tcW w:w="1475" w:type="dxa"/>
            <w:tcBorders>
              <w:top w:val="nil"/>
              <w:left w:val="nil"/>
              <w:bottom w:val="single" w:sz="4" w:space="0" w:color="auto"/>
              <w:right w:val="nil"/>
            </w:tcBorders>
            <w:shd w:val="clear" w:color="auto" w:fill="FFFFFF"/>
          </w:tcPr>
          <w:p w14:paraId="736B1F91"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3.395</w:t>
            </w:r>
          </w:p>
        </w:tc>
        <w:tc>
          <w:tcPr>
            <w:tcW w:w="1318" w:type="dxa"/>
            <w:tcBorders>
              <w:top w:val="nil"/>
              <w:left w:val="nil"/>
              <w:bottom w:val="single" w:sz="4" w:space="0" w:color="auto"/>
              <w:right w:val="nil"/>
            </w:tcBorders>
            <w:shd w:val="clear" w:color="auto" w:fill="FFFFFF"/>
          </w:tcPr>
          <w:p w14:paraId="6FA6EAC5"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2284.261</w:t>
            </w:r>
          </w:p>
        </w:tc>
        <w:tc>
          <w:tcPr>
            <w:tcW w:w="961" w:type="dxa"/>
            <w:tcBorders>
              <w:top w:val="nil"/>
              <w:left w:val="nil"/>
              <w:bottom w:val="single" w:sz="4" w:space="0" w:color="auto"/>
              <w:right w:val="nil"/>
            </w:tcBorders>
            <w:shd w:val="clear" w:color="auto" w:fill="FFFFFF"/>
          </w:tcPr>
          <w:p w14:paraId="71897363"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.000</w:t>
            </w:r>
          </w:p>
        </w:tc>
        <w:tc>
          <w:tcPr>
            <w:tcW w:w="2463" w:type="dxa"/>
            <w:tcBorders>
              <w:top w:val="nil"/>
              <w:left w:val="nil"/>
              <w:bottom w:val="single" w:sz="4" w:space="0" w:color="auto"/>
              <w:right w:val="nil"/>
            </w:tcBorders>
            <w:shd w:val="clear" w:color="auto" w:fill="FFFFFF"/>
          </w:tcPr>
          <w:p w14:paraId="411C857D" w14:textId="77777777" w:rsidR="00EF7191" w:rsidRDefault="00EF719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EF7191" w14:paraId="27C96F17" w14:textId="77777777" w:rsidTr="00EF7191">
        <w:tc>
          <w:tcPr>
            <w:cnfStyle w:val="001000000000" w:firstRow="0" w:lastRow="0" w:firstColumn="1" w:lastColumn="0" w:oddVBand="0" w:evenVBand="0" w:oddHBand="0" w:evenHBand="0" w:firstRowFirstColumn="0" w:firstRowLastColumn="0" w:lastRowFirstColumn="0" w:lastRowLastColumn="0"/>
            <w:tcW w:w="1255" w:type="dxa"/>
            <w:tcBorders>
              <w:left w:val="nil"/>
              <w:bottom w:val="nil"/>
              <w:right w:val="nil"/>
            </w:tcBorders>
            <w:shd w:val="clear" w:color="auto" w:fill="FFFFFF"/>
          </w:tcPr>
          <w:p w14:paraId="1081DD0F" w14:textId="77777777" w:rsidR="00EF7191" w:rsidRDefault="00760E68">
            <w:pPr>
              <w:pStyle w:val="NoSpacing"/>
              <w:rPr>
                <w:rFonts w:ascii="Times New Roman" w:hAnsi="Times New Roman"/>
              </w:rPr>
            </w:pPr>
            <w:r>
              <w:rPr>
                <w:rFonts w:ascii="Times New Roman" w:hAnsi="Times New Roman"/>
              </w:rPr>
              <w:t>Location</w:t>
            </w:r>
          </w:p>
        </w:tc>
        <w:tc>
          <w:tcPr>
            <w:tcW w:w="1545" w:type="dxa"/>
            <w:tcBorders>
              <w:left w:val="nil"/>
              <w:bottom w:val="nil"/>
              <w:right w:val="nil"/>
            </w:tcBorders>
            <w:shd w:val="clear" w:color="auto" w:fill="FFFFFF"/>
          </w:tcPr>
          <w:p w14:paraId="610A4F68"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CD4+ Count</w:t>
            </w:r>
          </w:p>
        </w:tc>
        <w:tc>
          <w:tcPr>
            <w:tcW w:w="1475" w:type="dxa"/>
            <w:tcBorders>
              <w:left w:val="nil"/>
              <w:bottom w:val="nil"/>
              <w:right w:val="nil"/>
            </w:tcBorders>
            <w:shd w:val="clear" w:color="auto" w:fill="FFFFFF"/>
          </w:tcPr>
          <w:p w14:paraId="63952325"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2.715</w:t>
            </w:r>
          </w:p>
        </w:tc>
        <w:tc>
          <w:tcPr>
            <w:tcW w:w="1318" w:type="dxa"/>
            <w:tcBorders>
              <w:left w:val="nil"/>
              <w:bottom w:val="nil"/>
              <w:right w:val="nil"/>
            </w:tcBorders>
            <w:shd w:val="clear" w:color="auto" w:fill="FFFFFF"/>
          </w:tcPr>
          <w:p w14:paraId="6B721E87"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2.479</w:t>
            </w:r>
          </w:p>
        </w:tc>
        <w:tc>
          <w:tcPr>
            <w:tcW w:w="961" w:type="dxa"/>
            <w:tcBorders>
              <w:left w:val="nil"/>
              <w:bottom w:val="nil"/>
              <w:right w:val="nil"/>
            </w:tcBorders>
            <w:shd w:val="clear" w:color="auto" w:fill="FFFFFF"/>
          </w:tcPr>
          <w:p w14:paraId="140A03F4"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1.199</w:t>
            </w:r>
          </w:p>
        </w:tc>
        <w:tc>
          <w:tcPr>
            <w:tcW w:w="2463" w:type="dxa"/>
            <w:tcBorders>
              <w:left w:val="nil"/>
              <w:bottom w:val="nil"/>
              <w:right w:val="nil"/>
            </w:tcBorders>
            <w:shd w:val="clear" w:color="auto" w:fill="FFFFFF"/>
          </w:tcPr>
          <w:p w14:paraId="5F465220"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Very Strong Positive Association</w:t>
            </w:r>
          </w:p>
        </w:tc>
      </w:tr>
      <w:tr w:rsidR="00EF7191" w14:paraId="1A0DAA8E"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il"/>
              <w:left w:val="nil"/>
              <w:right w:val="nil"/>
            </w:tcBorders>
            <w:shd w:val="clear" w:color="auto" w:fill="FFFFFF"/>
          </w:tcPr>
          <w:p w14:paraId="75B79A8C" w14:textId="77777777" w:rsidR="00EF7191" w:rsidRDefault="00EF7191">
            <w:pPr>
              <w:pStyle w:val="NoSpacing"/>
              <w:rPr>
                <w:rFonts w:ascii="Times New Roman" w:hAnsi="Times New Roman"/>
              </w:rPr>
            </w:pPr>
          </w:p>
        </w:tc>
        <w:tc>
          <w:tcPr>
            <w:tcW w:w="1545" w:type="dxa"/>
            <w:tcBorders>
              <w:top w:val="nil"/>
              <w:left w:val="nil"/>
              <w:right w:val="nil"/>
            </w:tcBorders>
            <w:shd w:val="clear" w:color="auto" w:fill="FFFFFF"/>
          </w:tcPr>
          <w:p w14:paraId="1FB0DADB"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Viral Load</w:t>
            </w:r>
          </w:p>
        </w:tc>
        <w:tc>
          <w:tcPr>
            <w:tcW w:w="1475" w:type="dxa"/>
            <w:tcBorders>
              <w:top w:val="nil"/>
              <w:left w:val="nil"/>
              <w:right w:val="nil"/>
            </w:tcBorders>
            <w:shd w:val="clear" w:color="auto" w:fill="FFFFFF"/>
          </w:tcPr>
          <w:p w14:paraId="5EC8CFE9"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.001</w:t>
            </w:r>
          </w:p>
        </w:tc>
        <w:tc>
          <w:tcPr>
            <w:tcW w:w="1318" w:type="dxa"/>
            <w:tcBorders>
              <w:top w:val="nil"/>
              <w:left w:val="nil"/>
              <w:right w:val="nil"/>
            </w:tcBorders>
            <w:shd w:val="clear" w:color="auto" w:fill="FFFFFF"/>
          </w:tcPr>
          <w:p w14:paraId="58DCFB01"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.005</w:t>
            </w:r>
          </w:p>
        </w:tc>
        <w:tc>
          <w:tcPr>
            <w:tcW w:w="961" w:type="dxa"/>
            <w:tcBorders>
              <w:top w:val="nil"/>
              <w:left w:val="nil"/>
              <w:right w:val="nil"/>
            </w:tcBorders>
            <w:shd w:val="clear" w:color="auto" w:fill="FFFFFF"/>
          </w:tcPr>
          <w:p w14:paraId="30963BA4"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.035</w:t>
            </w:r>
          </w:p>
        </w:tc>
        <w:tc>
          <w:tcPr>
            <w:tcW w:w="2463" w:type="dxa"/>
            <w:tcBorders>
              <w:top w:val="nil"/>
              <w:left w:val="nil"/>
              <w:right w:val="nil"/>
            </w:tcBorders>
            <w:shd w:val="clear" w:color="auto" w:fill="FFFFFF"/>
          </w:tcPr>
          <w:p w14:paraId="0E7ADA19"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Weak Positive Association</w:t>
            </w:r>
          </w:p>
        </w:tc>
      </w:tr>
    </w:tbl>
    <w:p w14:paraId="1954C947" w14:textId="77777777" w:rsidR="00EF7191" w:rsidRDefault="00760E68">
      <w:pPr>
        <w:pStyle w:val="NoSpacing"/>
        <w:rPr>
          <w:rFonts w:ascii="Times New Roman" w:hAnsi="Times New Roman"/>
          <w:sz w:val="20"/>
          <w:szCs w:val="20"/>
        </w:rPr>
      </w:pPr>
      <w:r>
        <w:rPr>
          <w:rFonts w:ascii="Times New Roman" w:hAnsi="Times New Roman"/>
          <w:sz w:val="20"/>
          <w:szCs w:val="20"/>
        </w:rPr>
        <w:t>Ordinal logistic regression revealed a strong</w:t>
      </w:r>
      <w:r>
        <w:rPr>
          <w:rFonts w:ascii="Times New Roman" w:hAnsi="Times New Roman"/>
          <w:sz w:val="20"/>
          <w:szCs w:val="20"/>
        </w:rPr>
        <w:t xml:space="preserve"> positive association between CD4+ count and lesion severity (B = 2.715), indicating higher CD4+ count was associated with less severe lesions. Viral load showed a weak positive association (B = 0.001), but the overall correlation was not statistically sig</w:t>
      </w:r>
      <w:r>
        <w:rPr>
          <w:rFonts w:ascii="Times New Roman" w:hAnsi="Times New Roman"/>
          <w:sz w:val="20"/>
          <w:szCs w:val="20"/>
        </w:rPr>
        <w:t>nificant (p &gt; .05).</w:t>
      </w:r>
    </w:p>
    <w:p w14:paraId="64BA6B67" w14:textId="77777777" w:rsidR="00EF7191" w:rsidRDefault="00EF7191">
      <w:pPr>
        <w:spacing w:line="360" w:lineRule="auto"/>
        <w:jc w:val="both"/>
        <w:rPr>
          <w:rFonts w:ascii="Times New Roman" w:hAnsi="Times New Roman"/>
          <w:sz w:val="24"/>
          <w:szCs w:val="24"/>
        </w:rPr>
      </w:pPr>
    </w:p>
    <w:p w14:paraId="5EB73A9D" w14:textId="797A7FE7" w:rsidR="00EF7191" w:rsidRDefault="00760E68">
      <w:pPr>
        <w:spacing w:after="0" w:line="240" w:lineRule="auto"/>
        <w:jc w:val="both"/>
        <w:rPr>
          <w:rFonts w:ascii="Times New Roman" w:hAnsi="Times New Roman"/>
          <w:sz w:val="24"/>
          <w:szCs w:val="24"/>
        </w:rPr>
      </w:pPr>
      <w:r>
        <w:rPr>
          <w:rFonts w:ascii="Times New Roman" w:hAnsi="Times New Roman"/>
          <w:sz w:val="24"/>
          <w:szCs w:val="24"/>
        </w:rPr>
        <w:t>Table 4: Analysis on how Antiretroviral Therapy (Duration and Regimen) Influence the Occurrence and Progression of Cervical Lesions in HIV-Positive Women</w:t>
      </w:r>
    </w:p>
    <w:tbl>
      <w:tblPr>
        <w:tblStyle w:val="ListTable6Colorful1"/>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150"/>
        <w:gridCol w:w="3240"/>
        <w:gridCol w:w="1525"/>
        <w:gridCol w:w="1530"/>
      </w:tblGrid>
      <w:tr w:rsidR="00EF7191" w14:paraId="7736BA2E" w14:textId="77777777" w:rsidTr="00EF7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left w:val="nil"/>
              <w:bottom w:val="single" w:sz="4" w:space="0" w:color="auto"/>
              <w:right w:val="nil"/>
            </w:tcBorders>
            <w:shd w:val="clear" w:color="auto" w:fill="FFFFFF"/>
          </w:tcPr>
          <w:p w14:paraId="36507DF7" w14:textId="77777777" w:rsidR="00EF7191" w:rsidRDefault="00760E68">
            <w:pPr>
              <w:pStyle w:val="NoSpacing"/>
              <w:rPr>
                <w:rFonts w:ascii="Times New Roman" w:hAnsi="Times New Roman"/>
              </w:rPr>
            </w:pPr>
            <w:r>
              <w:rPr>
                <w:rFonts w:ascii="Times New Roman" w:hAnsi="Times New Roman"/>
              </w:rPr>
              <w:t>Influence of Antiretroviral Therapy</w:t>
            </w:r>
          </w:p>
        </w:tc>
        <w:tc>
          <w:tcPr>
            <w:tcW w:w="3240" w:type="dxa"/>
            <w:tcBorders>
              <w:left w:val="nil"/>
              <w:bottom w:val="single" w:sz="4" w:space="0" w:color="auto"/>
              <w:right w:val="nil"/>
            </w:tcBorders>
            <w:shd w:val="clear" w:color="auto" w:fill="FFFFFF"/>
          </w:tcPr>
          <w:p w14:paraId="48FD39E8"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Levels of Occurrence and Progression</w:t>
            </w:r>
          </w:p>
        </w:tc>
        <w:tc>
          <w:tcPr>
            <w:tcW w:w="1525" w:type="dxa"/>
            <w:tcBorders>
              <w:left w:val="nil"/>
              <w:bottom w:val="single" w:sz="4" w:space="0" w:color="auto"/>
              <w:right w:val="nil"/>
            </w:tcBorders>
            <w:shd w:val="clear" w:color="auto" w:fill="FFFFFF"/>
          </w:tcPr>
          <w:p w14:paraId="35A35691"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Frequenc</w:t>
            </w:r>
            <w:r>
              <w:rPr>
                <w:rFonts w:ascii="Times New Roman" w:hAnsi="Times New Roman"/>
              </w:rPr>
              <w:t>y</w:t>
            </w:r>
          </w:p>
        </w:tc>
        <w:tc>
          <w:tcPr>
            <w:tcW w:w="1530" w:type="dxa"/>
            <w:tcBorders>
              <w:left w:val="nil"/>
              <w:bottom w:val="single" w:sz="4" w:space="0" w:color="auto"/>
              <w:right w:val="nil"/>
            </w:tcBorders>
            <w:shd w:val="clear" w:color="auto" w:fill="FFFFFF"/>
          </w:tcPr>
          <w:p w14:paraId="563CD7FC"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Percentage</w:t>
            </w:r>
          </w:p>
        </w:tc>
      </w:tr>
      <w:tr w:rsidR="00EF7191" w14:paraId="30E642D1"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left w:val="nil"/>
              <w:bottom w:val="nil"/>
              <w:right w:val="nil"/>
            </w:tcBorders>
            <w:shd w:val="clear" w:color="auto" w:fill="FFFFFF"/>
          </w:tcPr>
          <w:p w14:paraId="09917C89" w14:textId="77777777" w:rsidR="00EF7191" w:rsidRDefault="00760E68">
            <w:pPr>
              <w:pStyle w:val="NoSpacing"/>
              <w:rPr>
                <w:rFonts w:ascii="Times New Roman" w:hAnsi="Times New Roman"/>
              </w:rPr>
            </w:pPr>
            <w:r>
              <w:rPr>
                <w:rFonts w:ascii="Times New Roman" w:hAnsi="Times New Roman"/>
              </w:rPr>
              <w:t>Occurrence</w:t>
            </w:r>
          </w:p>
        </w:tc>
        <w:tc>
          <w:tcPr>
            <w:tcW w:w="3240" w:type="dxa"/>
            <w:tcBorders>
              <w:left w:val="nil"/>
              <w:bottom w:val="nil"/>
              <w:right w:val="nil"/>
            </w:tcBorders>
            <w:shd w:val="clear" w:color="auto" w:fill="FFFFFF"/>
          </w:tcPr>
          <w:p w14:paraId="2D635722"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Immune Restoration</w:t>
            </w:r>
          </w:p>
        </w:tc>
        <w:tc>
          <w:tcPr>
            <w:tcW w:w="1525" w:type="dxa"/>
            <w:tcBorders>
              <w:left w:val="nil"/>
              <w:bottom w:val="nil"/>
              <w:right w:val="nil"/>
            </w:tcBorders>
            <w:shd w:val="clear" w:color="auto" w:fill="FFFFFF"/>
          </w:tcPr>
          <w:p w14:paraId="57127224"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36</w:t>
            </w:r>
          </w:p>
        </w:tc>
        <w:tc>
          <w:tcPr>
            <w:tcW w:w="1530" w:type="dxa"/>
            <w:tcBorders>
              <w:left w:val="nil"/>
              <w:bottom w:val="nil"/>
              <w:right w:val="nil"/>
            </w:tcBorders>
            <w:shd w:val="clear" w:color="auto" w:fill="FFFFFF"/>
          </w:tcPr>
          <w:p w14:paraId="79B1B128"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59.0</w:t>
            </w:r>
          </w:p>
        </w:tc>
      </w:tr>
      <w:tr w:rsidR="00EF7191" w14:paraId="506D082F" w14:textId="77777777" w:rsidTr="00EF7191">
        <w:tc>
          <w:tcPr>
            <w:cnfStyle w:val="001000000000" w:firstRow="0" w:lastRow="0" w:firstColumn="1" w:lastColumn="0" w:oddVBand="0" w:evenVBand="0" w:oddHBand="0" w:evenHBand="0" w:firstRowFirstColumn="0" w:firstRowLastColumn="0" w:lastRowFirstColumn="0" w:lastRowLastColumn="0"/>
            <w:tcW w:w="3150" w:type="dxa"/>
            <w:tcBorders>
              <w:top w:val="nil"/>
              <w:left w:val="nil"/>
              <w:bottom w:val="nil"/>
              <w:right w:val="nil"/>
            </w:tcBorders>
            <w:shd w:val="clear" w:color="auto" w:fill="FFFFFF"/>
          </w:tcPr>
          <w:p w14:paraId="0C9E2C5D" w14:textId="77777777" w:rsidR="00EF7191" w:rsidRDefault="00EF7191">
            <w:pPr>
              <w:pStyle w:val="NoSpacing"/>
              <w:rPr>
                <w:rFonts w:ascii="Times New Roman" w:hAnsi="Times New Roman"/>
              </w:rPr>
            </w:pPr>
          </w:p>
        </w:tc>
        <w:tc>
          <w:tcPr>
            <w:tcW w:w="3240" w:type="dxa"/>
            <w:tcBorders>
              <w:top w:val="nil"/>
              <w:left w:val="nil"/>
              <w:bottom w:val="nil"/>
              <w:right w:val="nil"/>
            </w:tcBorders>
            <w:shd w:val="clear" w:color="auto" w:fill="FFFFFF"/>
          </w:tcPr>
          <w:p w14:paraId="2B18967F"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Reduced Risk of New Lesions</w:t>
            </w:r>
          </w:p>
        </w:tc>
        <w:tc>
          <w:tcPr>
            <w:tcW w:w="1525" w:type="dxa"/>
            <w:tcBorders>
              <w:top w:val="nil"/>
              <w:left w:val="nil"/>
              <w:bottom w:val="nil"/>
              <w:right w:val="nil"/>
            </w:tcBorders>
            <w:shd w:val="clear" w:color="auto" w:fill="FFFFFF"/>
          </w:tcPr>
          <w:p w14:paraId="69524E24"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w:t>
            </w:r>
          </w:p>
        </w:tc>
        <w:tc>
          <w:tcPr>
            <w:tcW w:w="1530" w:type="dxa"/>
            <w:tcBorders>
              <w:top w:val="nil"/>
              <w:left w:val="nil"/>
              <w:bottom w:val="nil"/>
              <w:right w:val="nil"/>
            </w:tcBorders>
            <w:shd w:val="clear" w:color="auto" w:fill="FFFFFF"/>
          </w:tcPr>
          <w:p w14:paraId="158CAA46"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33.3</w:t>
            </w:r>
          </w:p>
        </w:tc>
      </w:tr>
      <w:tr w:rsidR="00EF7191" w14:paraId="2B2F8B80"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il"/>
              <w:left w:val="nil"/>
              <w:bottom w:val="nil"/>
              <w:right w:val="nil"/>
            </w:tcBorders>
            <w:shd w:val="clear" w:color="auto" w:fill="FFFFFF"/>
          </w:tcPr>
          <w:p w14:paraId="01DFDB3B" w14:textId="77777777" w:rsidR="00EF7191" w:rsidRDefault="00EF7191">
            <w:pPr>
              <w:pStyle w:val="NoSpacing"/>
              <w:rPr>
                <w:rFonts w:ascii="Times New Roman" w:hAnsi="Times New Roman"/>
              </w:rPr>
            </w:pPr>
          </w:p>
        </w:tc>
        <w:tc>
          <w:tcPr>
            <w:tcW w:w="3240" w:type="dxa"/>
            <w:tcBorders>
              <w:top w:val="nil"/>
              <w:left w:val="nil"/>
              <w:bottom w:val="nil"/>
              <w:right w:val="nil"/>
            </w:tcBorders>
            <w:shd w:val="clear" w:color="auto" w:fill="FFFFFF"/>
          </w:tcPr>
          <w:p w14:paraId="03EA05FB"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Early Initiation of ART</w:t>
            </w:r>
          </w:p>
        </w:tc>
        <w:tc>
          <w:tcPr>
            <w:tcW w:w="1525" w:type="dxa"/>
            <w:tcBorders>
              <w:top w:val="nil"/>
              <w:left w:val="nil"/>
              <w:bottom w:val="nil"/>
              <w:right w:val="nil"/>
            </w:tcBorders>
            <w:shd w:val="clear" w:color="auto" w:fill="FFFFFF"/>
          </w:tcPr>
          <w:p w14:paraId="43F433B8"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w:t>
            </w:r>
          </w:p>
        </w:tc>
        <w:tc>
          <w:tcPr>
            <w:tcW w:w="1530" w:type="dxa"/>
            <w:tcBorders>
              <w:top w:val="nil"/>
              <w:left w:val="nil"/>
              <w:bottom w:val="nil"/>
              <w:right w:val="nil"/>
            </w:tcBorders>
            <w:shd w:val="clear" w:color="auto" w:fill="FFFFFF"/>
          </w:tcPr>
          <w:p w14:paraId="0A70F9E5"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8.3</w:t>
            </w:r>
          </w:p>
        </w:tc>
      </w:tr>
      <w:tr w:rsidR="00EF7191" w14:paraId="21FB1FCA" w14:textId="77777777" w:rsidTr="00EF7191">
        <w:tc>
          <w:tcPr>
            <w:cnfStyle w:val="001000000000" w:firstRow="0" w:lastRow="0" w:firstColumn="1" w:lastColumn="0" w:oddVBand="0" w:evenVBand="0" w:oddHBand="0" w:evenHBand="0" w:firstRowFirstColumn="0" w:firstRowLastColumn="0" w:lastRowFirstColumn="0" w:lastRowLastColumn="0"/>
            <w:tcW w:w="3150" w:type="dxa"/>
            <w:tcBorders>
              <w:top w:val="nil"/>
              <w:left w:val="nil"/>
              <w:bottom w:val="single" w:sz="4" w:space="0" w:color="auto"/>
              <w:right w:val="nil"/>
            </w:tcBorders>
            <w:shd w:val="clear" w:color="auto" w:fill="FFFFFF"/>
          </w:tcPr>
          <w:p w14:paraId="5A078803" w14:textId="77777777" w:rsidR="00EF7191" w:rsidRDefault="00EF7191">
            <w:pPr>
              <w:pStyle w:val="NoSpacing"/>
              <w:rPr>
                <w:rFonts w:ascii="Times New Roman" w:hAnsi="Times New Roman"/>
              </w:rPr>
            </w:pPr>
          </w:p>
        </w:tc>
        <w:tc>
          <w:tcPr>
            <w:tcW w:w="3240" w:type="dxa"/>
            <w:tcBorders>
              <w:top w:val="nil"/>
              <w:left w:val="nil"/>
              <w:bottom w:val="single" w:sz="4" w:space="0" w:color="auto"/>
              <w:right w:val="nil"/>
            </w:tcBorders>
            <w:shd w:val="clear" w:color="auto" w:fill="FFFFFF"/>
          </w:tcPr>
          <w:p w14:paraId="6DF9C51C"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Total</w:t>
            </w:r>
          </w:p>
        </w:tc>
        <w:tc>
          <w:tcPr>
            <w:tcW w:w="1525" w:type="dxa"/>
            <w:tcBorders>
              <w:top w:val="nil"/>
              <w:left w:val="nil"/>
              <w:bottom w:val="single" w:sz="4" w:space="0" w:color="auto"/>
              <w:right w:val="nil"/>
            </w:tcBorders>
            <w:shd w:val="clear" w:color="auto" w:fill="FFFFFF"/>
            <w:vAlign w:val="center"/>
          </w:tcPr>
          <w:p w14:paraId="220BC433"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61</w:t>
            </w:r>
          </w:p>
        </w:tc>
        <w:tc>
          <w:tcPr>
            <w:tcW w:w="1530" w:type="dxa"/>
            <w:tcBorders>
              <w:top w:val="nil"/>
              <w:left w:val="nil"/>
              <w:bottom w:val="single" w:sz="4" w:space="0" w:color="auto"/>
              <w:right w:val="nil"/>
            </w:tcBorders>
            <w:shd w:val="clear" w:color="auto" w:fill="FFFFFF"/>
            <w:vAlign w:val="center"/>
          </w:tcPr>
          <w:p w14:paraId="3872AA46"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100.0</w:t>
            </w:r>
          </w:p>
        </w:tc>
      </w:tr>
      <w:tr w:rsidR="00EF7191" w14:paraId="0607C2BF"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left w:val="nil"/>
              <w:bottom w:val="nil"/>
              <w:right w:val="nil"/>
            </w:tcBorders>
            <w:shd w:val="clear" w:color="auto" w:fill="FFFFFF"/>
          </w:tcPr>
          <w:p w14:paraId="39FF527D" w14:textId="77777777" w:rsidR="00EF7191" w:rsidRDefault="00760E68">
            <w:pPr>
              <w:pStyle w:val="NoSpacing"/>
              <w:rPr>
                <w:rFonts w:ascii="Times New Roman" w:hAnsi="Times New Roman"/>
              </w:rPr>
            </w:pPr>
            <w:r>
              <w:rPr>
                <w:rFonts w:ascii="Times New Roman" w:hAnsi="Times New Roman"/>
              </w:rPr>
              <w:t>Progression</w:t>
            </w:r>
          </w:p>
        </w:tc>
        <w:tc>
          <w:tcPr>
            <w:tcW w:w="3240" w:type="dxa"/>
            <w:tcBorders>
              <w:left w:val="nil"/>
              <w:bottom w:val="nil"/>
              <w:right w:val="nil"/>
            </w:tcBorders>
            <w:shd w:val="clear" w:color="auto" w:fill="FFFFFF"/>
          </w:tcPr>
          <w:p w14:paraId="130C518A"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Slow</w:t>
            </w:r>
          </w:p>
        </w:tc>
        <w:tc>
          <w:tcPr>
            <w:tcW w:w="1525" w:type="dxa"/>
            <w:tcBorders>
              <w:left w:val="nil"/>
              <w:bottom w:val="nil"/>
              <w:right w:val="nil"/>
            </w:tcBorders>
            <w:shd w:val="clear" w:color="auto" w:fill="FFFFFF"/>
          </w:tcPr>
          <w:p w14:paraId="5AA0E396"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32</w:t>
            </w:r>
          </w:p>
        </w:tc>
        <w:tc>
          <w:tcPr>
            <w:tcW w:w="1530" w:type="dxa"/>
            <w:tcBorders>
              <w:left w:val="nil"/>
              <w:bottom w:val="nil"/>
              <w:right w:val="nil"/>
            </w:tcBorders>
            <w:shd w:val="clear" w:color="auto" w:fill="FFFFFF"/>
          </w:tcPr>
          <w:p w14:paraId="6947E421"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52.4</w:t>
            </w:r>
          </w:p>
        </w:tc>
      </w:tr>
      <w:tr w:rsidR="00EF7191" w14:paraId="3A4ED090" w14:textId="77777777" w:rsidTr="00EF7191">
        <w:tc>
          <w:tcPr>
            <w:cnfStyle w:val="001000000000" w:firstRow="0" w:lastRow="0" w:firstColumn="1" w:lastColumn="0" w:oddVBand="0" w:evenVBand="0" w:oddHBand="0" w:evenHBand="0" w:firstRowFirstColumn="0" w:firstRowLastColumn="0" w:lastRowFirstColumn="0" w:lastRowLastColumn="0"/>
            <w:tcW w:w="3150" w:type="dxa"/>
            <w:tcBorders>
              <w:top w:val="nil"/>
              <w:left w:val="nil"/>
              <w:bottom w:val="nil"/>
              <w:right w:val="nil"/>
            </w:tcBorders>
            <w:shd w:val="clear" w:color="auto" w:fill="FFFFFF"/>
          </w:tcPr>
          <w:p w14:paraId="72C6DD6B" w14:textId="77777777" w:rsidR="00EF7191" w:rsidRDefault="00EF7191">
            <w:pPr>
              <w:pStyle w:val="NoSpacing"/>
              <w:rPr>
                <w:rFonts w:ascii="Times New Roman" w:hAnsi="Times New Roman"/>
              </w:rPr>
            </w:pPr>
          </w:p>
        </w:tc>
        <w:tc>
          <w:tcPr>
            <w:tcW w:w="3240" w:type="dxa"/>
            <w:tcBorders>
              <w:top w:val="nil"/>
              <w:left w:val="nil"/>
              <w:bottom w:val="nil"/>
              <w:right w:val="nil"/>
            </w:tcBorders>
            <w:shd w:val="clear" w:color="auto" w:fill="FFFFFF"/>
          </w:tcPr>
          <w:p w14:paraId="52294F60"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Still Progressing</w:t>
            </w:r>
          </w:p>
        </w:tc>
        <w:tc>
          <w:tcPr>
            <w:tcW w:w="1525" w:type="dxa"/>
            <w:tcBorders>
              <w:top w:val="nil"/>
              <w:left w:val="nil"/>
              <w:bottom w:val="nil"/>
              <w:right w:val="nil"/>
            </w:tcBorders>
            <w:shd w:val="clear" w:color="auto" w:fill="FFFFFF"/>
          </w:tcPr>
          <w:p w14:paraId="15D6F94F"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c>
          <w:tcPr>
            <w:tcW w:w="1530" w:type="dxa"/>
            <w:tcBorders>
              <w:top w:val="nil"/>
              <w:left w:val="nil"/>
              <w:bottom w:val="nil"/>
              <w:right w:val="nil"/>
            </w:tcBorders>
            <w:shd w:val="clear" w:color="auto" w:fill="FFFFFF"/>
          </w:tcPr>
          <w:p w14:paraId="73270099"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3.3</w:t>
            </w:r>
          </w:p>
        </w:tc>
      </w:tr>
      <w:tr w:rsidR="00EF7191" w14:paraId="31829E18"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il"/>
              <w:left w:val="nil"/>
              <w:bottom w:val="nil"/>
              <w:right w:val="nil"/>
            </w:tcBorders>
            <w:shd w:val="clear" w:color="auto" w:fill="FFFFFF"/>
          </w:tcPr>
          <w:p w14:paraId="7CA3FC33" w14:textId="77777777" w:rsidR="00EF7191" w:rsidRDefault="00EF7191">
            <w:pPr>
              <w:pStyle w:val="NoSpacing"/>
              <w:rPr>
                <w:rFonts w:ascii="Times New Roman" w:hAnsi="Times New Roman"/>
              </w:rPr>
            </w:pPr>
          </w:p>
        </w:tc>
        <w:tc>
          <w:tcPr>
            <w:tcW w:w="3240" w:type="dxa"/>
            <w:tcBorders>
              <w:top w:val="nil"/>
              <w:left w:val="nil"/>
              <w:bottom w:val="nil"/>
              <w:right w:val="nil"/>
            </w:tcBorders>
            <w:shd w:val="clear" w:color="auto" w:fill="FFFFFF"/>
          </w:tcPr>
          <w:p w14:paraId="3A0F3334"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Regression of Lesions</w:t>
            </w:r>
          </w:p>
        </w:tc>
        <w:tc>
          <w:tcPr>
            <w:tcW w:w="1525" w:type="dxa"/>
            <w:tcBorders>
              <w:top w:val="nil"/>
              <w:left w:val="nil"/>
              <w:bottom w:val="nil"/>
              <w:right w:val="nil"/>
            </w:tcBorders>
            <w:shd w:val="clear" w:color="auto" w:fill="FFFFFF"/>
          </w:tcPr>
          <w:p w14:paraId="742C2356"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27</w:t>
            </w:r>
          </w:p>
        </w:tc>
        <w:tc>
          <w:tcPr>
            <w:tcW w:w="1530" w:type="dxa"/>
            <w:tcBorders>
              <w:top w:val="nil"/>
              <w:left w:val="nil"/>
              <w:bottom w:val="nil"/>
              <w:right w:val="nil"/>
            </w:tcBorders>
            <w:shd w:val="clear" w:color="auto" w:fill="FFFFFF"/>
          </w:tcPr>
          <w:p w14:paraId="5C548517"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44.3</w:t>
            </w:r>
          </w:p>
        </w:tc>
      </w:tr>
      <w:tr w:rsidR="00EF7191" w14:paraId="7BC5C10F" w14:textId="77777777" w:rsidTr="00EF7191">
        <w:tc>
          <w:tcPr>
            <w:cnfStyle w:val="001000000000" w:firstRow="0" w:lastRow="0" w:firstColumn="1" w:lastColumn="0" w:oddVBand="0" w:evenVBand="0" w:oddHBand="0" w:evenHBand="0" w:firstRowFirstColumn="0" w:firstRowLastColumn="0" w:lastRowFirstColumn="0" w:lastRowLastColumn="0"/>
            <w:tcW w:w="3150" w:type="dxa"/>
            <w:tcBorders>
              <w:top w:val="nil"/>
              <w:left w:val="nil"/>
              <w:right w:val="nil"/>
            </w:tcBorders>
            <w:shd w:val="clear" w:color="auto" w:fill="FFFFFF"/>
          </w:tcPr>
          <w:p w14:paraId="7AF7D748" w14:textId="77777777" w:rsidR="00EF7191" w:rsidRDefault="00EF7191">
            <w:pPr>
              <w:pStyle w:val="NoSpacing"/>
              <w:rPr>
                <w:rFonts w:ascii="Times New Roman" w:hAnsi="Times New Roman"/>
              </w:rPr>
            </w:pPr>
          </w:p>
        </w:tc>
        <w:tc>
          <w:tcPr>
            <w:tcW w:w="3240" w:type="dxa"/>
            <w:tcBorders>
              <w:top w:val="nil"/>
              <w:left w:val="nil"/>
              <w:right w:val="nil"/>
            </w:tcBorders>
            <w:shd w:val="clear" w:color="auto" w:fill="FFFFFF"/>
          </w:tcPr>
          <w:p w14:paraId="110AD9D3"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Total</w:t>
            </w:r>
          </w:p>
        </w:tc>
        <w:tc>
          <w:tcPr>
            <w:tcW w:w="1525" w:type="dxa"/>
            <w:tcBorders>
              <w:top w:val="nil"/>
              <w:left w:val="nil"/>
              <w:right w:val="nil"/>
            </w:tcBorders>
            <w:shd w:val="clear" w:color="auto" w:fill="FFFFFF"/>
          </w:tcPr>
          <w:p w14:paraId="68532015"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61</w:t>
            </w:r>
          </w:p>
        </w:tc>
        <w:tc>
          <w:tcPr>
            <w:tcW w:w="1530" w:type="dxa"/>
            <w:tcBorders>
              <w:top w:val="nil"/>
              <w:left w:val="nil"/>
              <w:right w:val="nil"/>
            </w:tcBorders>
            <w:shd w:val="clear" w:color="auto" w:fill="FFFFFF"/>
          </w:tcPr>
          <w:p w14:paraId="5802BAD1"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100.0</w:t>
            </w:r>
          </w:p>
        </w:tc>
      </w:tr>
    </w:tbl>
    <w:p w14:paraId="6C8C542F" w14:textId="77777777" w:rsidR="00EF7191" w:rsidRDefault="00760E68">
      <w:pPr>
        <w:pStyle w:val="NoSpacing"/>
        <w:rPr>
          <w:rFonts w:ascii="Times New Roman" w:hAnsi="Times New Roman"/>
          <w:sz w:val="20"/>
          <w:szCs w:val="20"/>
        </w:rPr>
      </w:pPr>
      <w:r>
        <w:rPr>
          <w:rFonts w:ascii="Times New Roman" w:hAnsi="Times New Roman"/>
          <w:sz w:val="20"/>
          <w:szCs w:val="20"/>
        </w:rPr>
        <w:t xml:space="preserve">Among </w:t>
      </w:r>
      <w:r>
        <w:rPr>
          <w:rFonts w:ascii="Times New Roman" w:hAnsi="Times New Roman"/>
          <w:sz w:val="20"/>
          <w:szCs w:val="20"/>
        </w:rPr>
        <w:t>participants, 59.0% showed immune restoration, while 33.3% had reduced risk of new lesions and 8.3% initiated ART early. Regarding progression, 52.4% experienced slow lesion progression, 44.3% showed regression, and only 3.3% still showed lesion progressio</w:t>
      </w:r>
      <w:r>
        <w:rPr>
          <w:rFonts w:ascii="Times New Roman" w:hAnsi="Times New Roman"/>
          <w:sz w:val="20"/>
          <w:szCs w:val="20"/>
        </w:rPr>
        <w:t>n. Pearson correlation revealed no significant association between ART duration and lesion occurrence (r = -0.256, p = .164).</w:t>
      </w:r>
    </w:p>
    <w:p w14:paraId="5E86731A" w14:textId="77777777" w:rsidR="00EF7191" w:rsidRDefault="00760E68">
      <w:pPr>
        <w:spacing w:after="160" w:line="259" w:lineRule="auto"/>
        <w:rPr>
          <w:rFonts w:ascii="Times New Roman" w:hAnsi="Times New Roman"/>
          <w:sz w:val="24"/>
          <w:szCs w:val="24"/>
        </w:rPr>
      </w:pPr>
      <w:r>
        <w:rPr>
          <w:rFonts w:ascii="Times New Roman" w:hAnsi="Times New Roman"/>
          <w:sz w:val="24"/>
          <w:szCs w:val="24"/>
        </w:rPr>
        <w:br w:type="page"/>
      </w:r>
    </w:p>
    <w:p w14:paraId="66FA992A" w14:textId="77777777" w:rsidR="00EF7191" w:rsidRDefault="00760E68">
      <w:pPr>
        <w:pStyle w:val="NoSpacing"/>
        <w:rPr>
          <w:rFonts w:ascii="Times New Roman" w:hAnsi="Times New Roman"/>
          <w:b/>
          <w:bCs/>
          <w:noProof/>
          <w:color w:val="000000"/>
          <w:lang w:eastAsia="en-US"/>
        </w:rPr>
      </w:pPr>
      <w:r>
        <w:rPr>
          <w:rFonts w:ascii="Times New Roman" w:hAnsi="Times New Roman"/>
          <w:b/>
          <w:bCs/>
          <w:noProof/>
          <w:color w:val="000000"/>
          <w:lang w:eastAsia="en-US"/>
        </w:rPr>
        <w:lastRenderedPageBreak/>
        <w:t>FINDINGS</w:t>
      </w:r>
      <w:r w:rsidR="00672D13">
        <w:rPr>
          <w:rFonts w:ascii="Times New Roman" w:hAnsi="Times New Roman"/>
          <w:b/>
          <w:bCs/>
          <w:noProof/>
          <w:color w:val="000000"/>
          <w:lang w:eastAsia="en-US"/>
        </w:rPr>
        <w:t>:</w:t>
      </w:r>
    </w:p>
    <w:p w14:paraId="36D2CF9A" w14:textId="77777777" w:rsidR="00EF7191" w:rsidRDefault="00EF7191">
      <w:pPr>
        <w:pStyle w:val="NoSpacing"/>
        <w:rPr>
          <w:rFonts w:ascii="Times New Roman" w:hAnsi="Times New Roman"/>
          <w:noProof/>
          <w:lang w:eastAsia="en-US"/>
        </w:rPr>
      </w:pPr>
    </w:p>
    <w:p w14:paraId="50731DA3" w14:textId="77777777" w:rsidR="00EF7191" w:rsidRDefault="00760E68">
      <w:pPr>
        <w:pStyle w:val="NoSpacing"/>
        <w:rPr>
          <w:rFonts w:ascii="Times New Roman" w:hAnsi="Times New Roman"/>
        </w:rPr>
      </w:pPr>
      <w:r>
        <w:rPr>
          <w:rFonts w:ascii="Times New Roman" w:hAnsi="Times New Roman"/>
          <w:noProof/>
          <w:lang w:eastAsia="en-US"/>
        </w:rPr>
        <w:drawing>
          <wp:inline distT="0" distB="0" distL="0" distR="0" wp14:anchorId="21772124" wp14:editId="723F3253">
            <wp:extent cx="2194560" cy="1273219"/>
            <wp:effectExtent l="0" t="0" r="0" b="0"/>
            <wp:docPr id="10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cstate="print"/>
                    <a:srcRect/>
                    <a:stretch/>
                  </pic:blipFill>
                  <pic:spPr>
                    <a:xfrm flipH="1">
                      <a:off x="0" y="0"/>
                      <a:ext cx="2194560" cy="1273219"/>
                    </a:xfrm>
                    <a:prstGeom prst="rect">
                      <a:avLst/>
                    </a:prstGeom>
                    <a:ln>
                      <a:noFill/>
                    </a:ln>
                  </pic:spPr>
                </pic:pic>
              </a:graphicData>
            </a:graphic>
          </wp:inline>
        </w:drawing>
      </w:r>
    </w:p>
    <w:p w14:paraId="6B44D61F" w14:textId="77777777" w:rsidR="00EF7191" w:rsidRDefault="00760E68">
      <w:pPr>
        <w:pStyle w:val="NoSpacing"/>
        <w:rPr>
          <w:rFonts w:ascii="Times New Roman" w:hAnsi="Times New Roman"/>
        </w:rPr>
      </w:pPr>
      <w:r>
        <w:rPr>
          <w:rFonts w:ascii="Times New Roman" w:hAnsi="Times New Roman"/>
        </w:rPr>
        <w:t>Plate 1, X400, Pap stain:</w:t>
      </w:r>
      <w:r>
        <w:rPr>
          <w:rFonts w:ascii="Times New Roman" w:hAnsi="Times New Roman"/>
          <w:b/>
        </w:rPr>
        <w:t xml:space="preserve"> </w:t>
      </w:r>
      <w:r>
        <w:rPr>
          <w:rFonts w:ascii="Times New Roman" w:hAnsi="Times New Roman"/>
        </w:rPr>
        <w:t>Smear from healthy adult females showing normal cells PAP X400</w:t>
      </w:r>
    </w:p>
    <w:p w14:paraId="4AD75048" w14:textId="77777777" w:rsidR="00EF7191" w:rsidRDefault="00EF7191">
      <w:pPr>
        <w:pStyle w:val="NoSpacing"/>
        <w:rPr>
          <w:rFonts w:ascii="Times New Roman" w:hAnsi="Times New Roman"/>
        </w:rPr>
      </w:pPr>
    </w:p>
    <w:p w14:paraId="412FBF16" w14:textId="77777777" w:rsidR="00EF7191" w:rsidRDefault="00760E68">
      <w:pPr>
        <w:spacing w:after="0" w:line="360" w:lineRule="auto"/>
        <w:jc w:val="both"/>
        <w:rPr>
          <w:rFonts w:ascii="Times New Roman" w:hAnsi="Times New Roman"/>
          <w:sz w:val="24"/>
          <w:szCs w:val="24"/>
        </w:rPr>
      </w:pPr>
      <w:r>
        <w:rPr>
          <w:rFonts w:ascii="Times New Roman" w:hAnsi="Times New Roman"/>
          <w:b/>
          <w:noProof/>
          <w:sz w:val="24"/>
          <w:szCs w:val="24"/>
          <w:lang w:eastAsia="en-US"/>
        </w:rPr>
        <w:drawing>
          <wp:inline distT="0" distB="0" distL="0" distR="0" wp14:anchorId="7D7A8898" wp14:editId="60D72587">
            <wp:extent cx="2194560" cy="1371600"/>
            <wp:effectExtent l="0" t="0" r="0" b="0"/>
            <wp:docPr id="10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8" cstate="print"/>
                    <a:srcRect/>
                    <a:stretch/>
                  </pic:blipFill>
                  <pic:spPr>
                    <a:xfrm>
                      <a:off x="0" y="0"/>
                      <a:ext cx="2194560" cy="1371600"/>
                    </a:xfrm>
                    <a:prstGeom prst="rect">
                      <a:avLst/>
                    </a:prstGeom>
                    <a:ln>
                      <a:noFill/>
                    </a:ln>
                  </pic:spPr>
                </pic:pic>
              </a:graphicData>
            </a:graphic>
          </wp:inline>
        </w:drawing>
      </w:r>
    </w:p>
    <w:p w14:paraId="5FC27C2B" w14:textId="77777777" w:rsidR="00EF7191" w:rsidRDefault="00760E68">
      <w:pPr>
        <w:pStyle w:val="NoSpacing"/>
        <w:rPr>
          <w:rFonts w:ascii="Times New Roman" w:hAnsi="Times New Roman"/>
          <w:bCs/>
          <w:sz w:val="24"/>
          <w:szCs w:val="24"/>
        </w:rPr>
      </w:pPr>
      <w:r>
        <w:rPr>
          <w:rFonts w:ascii="Times New Roman" w:hAnsi="Times New Roman"/>
        </w:rPr>
        <w:t xml:space="preserve">Plate 2, X400, Pap </w:t>
      </w:r>
      <w:r>
        <w:rPr>
          <w:rFonts w:ascii="Times New Roman" w:hAnsi="Times New Roman"/>
        </w:rPr>
        <w:t>stain:</w:t>
      </w:r>
      <w:r>
        <w:rPr>
          <w:rFonts w:ascii="Times New Roman" w:hAnsi="Times New Roman"/>
          <w:b/>
        </w:rPr>
        <w:t xml:space="preserve"> </w:t>
      </w:r>
      <w:r>
        <w:rPr>
          <w:rFonts w:ascii="Times New Roman" w:hAnsi="Times New Roman"/>
        </w:rPr>
        <w:t xml:space="preserve">The smear shows sheets of ectocervical cells and clusters of endocervical cells with normal cytological details and within a background of dense lymphocytic infiltrate. </w:t>
      </w:r>
      <w:r>
        <w:rPr>
          <w:rFonts w:ascii="Times New Roman" w:hAnsi="Times New Roman"/>
          <w:bCs/>
          <w:sz w:val="24"/>
          <w:szCs w:val="24"/>
        </w:rPr>
        <w:t>Chronic cervicitis. Negative for intraepithelial lesion or malignancy</w:t>
      </w:r>
    </w:p>
    <w:p w14:paraId="43225AE8" w14:textId="77777777" w:rsidR="00EF7191" w:rsidRDefault="00EF7191">
      <w:pPr>
        <w:spacing w:after="0" w:line="360" w:lineRule="auto"/>
        <w:jc w:val="both"/>
        <w:rPr>
          <w:rFonts w:ascii="Times New Roman" w:hAnsi="Times New Roman"/>
          <w:bCs/>
          <w:sz w:val="24"/>
          <w:szCs w:val="24"/>
        </w:rPr>
      </w:pPr>
    </w:p>
    <w:p w14:paraId="18065598" w14:textId="77777777" w:rsidR="00EF7191" w:rsidRDefault="00760E68">
      <w:pPr>
        <w:spacing w:after="0" w:line="360" w:lineRule="auto"/>
        <w:jc w:val="both"/>
        <w:rPr>
          <w:rFonts w:ascii="Times New Roman" w:hAnsi="Times New Roman"/>
          <w:b/>
          <w:sz w:val="24"/>
          <w:szCs w:val="24"/>
        </w:rPr>
      </w:pPr>
      <w:r>
        <w:rPr>
          <w:rFonts w:ascii="Times New Roman" w:hAnsi="Times New Roman"/>
          <w:b/>
          <w:noProof/>
          <w:sz w:val="24"/>
          <w:szCs w:val="24"/>
          <w:lang w:eastAsia="en-US"/>
        </w:rPr>
        <w:drawing>
          <wp:inline distT="0" distB="0" distL="0" distR="0" wp14:anchorId="38C7A50E" wp14:editId="5E13CAF9">
            <wp:extent cx="2120900" cy="1523206"/>
            <wp:effectExtent l="0" t="0" r="0" b="635"/>
            <wp:docPr id="10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9" cstate="print"/>
                    <a:srcRect/>
                    <a:stretch/>
                  </pic:blipFill>
                  <pic:spPr>
                    <a:xfrm>
                      <a:off x="0" y="0"/>
                      <a:ext cx="2120900" cy="1523206"/>
                    </a:xfrm>
                    <a:prstGeom prst="rect">
                      <a:avLst/>
                    </a:prstGeom>
                    <a:ln>
                      <a:noFill/>
                    </a:ln>
                  </pic:spPr>
                </pic:pic>
              </a:graphicData>
            </a:graphic>
          </wp:inline>
        </w:drawing>
      </w:r>
    </w:p>
    <w:p w14:paraId="460E5D7E" w14:textId="77777777" w:rsidR="00EF7191" w:rsidRDefault="00760E68">
      <w:pPr>
        <w:pStyle w:val="NoSpacing"/>
        <w:rPr>
          <w:rFonts w:ascii="Times New Roman" w:hAnsi="Times New Roman"/>
          <w:b/>
        </w:rPr>
      </w:pPr>
      <w:r>
        <w:rPr>
          <w:rFonts w:ascii="Times New Roman" w:hAnsi="Times New Roman"/>
        </w:rPr>
        <w:t>Plate 3</w:t>
      </w:r>
      <w:r>
        <w:rPr>
          <w:rFonts w:ascii="Times New Roman" w:hAnsi="Times New Roman"/>
        </w:rPr>
        <w:t>, X400, Pap stain:</w:t>
      </w:r>
      <w:r>
        <w:rPr>
          <w:rFonts w:ascii="Times New Roman" w:hAnsi="Times New Roman"/>
          <w:b/>
        </w:rPr>
        <w:t xml:space="preserve"> </w:t>
      </w:r>
      <w:r>
        <w:rPr>
          <w:rFonts w:ascii="Times New Roman" w:hAnsi="Times New Roman"/>
        </w:rPr>
        <w:t>Cervical smear shows very few parabasal and intermediate squamous cells that appear lightly abnormal on a clean background.</w:t>
      </w:r>
      <w:r>
        <w:rPr>
          <w:rFonts w:ascii="Times New Roman" w:hAnsi="Times New Roman"/>
          <w:b/>
        </w:rPr>
        <w:t xml:space="preserve">  </w:t>
      </w:r>
      <w:r>
        <w:rPr>
          <w:rFonts w:ascii="Times New Roman" w:hAnsi="Times New Roman"/>
        </w:rPr>
        <w:t>Atypical squamous cells of undetermined significance.</w:t>
      </w:r>
    </w:p>
    <w:p w14:paraId="30258A3C" w14:textId="77777777" w:rsidR="00EF7191" w:rsidRDefault="00EF7191">
      <w:pPr>
        <w:spacing w:after="0" w:line="360" w:lineRule="auto"/>
        <w:jc w:val="both"/>
        <w:rPr>
          <w:rFonts w:ascii="Times New Roman" w:hAnsi="Times New Roman"/>
          <w:b/>
          <w:sz w:val="24"/>
          <w:szCs w:val="24"/>
        </w:rPr>
      </w:pPr>
    </w:p>
    <w:p w14:paraId="2B34E302" w14:textId="77777777" w:rsidR="00EF7191" w:rsidRDefault="00760E68">
      <w:pPr>
        <w:pStyle w:val="NoSpacing"/>
        <w:rPr>
          <w:rFonts w:ascii="Times New Roman" w:hAnsi="Times New Roman"/>
        </w:rPr>
      </w:pPr>
      <w:r>
        <w:rPr>
          <w:rFonts w:ascii="Times New Roman" w:hAnsi="Times New Roman"/>
          <w:noProof/>
          <w:lang w:eastAsia="en-US"/>
        </w:rPr>
        <w:drawing>
          <wp:inline distT="0" distB="0" distL="0" distR="0" wp14:anchorId="385E97D6" wp14:editId="1FF3BD5E">
            <wp:extent cx="2273300" cy="1634489"/>
            <wp:effectExtent l="0" t="0" r="0" b="3810"/>
            <wp:docPr id="102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10" cstate="print"/>
                    <a:srcRect/>
                    <a:stretch/>
                  </pic:blipFill>
                  <pic:spPr>
                    <a:xfrm>
                      <a:off x="0" y="0"/>
                      <a:ext cx="2273300" cy="1634489"/>
                    </a:xfrm>
                    <a:prstGeom prst="rect">
                      <a:avLst/>
                    </a:prstGeom>
                    <a:ln>
                      <a:noFill/>
                    </a:ln>
                  </pic:spPr>
                </pic:pic>
              </a:graphicData>
            </a:graphic>
          </wp:inline>
        </w:drawing>
      </w:r>
    </w:p>
    <w:p w14:paraId="26F59AF2" w14:textId="77777777" w:rsidR="00EF7191" w:rsidRDefault="00760E68">
      <w:pPr>
        <w:pStyle w:val="NoSpacing"/>
        <w:rPr>
          <w:rFonts w:ascii="Times New Roman" w:hAnsi="Times New Roman"/>
        </w:rPr>
      </w:pPr>
      <w:r>
        <w:rPr>
          <w:rFonts w:ascii="Times New Roman" w:hAnsi="Times New Roman"/>
        </w:rPr>
        <w:t xml:space="preserve">Plate 4, X400, Pap stain: </w:t>
      </w:r>
      <w:r>
        <w:rPr>
          <w:rFonts w:ascii="Times New Roman" w:hAnsi="Times New Roman"/>
          <w:bCs/>
        </w:rPr>
        <w:t xml:space="preserve">Cervical smear is adequate and shows single and clusters of superficial, intermediate and parabasal squamous epithelial cells on a clean background. </w:t>
      </w:r>
      <w:r>
        <w:rPr>
          <w:rFonts w:ascii="Times New Roman" w:hAnsi="Times New Roman"/>
        </w:rPr>
        <w:t xml:space="preserve">Low grade squamous intraepithelial lesion. </w:t>
      </w:r>
    </w:p>
    <w:p w14:paraId="3745F9E0" w14:textId="77777777" w:rsidR="00EF7191" w:rsidRDefault="00EF7191">
      <w:pPr>
        <w:spacing w:after="0" w:line="360" w:lineRule="auto"/>
        <w:jc w:val="both"/>
        <w:rPr>
          <w:rFonts w:ascii="Times New Roman" w:hAnsi="Times New Roman"/>
          <w:b/>
          <w:sz w:val="24"/>
          <w:szCs w:val="24"/>
        </w:rPr>
      </w:pPr>
    </w:p>
    <w:p w14:paraId="128FD68D" w14:textId="77777777" w:rsidR="00EF7191" w:rsidRDefault="00760E68">
      <w:pPr>
        <w:pStyle w:val="NoSpacing"/>
        <w:rPr>
          <w:rFonts w:ascii="Times New Roman" w:hAnsi="Times New Roman"/>
        </w:rPr>
      </w:pPr>
      <w:r>
        <w:rPr>
          <w:rFonts w:ascii="Times New Roman" w:hAnsi="Times New Roman"/>
          <w:noProof/>
          <w:lang w:eastAsia="en-US"/>
        </w:rPr>
        <w:lastRenderedPageBreak/>
        <w:drawing>
          <wp:inline distT="0" distB="0" distL="0" distR="0" wp14:anchorId="64B483B5" wp14:editId="7C2D984F">
            <wp:extent cx="2222500" cy="1397000"/>
            <wp:effectExtent l="0" t="0" r="6350" b="0"/>
            <wp:docPr id="103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1" cstate="print"/>
                    <a:srcRect/>
                    <a:stretch/>
                  </pic:blipFill>
                  <pic:spPr>
                    <a:xfrm>
                      <a:off x="0" y="0"/>
                      <a:ext cx="2222500" cy="1397000"/>
                    </a:xfrm>
                    <a:prstGeom prst="rect">
                      <a:avLst/>
                    </a:prstGeom>
                    <a:ln>
                      <a:noFill/>
                    </a:ln>
                  </pic:spPr>
                </pic:pic>
              </a:graphicData>
            </a:graphic>
          </wp:inline>
        </w:drawing>
      </w:r>
    </w:p>
    <w:p w14:paraId="3326A056" w14:textId="77777777" w:rsidR="00EF7191" w:rsidRDefault="00760E68">
      <w:pPr>
        <w:pStyle w:val="NoSpacing"/>
        <w:rPr>
          <w:rFonts w:ascii="Times New Roman" w:hAnsi="Times New Roman"/>
        </w:rPr>
      </w:pPr>
      <w:r>
        <w:rPr>
          <w:rFonts w:ascii="Times New Roman" w:hAnsi="Times New Roman"/>
        </w:rPr>
        <w:t xml:space="preserve">Plate 5, X100, Pap stain: </w:t>
      </w:r>
      <w:r>
        <w:rPr>
          <w:rFonts w:ascii="Times New Roman" w:hAnsi="Times New Roman"/>
          <w:bCs/>
        </w:rPr>
        <w:t>Cervical smear is cellular showing</w:t>
      </w:r>
      <w:r>
        <w:rPr>
          <w:rFonts w:ascii="Times New Roman" w:hAnsi="Times New Roman"/>
          <w:bCs/>
        </w:rPr>
        <w:t xml:space="preserve"> clusters of superficial, intermediate and parabasal squamous cells on a moderate background of neutrophilic inflammation.  </w:t>
      </w:r>
      <w:r>
        <w:rPr>
          <w:rFonts w:ascii="Times New Roman" w:hAnsi="Times New Roman"/>
        </w:rPr>
        <w:t xml:space="preserve">High grade squamous intraepithelial lesion </w:t>
      </w:r>
    </w:p>
    <w:p w14:paraId="6BE1D729" w14:textId="77777777" w:rsidR="00EF7191" w:rsidRDefault="00EF7191">
      <w:pPr>
        <w:spacing w:after="0" w:line="360" w:lineRule="auto"/>
        <w:jc w:val="both"/>
        <w:rPr>
          <w:rFonts w:ascii="Times New Roman" w:hAnsi="Times New Roman"/>
          <w:b/>
          <w:sz w:val="24"/>
          <w:szCs w:val="24"/>
        </w:rPr>
      </w:pPr>
    </w:p>
    <w:p w14:paraId="52082A84" w14:textId="77777777" w:rsidR="00EF7191" w:rsidRDefault="00EF7191">
      <w:pPr>
        <w:spacing w:after="0" w:line="360" w:lineRule="auto"/>
        <w:jc w:val="both"/>
        <w:rPr>
          <w:rFonts w:ascii="Times New Roman" w:hAnsi="Times New Roman"/>
          <w:b/>
          <w:sz w:val="24"/>
          <w:szCs w:val="24"/>
        </w:rPr>
      </w:pPr>
    </w:p>
    <w:p w14:paraId="1E53F614" w14:textId="77777777" w:rsidR="00EF7191" w:rsidRDefault="00760E68">
      <w:pPr>
        <w:pStyle w:val="NoSpacing"/>
        <w:rPr>
          <w:rFonts w:ascii="Times New Roman" w:hAnsi="Times New Roman"/>
        </w:rPr>
      </w:pPr>
      <w:r>
        <w:rPr>
          <w:rFonts w:ascii="Times New Roman" w:hAnsi="Times New Roman"/>
          <w:noProof/>
          <w:lang w:eastAsia="en-US"/>
        </w:rPr>
        <w:drawing>
          <wp:inline distT="0" distB="0" distL="0" distR="0" wp14:anchorId="7C38FB91" wp14:editId="3117E708">
            <wp:extent cx="2139950" cy="1513609"/>
            <wp:effectExtent l="0" t="0" r="0" b="0"/>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2" cstate="print"/>
                    <a:srcRect/>
                    <a:stretch/>
                  </pic:blipFill>
                  <pic:spPr>
                    <a:xfrm>
                      <a:off x="0" y="0"/>
                      <a:ext cx="2139950" cy="1513609"/>
                    </a:xfrm>
                    <a:prstGeom prst="rect">
                      <a:avLst/>
                    </a:prstGeom>
                    <a:ln>
                      <a:noFill/>
                    </a:ln>
                  </pic:spPr>
                </pic:pic>
              </a:graphicData>
            </a:graphic>
          </wp:inline>
        </w:drawing>
      </w:r>
    </w:p>
    <w:p w14:paraId="161414DE" w14:textId="77777777" w:rsidR="00EF7191" w:rsidRDefault="00760E68">
      <w:pPr>
        <w:pStyle w:val="NoSpacing"/>
        <w:rPr>
          <w:rFonts w:ascii="Times New Roman" w:hAnsi="Times New Roman"/>
        </w:rPr>
      </w:pPr>
      <w:r>
        <w:rPr>
          <w:rFonts w:ascii="Times New Roman" w:hAnsi="Times New Roman"/>
        </w:rPr>
        <w:t xml:space="preserve">Plate 6, X100, Pap stain: </w:t>
      </w:r>
      <w:r>
        <w:rPr>
          <w:rFonts w:ascii="Times New Roman" w:hAnsi="Times New Roman"/>
          <w:bCs/>
        </w:rPr>
        <w:t>Smear is cellular and adequate showing superficial, interm</w:t>
      </w:r>
      <w:r>
        <w:rPr>
          <w:rFonts w:ascii="Times New Roman" w:hAnsi="Times New Roman"/>
          <w:bCs/>
        </w:rPr>
        <w:t xml:space="preserve">ediate, squamous epithelial cells. There is heavy presence of inflammatory cells in the background. Few clumps of endocervical cells are seen (black arrow). Features are in keeping with inflammatory smear. </w:t>
      </w:r>
    </w:p>
    <w:p w14:paraId="1B713396" w14:textId="77777777" w:rsidR="00EF7191" w:rsidRDefault="00EF7191">
      <w:pPr>
        <w:spacing w:after="0" w:line="360" w:lineRule="auto"/>
        <w:jc w:val="both"/>
        <w:rPr>
          <w:rFonts w:ascii="Times New Roman" w:hAnsi="Times New Roman"/>
          <w:b/>
          <w:sz w:val="24"/>
          <w:szCs w:val="24"/>
        </w:rPr>
      </w:pPr>
    </w:p>
    <w:p w14:paraId="60D4B80A" w14:textId="77777777" w:rsidR="00EF7191" w:rsidRDefault="00EF7191">
      <w:pPr>
        <w:spacing w:after="0" w:line="360" w:lineRule="auto"/>
        <w:jc w:val="both"/>
        <w:rPr>
          <w:rFonts w:ascii="Times New Roman" w:hAnsi="Times New Roman"/>
          <w:b/>
          <w:sz w:val="24"/>
          <w:szCs w:val="24"/>
        </w:rPr>
      </w:pPr>
    </w:p>
    <w:p w14:paraId="5BA53A76" w14:textId="77777777" w:rsidR="00EF7191" w:rsidRDefault="00760E68">
      <w:pPr>
        <w:spacing w:after="0" w:line="360" w:lineRule="auto"/>
        <w:jc w:val="both"/>
        <w:rPr>
          <w:rFonts w:ascii="Times New Roman" w:hAnsi="Times New Roman"/>
          <w:b/>
          <w:sz w:val="24"/>
          <w:szCs w:val="24"/>
        </w:rPr>
      </w:pPr>
      <w:r>
        <w:rPr>
          <w:rFonts w:ascii="Times New Roman" w:hAnsi="Times New Roman"/>
          <w:b/>
          <w:sz w:val="24"/>
          <w:szCs w:val="24"/>
        </w:rPr>
        <w:t>4. DISCUSSION</w:t>
      </w:r>
    </w:p>
    <w:p w14:paraId="6CC0B11B" w14:textId="77777777" w:rsidR="00EF7191" w:rsidRDefault="00760E68">
      <w:pPr>
        <w:spacing w:line="360" w:lineRule="auto"/>
        <w:ind w:left="60" w:right="60"/>
        <w:jc w:val="both"/>
        <w:rPr>
          <w:rFonts w:ascii="Times New Roman" w:hAnsi="Times New Roman"/>
          <w:sz w:val="24"/>
          <w:szCs w:val="24"/>
        </w:rPr>
      </w:pPr>
      <w:r>
        <w:rPr>
          <w:rFonts w:ascii="Times New Roman" w:hAnsi="Times New Roman"/>
          <w:sz w:val="24"/>
          <w:szCs w:val="24"/>
        </w:rPr>
        <w:t>The study on cervical lesions amo</w:t>
      </w:r>
      <w:r>
        <w:rPr>
          <w:rFonts w:ascii="Times New Roman" w:hAnsi="Times New Roman"/>
          <w:sz w:val="24"/>
          <w:szCs w:val="24"/>
        </w:rPr>
        <w:t>ng HIV-positive women attending the University of Abuja Teaching Hospital, Gwagwalada, Abuja showed is no significant difference between the prevalence of various types of cervical lesions in HIV-positive women and the CD4+ count levels, but an earlier fin</w:t>
      </w:r>
      <w:r>
        <w:rPr>
          <w:rFonts w:ascii="Times New Roman" w:hAnsi="Times New Roman"/>
          <w:sz w:val="24"/>
          <w:szCs w:val="24"/>
        </w:rPr>
        <w:t>ding by Anastos et al., (2010) that investigated 710 HIV-positive women reported a 24.3% prevalence of cervical lesions, with 9.2% categorized as HSIL. They observed a strong association between HPV infection with types 16, 18, and 45 and the development o</w:t>
      </w:r>
      <w:r>
        <w:rPr>
          <w:rFonts w:ascii="Times New Roman" w:hAnsi="Times New Roman"/>
          <w:sz w:val="24"/>
          <w:szCs w:val="24"/>
        </w:rPr>
        <w:t>f high-grade lesions, with immunosuppression acting as a significant cofactor. Our second finding revealed that the duration of antiretroviral therapy has no significant association with the occurrence of cervical lesions among HIV-positive women. This stu</w:t>
      </w:r>
      <w:r>
        <w:rPr>
          <w:rFonts w:ascii="Times New Roman" w:hAnsi="Times New Roman"/>
          <w:sz w:val="24"/>
          <w:szCs w:val="24"/>
        </w:rPr>
        <w:t xml:space="preserve">dy agrees with that of Swende et al., (2018) who examined 253 HIV-positive women in Makurdi, Nigeria and found a 30.8% prevalence of cervical lesions. They noted further that women with CD4+ counts below 200 cells/mm³ had nearly three times higher risk of </w:t>
      </w:r>
      <w:r>
        <w:rPr>
          <w:rFonts w:ascii="Times New Roman" w:hAnsi="Times New Roman"/>
          <w:sz w:val="24"/>
          <w:szCs w:val="24"/>
        </w:rPr>
        <w:t xml:space="preserve">developing high-grade lesions compared to those with counts above 500 cells/mm³. Additionally, they identified longer duration of HIV infection above 5 years as an independent risk factor that is </w:t>
      </w:r>
      <w:r>
        <w:rPr>
          <w:rFonts w:ascii="Times New Roman" w:hAnsi="Times New Roman"/>
          <w:sz w:val="24"/>
          <w:szCs w:val="24"/>
        </w:rPr>
        <w:lastRenderedPageBreak/>
        <w:t>not associated with the rate of cervical lesions. The socio-</w:t>
      </w:r>
      <w:r>
        <w:rPr>
          <w:rFonts w:ascii="Times New Roman" w:hAnsi="Times New Roman"/>
          <w:sz w:val="24"/>
          <w:szCs w:val="24"/>
        </w:rPr>
        <w:t>demographic factors have no significant association with the progression of cervical lesions among HIV-positive women.  This finding is similar to a cross-sectional study by Jolly et al., (2017) on a bivariate analysis where they showed no significant asso</w:t>
      </w:r>
      <w:r>
        <w:rPr>
          <w:rFonts w:ascii="Times New Roman" w:hAnsi="Times New Roman"/>
          <w:sz w:val="24"/>
          <w:szCs w:val="24"/>
        </w:rPr>
        <w:t xml:space="preserve">ciation between socio-demographic variables and the presence of cervical lesions detectable through VIA among HIV-positive women. However, the number of lifetime sexual partners and HIV status were significantly associated with cervical lesions. HIV viral </w:t>
      </w:r>
      <w:r>
        <w:rPr>
          <w:rFonts w:ascii="Times New Roman" w:hAnsi="Times New Roman"/>
          <w:sz w:val="24"/>
          <w:szCs w:val="24"/>
        </w:rPr>
        <w:t xml:space="preserve">load has no significant association with the severity of cervical lesions among HIV-positive women. This finding is in line with that of </w:t>
      </w:r>
      <w:r>
        <w:rPr>
          <w:rStyle w:val="Strong"/>
          <w:rFonts w:ascii="Times New Roman" w:hAnsi="Times New Roman"/>
          <w:b w:val="0"/>
          <w:sz w:val="24"/>
          <w:szCs w:val="24"/>
        </w:rPr>
        <w:t>Cardillo et al., (2001)</w:t>
      </w:r>
      <w:r>
        <w:rPr>
          <w:rStyle w:val="Strong"/>
          <w:rFonts w:ascii="Times New Roman" w:hAnsi="Times New Roman"/>
          <w:sz w:val="24"/>
          <w:szCs w:val="24"/>
        </w:rPr>
        <w:t xml:space="preserve"> </w:t>
      </w:r>
      <w:r>
        <w:rPr>
          <w:rStyle w:val="Strong"/>
          <w:rFonts w:ascii="Times New Roman" w:hAnsi="Times New Roman"/>
          <w:b w:val="0"/>
          <w:bCs w:val="0"/>
          <w:sz w:val="24"/>
          <w:szCs w:val="24"/>
        </w:rPr>
        <w:t>whose</w:t>
      </w:r>
      <w:r>
        <w:rPr>
          <w:rFonts w:ascii="Times New Roman" w:hAnsi="Times New Roman"/>
          <w:sz w:val="24"/>
          <w:szCs w:val="24"/>
        </w:rPr>
        <w:t xml:space="preserve"> study examined 108 HIV-infected women and found that while higher HIV viral loads were observed in women with squamous intraepithelial lesions compared to those without, the difference was not statistically significant. </w:t>
      </w:r>
    </w:p>
    <w:p w14:paraId="37575CC2" w14:textId="77777777" w:rsidR="00EF7191" w:rsidRDefault="00EF7191">
      <w:pPr>
        <w:spacing w:after="0" w:line="360" w:lineRule="auto"/>
        <w:jc w:val="both"/>
        <w:rPr>
          <w:rFonts w:ascii="Times New Roman" w:hAnsi="Times New Roman"/>
          <w:b/>
          <w:sz w:val="24"/>
          <w:szCs w:val="24"/>
        </w:rPr>
      </w:pPr>
    </w:p>
    <w:p w14:paraId="2D8E535F" w14:textId="77777777" w:rsidR="00EF7191" w:rsidRDefault="00760E68">
      <w:pPr>
        <w:spacing w:after="0" w:line="360" w:lineRule="auto"/>
        <w:jc w:val="both"/>
        <w:rPr>
          <w:rFonts w:ascii="Times New Roman" w:hAnsi="Times New Roman"/>
          <w:b/>
          <w:sz w:val="24"/>
          <w:szCs w:val="24"/>
        </w:rPr>
      </w:pPr>
      <w:r>
        <w:rPr>
          <w:rFonts w:ascii="Times New Roman" w:hAnsi="Times New Roman"/>
          <w:b/>
          <w:sz w:val="24"/>
          <w:szCs w:val="24"/>
        </w:rPr>
        <w:t>5. CONCLUSION</w:t>
      </w:r>
    </w:p>
    <w:p w14:paraId="482135A2" w14:textId="77777777" w:rsidR="00EF7191" w:rsidRDefault="00760E68">
      <w:pPr>
        <w:spacing w:line="360" w:lineRule="auto"/>
        <w:jc w:val="both"/>
        <w:rPr>
          <w:rFonts w:ascii="Times New Roman" w:hAnsi="Times New Roman"/>
          <w:sz w:val="24"/>
          <w:szCs w:val="24"/>
        </w:rPr>
      </w:pPr>
      <w:r>
        <w:rPr>
          <w:rFonts w:ascii="Times New Roman" w:hAnsi="Times New Roman"/>
          <w:sz w:val="24"/>
          <w:szCs w:val="24"/>
        </w:rPr>
        <w:t>Cervical lesions ar</w:t>
      </w:r>
      <w:r>
        <w:rPr>
          <w:rFonts w:ascii="Times New Roman" w:hAnsi="Times New Roman"/>
          <w:sz w:val="24"/>
          <w:szCs w:val="24"/>
        </w:rPr>
        <w:t>e prevalent among HIV-positive women at UATH, with LSIL being the most common. CD4+ count showed a strong association with lesion severity. Viral load, ART duration, and socio-demographics did not show significant associations with prevalence of cervical l</w:t>
      </w:r>
      <w:r>
        <w:rPr>
          <w:rFonts w:ascii="Times New Roman" w:hAnsi="Times New Roman"/>
          <w:sz w:val="24"/>
          <w:szCs w:val="24"/>
        </w:rPr>
        <w:t>esions. There is a need for integrated cervical cancer prevention in HIV care programs that focuses on screening and HPV-related interventions.</w:t>
      </w:r>
    </w:p>
    <w:p w14:paraId="6A4A743F" w14:textId="77777777" w:rsidR="00EF7191" w:rsidRDefault="00EF7191">
      <w:pPr>
        <w:spacing w:after="0" w:line="360" w:lineRule="auto"/>
        <w:jc w:val="both"/>
        <w:rPr>
          <w:rFonts w:ascii="Times New Roman" w:hAnsi="Times New Roman"/>
          <w:b/>
          <w:sz w:val="24"/>
          <w:szCs w:val="24"/>
        </w:rPr>
      </w:pPr>
    </w:p>
    <w:p w14:paraId="455A80EF" w14:textId="77777777" w:rsidR="00EF7191" w:rsidRDefault="00760E68">
      <w:pPr>
        <w:spacing w:after="0" w:line="360" w:lineRule="auto"/>
        <w:rPr>
          <w:rFonts w:ascii="Times New Roman" w:hAnsi="Times New Roman"/>
          <w:b/>
          <w:sz w:val="24"/>
          <w:szCs w:val="24"/>
        </w:rPr>
      </w:pPr>
      <w:r>
        <w:rPr>
          <w:rFonts w:ascii="Times New Roman" w:hAnsi="Times New Roman"/>
          <w:b/>
          <w:sz w:val="24"/>
          <w:szCs w:val="24"/>
        </w:rPr>
        <w:t>References</w:t>
      </w:r>
    </w:p>
    <w:p w14:paraId="3C1127D1"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t>Abraham, A. G., Strickler, H. D., Jing, Y., Gange, S. J., Sterling, T. R., Silverberg, M.,</w:t>
      </w:r>
      <w:r>
        <w:rPr>
          <w:rFonts w:ascii="Times New Roman" w:hAnsi="Times New Roman"/>
          <w:sz w:val="24"/>
          <w:szCs w:val="24"/>
        </w:rPr>
        <w:t xml:space="preserve"> ... &amp; D'Souza, G. (2013). Invasive cervical cancer risk among HIV-infected women: A North American multicenter collaboration prospective study. Journal of Acquired Immune Deficiency Syndromes, </w:t>
      </w:r>
      <w:r>
        <w:rPr>
          <w:rFonts w:ascii="Times New Roman" w:hAnsi="Times New Roman"/>
          <w:bCs/>
          <w:sz w:val="24"/>
          <w:szCs w:val="24"/>
        </w:rPr>
        <w:t>62</w:t>
      </w:r>
      <w:r>
        <w:rPr>
          <w:rFonts w:ascii="Times New Roman" w:hAnsi="Times New Roman"/>
          <w:sz w:val="24"/>
          <w:szCs w:val="24"/>
        </w:rPr>
        <w:t>(4), 405-413.</w:t>
      </w:r>
    </w:p>
    <w:p w14:paraId="79315257"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t>Anastos, K., Hoover, D. R., Burk, R. D., Cajig</w:t>
      </w:r>
      <w:r>
        <w:rPr>
          <w:rFonts w:ascii="Times New Roman" w:hAnsi="Times New Roman"/>
          <w:sz w:val="24"/>
          <w:szCs w:val="24"/>
        </w:rPr>
        <w:t xml:space="preserve">as, A., Justman, J. E., Shin, S. S., ... &amp; Minkoff, H. (2010). Risk factors for cervical precancer and cancer in HIV-infected, HPV-positive Rwandan women. PLoS One, </w:t>
      </w:r>
      <w:r>
        <w:rPr>
          <w:rFonts w:ascii="Times New Roman" w:hAnsi="Times New Roman"/>
          <w:bCs/>
          <w:sz w:val="24"/>
          <w:szCs w:val="24"/>
        </w:rPr>
        <w:t>5</w:t>
      </w:r>
      <w:r>
        <w:rPr>
          <w:rFonts w:ascii="Times New Roman" w:hAnsi="Times New Roman"/>
          <w:sz w:val="24"/>
          <w:szCs w:val="24"/>
        </w:rPr>
        <w:t>(10), e13525.</w:t>
      </w:r>
    </w:p>
    <w:p w14:paraId="7430D681"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t>Cardillo, M. R., Petrangeli, E., Perracchio, L., Salvatori, L., Ravenna, L.,</w:t>
      </w:r>
      <w:r>
        <w:rPr>
          <w:rFonts w:ascii="Times New Roman" w:hAnsi="Times New Roman"/>
          <w:sz w:val="24"/>
          <w:szCs w:val="24"/>
        </w:rPr>
        <w:t xml:space="preserve"> &amp; Di Silverio, F. (2001). Epstein-Barr virus, human papillomavirus, and human immunodeficiency virus in cervical lesions. International Journal of Gynecologic Cancer, </w:t>
      </w:r>
      <w:r>
        <w:rPr>
          <w:rFonts w:ascii="Times New Roman" w:hAnsi="Times New Roman"/>
          <w:bCs/>
          <w:sz w:val="24"/>
          <w:szCs w:val="24"/>
        </w:rPr>
        <w:t>11</w:t>
      </w:r>
      <w:r>
        <w:rPr>
          <w:rFonts w:ascii="Times New Roman" w:hAnsi="Times New Roman"/>
          <w:sz w:val="24"/>
          <w:szCs w:val="24"/>
        </w:rPr>
        <w:t>(3), 204-210.</w:t>
      </w:r>
    </w:p>
    <w:p w14:paraId="10A1F94B"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t xml:space="preserve">Denslow, S. A., Rositch, A. F., Firnhaber, C., Ting, J., &amp; Smith, J. S. </w:t>
      </w:r>
      <w:r>
        <w:rPr>
          <w:rFonts w:ascii="Times New Roman" w:hAnsi="Times New Roman"/>
          <w:sz w:val="24"/>
          <w:szCs w:val="24"/>
        </w:rPr>
        <w:t xml:space="preserve">(2014). Incidence and progression of cervical lesions in women with HIV: A systematic global review. International Journal of STD &amp; AIDS, </w:t>
      </w:r>
      <w:r>
        <w:rPr>
          <w:rFonts w:ascii="Times New Roman" w:hAnsi="Times New Roman"/>
          <w:bCs/>
          <w:sz w:val="24"/>
          <w:szCs w:val="24"/>
        </w:rPr>
        <w:t>25</w:t>
      </w:r>
      <w:r>
        <w:rPr>
          <w:rFonts w:ascii="Times New Roman" w:hAnsi="Times New Roman"/>
          <w:sz w:val="24"/>
          <w:szCs w:val="24"/>
        </w:rPr>
        <w:t>(3), 163-177.</w:t>
      </w:r>
    </w:p>
    <w:p w14:paraId="30E57169"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t>Ferlay, J., Soerjomataram, I., Dikshit, R., Eser, S., Mathers, C., Rebelo, M. &amp; Bray, F. (2015). Cance</w:t>
      </w:r>
      <w:r>
        <w:rPr>
          <w:rFonts w:ascii="Times New Roman" w:hAnsi="Times New Roman"/>
          <w:sz w:val="24"/>
          <w:szCs w:val="24"/>
        </w:rPr>
        <w:t xml:space="preserve">r incidence and mortality worldwide: Sources, methods and major patterns in GLOBOCAN 2012. International Journal of Cancer, </w:t>
      </w:r>
      <w:r>
        <w:rPr>
          <w:rFonts w:ascii="Times New Roman" w:hAnsi="Times New Roman"/>
          <w:bCs/>
          <w:sz w:val="24"/>
          <w:szCs w:val="24"/>
        </w:rPr>
        <w:t>136</w:t>
      </w:r>
      <w:r>
        <w:rPr>
          <w:rFonts w:ascii="Times New Roman" w:hAnsi="Times New Roman"/>
          <w:sz w:val="24"/>
          <w:szCs w:val="24"/>
        </w:rPr>
        <w:t>(5), E359-E386.</w:t>
      </w:r>
    </w:p>
    <w:p w14:paraId="6D3CA7B4"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t>Jedy-Agba, E., Curado, M. P., Ogunbiyi, O., Oga, E., Fabowale, T., Igbinoba, F., ... &amp; Adebamowo, C. A. (2012). C</w:t>
      </w:r>
      <w:r>
        <w:rPr>
          <w:rFonts w:ascii="Times New Roman" w:hAnsi="Times New Roman"/>
          <w:sz w:val="24"/>
          <w:szCs w:val="24"/>
        </w:rPr>
        <w:t xml:space="preserve">ancer incidence in Nigeria: A report from population-based cancer registries. Cancer Epidemiology, </w:t>
      </w:r>
      <w:r>
        <w:rPr>
          <w:rFonts w:ascii="Times New Roman" w:hAnsi="Times New Roman"/>
          <w:bCs/>
          <w:sz w:val="24"/>
          <w:szCs w:val="24"/>
        </w:rPr>
        <w:t>36</w:t>
      </w:r>
      <w:r>
        <w:rPr>
          <w:rFonts w:ascii="Times New Roman" w:hAnsi="Times New Roman"/>
          <w:sz w:val="24"/>
          <w:szCs w:val="24"/>
        </w:rPr>
        <w:t>(5), e271-e278.</w:t>
      </w:r>
    </w:p>
    <w:p w14:paraId="4AFA8712"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lastRenderedPageBreak/>
        <w:t xml:space="preserve">Jolly, P. E., Mthethwa-Hleta, S., &amp; Padilla, L. A. (2017). Screening for cervical cancer in HIV-positive women in Botswana: Prevalence and </w:t>
      </w:r>
      <w:r>
        <w:rPr>
          <w:rFonts w:ascii="Times New Roman" w:hAnsi="Times New Roman"/>
          <w:sz w:val="24"/>
          <w:szCs w:val="24"/>
        </w:rPr>
        <w:t xml:space="preserve">risk factors. International Journal of Gynaecology and Obstetrics, </w:t>
      </w:r>
      <w:r>
        <w:rPr>
          <w:rFonts w:ascii="Times New Roman" w:hAnsi="Times New Roman"/>
          <w:bCs/>
          <w:sz w:val="24"/>
          <w:szCs w:val="24"/>
        </w:rPr>
        <w:t>138</w:t>
      </w:r>
      <w:r>
        <w:rPr>
          <w:rFonts w:ascii="Times New Roman" w:hAnsi="Times New Roman"/>
          <w:sz w:val="24"/>
          <w:szCs w:val="24"/>
        </w:rPr>
        <w:t>(2), 162-168.</w:t>
      </w:r>
    </w:p>
    <w:p w14:paraId="081C9FEC"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t xml:space="preserve">Omole-Ohonsi, A., &amp; Attah, R. A. (2010). Risk factors for cervical cancer among women in Kano, Northern Nigeria. Nigerian Medical Journal, </w:t>
      </w:r>
      <w:r>
        <w:rPr>
          <w:rFonts w:ascii="Times New Roman" w:hAnsi="Times New Roman"/>
          <w:bCs/>
          <w:sz w:val="24"/>
          <w:szCs w:val="24"/>
        </w:rPr>
        <w:t>51</w:t>
      </w:r>
      <w:r>
        <w:rPr>
          <w:rFonts w:ascii="Times New Roman" w:hAnsi="Times New Roman"/>
          <w:sz w:val="24"/>
          <w:szCs w:val="24"/>
        </w:rPr>
        <w:t>(2), 78-82.</w:t>
      </w:r>
    </w:p>
    <w:p w14:paraId="4D2FE72B" w14:textId="77777777" w:rsidR="00EF7191" w:rsidRDefault="00760E68">
      <w:pPr>
        <w:pStyle w:val="NoSpacing"/>
        <w:ind w:left="720" w:hanging="720"/>
        <w:rPr>
          <w:rStyle w:val="NoSpacingChar"/>
          <w:rFonts w:ascii="Times New Roman" w:hAnsi="Times New Roman"/>
        </w:rPr>
      </w:pPr>
      <w:r>
        <w:rPr>
          <w:rFonts w:ascii="Times New Roman" w:hAnsi="Times New Roman"/>
        </w:rPr>
        <w:t xml:space="preserve">Ovuakporaye, SI,, Enaohwo, M.T., Mordi, J.C., Naiho A.O. (2020). Serum electrolytes and renal histology of Wistar rats treated with seed extract of Citrullus lanatus. Journal of Pharmacy and Bioresources. 17 (1) 66-74. </w:t>
      </w:r>
      <w:hyperlink r:id="rId13" w:history="1">
        <w:r w:rsidR="00EF7191">
          <w:rPr>
            <w:rStyle w:val="NoSpacingChar"/>
            <w:rFonts w:ascii="Times New Roman" w:hAnsi="Times New Roman"/>
          </w:rPr>
          <w:t>https://doi.org/10.4314/jpb.v17i1.11</w:t>
        </w:r>
      </w:hyperlink>
    </w:p>
    <w:p w14:paraId="41C42C92" w14:textId="77777777" w:rsidR="00EF7191" w:rsidRDefault="00760E68">
      <w:pPr>
        <w:pStyle w:val="NoSpacing"/>
        <w:ind w:left="720" w:hanging="720"/>
        <w:rPr>
          <w:rFonts w:ascii="Times New Roman" w:hAnsi="Times New Roman"/>
        </w:rPr>
      </w:pPr>
      <w:r>
        <w:rPr>
          <w:rFonts w:ascii="Times New Roman" w:hAnsi="Times New Roman"/>
        </w:rPr>
        <w:t xml:space="preserve">Palefsky, J. M., Minkoff, H., Kalish, L. A., Levine, A., Sacks, H. S., Garcia, P., ... &amp; Miotti, P. (1999). Cervicovaginal human papillomavirus infection in human immunodeficiency virus-1 (HIV)-positive </w:t>
      </w:r>
      <w:r>
        <w:rPr>
          <w:rFonts w:ascii="Times New Roman" w:hAnsi="Times New Roman"/>
        </w:rPr>
        <w:t xml:space="preserve">and high-risk HIV-negative women. JNCI: Journal of the National Cancer Institute, </w:t>
      </w:r>
      <w:r>
        <w:rPr>
          <w:rFonts w:ascii="Times New Roman" w:hAnsi="Times New Roman"/>
          <w:bCs/>
        </w:rPr>
        <w:t>91</w:t>
      </w:r>
      <w:r>
        <w:rPr>
          <w:rFonts w:ascii="Times New Roman" w:hAnsi="Times New Roman"/>
        </w:rPr>
        <w:t>(3), 226-236.</w:t>
      </w:r>
    </w:p>
    <w:p w14:paraId="1DEEAF9D" w14:textId="77777777" w:rsidR="00EF7191" w:rsidRDefault="00760E68">
      <w:pPr>
        <w:pStyle w:val="NoSpacing"/>
        <w:ind w:left="720" w:hanging="720"/>
        <w:rPr>
          <w:rFonts w:ascii="Times New Roman" w:hAnsi="Times New Roman"/>
        </w:rPr>
      </w:pPr>
      <w:r>
        <w:rPr>
          <w:rFonts w:ascii="Times New Roman" w:hAnsi="Times New Roman"/>
        </w:rPr>
        <w:t>Swende, T. Z., Ngwan, S. D., &amp; Alao, O. O. (2018). Prevalence of cervical lesions and associated risk factors among HIV-positive women in North Central Nigeri</w:t>
      </w:r>
      <w:r>
        <w:rPr>
          <w:rFonts w:ascii="Times New Roman" w:hAnsi="Times New Roman"/>
        </w:rPr>
        <w:t xml:space="preserve">a. Journal of Public Health in Africa, </w:t>
      </w:r>
      <w:r>
        <w:rPr>
          <w:rFonts w:ascii="Times New Roman" w:hAnsi="Times New Roman"/>
          <w:bCs/>
        </w:rPr>
        <w:t>9</w:t>
      </w:r>
      <w:r>
        <w:rPr>
          <w:rFonts w:ascii="Times New Roman" w:hAnsi="Times New Roman"/>
        </w:rPr>
        <w:t>(1), 720.</w:t>
      </w:r>
    </w:p>
    <w:p w14:paraId="68D3D3F4" w14:textId="77777777" w:rsidR="00EF7191" w:rsidRDefault="00760E68">
      <w:pPr>
        <w:pStyle w:val="NoSpacing"/>
        <w:ind w:left="720" w:hanging="720"/>
        <w:rPr>
          <w:rFonts w:ascii="Times New Roman" w:hAnsi="Times New Roman"/>
          <w:b/>
          <w:sz w:val="24"/>
          <w:szCs w:val="24"/>
        </w:rPr>
      </w:pPr>
      <w:r>
        <w:rPr>
          <w:rFonts w:ascii="Times New Roman" w:hAnsi="Times New Roman"/>
        </w:rPr>
        <w:t>WHO. (2020). Cervical cancer: Key facts. World Health Organization.</w:t>
      </w:r>
    </w:p>
    <w:sectPr w:rsidR="00EF7191">
      <w:headerReference w:type="even" r:id="rId14"/>
      <w:headerReference w:type="default" r:id="rId15"/>
      <w:footerReference w:type="even" r:id="rId16"/>
      <w:footerReference w:type="default" r:id="rId17"/>
      <w:headerReference w:type="first" r:id="rId18"/>
      <w:footerReference w:type="first" r:id="rId19"/>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038C7" w14:textId="77777777" w:rsidR="00760E68" w:rsidRDefault="00760E68" w:rsidP="000D3A37">
      <w:pPr>
        <w:spacing w:after="0" w:line="240" w:lineRule="auto"/>
      </w:pPr>
      <w:r>
        <w:separator/>
      </w:r>
    </w:p>
  </w:endnote>
  <w:endnote w:type="continuationSeparator" w:id="0">
    <w:p w14:paraId="68E2C9BC" w14:textId="77777777" w:rsidR="00760E68" w:rsidRDefault="00760E68" w:rsidP="000D3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74D8F" w14:textId="77777777" w:rsidR="000D3A37" w:rsidRDefault="000D3A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415B5" w14:textId="77777777" w:rsidR="000D3A37" w:rsidRDefault="000D3A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75730" w14:textId="77777777" w:rsidR="000D3A37" w:rsidRDefault="000D3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3169A" w14:textId="77777777" w:rsidR="00760E68" w:rsidRDefault="00760E68" w:rsidP="000D3A37">
      <w:pPr>
        <w:spacing w:after="0" w:line="240" w:lineRule="auto"/>
      </w:pPr>
      <w:r>
        <w:separator/>
      </w:r>
    </w:p>
  </w:footnote>
  <w:footnote w:type="continuationSeparator" w:id="0">
    <w:p w14:paraId="477914AA" w14:textId="77777777" w:rsidR="00760E68" w:rsidRDefault="00760E68" w:rsidP="000D3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00DDC" w14:textId="635DFB77" w:rsidR="000D3A37" w:rsidRDefault="000D3A37">
    <w:pPr>
      <w:pStyle w:val="Header"/>
    </w:pPr>
    <w:r>
      <w:rPr>
        <w:noProof/>
      </w:rPr>
      <w:pict w14:anchorId="7A4FD2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5542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116D8" w14:textId="6210106D" w:rsidR="000D3A37" w:rsidRDefault="000D3A37">
    <w:pPr>
      <w:pStyle w:val="Header"/>
    </w:pPr>
    <w:r>
      <w:rPr>
        <w:noProof/>
      </w:rPr>
      <w:pict w14:anchorId="17097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5542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70F7D" w14:textId="49192E7A" w:rsidR="000D3A37" w:rsidRDefault="000D3A37">
    <w:pPr>
      <w:pStyle w:val="Header"/>
    </w:pPr>
    <w:r>
      <w:rPr>
        <w:noProof/>
      </w:rPr>
      <w:pict w14:anchorId="419696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5542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99668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9903A0"/>
    <w:multiLevelType w:val="hybridMultilevel"/>
    <w:tmpl w:val="4DE22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191"/>
    <w:rsid w:val="000D3A37"/>
    <w:rsid w:val="00122C8A"/>
    <w:rsid w:val="003F2A4E"/>
    <w:rsid w:val="004C3E41"/>
    <w:rsid w:val="00672D13"/>
    <w:rsid w:val="00760E68"/>
    <w:rsid w:val="00AE50DE"/>
    <w:rsid w:val="00AF1164"/>
    <w:rsid w:val="00C14BF1"/>
    <w:rsid w:val="00EF7191"/>
    <w:rsid w:val="00F00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001E93"/>
  <w15:docId w15:val="{460972DA-F107-40C5-891F-F56332303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eastAsia="SimSun" w:cs="Times New Roman"/>
      <w:kern w:val="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6Colorful1">
    <w:name w:val="List Table 6 Colorful1"/>
    <w:basedOn w:val="TableNormal"/>
    <w:uiPriority w:val="51"/>
    <w:pPr>
      <w:spacing w:after="0" w:line="240" w:lineRule="auto"/>
    </w:pPr>
    <w:rPr>
      <w:rFonts w:cs="Times New Roman"/>
      <w:color w:val="000000"/>
      <w:kern w:val="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Shading1">
    <w:name w:val="Light Shading1"/>
    <w:basedOn w:val="TableNormal"/>
    <w:uiPriority w:val="60"/>
    <w:pPr>
      <w:spacing w:after="0" w:line="240" w:lineRule="auto"/>
    </w:pPr>
    <w:rPr>
      <w:rFonts w:cs="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basedOn w:val="DefaultParagraphFont"/>
    <w:uiPriority w:val="99"/>
    <w:rPr>
      <w:color w:val="0563C1"/>
      <w:u w:val="single"/>
    </w:rPr>
  </w:style>
  <w:style w:type="character" w:styleId="Strong">
    <w:name w:val="Strong"/>
    <w:basedOn w:val="DefaultParagraphFont"/>
    <w:uiPriority w:val="22"/>
    <w:qFormat/>
    <w:rPr>
      <w:b/>
      <w:bCs/>
    </w:rPr>
  </w:style>
  <w:style w:type="paragraph" w:styleId="NoSpacing">
    <w:name w:val="No Spacing"/>
    <w:link w:val="NoSpacingChar"/>
    <w:uiPriority w:val="1"/>
    <w:qFormat/>
    <w:pPr>
      <w:spacing w:after="0" w:line="240" w:lineRule="auto"/>
    </w:pPr>
    <w:rPr>
      <w:rFonts w:eastAsia="SimSun" w:cs="Times New Roman"/>
      <w:kern w:val="0"/>
      <w:lang w:eastAsia="zh-CN"/>
    </w:rPr>
  </w:style>
  <w:style w:type="character" w:customStyle="1" w:styleId="NoSpacingChar">
    <w:name w:val="No Spacing Char"/>
    <w:link w:val="NoSpacing"/>
    <w:uiPriority w:val="1"/>
    <w:rPr>
      <w:rFonts w:ascii="Calibri" w:eastAsia="SimSun" w:hAnsi="Calibri" w:cs="Times New Roman"/>
      <w:kern w:val="0"/>
      <w:lang w:eastAsia="zh-CN"/>
    </w:rPr>
  </w:style>
  <w:style w:type="character" w:styleId="UnresolvedMention">
    <w:name w:val="Unresolved Mention"/>
    <w:basedOn w:val="DefaultParagraphFont"/>
    <w:uiPriority w:val="99"/>
    <w:semiHidden/>
    <w:unhideWhenUsed/>
    <w:rsid w:val="004C3E41"/>
    <w:rPr>
      <w:color w:val="605E5C"/>
      <w:shd w:val="clear" w:color="auto" w:fill="E1DFDD"/>
    </w:rPr>
  </w:style>
  <w:style w:type="paragraph" w:styleId="Header">
    <w:name w:val="header"/>
    <w:basedOn w:val="Normal"/>
    <w:link w:val="HeaderChar"/>
    <w:uiPriority w:val="99"/>
    <w:unhideWhenUsed/>
    <w:rsid w:val="000D3A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A37"/>
    <w:rPr>
      <w:rFonts w:eastAsia="SimSun" w:cs="Times New Roman"/>
      <w:kern w:val="0"/>
      <w:lang w:eastAsia="zh-CN"/>
    </w:rPr>
  </w:style>
  <w:style w:type="paragraph" w:styleId="Footer">
    <w:name w:val="footer"/>
    <w:basedOn w:val="Normal"/>
    <w:link w:val="FooterChar"/>
    <w:uiPriority w:val="99"/>
    <w:unhideWhenUsed/>
    <w:rsid w:val="000D3A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A37"/>
    <w:rPr>
      <w:rFonts w:eastAsia="SimSun" w:cs="Times New Roman"/>
      <w:kern w:val="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4314/jpb.v17i1.11"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9</Pages>
  <Words>2309</Words>
  <Characters>13165</Characters>
  <Application>Microsoft Office Word</Application>
  <DocSecurity>0</DocSecurity>
  <Lines>109</Lines>
  <Paragraphs>30</Paragraphs>
  <ScaleCrop>false</ScaleCrop>
  <Company/>
  <LinksUpToDate>false</LinksUpToDate>
  <CharactersWithSpaces>15444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STREAM 11 PRO G2</dc:creator>
  <cp:lastModifiedBy>SDI 1084</cp:lastModifiedBy>
  <cp:revision>17</cp:revision>
  <dcterms:created xsi:type="dcterms:W3CDTF">2025-06-17T15:21:00Z</dcterms:created>
  <dcterms:modified xsi:type="dcterms:W3CDTF">2025-07-19T09:50:00Z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0f8acb655dae4d78b909aa2e14d7ac7d</vt:lpwstr>
  </property>
</Properties>
</file>