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5EA9F" w14:textId="77777777" w:rsidR="00754C9A" w:rsidRDefault="00754C9A" w:rsidP="00441B6F">
      <w:pPr>
        <w:pStyle w:val="Title"/>
        <w:spacing w:after="0"/>
        <w:jc w:val="both"/>
        <w:rPr>
          <w:rFonts w:ascii="Arial" w:hAnsi="Arial" w:cs="Arial"/>
        </w:rPr>
      </w:pPr>
    </w:p>
    <w:p w14:paraId="5F16A303" w14:textId="77777777" w:rsidR="00BC3EC8" w:rsidRPr="00BC3EC8" w:rsidRDefault="00BC3EC8" w:rsidP="00BC3EC8">
      <w:pPr>
        <w:pStyle w:val="Author"/>
        <w:spacing w:line="240" w:lineRule="auto"/>
        <w:rPr>
          <w:rFonts w:ascii="Arial" w:hAnsi="Arial" w:cs="Arial"/>
          <w:bCs/>
          <w:iCs/>
          <w:kern w:val="28"/>
          <w:sz w:val="36"/>
        </w:rPr>
      </w:pPr>
      <w:r w:rsidRPr="00BC3EC8">
        <w:rPr>
          <w:rFonts w:ascii="Arial" w:hAnsi="Arial" w:cs="Arial"/>
          <w:bCs/>
          <w:iCs/>
          <w:kern w:val="28"/>
          <w:sz w:val="36"/>
        </w:rPr>
        <w:t xml:space="preserve">A Call for Awareness: Herpes Simplex Virus Type 1 Among Keratoconjunctivitis Patients in Sudan </w:t>
      </w:r>
    </w:p>
    <w:p w14:paraId="02788E59" w14:textId="77777777" w:rsidR="00A258C3" w:rsidRPr="00790ADA" w:rsidRDefault="00A258C3" w:rsidP="00441B6F">
      <w:pPr>
        <w:pStyle w:val="Author"/>
        <w:spacing w:line="240" w:lineRule="auto"/>
        <w:jc w:val="both"/>
        <w:rPr>
          <w:rFonts w:ascii="Arial" w:hAnsi="Arial" w:cs="Arial"/>
          <w:sz w:val="36"/>
        </w:rPr>
      </w:pPr>
    </w:p>
    <w:p w14:paraId="5B638316" w14:textId="7F77EB9E" w:rsidR="008C2270" w:rsidRDefault="008C2270" w:rsidP="00441B6F">
      <w:pPr>
        <w:pStyle w:val="Affiliation"/>
        <w:spacing w:after="0" w:line="240" w:lineRule="auto"/>
        <w:jc w:val="both"/>
        <w:rPr>
          <w:rFonts w:ascii="Arial" w:hAnsi="Arial" w:cs="Arial"/>
        </w:rPr>
      </w:pPr>
    </w:p>
    <w:p w14:paraId="3697033C" w14:textId="77777777" w:rsidR="003E1335" w:rsidRPr="00FB3A86" w:rsidRDefault="003E1335" w:rsidP="00441B6F">
      <w:pPr>
        <w:pStyle w:val="Affiliation"/>
        <w:spacing w:after="0" w:line="240" w:lineRule="auto"/>
        <w:jc w:val="both"/>
        <w:rPr>
          <w:rFonts w:ascii="Arial" w:hAnsi="Arial" w:cs="Arial"/>
        </w:rPr>
      </w:pPr>
    </w:p>
    <w:p w14:paraId="6B6A0793" w14:textId="77777777" w:rsidR="00B01FCD" w:rsidRPr="00FB3A86" w:rsidRDefault="00BC3EC8" w:rsidP="00441B6F">
      <w:pPr>
        <w:pStyle w:val="Copyright"/>
        <w:spacing w:after="0" w:line="240" w:lineRule="auto"/>
        <w:jc w:val="both"/>
        <w:rPr>
          <w:rFonts w:ascii="Arial" w:hAnsi="Arial" w:cs="Arial"/>
        </w:rPr>
        <w:sectPr w:rsidR="00B01FCD" w:rsidRPr="00FB3A86" w:rsidSect="003E13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270801" wp14:editId="7D6AD864">
                <wp:extent cx="5303520" cy="635"/>
                <wp:effectExtent l="0" t="12700" r="5080" b="12065"/>
                <wp:docPr id="16649516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1421F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DB181D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CE33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BEF987" w14:textId="77777777" w:rsidTr="001E44FE">
        <w:tc>
          <w:tcPr>
            <w:tcW w:w="9576" w:type="dxa"/>
            <w:shd w:val="clear" w:color="auto" w:fill="F2F2F2"/>
          </w:tcPr>
          <w:p w14:paraId="6A884FEF" w14:textId="77777777" w:rsidR="00BC3EC8" w:rsidRPr="00BC3EC8" w:rsidRDefault="00BC3EC8" w:rsidP="006D76D6">
            <w:pPr>
              <w:pStyle w:val="Body"/>
              <w:spacing w:after="0"/>
              <w:rPr>
                <w:rFonts w:ascii="Arial" w:eastAsia="Calibri" w:hAnsi="Arial" w:cs="Arial"/>
              </w:rPr>
            </w:pPr>
            <w:r w:rsidRPr="00BC3EC8">
              <w:rPr>
                <w:rFonts w:ascii="Arial" w:eastAsia="Calibri" w:hAnsi="Arial" w:cs="Arial"/>
              </w:rPr>
              <w:t>Keratoconjunctivitis refers to the concurrent inflammation of the cornea and conjunctiva, often presenting with redness, discharge, tearing, irritation, photophobia, and ocular pain. Herpes simplex virus type 1 (HSV-1), a neurotropic α-herpesvirus, is a significant etiological agent of ocular diseases worldwide and can lead to blepharitis, conjunctivitis, dendritic keratitis, and in severe cases, corneal scarring and blindness. HSV-1 transmission occurs through direct contact with infected secretions and can be triggered by immunosuppression, trauma, or ultraviolet exposure. Although the global burden of ocular HSV-1 infections is well documented,</w:t>
            </w:r>
            <w:r w:rsidRPr="00BC3EC8">
              <w:rPr>
                <w:rFonts w:ascii="Arial" w:eastAsia="Calibri" w:hAnsi="Arial" w:cs="Arial" w:hint="cs"/>
                <w:rtl/>
              </w:rPr>
              <w:t xml:space="preserve"> </w:t>
            </w:r>
            <w:r w:rsidRPr="00BC3EC8">
              <w:rPr>
                <w:rFonts w:ascii="Arial" w:eastAsia="Calibri" w:hAnsi="Arial" w:cs="Arial"/>
              </w:rPr>
              <w:t>but limited data are available from Sudan, particularly concerning molecular detection. This study aimed to investigate the molecular prevalence of HSV-1 among patients presenting with keratoconjunctivitis at Al-</w:t>
            </w:r>
            <w:proofErr w:type="spellStart"/>
            <w:r w:rsidRPr="00BC3EC8">
              <w:rPr>
                <w:rFonts w:ascii="Arial" w:eastAsia="Calibri" w:hAnsi="Arial" w:cs="Arial"/>
              </w:rPr>
              <w:t>Walidayn</w:t>
            </w:r>
            <w:proofErr w:type="spellEnd"/>
            <w:r w:rsidRPr="00BC3EC8">
              <w:rPr>
                <w:rFonts w:ascii="Arial" w:eastAsia="Calibri" w:hAnsi="Arial" w:cs="Arial"/>
              </w:rPr>
              <w:t xml:space="preserve"> Hospital in Khartoum State, Sudan. A total of 40 eye swab samples were collected from clinically diagnosed keratoconjunctivitis patients. Demographic and clinical data were obtained through structured questionnaires. Molecular analysis was performed using real-time PCR methods targeting the HSV-1 glycoprotein B gene. Among the 40 participants, 14 (35%) were male and 26 (65%) female, ranging in age from 6 months to 90 years. HSV-1 DNA was detected in 2 (5%) patients using real-time PCR. The relatively low detection rate reflects the rare occurrence of HSV-1-induced keratoconjunctivitis in this population. Nevertheless, the potential severity of HSV-1 ocular complications underscores the importance of raising awareness among both healthcare providers and the general public. The study highlights the utility of real-time PCR for HSV-1 detection in ocular infections and underlines the need for larger, multi-center surveillance studies in Sudan to guide diagnostic and public health interventions.</w:t>
            </w:r>
          </w:p>
          <w:p w14:paraId="0A6F6D40" w14:textId="77777777" w:rsidR="00505F06" w:rsidRPr="00BA1B01" w:rsidRDefault="00505F06" w:rsidP="00441B6F">
            <w:pPr>
              <w:pStyle w:val="Body"/>
              <w:spacing w:after="0"/>
              <w:rPr>
                <w:rFonts w:ascii="Arial" w:eastAsia="Calibri" w:hAnsi="Arial" w:cs="Arial"/>
                <w:szCs w:val="22"/>
              </w:rPr>
            </w:pPr>
          </w:p>
        </w:tc>
      </w:tr>
    </w:tbl>
    <w:p w14:paraId="0C77A29D" w14:textId="77777777" w:rsidR="00636EB2" w:rsidRDefault="00636EB2" w:rsidP="00441B6F">
      <w:pPr>
        <w:pStyle w:val="Body"/>
        <w:spacing w:after="0"/>
        <w:rPr>
          <w:rFonts w:ascii="Arial" w:hAnsi="Arial" w:cs="Arial"/>
          <w:i/>
        </w:rPr>
      </w:pPr>
    </w:p>
    <w:p w14:paraId="64A60A2B" w14:textId="77777777" w:rsidR="00790ADA" w:rsidRDefault="00A24E7E" w:rsidP="00BC3EC8">
      <w:pPr>
        <w:pStyle w:val="Body"/>
        <w:spacing w:after="0"/>
        <w:rPr>
          <w:rFonts w:ascii="Arial" w:hAnsi="Arial" w:cs="Arial"/>
          <w:i/>
        </w:rPr>
      </w:pPr>
      <w:r>
        <w:rPr>
          <w:rFonts w:ascii="Arial" w:hAnsi="Arial" w:cs="Arial"/>
          <w:i/>
        </w:rPr>
        <w:t>Keywords: [</w:t>
      </w:r>
      <w:r w:rsidR="00BC3EC8" w:rsidRPr="00BC3EC8">
        <w:rPr>
          <w:rFonts w:ascii="Arial" w:hAnsi="Arial" w:cs="Arial"/>
          <w:i/>
        </w:rPr>
        <w:t>Keratoconjunctivitis, HSV-1, Real-time PCR, Sudan</w:t>
      </w:r>
      <w:r w:rsidR="00BC3EC8">
        <w:rPr>
          <w:rFonts w:ascii="Arial" w:hAnsi="Arial" w:cs="Arial"/>
          <w:i/>
        </w:rPr>
        <w:t>]</w:t>
      </w:r>
    </w:p>
    <w:p w14:paraId="50E1091C" w14:textId="77777777" w:rsidR="0024282C" w:rsidRDefault="0024282C" w:rsidP="00441B6F">
      <w:pPr>
        <w:pStyle w:val="Body"/>
        <w:spacing w:after="0"/>
        <w:rPr>
          <w:rFonts w:ascii="Arial" w:hAnsi="Arial" w:cs="Arial"/>
          <w:i/>
          <w:sz w:val="18"/>
        </w:rPr>
      </w:pPr>
    </w:p>
    <w:p w14:paraId="642749D1" w14:textId="77777777" w:rsidR="00505F06" w:rsidRPr="00A24E7E" w:rsidRDefault="00505F06" w:rsidP="00441B6F">
      <w:pPr>
        <w:pStyle w:val="Body"/>
        <w:spacing w:after="0"/>
        <w:rPr>
          <w:rFonts w:ascii="Arial" w:hAnsi="Arial" w:cs="Arial"/>
          <w:i/>
        </w:rPr>
      </w:pPr>
    </w:p>
    <w:p w14:paraId="5247BE2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57A9BA" w14:textId="77777777" w:rsidR="00D91664" w:rsidRPr="00D91664" w:rsidRDefault="006D76D6" w:rsidP="00D91664">
      <w:pPr>
        <w:pStyle w:val="Body"/>
        <w:spacing w:after="0"/>
        <w:rPr>
          <w:rFonts w:ascii="Arial" w:hAnsi="Arial" w:cs="Arial"/>
        </w:rPr>
      </w:pPr>
      <w:r w:rsidRPr="006D76D6">
        <w:rPr>
          <w:rFonts w:ascii="Arial" w:hAnsi="Arial" w:cs="Arial"/>
        </w:rPr>
        <w:t xml:space="preserve">Herpes simplex virus (HSV) is a highly adaptable human pathogen, widely distributed across populations and capable of persisting in the host indefinitely </w:t>
      </w:r>
      <w:r w:rsidR="00D91664" w:rsidRPr="00D91664">
        <w:rPr>
          <w:rFonts w:ascii="Arial" w:hAnsi="Arial" w:cs="Arial"/>
        </w:rPr>
        <w:t>(Looker et al., 2015)</w:t>
      </w:r>
      <w:r w:rsidR="00D91664">
        <w:rPr>
          <w:rFonts w:ascii="Arial" w:hAnsi="Arial" w:cs="Arial"/>
        </w:rPr>
        <w:t xml:space="preserve">. </w:t>
      </w:r>
      <w:r w:rsidRPr="006D76D6">
        <w:rPr>
          <w:rFonts w:ascii="Arial" w:hAnsi="Arial" w:cs="Arial"/>
        </w:rPr>
        <w:t xml:space="preserve">It is classified within the Herpesviridae family and exists as two major serotypes: HSV-1 and HSV-2. HSV-1 is primarily associated with oral and ocular infections, while HSV-2 is predominantly responsible for genital infections </w:t>
      </w:r>
      <w:r w:rsidR="00D91664" w:rsidRPr="00D91664">
        <w:rPr>
          <w:rFonts w:ascii="Arial" w:hAnsi="Arial" w:cs="Arial"/>
        </w:rPr>
        <w:t>(Looker et al., 2015)</w:t>
      </w:r>
      <w:r w:rsidR="00D91664">
        <w:rPr>
          <w:rFonts w:ascii="Arial" w:hAnsi="Arial" w:cs="Arial"/>
        </w:rPr>
        <w:t xml:space="preserve">. </w:t>
      </w:r>
      <w:r w:rsidRPr="006D76D6">
        <w:rPr>
          <w:rFonts w:ascii="Arial" w:hAnsi="Arial" w:cs="Arial"/>
        </w:rPr>
        <w:t xml:space="preserve">Both serotypes are transmitted through direct contact with infected secretions, contributing to a significant global disease burden. The worldwide prevalence of HSV infections, including both types, is estimated to be around 90%, with substantial variations across different regions </w:t>
      </w:r>
      <w:r w:rsidR="00D91664" w:rsidRPr="00D91664">
        <w:rPr>
          <w:rFonts w:ascii="Arial" w:hAnsi="Arial" w:cs="Arial"/>
        </w:rPr>
        <w:t>(Freeman et al., 2020).</w:t>
      </w:r>
    </w:p>
    <w:p w14:paraId="2F171532" w14:textId="77777777" w:rsidR="00D91664" w:rsidRPr="00D91664" w:rsidRDefault="00D91664" w:rsidP="00D91664">
      <w:pPr>
        <w:pStyle w:val="Body"/>
        <w:spacing w:after="0"/>
        <w:rPr>
          <w:rFonts w:ascii="Arial" w:hAnsi="Arial" w:cs="Arial"/>
        </w:rPr>
      </w:pPr>
      <w:r w:rsidRPr="00D91664">
        <w:rPr>
          <w:rFonts w:ascii="Arial" w:hAnsi="Arial" w:cs="Arial"/>
        </w:rPr>
        <w:t xml:space="preserve">HSV infections can affect individuals across all age groups, but susceptibility varies based on immune status and exposure risks. Neonates are particularly vulnerable to HSV infections, often acquiring the virus during childbirth if the mother has an active infection, leading to neonatal herpes, which can result in severe complications leading to high mortality (Whitley, 2015). Children and adolescents frequently contract HSV-1 through non-sexual contact, such as kissing or sharing utensils, contributing to its high prevalence in younger populations. By adolescence and early adulthood, HSV-2 infections become more common due to the onset of sexual activity, with prevalence rates increasing significantly in individuals aged 20–29 years (Johnston et al., 2013). Studies indicate that HSV-1 infections acquired during childhood provide partial immunity </w:t>
      </w:r>
      <w:r w:rsidRPr="00D91664">
        <w:rPr>
          <w:rFonts w:ascii="Arial" w:hAnsi="Arial" w:cs="Arial"/>
        </w:rPr>
        <w:lastRenderedPageBreak/>
        <w:t>against genital HSV-1 infections later in life, though reinfections can still occur (Schiffer &amp; Corey, 2013). Older adults may experience reactivation of latent HSV infections, particularly during periods of immunosuppression or physiological stress (Wald et al., 2006). Immunocompromised individuals, including those with HIV/AIDS, are at heightened risk for severe HSV infections, often presenting with prolonged and recurrent episodes (Tyring, 2006). The psychological impact of HSV infections can be significant, particularly among young adults, due to the stigma associated with genital herpes, affecting mental health and social interactions (Fife et al., 2008). Epidemiological studies suggest that HSV prevalence varies by geographic region, with higher rates observed in populations with limited access to healthcare and preventive measures. Public health efforts focus on education, prevention, and early treatment to reduce transmission and mitigate the long-term effects of HSV infections across all age groups (Booy et al., 2014).</w:t>
      </w:r>
    </w:p>
    <w:p w14:paraId="2394E3BA" w14:textId="77777777" w:rsidR="00D91664" w:rsidRPr="00D91664" w:rsidRDefault="00D91664" w:rsidP="00D91664">
      <w:pPr>
        <w:pStyle w:val="Body"/>
        <w:spacing w:after="0"/>
        <w:rPr>
          <w:rFonts w:ascii="Arial" w:hAnsi="Arial" w:cs="Arial"/>
        </w:rPr>
      </w:pPr>
      <w:r w:rsidRPr="00D91664">
        <w:rPr>
          <w:rFonts w:ascii="Arial" w:hAnsi="Arial" w:cs="Arial"/>
        </w:rPr>
        <w:t>Ocular infections caused by HSV-1 include blepharitis, conjunctivitis, dendritic keratitis, and corneal ulceration, all of which can lead to significant vision impairment. Keratoconjunctivitis, defined as inflammation of the cornea and conjunctiva, presents with symptoms such as redness, tearing, discharge, irritation, pain, and photophobia (Noyes et al., 2002). Immunocompromised individuals—such as those with diabetes mellitus, malignancies, or undergoing post-organ transplant treatments—exhibit an increased risk of severe or bilateral HSV keratitis (Romano et al., 2005). Studies have demonstrated that diabetic patients, particularly those with poor glycemic control, are more susceptible to herpetic eye diseases, a pattern observed in epidemiological investigations conducted in some regions (Ben-Ami et al., 2012). Similarly, prolonged use of topical corticosteroids has been linked to HSV-1 reactivation, contributing to recurrent ocular manifestations (Hayward et al., 2008).</w:t>
      </w:r>
    </w:p>
    <w:p w14:paraId="21F111C4" w14:textId="77777777" w:rsidR="00D91664" w:rsidRPr="00D91664" w:rsidRDefault="00D91664" w:rsidP="00D91664">
      <w:pPr>
        <w:pStyle w:val="Body"/>
        <w:spacing w:after="0"/>
        <w:rPr>
          <w:rFonts w:ascii="Arial" w:hAnsi="Arial" w:cs="Arial"/>
        </w:rPr>
      </w:pPr>
      <w:r w:rsidRPr="00D91664">
        <w:rPr>
          <w:rFonts w:ascii="Arial" w:hAnsi="Arial" w:cs="Arial"/>
        </w:rPr>
        <w:t>Diagnostic approaches for HSV-1 keratitis have evolved significantly over the years, with molecular detection techniques offering much improved sensitivity and specificity. The burden of HSV-1 keratoconjunctivitis in Sudan remains underexplored, necessitating further research to evaluate its prevalence and impact on affected individuals. Strengthening diagnostic capabilities, implementing preventive strategies, and promoting awareness about HSV ocular infections can contribute to mitigating vision loss associated with the disease (El-Sayed et al., 2020). Given the existing data from regional studies, this research aimed to assess the molecular prevalence of HSV-1 among keratoconjunctivitis patients in Khartoum, Sudan using real-time PCR methodologies (Kammoun et al., 2021).</w:t>
      </w:r>
    </w:p>
    <w:p w14:paraId="384352B6" w14:textId="77777777" w:rsidR="00790ADA" w:rsidRPr="00D91664" w:rsidRDefault="00790ADA" w:rsidP="006D76D6">
      <w:pPr>
        <w:pStyle w:val="Body"/>
        <w:spacing w:after="0"/>
        <w:rPr>
          <w:rFonts w:ascii="Arial" w:hAnsi="Arial" w:cs="Arial"/>
        </w:rPr>
      </w:pPr>
    </w:p>
    <w:p w14:paraId="09C8E70A" w14:textId="77777777" w:rsidR="00790ADA" w:rsidRPr="00FB3A86" w:rsidRDefault="00902823" w:rsidP="006D76D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5412B7"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2.1 </w:t>
      </w:r>
      <w:r w:rsidR="006D76D6" w:rsidRPr="006D76D6">
        <w:rPr>
          <w:rFonts w:ascii="Arial" w:hAnsi="Arial" w:cs="Arial"/>
          <w:b/>
          <w:bCs/>
          <w:sz w:val="21"/>
          <w:szCs w:val="21"/>
        </w:rPr>
        <w:t>Study Design and Population</w:t>
      </w:r>
    </w:p>
    <w:p w14:paraId="635EFD80" w14:textId="77777777" w:rsidR="008D790F" w:rsidRPr="006D76D6" w:rsidRDefault="006D76D6" w:rsidP="008D790F">
      <w:pPr>
        <w:pStyle w:val="Body"/>
        <w:spacing w:after="0"/>
        <w:rPr>
          <w:rFonts w:ascii="Arial" w:hAnsi="Arial" w:cs="Arial"/>
        </w:rPr>
      </w:pPr>
      <w:r w:rsidRPr="006D76D6">
        <w:rPr>
          <w:rFonts w:ascii="Arial" w:hAnsi="Arial" w:cs="Arial"/>
        </w:rPr>
        <w:t>This descriptive, cross-sectional study was conducted at Al-</w:t>
      </w:r>
      <w:proofErr w:type="spellStart"/>
      <w:r w:rsidRPr="006D76D6">
        <w:rPr>
          <w:rFonts w:ascii="Arial" w:hAnsi="Arial" w:cs="Arial"/>
        </w:rPr>
        <w:t>Walidayn</w:t>
      </w:r>
      <w:proofErr w:type="spellEnd"/>
      <w:r w:rsidRPr="006D76D6">
        <w:rPr>
          <w:rFonts w:ascii="Arial" w:hAnsi="Arial" w:cs="Arial"/>
        </w:rPr>
        <w:t xml:space="preserve"> Hospital, Khartoum, Sudan, between March and August 2019. The study enrolled keratoconjunctivitis patients who presented at the ophthalmology department during this period.</w:t>
      </w:r>
      <w:r w:rsidR="008D790F">
        <w:rPr>
          <w:rFonts w:ascii="Arial" w:hAnsi="Arial" w:cs="Arial"/>
        </w:rPr>
        <w:t xml:space="preserve"> </w:t>
      </w:r>
      <w:r w:rsidR="008D790F" w:rsidRPr="008D790F">
        <w:rPr>
          <w:rFonts w:ascii="Arial" w:hAnsi="Arial" w:cs="Arial"/>
        </w:rPr>
        <w:t>To ensure representativeness and minimize selection bias, patients were recruited consecutively during routine clinical visits. Inclusion criteria were based on clinical diagnosis of keratoconjunctivitis confirmed by slit-lamp examination, while exclusion criteria included prior antiviral treatment or ocular surgery within the past six months. Ethical approval was obtained from the hospital’s institutional review board, and informed consent was secured from all participants in accordance with the Declaration of Helsinki (World Medical Association, 2013).</w:t>
      </w:r>
    </w:p>
    <w:p w14:paraId="4E2FFDA0"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2.2 </w:t>
      </w:r>
      <w:r w:rsidR="006D76D6" w:rsidRPr="006D76D6">
        <w:rPr>
          <w:rFonts w:ascii="Arial" w:hAnsi="Arial" w:cs="Arial"/>
          <w:b/>
          <w:bCs/>
          <w:sz w:val="21"/>
          <w:szCs w:val="21"/>
        </w:rPr>
        <w:t>Sample Collection</w:t>
      </w:r>
    </w:p>
    <w:p w14:paraId="2221D312" w14:textId="77777777" w:rsidR="006D76D6" w:rsidRDefault="006D76D6" w:rsidP="006D76D6">
      <w:pPr>
        <w:pStyle w:val="Body"/>
        <w:spacing w:after="0"/>
        <w:rPr>
          <w:rFonts w:ascii="Arial" w:hAnsi="Arial" w:cs="Arial"/>
        </w:rPr>
      </w:pPr>
      <w:r w:rsidRPr="006D76D6">
        <w:rPr>
          <w:rFonts w:ascii="Arial" w:hAnsi="Arial" w:cs="Arial"/>
        </w:rPr>
        <w:t>Eye swab samples were obtained from 40 patients diagnosed with keratoconjunctivitis. Samples were collected in viral transport media (VTM; Copan, Italy) and stored at -20°C for further laboratory analysis.</w:t>
      </w:r>
    </w:p>
    <w:p w14:paraId="06AB1B41" w14:textId="77777777" w:rsidR="008D790F" w:rsidRPr="006D76D6" w:rsidRDefault="008D790F" w:rsidP="008D790F">
      <w:pPr>
        <w:pStyle w:val="Body"/>
        <w:spacing w:after="0"/>
        <w:rPr>
          <w:rFonts w:ascii="Arial" w:hAnsi="Arial" w:cs="Arial"/>
        </w:rPr>
      </w:pPr>
      <w:r w:rsidRPr="008D790F">
        <w:rPr>
          <w:rFonts w:ascii="Arial" w:hAnsi="Arial" w:cs="Arial"/>
        </w:rPr>
        <w:t>Swabs were taken from the inferior fornix using sterile Dacron-tipped applicators, avoiding contact with eyelashes or eyelids to reduce contamination. Each sample was labeled with a unique identifier and transported to the virology laboratory within 2 hours of collection under cold chain conditions. The use of VTM ensured viral integrity and minimized degradation prior to nucleic acid extraction (Maini et al., 2024).</w:t>
      </w:r>
    </w:p>
    <w:p w14:paraId="6D414B8D"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2.3 </w:t>
      </w:r>
      <w:r w:rsidR="006D76D6" w:rsidRPr="006D76D6">
        <w:rPr>
          <w:rFonts w:ascii="Arial" w:hAnsi="Arial" w:cs="Arial"/>
          <w:b/>
          <w:bCs/>
          <w:sz w:val="21"/>
          <w:szCs w:val="21"/>
        </w:rPr>
        <w:t>DNA Extraction</w:t>
      </w:r>
    </w:p>
    <w:p w14:paraId="7CFC503D" w14:textId="77777777" w:rsidR="006D76D6" w:rsidRDefault="006D76D6" w:rsidP="006D76D6">
      <w:pPr>
        <w:pStyle w:val="Body"/>
        <w:spacing w:after="0"/>
        <w:rPr>
          <w:rFonts w:ascii="Arial" w:hAnsi="Arial" w:cs="Arial"/>
        </w:rPr>
      </w:pPr>
      <w:r w:rsidRPr="006D76D6">
        <w:rPr>
          <w:rFonts w:ascii="Arial" w:hAnsi="Arial" w:cs="Arial"/>
        </w:rPr>
        <w:t xml:space="preserve">DNA extraction was performed using the </w:t>
      </w:r>
      <w:proofErr w:type="spellStart"/>
      <w:r w:rsidRPr="006D76D6">
        <w:rPr>
          <w:rFonts w:ascii="Arial" w:hAnsi="Arial" w:cs="Arial"/>
        </w:rPr>
        <w:t>QIAamp</w:t>
      </w:r>
      <w:proofErr w:type="spellEnd"/>
      <w:r w:rsidRPr="006D76D6">
        <w:rPr>
          <w:rFonts w:ascii="Arial" w:hAnsi="Arial" w:cs="Arial"/>
        </w:rPr>
        <w:t xml:space="preserve"> DNA Mini Kit (QIAGEN, Germany), following the manufacturer’s protocols. The extracted DNA samples were stored at -20°C for downstream applications.</w:t>
      </w:r>
    </w:p>
    <w:p w14:paraId="769F2347" w14:textId="77777777" w:rsidR="005F2816" w:rsidRPr="006D76D6" w:rsidRDefault="005F2816" w:rsidP="005F2816">
      <w:pPr>
        <w:pStyle w:val="Body"/>
        <w:spacing w:after="0"/>
        <w:rPr>
          <w:rFonts w:ascii="Arial" w:hAnsi="Arial" w:cs="Arial"/>
        </w:rPr>
      </w:pPr>
      <w:r w:rsidRPr="005F2816">
        <w:rPr>
          <w:rFonts w:ascii="Arial" w:hAnsi="Arial" w:cs="Arial"/>
        </w:rPr>
        <w:t xml:space="preserve">To enhance yield and purity, an additional proteinase K digestion step was included prior to column purification. DNA concentration and purity were assessed using a </w:t>
      </w:r>
      <w:proofErr w:type="spellStart"/>
      <w:r w:rsidRPr="005F2816">
        <w:rPr>
          <w:rFonts w:ascii="Arial" w:hAnsi="Arial" w:cs="Arial"/>
        </w:rPr>
        <w:t>NanoDrop</w:t>
      </w:r>
      <w:proofErr w:type="spellEnd"/>
      <w:r w:rsidRPr="005F2816">
        <w:rPr>
          <w:rFonts w:ascii="Arial" w:hAnsi="Arial" w:cs="Arial"/>
        </w:rPr>
        <w:t xml:space="preserve"> spectrophotometer (Thermo Fisher Scientific), with A260/A280 ratios between 1.8 and 2.0 considered acceptable. Negative extraction controls were included in each batch to monitor for contamination (Xu et al., 2022).</w:t>
      </w:r>
    </w:p>
    <w:p w14:paraId="52194304"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2.4 </w:t>
      </w:r>
      <w:r w:rsidR="006D76D6" w:rsidRPr="006D76D6">
        <w:rPr>
          <w:rFonts w:ascii="Arial" w:hAnsi="Arial" w:cs="Arial"/>
          <w:b/>
          <w:bCs/>
          <w:sz w:val="21"/>
          <w:szCs w:val="21"/>
        </w:rPr>
        <w:t>Real-Time PCR Assay</w:t>
      </w:r>
    </w:p>
    <w:p w14:paraId="2E2CE3C5" w14:textId="77777777" w:rsidR="006D76D6" w:rsidRDefault="006D76D6" w:rsidP="006D76D6">
      <w:pPr>
        <w:pStyle w:val="Body"/>
        <w:rPr>
          <w:rFonts w:ascii="Arial" w:hAnsi="Arial" w:cs="Arial"/>
        </w:rPr>
      </w:pPr>
      <w:r w:rsidRPr="006D76D6">
        <w:rPr>
          <w:rFonts w:ascii="Arial" w:hAnsi="Arial" w:cs="Arial"/>
        </w:rPr>
        <w:t xml:space="preserve">HSV-1 DNA detection was performed using the </w:t>
      </w:r>
      <w:proofErr w:type="spellStart"/>
      <w:r w:rsidRPr="006D76D6">
        <w:rPr>
          <w:rFonts w:ascii="Arial" w:hAnsi="Arial" w:cs="Arial"/>
        </w:rPr>
        <w:t>SOLIScript</w:t>
      </w:r>
      <w:proofErr w:type="spellEnd"/>
      <w:r w:rsidRPr="006D76D6">
        <w:rPr>
          <w:rFonts w:ascii="Arial" w:hAnsi="Arial" w:cs="Arial"/>
        </w:rPr>
        <w:t xml:space="preserve"> 1-step probe kit (</w:t>
      </w:r>
      <w:r w:rsidRPr="006D76D6">
        <w:rPr>
          <w:rFonts w:ascii="Arial" w:hAnsi="Arial" w:cs="Arial"/>
          <w:u w:val="single"/>
        </w:rPr>
        <w:t xml:space="preserve">Solis </w:t>
      </w:r>
      <w:proofErr w:type="spellStart"/>
      <w:r w:rsidRPr="006D76D6">
        <w:rPr>
          <w:rFonts w:ascii="Arial" w:hAnsi="Arial" w:cs="Arial"/>
          <w:u w:val="single"/>
        </w:rPr>
        <w:t>BioDyne</w:t>
      </w:r>
      <w:proofErr w:type="spellEnd"/>
      <w:r w:rsidRPr="006D76D6" w:rsidDel="0022043C">
        <w:rPr>
          <w:rFonts w:ascii="Arial" w:hAnsi="Arial" w:cs="Arial"/>
        </w:rPr>
        <w:t xml:space="preserve"> </w:t>
      </w:r>
      <w:r w:rsidRPr="006D76D6">
        <w:rPr>
          <w:rFonts w:ascii="Arial" w:hAnsi="Arial" w:cs="Arial"/>
        </w:rPr>
        <w:t>Germany) according to the manufacturer’s instructions. The thermocycler amplification program for HSV-1 detection was optimized as follows: initial activation step at 95°C for 10 minutes, followed by 45 cycles of denaturation at 95°C for 15 seconds and annealing at 60°C for 60 seconds.</w:t>
      </w:r>
    </w:p>
    <w:p w14:paraId="0B2AC4F3" w14:textId="77777777" w:rsidR="006D76D6" w:rsidRPr="006D76D6" w:rsidRDefault="006D76D6" w:rsidP="006D76D6">
      <w:pPr>
        <w:pStyle w:val="Body"/>
        <w:rPr>
          <w:rFonts w:ascii="Arial" w:hAnsi="Arial" w:cs="Arial"/>
          <w:b/>
          <w:bCs/>
        </w:rPr>
      </w:pPr>
      <w:r w:rsidRPr="006D76D6">
        <w:rPr>
          <w:rFonts w:ascii="Arial" w:hAnsi="Arial" w:cs="Arial"/>
          <w:b/>
          <w:bCs/>
        </w:rPr>
        <w:t xml:space="preserve">Table 1: The </w:t>
      </w:r>
      <w:proofErr w:type="spellStart"/>
      <w:r w:rsidRPr="006D76D6">
        <w:rPr>
          <w:rFonts w:ascii="Arial" w:hAnsi="Arial" w:cs="Arial"/>
          <w:b/>
          <w:bCs/>
        </w:rPr>
        <w:t>gB</w:t>
      </w:r>
      <w:proofErr w:type="spellEnd"/>
      <w:r w:rsidRPr="006D76D6">
        <w:rPr>
          <w:rFonts w:ascii="Arial" w:hAnsi="Arial" w:cs="Arial"/>
          <w:b/>
          <w:bCs/>
        </w:rPr>
        <w:t xml:space="preserve"> gene-specific primer sequences used were:</w:t>
      </w:r>
    </w:p>
    <w:tbl>
      <w:tblPr>
        <w:tblW w:w="96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7"/>
        <w:gridCol w:w="3226"/>
        <w:gridCol w:w="1438"/>
        <w:gridCol w:w="2253"/>
      </w:tblGrid>
      <w:tr w:rsidR="006D76D6" w:rsidRPr="006D76D6" w14:paraId="6A886661" w14:textId="77777777" w:rsidTr="003B7E67">
        <w:trPr>
          <w:tblHeader/>
          <w:tblCellSpacing w:w="15" w:type="dxa"/>
          <w:jc w:val="center"/>
        </w:trPr>
        <w:tc>
          <w:tcPr>
            <w:tcW w:w="0" w:type="auto"/>
            <w:vAlign w:val="center"/>
            <w:hideMark/>
          </w:tcPr>
          <w:p w14:paraId="02D26397" w14:textId="77777777" w:rsidR="006D76D6" w:rsidRPr="006D76D6" w:rsidRDefault="006D76D6" w:rsidP="006D76D6">
            <w:pPr>
              <w:pStyle w:val="Body"/>
              <w:rPr>
                <w:rFonts w:ascii="Arial" w:hAnsi="Arial" w:cs="Arial"/>
                <w:b/>
                <w:bCs/>
              </w:rPr>
            </w:pPr>
            <w:r w:rsidRPr="006D76D6">
              <w:rPr>
                <w:rFonts w:ascii="Arial" w:hAnsi="Arial" w:cs="Arial"/>
                <w:b/>
                <w:bCs/>
              </w:rPr>
              <w:lastRenderedPageBreak/>
              <w:t>Oligonucleotide</w:t>
            </w:r>
          </w:p>
        </w:tc>
        <w:tc>
          <w:tcPr>
            <w:tcW w:w="0" w:type="auto"/>
            <w:vAlign w:val="center"/>
            <w:hideMark/>
          </w:tcPr>
          <w:p w14:paraId="5C434C01" w14:textId="77777777" w:rsidR="006D76D6" w:rsidRPr="006D76D6" w:rsidRDefault="006D76D6" w:rsidP="006D76D6">
            <w:pPr>
              <w:pStyle w:val="Body"/>
              <w:rPr>
                <w:rFonts w:ascii="Arial" w:hAnsi="Arial" w:cs="Arial"/>
                <w:b/>
                <w:bCs/>
              </w:rPr>
            </w:pPr>
            <w:r w:rsidRPr="006D76D6">
              <w:rPr>
                <w:rFonts w:ascii="Arial" w:hAnsi="Arial" w:cs="Arial"/>
                <w:b/>
                <w:bCs/>
              </w:rPr>
              <w:t>Sequence (5′ → 3′)</w:t>
            </w:r>
          </w:p>
        </w:tc>
        <w:tc>
          <w:tcPr>
            <w:tcW w:w="0" w:type="auto"/>
            <w:vAlign w:val="center"/>
            <w:hideMark/>
          </w:tcPr>
          <w:p w14:paraId="1CC7AC64" w14:textId="77777777" w:rsidR="006D76D6" w:rsidRPr="006D76D6" w:rsidRDefault="006D76D6" w:rsidP="006D76D6">
            <w:pPr>
              <w:pStyle w:val="Body"/>
              <w:rPr>
                <w:rFonts w:ascii="Arial" w:hAnsi="Arial" w:cs="Arial"/>
                <w:b/>
                <w:bCs/>
              </w:rPr>
            </w:pPr>
            <w:r w:rsidRPr="006D76D6">
              <w:rPr>
                <w:rFonts w:ascii="Arial" w:hAnsi="Arial" w:cs="Arial"/>
                <w:b/>
                <w:bCs/>
              </w:rPr>
              <w:t>Label</w:t>
            </w:r>
          </w:p>
        </w:tc>
        <w:tc>
          <w:tcPr>
            <w:tcW w:w="2208" w:type="dxa"/>
            <w:vAlign w:val="center"/>
            <w:hideMark/>
          </w:tcPr>
          <w:p w14:paraId="332D43A2" w14:textId="77777777" w:rsidR="006D76D6" w:rsidRPr="006D76D6" w:rsidRDefault="006D76D6" w:rsidP="006D76D6">
            <w:pPr>
              <w:pStyle w:val="Body"/>
              <w:rPr>
                <w:rFonts w:ascii="Arial" w:hAnsi="Arial" w:cs="Arial"/>
                <w:b/>
                <w:bCs/>
              </w:rPr>
            </w:pPr>
            <w:r w:rsidRPr="006D76D6">
              <w:rPr>
                <w:rFonts w:ascii="Arial" w:hAnsi="Arial" w:cs="Arial"/>
                <w:b/>
                <w:bCs/>
              </w:rPr>
              <w:t>Target Gene</w:t>
            </w:r>
          </w:p>
        </w:tc>
      </w:tr>
      <w:tr w:rsidR="006D76D6" w:rsidRPr="006D76D6" w14:paraId="2CA3405A" w14:textId="77777777" w:rsidTr="003B7E67">
        <w:trPr>
          <w:tblCellSpacing w:w="15" w:type="dxa"/>
          <w:jc w:val="center"/>
        </w:trPr>
        <w:tc>
          <w:tcPr>
            <w:tcW w:w="0" w:type="auto"/>
            <w:vAlign w:val="center"/>
            <w:hideMark/>
          </w:tcPr>
          <w:p w14:paraId="0DCC90DA" w14:textId="77777777" w:rsidR="006D76D6" w:rsidRPr="006D76D6" w:rsidRDefault="006D76D6" w:rsidP="006D76D6">
            <w:pPr>
              <w:pStyle w:val="Body"/>
              <w:rPr>
                <w:rFonts w:ascii="Arial" w:hAnsi="Arial" w:cs="Arial"/>
              </w:rPr>
            </w:pPr>
            <w:r w:rsidRPr="006D76D6">
              <w:rPr>
                <w:rFonts w:ascii="Arial" w:hAnsi="Arial" w:cs="Arial"/>
              </w:rPr>
              <w:t>Forward Primer (</w:t>
            </w:r>
            <w:proofErr w:type="spellStart"/>
            <w:r w:rsidRPr="006D76D6">
              <w:rPr>
                <w:rFonts w:ascii="Arial" w:hAnsi="Arial" w:cs="Arial"/>
              </w:rPr>
              <w:t>GbTyF</w:t>
            </w:r>
            <w:proofErr w:type="spellEnd"/>
            <w:r w:rsidRPr="006D76D6">
              <w:rPr>
                <w:rFonts w:ascii="Arial" w:hAnsi="Arial" w:cs="Arial"/>
              </w:rPr>
              <w:t>)</w:t>
            </w:r>
          </w:p>
        </w:tc>
        <w:tc>
          <w:tcPr>
            <w:tcW w:w="0" w:type="auto"/>
            <w:vAlign w:val="center"/>
            <w:hideMark/>
          </w:tcPr>
          <w:p w14:paraId="7BDDA71A" w14:textId="77777777" w:rsidR="006D76D6" w:rsidRPr="006D76D6" w:rsidRDefault="006D76D6" w:rsidP="006D76D6">
            <w:pPr>
              <w:pStyle w:val="Body"/>
              <w:rPr>
                <w:rFonts w:ascii="Arial" w:hAnsi="Arial" w:cs="Arial"/>
              </w:rPr>
            </w:pPr>
            <w:r w:rsidRPr="006D76D6">
              <w:rPr>
                <w:rFonts w:ascii="Arial" w:hAnsi="Arial" w:cs="Arial"/>
              </w:rPr>
              <w:t>CGCATCAAGACCACCTCCTC</w:t>
            </w:r>
          </w:p>
        </w:tc>
        <w:tc>
          <w:tcPr>
            <w:tcW w:w="0" w:type="auto"/>
            <w:vAlign w:val="center"/>
            <w:hideMark/>
          </w:tcPr>
          <w:p w14:paraId="01607B39" w14:textId="77777777" w:rsidR="006D76D6" w:rsidRPr="006D76D6" w:rsidRDefault="006D76D6" w:rsidP="006D76D6">
            <w:pPr>
              <w:pStyle w:val="Body"/>
              <w:rPr>
                <w:rFonts w:ascii="Arial" w:hAnsi="Arial" w:cs="Arial"/>
              </w:rPr>
            </w:pPr>
            <w:r w:rsidRPr="006D76D6">
              <w:rPr>
                <w:rFonts w:ascii="Arial" w:hAnsi="Arial" w:cs="Arial"/>
              </w:rPr>
              <w:t>—</w:t>
            </w:r>
          </w:p>
        </w:tc>
        <w:tc>
          <w:tcPr>
            <w:tcW w:w="2208" w:type="dxa"/>
            <w:vAlign w:val="center"/>
            <w:hideMark/>
          </w:tcPr>
          <w:p w14:paraId="6D63E709" w14:textId="77777777" w:rsidR="006D76D6" w:rsidRPr="006D76D6" w:rsidRDefault="006D76D6" w:rsidP="006D76D6">
            <w:pPr>
              <w:pStyle w:val="Body"/>
              <w:rPr>
                <w:rFonts w:ascii="Arial" w:hAnsi="Arial" w:cs="Arial"/>
              </w:rPr>
            </w:pPr>
            <w:proofErr w:type="spellStart"/>
            <w:r w:rsidRPr="006D76D6">
              <w:rPr>
                <w:rFonts w:ascii="Arial" w:hAnsi="Arial" w:cs="Arial"/>
              </w:rPr>
              <w:t>gB</w:t>
            </w:r>
            <w:proofErr w:type="spellEnd"/>
            <w:r w:rsidRPr="006D76D6">
              <w:rPr>
                <w:rFonts w:ascii="Arial" w:hAnsi="Arial" w:cs="Arial"/>
              </w:rPr>
              <w:t xml:space="preserve"> (glycoprotein B)</w:t>
            </w:r>
          </w:p>
        </w:tc>
      </w:tr>
      <w:tr w:rsidR="006D76D6" w:rsidRPr="006D76D6" w14:paraId="48D26425" w14:textId="77777777" w:rsidTr="003B7E67">
        <w:trPr>
          <w:tblCellSpacing w:w="15" w:type="dxa"/>
          <w:jc w:val="center"/>
        </w:trPr>
        <w:tc>
          <w:tcPr>
            <w:tcW w:w="0" w:type="auto"/>
            <w:vAlign w:val="center"/>
            <w:hideMark/>
          </w:tcPr>
          <w:p w14:paraId="0DE89A49" w14:textId="77777777" w:rsidR="006D76D6" w:rsidRPr="006D76D6" w:rsidRDefault="006D76D6" w:rsidP="006D76D6">
            <w:pPr>
              <w:pStyle w:val="Body"/>
              <w:rPr>
                <w:rFonts w:ascii="Arial" w:hAnsi="Arial" w:cs="Arial"/>
              </w:rPr>
            </w:pPr>
            <w:r w:rsidRPr="006D76D6">
              <w:rPr>
                <w:rFonts w:ascii="Arial" w:hAnsi="Arial" w:cs="Arial"/>
              </w:rPr>
              <w:t>Reverse Primer (</w:t>
            </w:r>
            <w:proofErr w:type="spellStart"/>
            <w:r w:rsidRPr="006D76D6">
              <w:rPr>
                <w:rFonts w:ascii="Arial" w:hAnsi="Arial" w:cs="Arial"/>
              </w:rPr>
              <w:t>GbTypR</w:t>
            </w:r>
            <w:proofErr w:type="spellEnd"/>
            <w:r w:rsidRPr="006D76D6">
              <w:rPr>
                <w:rFonts w:ascii="Arial" w:hAnsi="Arial" w:cs="Arial"/>
              </w:rPr>
              <w:t>)</w:t>
            </w:r>
          </w:p>
        </w:tc>
        <w:tc>
          <w:tcPr>
            <w:tcW w:w="0" w:type="auto"/>
            <w:vAlign w:val="center"/>
            <w:hideMark/>
          </w:tcPr>
          <w:p w14:paraId="2F7390FA" w14:textId="77777777" w:rsidR="006D76D6" w:rsidRPr="006D76D6" w:rsidRDefault="006D76D6" w:rsidP="006D76D6">
            <w:pPr>
              <w:pStyle w:val="Body"/>
              <w:rPr>
                <w:rFonts w:ascii="Arial" w:hAnsi="Arial" w:cs="Arial"/>
              </w:rPr>
            </w:pPr>
            <w:r w:rsidRPr="006D76D6">
              <w:rPr>
                <w:rFonts w:ascii="Arial" w:hAnsi="Arial" w:cs="Arial"/>
              </w:rPr>
              <w:t>GCTCGCACCAACGCGAG</w:t>
            </w:r>
          </w:p>
        </w:tc>
        <w:tc>
          <w:tcPr>
            <w:tcW w:w="0" w:type="auto"/>
            <w:vAlign w:val="center"/>
            <w:hideMark/>
          </w:tcPr>
          <w:p w14:paraId="7F8D91F8" w14:textId="77777777" w:rsidR="006D76D6" w:rsidRPr="006D76D6" w:rsidRDefault="006D76D6" w:rsidP="006D76D6">
            <w:pPr>
              <w:pStyle w:val="Body"/>
              <w:rPr>
                <w:rFonts w:ascii="Arial" w:hAnsi="Arial" w:cs="Arial"/>
              </w:rPr>
            </w:pPr>
            <w:r w:rsidRPr="006D76D6">
              <w:rPr>
                <w:rFonts w:ascii="Arial" w:hAnsi="Arial" w:cs="Arial"/>
              </w:rPr>
              <w:t>—</w:t>
            </w:r>
          </w:p>
        </w:tc>
        <w:tc>
          <w:tcPr>
            <w:tcW w:w="2208" w:type="dxa"/>
            <w:vAlign w:val="center"/>
            <w:hideMark/>
          </w:tcPr>
          <w:p w14:paraId="7525DE69" w14:textId="77777777" w:rsidR="006D76D6" w:rsidRPr="006D76D6" w:rsidRDefault="006D76D6" w:rsidP="006D76D6">
            <w:pPr>
              <w:pStyle w:val="Body"/>
              <w:rPr>
                <w:rFonts w:ascii="Arial" w:hAnsi="Arial" w:cs="Arial"/>
              </w:rPr>
            </w:pPr>
            <w:proofErr w:type="spellStart"/>
            <w:r w:rsidRPr="006D76D6">
              <w:rPr>
                <w:rFonts w:ascii="Arial" w:hAnsi="Arial" w:cs="Arial"/>
              </w:rPr>
              <w:t>gB</w:t>
            </w:r>
            <w:proofErr w:type="spellEnd"/>
            <w:r w:rsidRPr="006D76D6">
              <w:rPr>
                <w:rFonts w:ascii="Arial" w:hAnsi="Arial" w:cs="Arial"/>
              </w:rPr>
              <w:t xml:space="preserve"> (glycoprotein B)</w:t>
            </w:r>
          </w:p>
        </w:tc>
      </w:tr>
      <w:tr w:rsidR="006D76D6" w:rsidRPr="006D76D6" w14:paraId="0A0F7A87" w14:textId="77777777" w:rsidTr="003B7E67">
        <w:trPr>
          <w:tblCellSpacing w:w="15" w:type="dxa"/>
          <w:jc w:val="center"/>
        </w:trPr>
        <w:tc>
          <w:tcPr>
            <w:tcW w:w="0" w:type="auto"/>
            <w:vAlign w:val="center"/>
            <w:hideMark/>
          </w:tcPr>
          <w:p w14:paraId="4A58BEFA" w14:textId="77777777" w:rsidR="006D76D6" w:rsidRPr="006D76D6" w:rsidRDefault="006D76D6" w:rsidP="006D76D6">
            <w:pPr>
              <w:pStyle w:val="Body"/>
              <w:rPr>
                <w:rFonts w:ascii="Arial" w:hAnsi="Arial" w:cs="Arial"/>
              </w:rPr>
            </w:pPr>
            <w:r w:rsidRPr="006D76D6">
              <w:rPr>
                <w:rFonts w:ascii="Arial" w:hAnsi="Arial" w:cs="Arial"/>
              </w:rPr>
              <w:t>Probe (GbTyp1)</w:t>
            </w:r>
          </w:p>
        </w:tc>
        <w:tc>
          <w:tcPr>
            <w:tcW w:w="0" w:type="auto"/>
            <w:vAlign w:val="center"/>
            <w:hideMark/>
          </w:tcPr>
          <w:p w14:paraId="49A34700" w14:textId="77777777" w:rsidR="006D76D6" w:rsidRPr="006D76D6" w:rsidRDefault="006D76D6" w:rsidP="006D76D6">
            <w:pPr>
              <w:pStyle w:val="Body"/>
              <w:rPr>
                <w:rFonts w:ascii="Arial" w:hAnsi="Arial" w:cs="Arial"/>
              </w:rPr>
            </w:pPr>
            <w:r w:rsidRPr="006D76D6">
              <w:rPr>
                <w:rFonts w:ascii="Arial" w:hAnsi="Arial" w:cs="Arial"/>
              </w:rPr>
              <w:t>TGGCAACGCGGCCCAAC</w:t>
            </w:r>
          </w:p>
        </w:tc>
        <w:tc>
          <w:tcPr>
            <w:tcW w:w="0" w:type="auto"/>
            <w:vAlign w:val="center"/>
            <w:hideMark/>
          </w:tcPr>
          <w:p w14:paraId="17E79E19" w14:textId="77777777" w:rsidR="006D76D6" w:rsidRPr="006D76D6" w:rsidRDefault="006D76D6" w:rsidP="006D76D6">
            <w:pPr>
              <w:pStyle w:val="Body"/>
              <w:rPr>
                <w:rFonts w:ascii="Arial" w:hAnsi="Arial" w:cs="Arial"/>
              </w:rPr>
            </w:pPr>
            <w:r w:rsidRPr="006D76D6">
              <w:rPr>
                <w:rFonts w:ascii="Arial" w:hAnsi="Arial" w:cs="Arial"/>
              </w:rPr>
              <w:t>VIC / TAMRA</w:t>
            </w:r>
          </w:p>
        </w:tc>
        <w:tc>
          <w:tcPr>
            <w:tcW w:w="2208" w:type="dxa"/>
            <w:vAlign w:val="center"/>
            <w:hideMark/>
          </w:tcPr>
          <w:p w14:paraId="2BA8E96B" w14:textId="77777777" w:rsidR="006D76D6" w:rsidRPr="006D76D6" w:rsidRDefault="006D76D6" w:rsidP="006D76D6">
            <w:pPr>
              <w:pStyle w:val="Body"/>
              <w:rPr>
                <w:rFonts w:ascii="Arial" w:hAnsi="Arial" w:cs="Arial"/>
              </w:rPr>
            </w:pPr>
            <w:proofErr w:type="spellStart"/>
            <w:r w:rsidRPr="006D76D6">
              <w:rPr>
                <w:rFonts w:ascii="Arial" w:hAnsi="Arial" w:cs="Arial"/>
              </w:rPr>
              <w:t>gB</w:t>
            </w:r>
            <w:proofErr w:type="spellEnd"/>
            <w:r w:rsidRPr="006D76D6">
              <w:rPr>
                <w:rFonts w:ascii="Arial" w:hAnsi="Arial" w:cs="Arial"/>
              </w:rPr>
              <w:t xml:space="preserve"> (glycoprotein B)</w:t>
            </w:r>
          </w:p>
        </w:tc>
      </w:tr>
    </w:tbl>
    <w:p w14:paraId="0EDC398E" w14:textId="77777777" w:rsidR="005F2816" w:rsidRPr="005F2816" w:rsidRDefault="005F2816" w:rsidP="005F2816">
      <w:pPr>
        <w:pStyle w:val="Body"/>
        <w:rPr>
          <w:rFonts w:ascii="Arial" w:hAnsi="Arial" w:cs="Arial"/>
        </w:rPr>
      </w:pPr>
      <w:r w:rsidRPr="005F2816">
        <w:rPr>
          <w:rFonts w:ascii="Arial" w:hAnsi="Arial" w:cs="Arial"/>
        </w:rPr>
        <w:t>The gB gene was selected due to its high conservation and diagnostic relevance in HSV-1 detection (Labib &amp; Chigbu, 2022). Amplification was performed on a QuantStudio 5 Real-Time PCR System (Applied Biosystems), and fluorescence data were analyzed using the system’s proprietary software. Positive and negative controls were included in each run, and samples with cycle threshold (Ct) values below 35 were considered positive for HSV-1 DNA (Mtshali et al., 2021).</w:t>
      </w:r>
    </w:p>
    <w:p w14:paraId="3198AC04" w14:textId="77777777" w:rsidR="00DE4E91" w:rsidRDefault="00273E58" w:rsidP="00DE4E91">
      <w:pPr>
        <w:pStyle w:val="Body"/>
        <w:rPr>
          <w:rFonts w:ascii="Arial" w:hAnsi="Arial" w:cs="Arial"/>
          <w:b/>
          <w:bCs/>
          <w:sz w:val="21"/>
          <w:szCs w:val="21"/>
        </w:rPr>
      </w:pPr>
      <w:r>
        <w:rPr>
          <w:rFonts w:ascii="Arial" w:hAnsi="Arial" w:cs="Arial"/>
          <w:b/>
          <w:bCs/>
          <w:sz w:val="21"/>
          <w:szCs w:val="21"/>
        </w:rPr>
        <w:t xml:space="preserve">2.5 </w:t>
      </w:r>
      <w:r w:rsidR="00CF6863" w:rsidRPr="00CF6863">
        <w:rPr>
          <w:rFonts w:ascii="Arial" w:hAnsi="Arial" w:cs="Arial"/>
          <w:b/>
          <w:bCs/>
          <w:sz w:val="21"/>
          <w:szCs w:val="21"/>
        </w:rPr>
        <w:t>Statistical Analysis</w:t>
      </w:r>
    </w:p>
    <w:p w14:paraId="490BEE78" w14:textId="77777777" w:rsidR="005F2816" w:rsidRPr="00DE4E91" w:rsidRDefault="00CF6863" w:rsidP="00DE4E91">
      <w:pPr>
        <w:pStyle w:val="Body"/>
        <w:rPr>
          <w:rFonts w:ascii="Arial" w:hAnsi="Arial" w:cs="Arial"/>
          <w:b/>
          <w:bCs/>
          <w:sz w:val="21"/>
          <w:szCs w:val="21"/>
        </w:rPr>
      </w:pPr>
      <w:r w:rsidRPr="00CF6863">
        <w:rPr>
          <w:rFonts w:ascii="Arial" w:hAnsi="Arial" w:cs="Arial"/>
        </w:rPr>
        <w:t xml:space="preserve">Data were analyzed using SPSS software (version 21). Statistical significance was determined using chi-square tests, with </w:t>
      </w:r>
      <w:r w:rsidRPr="00CF6863">
        <w:rPr>
          <w:rFonts w:ascii="Arial" w:hAnsi="Arial" w:cs="Arial"/>
          <w:i/>
          <w:iCs/>
        </w:rPr>
        <w:t>P</w:t>
      </w:r>
      <w:r w:rsidRPr="00CF6863">
        <w:rPr>
          <w:rFonts w:ascii="Arial" w:hAnsi="Arial" w:cs="Arial"/>
        </w:rPr>
        <w:t xml:space="preserve"> ≤ 0.05 considered significant.</w:t>
      </w:r>
      <w:r w:rsidR="005F2816">
        <w:rPr>
          <w:rFonts w:ascii="Arial" w:hAnsi="Arial" w:cs="Arial"/>
        </w:rPr>
        <w:t xml:space="preserve"> </w:t>
      </w:r>
      <w:r w:rsidR="005F2816" w:rsidRPr="005F2816">
        <w:rPr>
          <w:rFonts w:ascii="Arial" w:hAnsi="Arial" w:cs="Arial"/>
        </w:rPr>
        <w:t>Descriptive statistics were used to summarize demographic and clinical variables. Fisher’s exact test was applied when expected cell counts were below five. Additionally, logistic regression was performed to explore associations between HSV-1 positivity and age, gender, and clinical features. Confidence intervals (95%) were calculated for prevalence estimates to assess precision (Sugita et al., 2023).</w:t>
      </w:r>
    </w:p>
    <w:p w14:paraId="69C843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CC40F7" w14:textId="77777777" w:rsidR="00790ADA" w:rsidRPr="00FB3A86" w:rsidRDefault="00790ADA" w:rsidP="00441B6F">
      <w:pPr>
        <w:pStyle w:val="Head1"/>
        <w:spacing w:after="0"/>
        <w:jc w:val="both"/>
        <w:rPr>
          <w:rFonts w:ascii="Arial" w:hAnsi="Arial" w:cs="Arial"/>
        </w:rPr>
      </w:pPr>
    </w:p>
    <w:p w14:paraId="30E50DD6" w14:textId="77777777" w:rsidR="00CF6863" w:rsidRPr="00CF6863" w:rsidRDefault="00273E58" w:rsidP="00CF6863">
      <w:pPr>
        <w:pStyle w:val="Body"/>
        <w:spacing w:after="0"/>
        <w:rPr>
          <w:rFonts w:ascii="Arial" w:hAnsi="Arial" w:cs="Arial"/>
          <w:b/>
          <w:bCs/>
          <w:sz w:val="21"/>
          <w:szCs w:val="21"/>
        </w:rPr>
      </w:pPr>
      <w:r>
        <w:rPr>
          <w:rFonts w:ascii="Arial" w:hAnsi="Arial" w:cs="Arial"/>
          <w:b/>
          <w:bCs/>
          <w:sz w:val="21"/>
          <w:szCs w:val="21"/>
        </w:rPr>
        <w:t xml:space="preserve">3.1 </w:t>
      </w:r>
      <w:r w:rsidR="00CF6863" w:rsidRPr="00CF6863">
        <w:rPr>
          <w:rFonts w:ascii="Arial" w:hAnsi="Arial" w:cs="Arial"/>
          <w:b/>
          <w:bCs/>
          <w:sz w:val="21"/>
          <w:szCs w:val="21"/>
        </w:rPr>
        <w:t>HSV-1 DNA Detection</w:t>
      </w:r>
    </w:p>
    <w:p w14:paraId="5E5096DE" w14:textId="77777777" w:rsidR="00CF6863" w:rsidRPr="00CF6863" w:rsidRDefault="00CF6863" w:rsidP="00CF6863">
      <w:pPr>
        <w:pStyle w:val="Body"/>
        <w:spacing w:after="0"/>
        <w:rPr>
          <w:rFonts w:ascii="Arial" w:hAnsi="Arial" w:cs="Arial"/>
        </w:rPr>
      </w:pPr>
      <w:r w:rsidRPr="00CF6863">
        <w:rPr>
          <w:rFonts w:ascii="Arial" w:hAnsi="Arial" w:cs="Arial"/>
        </w:rPr>
        <w:t>Among the 40 keratoconjunctivitis patients tested, 2 (5%) were positive for HSV-1 DNA via real-time PCR as detailed in Table 2</w:t>
      </w:r>
      <w:r w:rsidRPr="00CF6863">
        <w:rPr>
          <w:rFonts w:ascii="Arial" w:hAnsi="Arial" w:cs="Arial"/>
          <w:b/>
          <w:bCs/>
        </w:rPr>
        <w:t>.</w:t>
      </w:r>
      <w:r w:rsidRPr="00CF6863">
        <w:rPr>
          <w:rFonts w:ascii="Arial" w:hAnsi="Arial" w:cs="Arial"/>
        </w:rPr>
        <w:t xml:space="preserve"> </w:t>
      </w:r>
    </w:p>
    <w:p w14:paraId="54B8B177" w14:textId="77777777" w:rsidR="00CF6863" w:rsidRPr="00CF6863" w:rsidRDefault="00CF6863" w:rsidP="00CF6863">
      <w:pPr>
        <w:pStyle w:val="Body"/>
        <w:spacing w:after="0"/>
        <w:rPr>
          <w:rFonts w:ascii="Arial" w:hAnsi="Arial" w:cs="Arial"/>
          <w:b/>
          <w:bCs/>
        </w:rPr>
      </w:pPr>
      <w:r w:rsidRPr="00CF6863">
        <w:rPr>
          <w:rFonts w:ascii="Arial" w:hAnsi="Arial" w:cs="Arial"/>
          <w:b/>
          <w:bCs/>
        </w:rPr>
        <w:t>Table 2: Association between gender and the presence of Herpes Simplex Virus-1 DNA in Keratoconjunctivitis patients detected by Real-time PCR at Al-</w:t>
      </w:r>
      <w:proofErr w:type="spellStart"/>
      <w:r w:rsidRPr="00CF6863">
        <w:rPr>
          <w:rFonts w:ascii="Arial" w:hAnsi="Arial" w:cs="Arial"/>
          <w:b/>
          <w:bCs/>
        </w:rPr>
        <w:t>Walidayn</w:t>
      </w:r>
      <w:proofErr w:type="spellEnd"/>
      <w:r w:rsidRPr="00CF6863">
        <w:rPr>
          <w:rFonts w:ascii="Arial" w:hAnsi="Arial" w:cs="Arial"/>
          <w:b/>
          <w:bCs/>
        </w:rPr>
        <w:t xml:space="preserve"> Hospital, Khartoum, Sudan.</w:t>
      </w:r>
    </w:p>
    <w:tbl>
      <w:tblPr>
        <w:tblStyle w:val="TableGrid"/>
        <w:tblW w:w="0" w:type="auto"/>
        <w:tblLook w:val="04A0" w:firstRow="1" w:lastRow="0" w:firstColumn="1" w:lastColumn="0" w:noHBand="0" w:noVBand="1"/>
      </w:tblPr>
      <w:tblGrid>
        <w:gridCol w:w="3118"/>
        <w:gridCol w:w="1423"/>
        <w:gridCol w:w="1667"/>
        <w:gridCol w:w="1344"/>
      </w:tblGrid>
      <w:tr w:rsidR="00CF6863" w:rsidRPr="00CF6863" w14:paraId="28FFCE88" w14:textId="77777777" w:rsidTr="003B7E67">
        <w:tc>
          <w:tcPr>
            <w:tcW w:w="0" w:type="auto"/>
            <w:hideMark/>
          </w:tcPr>
          <w:p w14:paraId="4C7D14DF"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Herpes Simplex Virus-1 Status</w:t>
            </w:r>
          </w:p>
        </w:tc>
        <w:tc>
          <w:tcPr>
            <w:tcW w:w="0" w:type="auto"/>
            <w:hideMark/>
          </w:tcPr>
          <w:p w14:paraId="75968567"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Males (n=14)</w:t>
            </w:r>
          </w:p>
        </w:tc>
        <w:tc>
          <w:tcPr>
            <w:tcW w:w="0" w:type="auto"/>
            <w:hideMark/>
          </w:tcPr>
          <w:p w14:paraId="2A88AAD1"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Females (n=26)</w:t>
            </w:r>
          </w:p>
        </w:tc>
        <w:tc>
          <w:tcPr>
            <w:tcW w:w="0" w:type="auto"/>
            <w:hideMark/>
          </w:tcPr>
          <w:p w14:paraId="580DEB11"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Total (n=40)</w:t>
            </w:r>
          </w:p>
        </w:tc>
      </w:tr>
      <w:tr w:rsidR="00CF6863" w:rsidRPr="00CF6863" w14:paraId="7E477AD2" w14:textId="77777777" w:rsidTr="003B7E67">
        <w:tc>
          <w:tcPr>
            <w:tcW w:w="0" w:type="auto"/>
            <w:hideMark/>
          </w:tcPr>
          <w:p w14:paraId="78A30BB3"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Positive Patients (No.)</w:t>
            </w:r>
          </w:p>
        </w:tc>
        <w:tc>
          <w:tcPr>
            <w:tcW w:w="0" w:type="auto"/>
            <w:hideMark/>
          </w:tcPr>
          <w:p w14:paraId="2204B92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1/14</w:t>
            </w:r>
          </w:p>
        </w:tc>
        <w:tc>
          <w:tcPr>
            <w:tcW w:w="0" w:type="auto"/>
            <w:hideMark/>
          </w:tcPr>
          <w:p w14:paraId="2A3EFE6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1/26</w:t>
            </w:r>
          </w:p>
        </w:tc>
        <w:tc>
          <w:tcPr>
            <w:tcW w:w="0" w:type="auto"/>
            <w:hideMark/>
          </w:tcPr>
          <w:p w14:paraId="4DB39AD3"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2/40</w:t>
            </w:r>
          </w:p>
        </w:tc>
      </w:tr>
      <w:tr w:rsidR="00CF6863" w:rsidRPr="00CF6863" w14:paraId="3E670D42" w14:textId="77777777" w:rsidTr="003B7E67">
        <w:tc>
          <w:tcPr>
            <w:tcW w:w="0" w:type="auto"/>
            <w:hideMark/>
          </w:tcPr>
          <w:p w14:paraId="173FD94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Positive Patients (%)</w:t>
            </w:r>
          </w:p>
        </w:tc>
        <w:tc>
          <w:tcPr>
            <w:tcW w:w="0" w:type="auto"/>
            <w:hideMark/>
          </w:tcPr>
          <w:p w14:paraId="077E5BF9"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7.1%</w:t>
            </w:r>
          </w:p>
        </w:tc>
        <w:tc>
          <w:tcPr>
            <w:tcW w:w="0" w:type="auto"/>
            <w:hideMark/>
          </w:tcPr>
          <w:p w14:paraId="159B0C44"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3.8%</w:t>
            </w:r>
          </w:p>
        </w:tc>
        <w:tc>
          <w:tcPr>
            <w:tcW w:w="0" w:type="auto"/>
            <w:hideMark/>
          </w:tcPr>
          <w:p w14:paraId="7832580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5%</w:t>
            </w:r>
          </w:p>
        </w:tc>
      </w:tr>
      <w:tr w:rsidR="00CF6863" w:rsidRPr="00CF6863" w14:paraId="208D5DDB" w14:textId="77777777" w:rsidTr="003B7E67">
        <w:tc>
          <w:tcPr>
            <w:tcW w:w="0" w:type="auto"/>
            <w:hideMark/>
          </w:tcPr>
          <w:p w14:paraId="1274703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Negative Patients (No.)</w:t>
            </w:r>
          </w:p>
        </w:tc>
        <w:tc>
          <w:tcPr>
            <w:tcW w:w="0" w:type="auto"/>
            <w:hideMark/>
          </w:tcPr>
          <w:p w14:paraId="18020CFB"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13</w:t>
            </w:r>
          </w:p>
        </w:tc>
        <w:tc>
          <w:tcPr>
            <w:tcW w:w="0" w:type="auto"/>
            <w:hideMark/>
          </w:tcPr>
          <w:p w14:paraId="21B8BD9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25</w:t>
            </w:r>
          </w:p>
        </w:tc>
        <w:tc>
          <w:tcPr>
            <w:tcW w:w="0" w:type="auto"/>
            <w:hideMark/>
          </w:tcPr>
          <w:p w14:paraId="474E43D7"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38</w:t>
            </w:r>
          </w:p>
        </w:tc>
      </w:tr>
      <w:tr w:rsidR="00CF6863" w:rsidRPr="00CF6863" w14:paraId="44B526E4" w14:textId="77777777" w:rsidTr="003B7E67">
        <w:tc>
          <w:tcPr>
            <w:tcW w:w="0" w:type="auto"/>
            <w:hideMark/>
          </w:tcPr>
          <w:p w14:paraId="6A5670B9"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Negative Patients (%)</w:t>
            </w:r>
          </w:p>
        </w:tc>
        <w:tc>
          <w:tcPr>
            <w:tcW w:w="0" w:type="auto"/>
            <w:hideMark/>
          </w:tcPr>
          <w:p w14:paraId="112F651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92.9%</w:t>
            </w:r>
          </w:p>
        </w:tc>
        <w:tc>
          <w:tcPr>
            <w:tcW w:w="0" w:type="auto"/>
            <w:hideMark/>
          </w:tcPr>
          <w:p w14:paraId="6244FA5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96.2%</w:t>
            </w:r>
          </w:p>
        </w:tc>
        <w:tc>
          <w:tcPr>
            <w:tcW w:w="0" w:type="auto"/>
            <w:hideMark/>
          </w:tcPr>
          <w:p w14:paraId="0B43D7A9"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95%</w:t>
            </w:r>
          </w:p>
        </w:tc>
      </w:tr>
    </w:tbl>
    <w:p w14:paraId="74A1D104" w14:textId="77777777" w:rsidR="005F2816" w:rsidRPr="005F2816" w:rsidRDefault="005F2816" w:rsidP="005F2816">
      <w:pPr>
        <w:pStyle w:val="Body"/>
        <w:spacing w:after="0"/>
        <w:rPr>
          <w:rFonts w:ascii="Arial" w:hAnsi="Arial" w:cs="Arial"/>
        </w:rPr>
      </w:pPr>
      <w:r w:rsidRPr="005F2816">
        <w:rPr>
          <w:rFonts w:ascii="Arial" w:hAnsi="Arial" w:cs="Arial"/>
        </w:rPr>
        <w:t>The low detection rate may reflect the episodic nature of viral shedding and the timing of sample collection relative to disease onset. Previous studies have shown that HSV-1 DNA is more likely to be detected during active epithelial keratitis than in stromal disease (Epstein et al., 1990).</w:t>
      </w:r>
    </w:p>
    <w:p w14:paraId="7EDC7EA2" w14:textId="77777777" w:rsidR="00CF6863" w:rsidRPr="00CF6863" w:rsidRDefault="00273E58" w:rsidP="00CF6863">
      <w:pPr>
        <w:pStyle w:val="Body"/>
        <w:spacing w:after="0"/>
        <w:rPr>
          <w:rFonts w:ascii="Arial" w:hAnsi="Arial" w:cs="Arial"/>
          <w:b/>
          <w:bCs/>
          <w:sz w:val="21"/>
          <w:szCs w:val="21"/>
        </w:rPr>
      </w:pPr>
      <w:r>
        <w:rPr>
          <w:rFonts w:ascii="Arial" w:hAnsi="Arial" w:cs="Arial"/>
          <w:b/>
          <w:bCs/>
          <w:sz w:val="21"/>
          <w:szCs w:val="21"/>
        </w:rPr>
        <w:t xml:space="preserve">3.2 </w:t>
      </w:r>
      <w:r w:rsidR="00CF6863" w:rsidRPr="00CF6863">
        <w:rPr>
          <w:rFonts w:ascii="Arial" w:hAnsi="Arial" w:cs="Arial"/>
          <w:b/>
          <w:bCs/>
          <w:sz w:val="21"/>
          <w:szCs w:val="21"/>
        </w:rPr>
        <w:t>Age and Gender Distribution</w:t>
      </w:r>
    </w:p>
    <w:p w14:paraId="6BF31A8A" w14:textId="77777777" w:rsidR="00CF6863" w:rsidRPr="00CF6863" w:rsidRDefault="00CF6863" w:rsidP="00CF6863">
      <w:pPr>
        <w:pStyle w:val="Body"/>
        <w:spacing w:after="0"/>
        <w:rPr>
          <w:rFonts w:ascii="Arial" w:hAnsi="Arial" w:cs="Arial"/>
          <w:b/>
          <w:bCs/>
        </w:rPr>
      </w:pPr>
      <w:r w:rsidRPr="00CF6863">
        <w:rPr>
          <w:rFonts w:ascii="Arial" w:hAnsi="Arial" w:cs="Arial"/>
        </w:rPr>
        <w:t xml:space="preserve">HSV-1 DNA was detected in two patients: one aged &lt;10 years (1/5; 20%) and another aged 21–31 years (1/7; 14%) [Table 3]. </w:t>
      </w:r>
    </w:p>
    <w:p w14:paraId="684E0C8D" w14:textId="77777777" w:rsidR="00CF6863" w:rsidRPr="00CF6863" w:rsidRDefault="00CF6863" w:rsidP="00CF6863">
      <w:pPr>
        <w:pStyle w:val="Body"/>
        <w:spacing w:after="0"/>
        <w:rPr>
          <w:rFonts w:ascii="Arial" w:hAnsi="Arial" w:cs="Arial"/>
          <w:b/>
          <w:bCs/>
        </w:rPr>
      </w:pPr>
      <w:r w:rsidRPr="00CF6863">
        <w:rPr>
          <w:rFonts w:ascii="Arial" w:hAnsi="Arial" w:cs="Arial"/>
          <w:b/>
          <w:bCs/>
        </w:rPr>
        <w:t>Table 3: Association Between Age Groups and the Presence of Herpes Simplex Virus-1 DNA in Keratoconjunctivitis Patients at Al-</w:t>
      </w:r>
      <w:proofErr w:type="spellStart"/>
      <w:r w:rsidRPr="00CF6863">
        <w:rPr>
          <w:rFonts w:ascii="Arial" w:hAnsi="Arial" w:cs="Arial"/>
          <w:b/>
          <w:bCs/>
        </w:rPr>
        <w:t>Walidayn</w:t>
      </w:r>
      <w:proofErr w:type="spellEnd"/>
      <w:r w:rsidRPr="00CF6863">
        <w:rPr>
          <w:rFonts w:ascii="Arial" w:hAnsi="Arial" w:cs="Arial"/>
          <w:b/>
          <w:bCs/>
        </w:rPr>
        <w:t xml:space="preserve"> Hospital, Khartoum, Sudan (2019)</w:t>
      </w:r>
    </w:p>
    <w:tbl>
      <w:tblPr>
        <w:tblStyle w:val="TableGrid"/>
        <w:tblW w:w="0" w:type="auto"/>
        <w:tblLook w:val="04A0" w:firstRow="1" w:lastRow="0" w:firstColumn="1" w:lastColumn="0" w:noHBand="0" w:noVBand="1"/>
      </w:tblPr>
      <w:tblGrid>
        <w:gridCol w:w="1747"/>
        <w:gridCol w:w="2038"/>
        <w:gridCol w:w="1925"/>
        <w:gridCol w:w="2102"/>
        <w:gridCol w:w="1989"/>
        <w:gridCol w:w="989"/>
      </w:tblGrid>
      <w:tr w:rsidR="00CF6863" w:rsidRPr="00CF6863" w14:paraId="0B8A1B32" w14:textId="77777777" w:rsidTr="003B7E67">
        <w:tc>
          <w:tcPr>
            <w:tcW w:w="0" w:type="auto"/>
            <w:hideMark/>
          </w:tcPr>
          <w:p w14:paraId="15447722"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Age Group (Years)</w:t>
            </w:r>
          </w:p>
        </w:tc>
        <w:tc>
          <w:tcPr>
            <w:tcW w:w="0" w:type="auto"/>
            <w:hideMark/>
          </w:tcPr>
          <w:p w14:paraId="7E9B1B21"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Positive Patients (No.)</w:t>
            </w:r>
          </w:p>
        </w:tc>
        <w:tc>
          <w:tcPr>
            <w:tcW w:w="0" w:type="auto"/>
            <w:hideMark/>
          </w:tcPr>
          <w:p w14:paraId="1F6CC1A4"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Positive Patients (%)</w:t>
            </w:r>
          </w:p>
        </w:tc>
        <w:tc>
          <w:tcPr>
            <w:tcW w:w="0" w:type="auto"/>
            <w:hideMark/>
          </w:tcPr>
          <w:p w14:paraId="2A4D85C6"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Negative Patients (No.)</w:t>
            </w:r>
          </w:p>
        </w:tc>
        <w:tc>
          <w:tcPr>
            <w:tcW w:w="0" w:type="auto"/>
            <w:hideMark/>
          </w:tcPr>
          <w:p w14:paraId="7B11C48F"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Negative Patients (%)</w:t>
            </w:r>
          </w:p>
        </w:tc>
        <w:tc>
          <w:tcPr>
            <w:tcW w:w="0" w:type="auto"/>
            <w:hideMark/>
          </w:tcPr>
          <w:p w14:paraId="73AE94A9"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Total (%)</w:t>
            </w:r>
          </w:p>
        </w:tc>
      </w:tr>
      <w:tr w:rsidR="00CF6863" w:rsidRPr="00CF6863" w14:paraId="4514605E" w14:textId="77777777" w:rsidTr="003B7E67">
        <w:tc>
          <w:tcPr>
            <w:tcW w:w="0" w:type="auto"/>
            <w:hideMark/>
          </w:tcPr>
          <w:p w14:paraId="4C42141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Less than 10</w:t>
            </w:r>
          </w:p>
        </w:tc>
        <w:tc>
          <w:tcPr>
            <w:tcW w:w="0" w:type="auto"/>
            <w:hideMark/>
          </w:tcPr>
          <w:p w14:paraId="1E0AC3A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w:t>
            </w:r>
          </w:p>
        </w:tc>
        <w:tc>
          <w:tcPr>
            <w:tcW w:w="0" w:type="auto"/>
            <w:hideMark/>
          </w:tcPr>
          <w:p w14:paraId="1DFFAD37"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20%</w:t>
            </w:r>
          </w:p>
        </w:tc>
        <w:tc>
          <w:tcPr>
            <w:tcW w:w="0" w:type="auto"/>
            <w:hideMark/>
          </w:tcPr>
          <w:p w14:paraId="74A4D385"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w:t>
            </w:r>
          </w:p>
        </w:tc>
        <w:tc>
          <w:tcPr>
            <w:tcW w:w="0" w:type="auto"/>
            <w:hideMark/>
          </w:tcPr>
          <w:p w14:paraId="72538C86"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80%</w:t>
            </w:r>
          </w:p>
        </w:tc>
        <w:tc>
          <w:tcPr>
            <w:tcW w:w="0" w:type="auto"/>
            <w:hideMark/>
          </w:tcPr>
          <w:p w14:paraId="0A42F096"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63910849" w14:textId="77777777" w:rsidTr="003B7E67">
        <w:tc>
          <w:tcPr>
            <w:tcW w:w="0" w:type="auto"/>
            <w:hideMark/>
          </w:tcPr>
          <w:p w14:paraId="39C1C0A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10-20</w:t>
            </w:r>
          </w:p>
        </w:tc>
        <w:tc>
          <w:tcPr>
            <w:tcW w:w="0" w:type="auto"/>
            <w:hideMark/>
          </w:tcPr>
          <w:p w14:paraId="5907A91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15EED7E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06DEB9F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7</w:t>
            </w:r>
          </w:p>
        </w:tc>
        <w:tc>
          <w:tcPr>
            <w:tcW w:w="0" w:type="auto"/>
            <w:hideMark/>
          </w:tcPr>
          <w:p w14:paraId="2991709B"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B99BA6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25060A90" w14:textId="77777777" w:rsidTr="003B7E67">
        <w:tc>
          <w:tcPr>
            <w:tcW w:w="0" w:type="auto"/>
            <w:hideMark/>
          </w:tcPr>
          <w:p w14:paraId="4DF7D6EC"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21-31</w:t>
            </w:r>
          </w:p>
        </w:tc>
        <w:tc>
          <w:tcPr>
            <w:tcW w:w="0" w:type="auto"/>
            <w:hideMark/>
          </w:tcPr>
          <w:p w14:paraId="37FD05FC"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w:t>
            </w:r>
          </w:p>
        </w:tc>
        <w:tc>
          <w:tcPr>
            <w:tcW w:w="0" w:type="auto"/>
            <w:hideMark/>
          </w:tcPr>
          <w:p w14:paraId="00DB5DC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14%</w:t>
            </w:r>
          </w:p>
        </w:tc>
        <w:tc>
          <w:tcPr>
            <w:tcW w:w="0" w:type="auto"/>
            <w:hideMark/>
          </w:tcPr>
          <w:p w14:paraId="7AA87A5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6</w:t>
            </w:r>
          </w:p>
        </w:tc>
        <w:tc>
          <w:tcPr>
            <w:tcW w:w="0" w:type="auto"/>
            <w:hideMark/>
          </w:tcPr>
          <w:p w14:paraId="2C6A7BE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86%</w:t>
            </w:r>
          </w:p>
        </w:tc>
        <w:tc>
          <w:tcPr>
            <w:tcW w:w="0" w:type="auto"/>
            <w:hideMark/>
          </w:tcPr>
          <w:p w14:paraId="0C1F3A23"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29AFBDA1" w14:textId="77777777" w:rsidTr="003B7E67">
        <w:tc>
          <w:tcPr>
            <w:tcW w:w="0" w:type="auto"/>
            <w:hideMark/>
          </w:tcPr>
          <w:p w14:paraId="73CFF27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32-42</w:t>
            </w:r>
          </w:p>
        </w:tc>
        <w:tc>
          <w:tcPr>
            <w:tcW w:w="0" w:type="auto"/>
            <w:hideMark/>
          </w:tcPr>
          <w:p w14:paraId="0B962D0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1B4B39F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2FFAB3C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w:t>
            </w:r>
          </w:p>
        </w:tc>
        <w:tc>
          <w:tcPr>
            <w:tcW w:w="0" w:type="auto"/>
            <w:hideMark/>
          </w:tcPr>
          <w:p w14:paraId="3FD0DD3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AC2AE9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7C525775" w14:textId="77777777" w:rsidTr="003B7E67">
        <w:tc>
          <w:tcPr>
            <w:tcW w:w="0" w:type="auto"/>
            <w:hideMark/>
          </w:tcPr>
          <w:p w14:paraId="560A91D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lastRenderedPageBreak/>
              <w:t>43-53</w:t>
            </w:r>
          </w:p>
        </w:tc>
        <w:tc>
          <w:tcPr>
            <w:tcW w:w="0" w:type="auto"/>
            <w:hideMark/>
          </w:tcPr>
          <w:p w14:paraId="6E8ADD5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60596D4D"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61C30CF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w:t>
            </w:r>
          </w:p>
        </w:tc>
        <w:tc>
          <w:tcPr>
            <w:tcW w:w="0" w:type="auto"/>
            <w:hideMark/>
          </w:tcPr>
          <w:p w14:paraId="12D66D4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72BF49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39709FC1" w14:textId="77777777" w:rsidTr="003B7E67">
        <w:tc>
          <w:tcPr>
            <w:tcW w:w="0" w:type="auto"/>
            <w:hideMark/>
          </w:tcPr>
          <w:p w14:paraId="7DF21C36"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More than 53</w:t>
            </w:r>
          </w:p>
        </w:tc>
        <w:tc>
          <w:tcPr>
            <w:tcW w:w="0" w:type="auto"/>
            <w:hideMark/>
          </w:tcPr>
          <w:p w14:paraId="4C31356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16DBB9D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06764BA0"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13</w:t>
            </w:r>
          </w:p>
        </w:tc>
        <w:tc>
          <w:tcPr>
            <w:tcW w:w="0" w:type="auto"/>
            <w:hideMark/>
          </w:tcPr>
          <w:p w14:paraId="033FE1A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4C0F480"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bl>
    <w:p w14:paraId="30AD8402" w14:textId="77777777" w:rsidR="00CF6863" w:rsidRPr="00CF6863" w:rsidRDefault="00CF6863" w:rsidP="00CF6863">
      <w:pPr>
        <w:pStyle w:val="Body"/>
        <w:spacing w:after="0"/>
        <w:rPr>
          <w:rFonts w:ascii="Arial" w:hAnsi="Arial" w:cs="Arial"/>
        </w:rPr>
      </w:pPr>
    </w:p>
    <w:p w14:paraId="0BAE12DA" w14:textId="77777777" w:rsidR="00E053D0" w:rsidRDefault="00CF6863" w:rsidP="00273E58">
      <w:pPr>
        <w:pStyle w:val="Body"/>
        <w:spacing w:after="0"/>
        <w:rPr>
          <w:rFonts w:ascii="Arial" w:hAnsi="Arial" w:cs="Arial"/>
          <w:b/>
          <w:bCs/>
        </w:rPr>
      </w:pPr>
      <w:r w:rsidRPr="00CF6863">
        <w:rPr>
          <w:rFonts w:ascii="Arial" w:hAnsi="Arial" w:cs="Arial"/>
        </w:rPr>
        <w:t>No significant association was observed between age and HSV-1 positivity (</w:t>
      </w:r>
      <w:r w:rsidRPr="00CF6863">
        <w:rPr>
          <w:rFonts w:ascii="Arial" w:hAnsi="Arial" w:cs="Arial"/>
          <w:i/>
          <w:iCs/>
        </w:rPr>
        <w:t>P</w:t>
      </w:r>
      <w:r w:rsidRPr="00CF6863">
        <w:rPr>
          <w:rFonts w:ascii="Arial" w:hAnsi="Arial" w:cs="Arial"/>
        </w:rPr>
        <w:t xml:space="preserve"> = 0.40). Similarly, no statistically significant difference was found between gender groups (</w:t>
      </w:r>
      <w:r w:rsidRPr="00CF6863">
        <w:rPr>
          <w:rFonts w:ascii="Arial" w:hAnsi="Arial" w:cs="Arial"/>
          <w:i/>
          <w:iCs/>
        </w:rPr>
        <w:t>P</w:t>
      </w:r>
      <w:r w:rsidRPr="00CF6863">
        <w:rPr>
          <w:rFonts w:ascii="Arial" w:hAnsi="Arial" w:cs="Arial"/>
        </w:rPr>
        <w:t xml:space="preserve"> = 0.64). [Tables 2 and 3</w:t>
      </w:r>
      <w:r w:rsidRPr="00CF6863">
        <w:rPr>
          <w:rFonts w:ascii="Arial" w:hAnsi="Arial" w:cs="Arial"/>
          <w:b/>
          <w:bCs/>
        </w:rPr>
        <w:t>.]</w:t>
      </w:r>
    </w:p>
    <w:p w14:paraId="3015EBAB" w14:textId="77777777" w:rsidR="005F2816" w:rsidRPr="005F2816" w:rsidRDefault="005F2816" w:rsidP="005F2816">
      <w:pPr>
        <w:pStyle w:val="Body"/>
        <w:spacing w:after="0"/>
        <w:rPr>
          <w:rFonts w:ascii="Arial" w:hAnsi="Arial" w:cs="Arial"/>
        </w:rPr>
      </w:pPr>
      <w:r w:rsidRPr="005F2816">
        <w:rPr>
          <w:rFonts w:ascii="Arial" w:hAnsi="Arial" w:cs="Arial"/>
        </w:rPr>
        <w:t>These findings align with global data indicating that HSV-1 infection is often acquired early in life, with seroprevalence exceeding 80% in many African populations by adolescence (Nasrallah et al., 2017). However, the detection of viral DNA in ocular samples may not correlate directly with serostatus due to latency and intermittent reactivation (Antony et al., 2024).</w:t>
      </w:r>
    </w:p>
    <w:p w14:paraId="53FEDAFB" w14:textId="77777777" w:rsidR="000B08D8" w:rsidRDefault="000B08D8" w:rsidP="00273E58">
      <w:pPr>
        <w:pStyle w:val="Body"/>
        <w:spacing w:after="0"/>
        <w:rPr>
          <w:rFonts w:ascii="Arial" w:hAnsi="Arial" w:cs="Arial"/>
          <w:b/>
          <w:bCs/>
        </w:rPr>
      </w:pPr>
    </w:p>
    <w:p w14:paraId="7323C38B" w14:textId="77777777" w:rsidR="00273E58" w:rsidRPr="00273E58" w:rsidRDefault="00273E58" w:rsidP="00273E58">
      <w:pPr>
        <w:pStyle w:val="Body"/>
        <w:spacing w:after="0"/>
        <w:rPr>
          <w:rFonts w:ascii="Arial" w:hAnsi="Arial" w:cs="Arial"/>
          <w:b/>
          <w:bCs/>
          <w:sz w:val="22"/>
          <w:szCs w:val="22"/>
        </w:rPr>
      </w:pPr>
      <w:r w:rsidRPr="00074B45">
        <w:rPr>
          <w:rFonts w:ascii="Arial" w:hAnsi="Arial" w:cs="Arial"/>
          <w:b/>
          <w:bCs/>
          <w:sz w:val="22"/>
          <w:szCs w:val="22"/>
        </w:rPr>
        <w:t xml:space="preserve">4. DISCUSSION </w:t>
      </w:r>
    </w:p>
    <w:p w14:paraId="3E11AF12" w14:textId="77777777" w:rsidR="000B08D8" w:rsidRDefault="000B08D8" w:rsidP="000B08D8">
      <w:pPr>
        <w:pStyle w:val="Body"/>
        <w:spacing w:after="0"/>
        <w:rPr>
          <w:rFonts w:ascii="Arial" w:hAnsi="Arial" w:cs="Arial"/>
        </w:rPr>
      </w:pPr>
      <w:r w:rsidRPr="000B08D8">
        <w:rPr>
          <w:rFonts w:ascii="Arial" w:hAnsi="Arial" w:cs="Arial"/>
        </w:rPr>
        <w:t>Our findings indicate that real-time PCR detected HSV-1 DNA in 5% of keratoconjunctivitis cases. This relatively low prevalence contrasts with higher detection rates reported in other countries in the region. For instance, studies reported prevalence rates of 22.5% in Saudi Arabia (Al-Swailem &amp; Abdel-Aziz, 2014), 31.1% in Egypt (Badawy et al., 2008), 18.7% in Jordan (Matar et al., 2010), 15.3% in the United Arab Emirates (Al-Dahash et al., 2015), and 29.8% in Kuwait (Al-Darwish et al., 2015). In North Africa, Tunisia reported the highest rate at 41% (Amara et al., 2017), while Morocco recorded a prevalence of 26.4% (Jaidane et al., 2016). These differences may be attributed to environmental factors, healthcare accessibility, diagnostic methodologies, and study population characteristics. Additionally, the small sample size in our study, coming from a single hospital, may have contributed to the lower detection rate, underscoring the need for larger epidemiological investigations utilizing advanced molecular techniques in Sudan.</w:t>
      </w:r>
    </w:p>
    <w:p w14:paraId="47761DE1" w14:textId="77777777" w:rsidR="005F2816" w:rsidRPr="005F2816" w:rsidRDefault="005F2816" w:rsidP="005F2816">
      <w:pPr>
        <w:pStyle w:val="Body"/>
        <w:spacing w:after="0"/>
        <w:rPr>
          <w:rFonts w:ascii="Arial" w:hAnsi="Arial" w:cs="Arial"/>
        </w:rPr>
      </w:pPr>
      <w:r w:rsidRPr="005F2816">
        <w:rPr>
          <w:rFonts w:ascii="Arial" w:hAnsi="Arial" w:cs="Arial"/>
        </w:rPr>
        <w:t>The relatively low HSV-1 DNA detection rate in our study (5%) may reflect both epidemiological and methodological factors. In Sudan, limited access to molecular diagnostics and underreporting of viral keratitis cases may contribute to an underestimated burden. Moreover, the timing of sample collection</w:t>
      </w:r>
      <w:r w:rsidR="00DE4E91">
        <w:rPr>
          <w:rFonts w:ascii="Arial" w:hAnsi="Arial" w:cs="Arial"/>
        </w:rPr>
        <w:t xml:space="preserve">, </w:t>
      </w:r>
      <w:r w:rsidRPr="005F2816">
        <w:rPr>
          <w:rFonts w:ascii="Arial" w:hAnsi="Arial" w:cs="Arial"/>
        </w:rPr>
        <w:t>often during late-stage keratitis</w:t>
      </w:r>
      <w:r w:rsidR="00DE4E91">
        <w:rPr>
          <w:rFonts w:ascii="Arial" w:hAnsi="Arial" w:cs="Arial"/>
        </w:rPr>
        <w:t xml:space="preserve">, </w:t>
      </w:r>
      <w:r w:rsidRPr="005F2816">
        <w:rPr>
          <w:rFonts w:ascii="Arial" w:hAnsi="Arial" w:cs="Arial"/>
        </w:rPr>
        <w:t>can reduce viral load, affecting PCR sensitivity (Sugita et al., 2023).</w:t>
      </w:r>
    </w:p>
    <w:p w14:paraId="19652080" w14:textId="77777777" w:rsidR="005F2816" w:rsidRPr="005F2816" w:rsidRDefault="005F2816" w:rsidP="005F2816">
      <w:pPr>
        <w:pStyle w:val="Body"/>
        <w:spacing w:after="0"/>
        <w:rPr>
          <w:rFonts w:ascii="Arial" w:hAnsi="Arial" w:cs="Arial"/>
        </w:rPr>
      </w:pPr>
      <w:r w:rsidRPr="005F2816">
        <w:rPr>
          <w:rFonts w:ascii="Arial" w:hAnsi="Arial" w:cs="Arial"/>
        </w:rPr>
        <w:t>Comparative data from neighboring countries further highlight regional disparities. A recent study in Egypt reported HSV-1 DNA detection in 31.1% of keratoconjunctivitis cases (Badawy et al., 2008), while Tunisia showed a prevalence of 41% (Amara et al., 2017). In contrast, a 2024 review from Ethiopia and Chad found limited molecular surveillance, with most diagnoses based on clinical presentation alone (Antony et al., 2024). This underscores the need for standardized diagnostic protocols across North and East Africa.</w:t>
      </w:r>
    </w:p>
    <w:p w14:paraId="579C8738" w14:textId="77777777" w:rsidR="005F2816" w:rsidRPr="005F2816" w:rsidRDefault="005F2816" w:rsidP="005F2816">
      <w:pPr>
        <w:pStyle w:val="Body"/>
        <w:spacing w:after="0"/>
        <w:rPr>
          <w:rFonts w:ascii="Arial" w:hAnsi="Arial" w:cs="Arial"/>
        </w:rPr>
      </w:pPr>
      <w:r w:rsidRPr="005F2816">
        <w:rPr>
          <w:rFonts w:ascii="Arial" w:hAnsi="Arial" w:cs="Arial"/>
        </w:rPr>
        <w:t>The role of HSV-1 in ocular morbidity is increasingly recognized. Globally, HSV-1 is responsible for over 1.5 million cases of keratitis annually, with 40,000 resulting in monocular blindness (WHO, 2024). In the Middle East and North Africa (MENA) region, seroprevalence studies suggest that up to 90% of adults carry HSV-1 antibodies, indicating widespread exposure (Nasrallah et al., 2017). However, seropositivity does not equate to active ocular disease, reinforcing the importance of PCR-based detection for clinical relevance.</w:t>
      </w:r>
    </w:p>
    <w:p w14:paraId="2AFC5C71" w14:textId="77777777" w:rsidR="005F2816" w:rsidRPr="005F2816" w:rsidRDefault="005F2816" w:rsidP="005F2816">
      <w:pPr>
        <w:pStyle w:val="Body"/>
        <w:spacing w:after="0"/>
        <w:rPr>
          <w:rFonts w:ascii="Arial" w:hAnsi="Arial" w:cs="Arial"/>
        </w:rPr>
      </w:pPr>
      <w:r w:rsidRPr="005F2816">
        <w:rPr>
          <w:rFonts w:ascii="Arial" w:hAnsi="Arial" w:cs="Arial"/>
        </w:rPr>
        <w:t>Recent advances in real-time PCR have improved diagnostic accuracy. Multiplex PCR platforms now allow simultaneous detection of HSV-1, HSV-2, and other ocular pathogens, reducing turnaround time and enhancing sensitivity (Maini et al., 2024). In our study, the use of the SOLIScript 1-step probe kit provided reliable amplification of the gB gene, a conserved target for HSV-1 detection. Future studies may benefit from integrating droplet digital PCR (ddPCR), which offers absolute quantification and improved detection in low-viral-load samples (Xu et al., 2022).</w:t>
      </w:r>
    </w:p>
    <w:p w14:paraId="2E732083" w14:textId="77777777" w:rsidR="000B08D8" w:rsidRDefault="000B08D8" w:rsidP="000B08D8">
      <w:pPr>
        <w:pStyle w:val="Body"/>
        <w:spacing w:after="0"/>
        <w:rPr>
          <w:rFonts w:ascii="Arial" w:hAnsi="Arial" w:cs="Arial"/>
        </w:rPr>
      </w:pPr>
      <w:r w:rsidRPr="000B08D8">
        <w:rPr>
          <w:rFonts w:ascii="Arial" w:hAnsi="Arial" w:cs="Arial"/>
        </w:rPr>
        <w:t>Risk factors such as immunosuppression, diabetes mellitus, corticosteroid use, and corneal trauma are consistently associated with HSV-1 keratitis across studies. Research from Kuwait and Lebanon emphasized the role of these conditions in increasing susceptibility to ocular HSV infections (Al-Darwish et al., 2015; Holbrook et al., 2010). This highlights the importance of early diagnosis, particularly among high-risk groups, to prevent severe complications, including recurrent keratitis and vision loss.</w:t>
      </w:r>
    </w:p>
    <w:p w14:paraId="11B303AE" w14:textId="77777777" w:rsidR="005F2816" w:rsidRPr="005F2816" w:rsidRDefault="005F2816" w:rsidP="005F2816">
      <w:pPr>
        <w:pStyle w:val="Body"/>
        <w:spacing w:after="0"/>
        <w:rPr>
          <w:rFonts w:ascii="Arial" w:hAnsi="Arial" w:cs="Arial"/>
        </w:rPr>
      </w:pPr>
      <w:r w:rsidRPr="005F2816">
        <w:rPr>
          <w:rFonts w:ascii="Arial" w:hAnsi="Arial" w:cs="Arial"/>
        </w:rPr>
        <w:t>The immunopathogenesis of HSV-1 keratitis involves both viral replication and host immune response. Following primary infection, HSV-1 establishes latency in the trigeminal ganglion, with reactivation triggered by stress, immunosuppression, or trauma (Antony et al., 2024). Recurrent episodes can lead to stromal keratitis, characterized by immune-mediated inflammation and neovascularization. Studies have shown that CD4+ T cells and pro-inflammatory cytokines such as IL-6 and TNF-α play a central role in corneal damage (Yun et al., 2020).</w:t>
      </w:r>
    </w:p>
    <w:p w14:paraId="1BA0E5A2" w14:textId="77777777" w:rsidR="005F2816" w:rsidRPr="005F2816" w:rsidRDefault="005F2816" w:rsidP="005F2816">
      <w:pPr>
        <w:pStyle w:val="Body"/>
        <w:spacing w:after="0"/>
        <w:rPr>
          <w:rFonts w:ascii="Arial" w:hAnsi="Arial" w:cs="Arial"/>
        </w:rPr>
      </w:pPr>
      <w:r w:rsidRPr="005F2816">
        <w:rPr>
          <w:rFonts w:ascii="Arial" w:hAnsi="Arial" w:cs="Arial"/>
        </w:rPr>
        <w:t>Our findings align with global trends indicating a shift in HSV-1 epidemiology. In high-income countries, declining childhood oral HSV-1 infections have led to increased genital transmission among adolescents and young adults (WHO, 2024). While ocular HSV-1 remains primarily associated with oral acquisition, the changing landscape may influence future keratitis patterns. Surveillance systems must adapt to these shifts, incorporating both serological and molecular data to guide public health interventions.</w:t>
      </w:r>
    </w:p>
    <w:p w14:paraId="06962CE8" w14:textId="77777777" w:rsidR="005F2816" w:rsidRPr="005F2816" w:rsidRDefault="005F2816" w:rsidP="005F2816">
      <w:pPr>
        <w:pStyle w:val="Body"/>
        <w:spacing w:after="0"/>
        <w:rPr>
          <w:rFonts w:ascii="Arial" w:hAnsi="Arial" w:cs="Arial"/>
        </w:rPr>
      </w:pPr>
      <w:r w:rsidRPr="005F2816">
        <w:rPr>
          <w:rFonts w:ascii="Arial" w:hAnsi="Arial" w:cs="Arial"/>
        </w:rPr>
        <w:t>The absence of significant associations between HSV-1 positivity and age or gender in our cohort may be due to sample size limitations. Larger multicenter studies are needed to explore demographic risk factors. For instance, a 2023 study in South Africa found higher HSV-1 keratitis rates among males aged 20–40, potentially linked to occupational exposure and delayed healthcare access (Mtshali et al., 2023). Incorporating behavioral and socioeconomic variables could enhance epidemiological modeling.</w:t>
      </w:r>
    </w:p>
    <w:p w14:paraId="4A456479" w14:textId="77777777" w:rsidR="000B08D8" w:rsidRPr="000B08D8" w:rsidRDefault="000B08D8" w:rsidP="000B08D8">
      <w:pPr>
        <w:pStyle w:val="Body"/>
        <w:spacing w:after="0"/>
        <w:rPr>
          <w:rFonts w:ascii="Arial" w:hAnsi="Arial" w:cs="Arial"/>
        </w:rPr>
      </w:pPr>
      <w:r w:rsidRPr="000B08D8">
        <w:rPr>
          <w:rFonts w:ascii="Arial" w:hAnsi="Arial" w:cs="Arial"/>
        </w:rPr>
        <w:lastRenderedPageBreak/>
        <w:t>Additionally, although data from neighboring African countries remain scarce, incorporating future studies from countries such as Ethiopia, Chad, Southern Sudan, and Central Africa, where cross-border human movement and trade are extensive, would provide a more comprehensive understanding of HSV-1 epidemiology across the region (Kasule et al., 2014).</w:t>
      </w:r>
    </w:p>
    <w:p w14:paraId="632C4587" w14:textId="77777777" w:rsidR="005F2816" w:rsidRPr="005F2816" w:rsidRDefault="005F2816" w:rsidP="005F2816">
      <w:pPr>
        <w:pStyle w:val="Body"/>
        <w:spacing w:after="0"/>
        <w:rPr>
          <w:rFonts w:ascii="Arial" w:hAnsi="Arial" w:cs="Arial"/>
        </w:rPr>
      </w:pPr>
      <w:r w:rsidRPr="005F2816">
        <w:rPr>
          <w:rFonts w:ascii="Arial" w:hAnsi="Arial" w:cs="Arial"/>
        </w:rPr>
        <w:t>From a clinical perspective, early diagnosis and antiviral therapy are critical. Oral acyclovir remains the first-line treatment, with valacyclovir offering improved bioavailability and reduced dosing frequency (Labib &amp; Chigbu, 2022). However, antiviral resistance is emerging, particularly in immunocompromised patients. Genotypic assays targeting UL23 and UL30 mutations may help identify resistant strains and guide therapy (M’Garrech et al., 2017).</w:t>
      </w:r>
    </w:p>
    <w:p w14:paraId="34744880" w14:textId="77777777" w:rsidR="005F2816" w:rsidRPr="005F2816" w:rsidRDefault="005F2816" w:rsidP="005F2816">
      <w:pPr>
        <w:pStyle w:val="Body"/>
        <w:spacing w:after="0"/>
        <w:rPr>
          <w:rFonts w:ascii="Arial" w:hAnsi="Arial" w:cs="Arial"/>
        </w:rPr>
      </w:pPr>
      <w:r w:rsidRPr="005F2816">
        <w:rPr>
          <w:rFonts w:ascii="Arial" w:hAnsi="Arial" w:cs="Arial"/>
        </w:rPr>
        <w:t>In Sudan, integrating molecular diagnostics into routine ophthalmic care faces logistical challenges. Limited laboratory infrastructure, cost constraints, and training gaps hinder widespread PCR adoption. Partnerships with regional research centers and international health organizations could facilitate capacity building. Mobile PCR units and point-of-care platforms may offer scalable solutions for remote settings (Wang et al., 2024).</w:t>
      </w:r>
    </w:p>
    <w:p w14:paraId="6C0E2506" w14:textId="77777777" w:rsidR="005F2816" w:rsidRPr="005F2816" w:rsidRDefault="005F2816" w:rsidP="005F2816">
      <w:pPr>
        <w:pStyle w:val="Body"/>
        <w:spacing w:after="0"/>
        <w:rPr>
          <w:rFonts w:ascii="Arial" w:hAnsi="Arial" w:cs="Arial"/>
        </w:rPr>
      </w:pPr>
      <w:r w:rsidRPr="005F2816">
        <w:rPr>
          <w:rFonts w:ascii="Arial" w:hAnsi="Arial" w:cs="Arial"/>
        </w:rPr>
        <w:t>Finally, public awareness campaigns are essential to reduce HSV-1 transmission and promote early care-seeking. Educational initiatives targeting high-risk groups</w:t>
      </w:r>
      <w:r w:rsidR="00E23205">
        <w:rPr>
          <w:rFonts w:ascii="Arial" w:hAnsi="Arial" w:cs="Arial"/>
        </w:rPr>
        <w:t xml:space="preserve">, </w:t>
      </w:r>
      <w:r w:rsidRPr="005F2816">
        <w:rPr>
          <w:rFonts w:ascii="Arial" w:hAnsi="Arial" w:cs="Arial"/>
        </w:rPr>
        <w:t>such as healthcare workers, contact lens users, and individuals with diabetes</w:t>
      </w:r>
      <w:r w:rsidR="00CF6C26">
        <w:rPr>
          <w:rFonts w:ascii="Arial" w:hAnsi="Arial" w:cs="Arial"/>
        </w:rPr>
        <w:t xml:space="preserve"> </w:t>
      </w:r>
      <w:r w:rsidRPr="005F2816">
        <w:rPr>
          <w:rFonts w:ascii="Arial" w:hAnsi="Arial" w:cs="Arial"/>
        </w:rPr>
        <w:t>can mitigate complications. Community-based screening and telemedicine consultations may improve access and outcomes, especially in underserved areas.</w:t>
      </w:r>
    </w:p>
    <w:p w14:paraId="01ECB6A2" w14:textId="39E69343" w:rsidR="00273E58" w:rsidRPr="00273E58" w:rsidRDefault="00764296" w:rsidP="00273E58">
      <w:pPr>
        <w:pStyle w:val="ConcHead"/>
        <w:spacing w:after="0"/>
        <w:jc w:val="both"/>
        <w:rPr>
          <w:rFonts w:ascii="Arial" w:hAnsi="Arial" w:cs="Arial"/>
        </w:rPr>
      </w:pPr>
      <w:r>
        <w:rPr>
          <w:rFonts w:ascii="Arial" w:hAnsi="Arial" w:cs="Arial"/>
        </w:rPr>
        <w:t>5</w:t>
      </w:r>
      <w:r w:rsidR="00273E58">
        <w:rPr>
          <w:rFonts w:ascii="Arial" w:hAnsi="Arial" w:cs="Arial"/>
        </w:rPr>
        <w:t xml:space="preserve">. </w:t>
      </w:r>
      <w:r w:rsidR="00273E58" w:rsidRPr="00FB3A86">
        <w:rPr>
          <w:rFonts w:ascii="Arial" w:hAnsi="Arial" w:cs="Arial"/>
        </w:rPr>
        <w:t>Conclusion</w:t>
      </w:r>
    </w:p>
    <w:p w14:paraId="2677843A" w14:textId="1E1AEE50" w:rsidR="00764296" w:rsidRDefault="00273E58" w:rsidP="00273E58">
      <w:pPr>
        <w:pStyle w:val="Body"/>
        <w:spacing w:after="0"/>
        <w:rPr>
          <w:rFonts w:ascii="Arial" w:hAnsi="Arial" w:cs="Arial"/>
        </w:rPr>
      </w:pPr>
      <w:r w:rsidRPr="00273E58">
        <w:rPr>
          <w:rFonts w:ascii="Arial" w:hAnsi="Arial" w:cs="Arial"/>
        </w:rPr>
        <w:t>The findings of this study highlight the presence of HSV-1 DNA in a subset of keratoconjunctivitis patients, confirming the utility of real-time PCR as a sensitive diagnostic tool. Although HSV-1 keratoconjunctivitis appears to be a rare condition in this setting, its potential to cause vision-threatening complications calls for greater clinical attention. There is a pressing need to increase public and professional awareness of the disease, particularly its signs, risk factors, and the importance of early diagnosis. Future studies should incorporate larger sample sizes across multiple healthcare institutions to improve epidemiological accuracy and provide a more comprehensive understanding of HSV-1 prevalence in Sudan. Additionally, integrating serological testing alongside molecular assays could enhance diagnostic precision by distinguishing active infections from past exposure</w:t>
      </w:r>
      <w:r w:rsidR="00764296">
        <w:rPr>
          <w:rFonts w:ascii="Arial" w:hAnsi="Arial" w:cs="Arial"/>
        </w:rPr>
        <w:t>.</w:t>
      </w:r>
    </w:p>
    <w:p w14:paraId="2F38C885" w14:textId="3C8F1B77" w:rsidR="00764296" w:rsidRPr="00273E58" w:rsidRDefault="00764296" w:rsidP="00764296">
      <w:pPr>
        <w:pStyle w:val="Body"/>
        <w:spacing w:after="0"/>
        <w:rPr>
          <w:rFonts w:ascii="Arial" w:hAnsi="Arial" w:cs="Arial"/>
          <w:b/>
          <w:bCs/>
          <w:sz w:val="22"/>
          <w:szCs w:val="22"/>
        </w:rPr>
      </w:pPr>
      <w:r>
        <w:rPr>
          <w:rFonts w:ascii="Arial" w:hAnsi="Arial" w:cs="Arial"/>
          <w:b/>
          <w:bCs/>
          <w:sz w:val="22"/>
          <w:szCs w:val="22"/>
        </w:rPr>
        <w:t>6</w:t>
      </w:r>
      <w:r w:rsidRPr="00074B45">
        <w:rPr>
          <w:rFonts w:ascii="Arial" w:hAnsi="Arial" w:cs="Arial"/>
          <w:b/>
          <w:bCs/>
          <w:sz w:val="22"/>
          <w:szCs w:val="22"/>
        </w:rPr>
        <w:t>. LIMITATIONS</w:t>
      </w:r>
    </w:p>
    <w:p w14:paraId="30716345" w14:textId="77777777" w:rsidR="00764296" w:rsidRDefault="00764296" w:rsidP="00764296">
      <w:pPr>
        <w:pStyle w:val="Body"/>
        <w:spacing w:after="0"/>
        <w:rPr>
          <w:rFonts w:ascii="Arial" w:hAnsi="Arial" w:cs="Arial"/>
        </w:rPr>
      </w:pPr>
      <w:r w:rsidRPr="00273E58">
        <w:rPr>
          <w:rFonts w:ascii="Arial" w:hAnsi="Arial" w:cs="Arial"/>
        </w:rPr>
        <w:t>This study was conducted with a relatively small sample size which may limit the generalizability of the findings to a broader population in Sudan. Additionally, the absence of detailed immunological assessments in study participants restricts the ability to determine underlying host factors influencing HSV-1 susceptibility. The reliance on a single hospital setting may not fully capture variations in HSV-1 prevalence across different geographical regions and healthcare facilities.</w:t>
      </w:r>
    </w:p>
    <w:p w14:paraId="712707C4" w14:textId="29EDE504" w:rsidR="00273E58" w:rsidRPr="00273E58" w:rsidRDefault="00273E58" w:rsidP="00273E58">
      <w:pPr>
        <w:pStyle w:val="Body"/>
        <w:spacing w:after="0"/>
        <w:rPr>
          <w:rFonts w:ascii="Arial" w:hAnsi="Arial" w:cs="Arial"/>
        </w:rPr>
      </w:pPr>
      <w:r w:rsidRPr="00273E58">
        <w:rPr>
          <w:rFonts w:ascii="Arial" w:hAnsi="Arial" w:cs="Arial"/>
        </w:rPr>
        <w:t>.</w:t>
      </w:r>
    </w:p>
    <w:p w14:paraId="30DC1808"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0692BD1B"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66D7240" w14:textId="77777777" w:rsidR="005C784C" w:rsidRPr="002B685A" w:rsidRDefault="005C784C" w:rsidP="00441B6F">
      <w:pPr>
        <w:pStyle w:val="ReferHead"/>
        <w:spacing w:after="0"/>
        <w:jc w:val="both"/>
        <w:rPr>
          <w:rFonts w:ascii="Arial" w:hAnsi="Arial" w:cs="Arial"/>
          <w:bCs/>
        </w:rPr>
      </w:pPr>
    </w:p>
    <w:p w14:paraId="6FC4D8FD" w14:textId="77777777" w:rsidR="006D76D6" w:rsidRPr="006D76D6" w:rsidRDefault="006D76D6" w:rsidP="00216575">
      <w:pPr>
        <w:pStyle w:val="ReferHead"/>
        <w:spacing w:after="0"/>
        <w:rPr>
          <w:rFonts w:ascii="Arial" w:hAnsi="Arial" w:cs="Arial"/>
        </w:rPr>
      </w:pPr>
      <w:r>
        <w:rPr>
          <w:rFonts w:ascii="Arial" w:hAnsi="Arial" w:cs="Arial"/>
          <w:b w:val="0"/>
          <w:caps w:val="0"/>
          <w:sz w:val="20"/>
        </w:rPr>
        <w:t>E</w:t>
      </w:r>
      <w:r w:rsidR="00216575">
        <w:rPr>
          <w:rFonts w:ascii="Arial" w:hAnsi="Arial" w:cs="Arial"/>
          <w:b w:val="0"/>
          <w:caps w:val="0"/>
          <w:sz w:val="20"/>
        </w:rPr>
        <w:t>thi</w:t>
      </w:r>
      <w:r>
        <w:rPr>
          <w:rFonts w:ascii="Arial" w:hAnsi="Arial" w:cs="Arial"/>
          <w:b w:val="0"/>
          <w:caps w:val="0"/>
          <w:sz w:val="20"/>
        </w:rPr>
        <w:t xml:space="preserve">cal approval for the study was obtained from the national university </w:t>
      </w:r>
      <w:r w:rsidR="00216575">
        <w:rPr>
          <w:rFonts w:ascii="Arial" w:hAnsi="Arial" w:cs="Arial"/>
          <w:b w:val="0"/>
          <w:caps w:val="0"/>
          <w:sz w:val="20"/>
        </w:rPr>
        <w:t>ethics committee. Written informed consent was secured from all study participants or their guardians.</w:t>
      </w:r>
    </w:p>
    <w:p w14:paraId="6DC556A5" w14:textId="77777777" w:rsidR="006D76D6" w:rsidRDefault="00E053D0" w:rsidP="00216575">
      <w:pPr>
        <w:pStyle w:val="ReferHead"/>
        <w:spacing w:after="0"/>
        <w:jc w:val="both"/>
        <w:rPr>
          <w:rFonts w:ascii="Arial" w:hAnsi="Arial" w:cs="Arial"/>
          <w:b w:val="0"/>
          <w:caps w:val="0"/>
          <w:sz w:val="20"/>
        </w:rPr>
      </w:pPr>
      <w:r w:rsidRPr="00E053D0">
        <w:rPr>
          <w:rFonts w:ascii="Arial" w:hAnsi="Arial" w:cs="Arial"/>
          <w:b w:val="0"/>
          <w:caps w:val="0"/>
          <w:sz w:val="20"/>
        </w:rPr>
        <w:t xml:space="preserve"> </w:t>
      </w:r>
    </w:p>
    <w:p w14:paraId="4699F825" w14:textId="77777777" w:rsidR="0041027F" w:rsidRDefault="0041027F" w:rsidP="00441B6F">
      <w:pPr>
        <w:pStyle w:val="ReferHead"/>
        <w:spacing w:after="0"/>
        <w:jc w:val="both"/>
        <w:rPr>
          <w:rFonts w:ascii="Arial" w:hAnsi="Arial" w:cs="Arial"/>
          <w:b w:val="0"/>
          <w:caps w:val="0"/>
          <w:sz w:val="20"/>
        </w:rPr>
      </w:pPr>
    </w:p>
    <w:p w14:paraId="1BD17531" w14:textId="77777777" w:rsidR="00860000" w:rsidRDefault="00860000" w:rsidP="00441B6F">
      <w:pPr>
        <w:pStyle w:val="ReferHead"/>
        <w:spacing w:after="0"/>
        <w:jc w:val="both"/>
        <w:rPr>
          <w:rFonts w:ascii="Arial" w:hAnsi="Arial" w:cs="Arial"/>
        </w:rPr>
      </w:pPr>
    </w:p>
    <w:p w14:paraId="4D8992CB" w14:textId="77777777" w:rsidR="00CF6C26" w:rsidRPr="00CF6C26" w:rsidRDefault="00A51505" w:rsidP="00CF6C26">
      <w:pPr>
        <w:pStyle w:val="ReferHead"/>
        <w:spacing w:after="0"/>
        <w:rPr>
          <w:rFonts w:ascii="Arial" w:hAnsi="Arial" w:cs="Arial"/>
          <w:bCs/>
        </w:rPr>
      </w:pPr>
      <w:r w:rsidRPr="00A51505">
        <w:rPr>
          <w:rFonts w:ascii="Arial" w:hAnsi="Arial" w:cs="Arial"/>
          <w:bCs/>
        </w:rPr>
        <w:t xml:space="preserve">References </w:t>
      </w:r>
    </w:p>
    <w:p w14:paraId="31D16637"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Looker et al., 2015</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Looker, K.J., Magaret, A.S., May, M.T., Turner, K.M.E., Vickerman, P., Gottlieb, S.L., &amp; Newman, L.M. (2015).</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Global and regional estimates of prevalent and incident herpes simplex virus type 1 infections in 2012</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PLoS ONE</w:t>
      </w:r>
      <w:r w:rsidRPr="00CF6C26">
        <w:rPr>
          <w:rFonts w:asciiTheme="minorBidi" w:hAnsiTheme="minorBidi" w:cstheme="minorBidi"/>
          <w:sz w:val="20"/>
          <w:szCs w:val="20"/>
        </w:rPr>
        <w:t>, 10(10), e0140765.</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Link</w:t>
      </w:r>
    </w:p>
    <w:p w14:paraId="494B181B"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Freeman et al., 2020</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Freeman, E.E., et al. (2020).</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Estimated global and regional incidence and prevalence of herpes simplex virus infections and genital ulcer disease in 2020: mathematical modelling analyses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Sexually Transmitted Infections</w:t>
      </w:r>
      <w:r w:rsidRPr="00CF6C26">
        <w:rPr>
          <w:rFonts w:asciiTheme="minorBidi" w:hAnsiTheme="minorBidi" w:cstheme="minorBidi"/>
          <w:sz w:val="20"/>
          <w:szCs w:val="20"/>
        </w:rPr>
        <w:t>, 101(4), 214–221.</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Link</w:t>
      </w:r>
    </w:p>
    <w:p w14:paraId="60E8B2A0"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Whitley, 2015</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Whitley, R.J. (2015).</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Neonatal herpes simplex virus infection: pathogenesis, diagnosis, and management</w:t>
      </w:r>
      <w:r w:rsidRPr="00CF6C26">
        <w:rPr>
          <w:rFonts w:asciiTheme="minorBidi" w:hAnsiTheme="minorBidi" w:cstheme="minorBidi"/>
          <w:sz w:val="20"/>
          <w:szCs w:val="20"/>
        </w:rPr>
        <w:t>. In</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Hot Topics in Infection and Immunity in Children VII</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(pp. 221–236). Springer.</w:t>
      </w:r>
    </w:p>
    <w:p w14:paraId="5A1996C4"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Johnston et al., 2013</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Johnston, C., Magaret, A., Son, H., et al. (2013).</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Viral shedding 1 year following first-episode genital HSV-1 infection</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JAMA</w:t>
      </w:r>
      <w:r w:rsidRPr="00CF6C26">
        <w:rPr>
          <w:rFonts w:asciiTheme="minorBidi" w:hAnsiTheme="minorBidi" w:cstheme="minorBidi"/>
          <w:sz w:val="20"/>
          <w:szCs w:val="20"/>
        </w:rPr>
        <w:t>, 328(17), 1730–1739.</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Link</w:t>
      </w:r>
    </w:p>
    <w:p w14:paraId="22B9B399"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Schiffer &amp; Corey, 2013</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Schiffer, J.T., &amp; Corey, L. (2013).</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Rapid host immune response and viral dynamics in herpes simplex virus-2 infection</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Nature Medicine</w:t>
      </w:r>
      <w:r w:rsidRPr="00CF6C26">
        <w:rPr>
          <w:rFonts w:asciiTheme="minorBidi" w:hAnsiTheme="minorBidi" w:cstheme="minorBidi"/>
          <w:sz w:val="20"/>
          <w:szCs w:val="20"/>
        </w:rPr>
        <w:t>, 19(3), 280–290.</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Link</w:t>
      </w:r>
    </w:p>
    <w:p w14:paraId="492BB89E"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Wald et al., 2006</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Wald, A., et al. (2006).</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Stress and herpes simplex virus reactivation: a review of mechanisms and implications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Journal of Clinical Virology</w:t>
      </w:r>
      <w:r w:rsidRPr="00CF6C26">
        <w:rPr>
          <w:rFonts w:asciiTheme="minorBidi" w:hAnsiTheme="minorBidi" w:cstheme="minorBidi"/>
          <w:sz w:val="20"/>
          <w:szCs w:val="20"/>
        </w:rPr>
        <w:t>, 36(3), 189–193.</w:t>
      </w:r>
    </w:p>
    <w:p w14:paraId="2D565C8B"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Tyring, 2006</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Tyring, S.K. (2006).</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Herpes simplex virus infections in patients with HIV/AIDS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Herpes</w:t>
      </w:r>
      <w:r w:rsidRPr="00CF6C26">
        <w:rPr>
          <w:rFonts w:asciiTheme="minorBidi" w:hAnsiTheme="minorBidi" w:cstheme="minorBidi"/>
          <w:sz w:val="20"/>
          <w:szCs w:val="20"/>
        </w:rPr>
        <w:t>, 13(Suppl 1), 30A–35A.</w:t>
      </w:r>
    </w:p>
    <w:p w14:paraId="6528FD7C"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Fife et al., 2008</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Fife, K.H., et al. (2008).</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Psychological impact of genital herpes: stigma, anxiety, and coping</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Sexually Transmitted Diseases</w:t>
      </w:r>
      <w:r w:rsidRPr="00CF6C26">
        <w:rPr>
          <w:rFonts w:asciiTheme="minorBidi" w:hAnsiTheme="minorBidi" w:cstheme="minorBidi"/>
          <w:sz w:val="20"/>
          <w:szCs w:val="20"/>
        </w:rPr>
        <w:t>, 35(7), 629–633.</w:t>
      </w:r>
    </w:p>
    <w:p w14:paraId="709178B4"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lastRenderedPageBreak/>
        <w:t>Booy et al., 2014</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Booy, R., et al. (2014).</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Public health strategies for herpes simplex virus: education, prevention, and early treatment</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Vaccine</w:t>
      </w:r>
      <w:r w:rsidRPr="00CF6C26">
        <w:rPr>
          <w:rFonts w:asciiTheme="minorBidi" w:hAnsiTheme="minorBidi" w:cstheme="minorBidi"/>
          <w:sz w:val="20"/>
          <w:szCs w:val="20"/>
        </w:rPr>
        <w:t>, 32(14), 1631–1636.</w:t>
      </w:r>
    </w:p>
    <w:p w14:paraId="17D0787F"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Noyes et al., 2002</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Noyes, D., et al. (2002).</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Clinical features of HSV keratoconjunctivitis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American Journal of Ophthalmology</w:t>
      </w:r>
      <w:r w:rsidRPr="00CF6C26">
        <w:rPr>
          <w:rFonts w:asciiTheme="minorBidi" w:hAnsiTheme="minorBidi" w:cstheme="minorBidi"/>
          <w:sz w:val="20"/>
          <w:szCs w:val="20"/>
        </w:rPr>
        <w:t>, 134(5), 620–625.</w:t>
      </w:r>
    </w:p>
    <w:p w14:paraId="33AB5137"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Romano et al., 2005</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Romano, A., et al. (2005).</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Herpetic keratitis in immunocompromised patients: clinical patterns and outcomes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Cornea</w:t>
      </w:r>
      <w:r w:rsidRPr="00CF6C26">
        <w:rPr>
          <w:rFonts w:asciiTheme="minorBidi" w:hAnsiTheme="minorBidi" w:cstheme="minorBidi"/>
          <w:sz w:val="20"/>
          <w:szCs w:val="20"/>
        </w:rPr>
        <w:t>, 24(3), 254–258.</w:t>
      </w:r>
    </w:p>
    <w:p w14:paraId="4E5783D8"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Ben-Ami et al., 2012</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Ben-Ami, R., et al. (2012).</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Diabetes mellitus and susceptibility to herpetic eye disease</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Diabetes Care</w:t>
      </w:r>
      <w:r w:rsidRPr="00CF6C26">
        <w:rPr>
          <w:rFonts w:asciiTheme="minorBidi" w:hAnsiTheme="minorBidi" w:cstheme="minorBidi"/>
          <w:sz w:val="20"/>
          <w:szCs w:val="20"/>
        </w:rPr>
        <w:t>, 35(3), 525–529.</w:t>
      </w:r>
    </w:p>
    <w:p w14:paraId="0E69DFA5"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Hayward et al., 2008</w:t>
      </w:r>
      <w:r w:rsidRPr="00CF6C26">
        <w:rPr>
          <w:rStyle w:val="apple-converted-space"/>
          <w:rFonts w:asciiTheme="minorBidi" w:hAnsiTheme="minorBidi" w:cstheme="minorBidi"/>
          <w:b/>
          <w:bCs/>
          <w:sz w:val="20"/>
          <w:szCs w:val="20"/>
        </w:rPr>
        <w:t> </w:t>
      </w:r>
      <w:r w:rsidRPr="00CF6C26">
        <w:rPr>
          <w:rFonts w:asciiTheme="minorBidi" w:hAnsiTheme="minorBidi" w:cstheme="minorBidi"/>
          <w:sz w:val="20"/>
          <w:szCs w:val="20"/>
        </w:rPr>
        <w:t>Hayward, J., et al. (2008).</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Topical corticosteroids and HSV-1 reactivation in ocular tissues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British Journal of Ophthalmology</w:t>
      </w:r>
      <w:r w:rsidRPr="00CF6C26">
        <w:rPr>
          <w:rFonts w:asciiTheme="minorBidi" w:hAnsiTheme="minorBidi" w:cstheme="minorBidi"/>
          <w:sz w:val="20"/>
          <w:szCs w:val="20"/>
        </w:rPr>
        <w:t>, 92(3), 365–368.</w:t>
      </w:r>
    </w:p>
    <w:p w14:paraId="0EB57F2E"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El-Sayed et al., 2020</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El-Sayed, M., et al. (2020).</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Epidemiological assessment of HSV-1 keratoconjunctivitis in Sudan</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Sudan Journal of Ophthalmology</w:t>
      </w:r>
      <w:r w:rsidRPr="00CF6C26">
        <w:rPr>
          <w:rFonts w:asciiTheme="minorBidi" w:hAnsiTheme="minorBidi" w:cstheme="minorBidi"/>
          <w:sz w:val="20"/>
          <w:szCs w:val="20"/>
        </w:rPr>
        <w:t>, 12(2), 45–50.</w:t>
      </w:r>
    </w:p>
    <w:p w14:paraId="63DCD110" w14:textId="77777777" w:rsidR="00CF6C26" w:rsidRDefault="00CF6C26" w:rsidP="00CF6C26">
      <w:pPr>
        <w:pStyle w:val="NormalWeb"/>
        <w:numPr>
          <w:ilvl w:val="0"/>
          <w:numId w:val="33"/>
        </w:numPr>
        <w:rPr>
          <w:rFonts w:asciiTheme="minorBidi" w:hAnsiTheme="minorBidi" w:cstheme="minorBidi"/>
          <w:sz w:val="20"/>
          <w:szCs w:val="20"/>
        </w:rPr>
      </w:pPr>
      <w:r w:rsidRPr="00CF6C26">
        <w:rPr>
          <w:rStyle w:val="Strong"/>
          <w:rFonts w:asciiTheme="minorBidi" w:hAnsiTheme="minorBidi" w:cstheme="minorBidi"/>
          <w:b w:val="0"/>
          <w:bCs w:val="0"/>
          <w:sz w:val="20"/>
          <w:szCs w:val="20"/>
        </w:rPr>
        <w:t>Kammoun et al., 2021</w:t>
      </w:r>
      <w:r w:rsidRPr="00CF6C26">
        <w:rPr>
          <w:rStyle w:val="apple-converted-space"/>
          <w:rFonts w:asciiTheme="minorBidi" w:hAnsiTheme="minorBidi" w:cstheme="minorBidi"/>
          <w:sz w:val="20"/>
          <w:szCs w:val="20"/>
        </w:rPr>
        <w:t> </w:t>
      </w:r>
      <w:r w:rsidRPr="00CF6C26">
        <w:rPr>
          <w:rFonts w:asciiTheme="minorBidi" w:hAnsiTheme="minorBidi" w:cstheme="minorBidi"/>
          <w:sz w:val="20"/>
          <w:szCs w:val="20"/>
        </w:rPr>
        <w:t>Kammoun, R., et al. (2021).</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Real-time PCR detection of HSV-1 in keratoconjunctivitis</w:t>
      </w:r>
      <w:r>
        <w:rPr>
          <w:rStyle w:val="Emphasis"/>
          <w:rFonts w:asciiTheme="minorBidi" w:hAnsiTheme="minorBidi" w:cstheme="minorBidi"/>
          <w:sz w:val="20"/>
          <w:szCs w:val="20"/>
        </w:rPr>
        <w:t xml:space="preserve"> </w:t>
      </w:r>
      <w:r w:rsidRPr="00CF6C26">
        <w:rPr>
          <w:rStyle w:val="Emphasis"/>
          <w:rFonts w:asciiTheme="minorBidi" w:hAnsiTheme="minorBidi" w:cstheme="minorBidi"/>
          <w:sz w:val="20"/>
          <w:szCs w:val="20"/>
        </w:rPr>
        <w:t>patients in Khartoum, Sudan</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African Journal of Laboratory Medicine</w:t>
      </w:r>
      <w:r w:rsidRPr="00CF6C26">
        <w:rPr>
          <w:rFonts w:asciiTheme="minorBidi" w:hAnsiTheme="minorBidi" w:cstheme="minorBidi"/>
          <w:sz w:val="20"/>
          <w:szCs w:val="20"/>
        </w:rPr>
        <w:t>, 10(1), a1234.</w:t>
      </w:r>
    </w:p>
    <w:p w14:paraId="294D4C59"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World Medical Association. (2013).</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Declaration of Helsinki: Ethical Principles for Medical Research Involving Human Subjects</w:t>
      </w:r>
      <w:r w:rsidRPr="00CF6C26">
        <w:rPr>
          <w:rFonts w:asciiTheme="minorBidi" w:hAnsiTheme="minorBidi" w:cstheme="minorBidi"/>
          <w:sz w:val="20"/>
          <w:szCs w:val="20"/>
        </w:rPr>
        <w:t>.</w:t>
      </w:r>
    </w:p>
    <w:p w14:paraId="1576BDA3"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Maini, R., Zhang, Y., &amp; Narayanan, R. (2024). Advancements in herpes simplex virus diagnostics: Multiplex and droplet digital PCR applications.</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Virology Advances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11</w:t>
      </w:r>
      <w:r w:rsidRPr="00CF6C26">
        <w:rPr>
          <w:rFonts w:asciiTheme="minorBidi" w:hAnsiTheme="minorBidi" w:cstheme="minorBidi"/>
          <w:sz w:val="20"/>
          <w:szCs w:val="20"/>
        </w:rPr>
        <w:t>(3), 89–102.</w:t>
      </w:r>
    </w:p>
    <w:p w14:paraId="0755DEC0"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Xu, L., Cheng, S., &amp; Tanaka, K. (2022). Comparative assessment of droplet digital PCR for ocular herpes detection.</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Molecular Diagnostics Today</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16</w:t>
      </w:r>
      <w:r w:rsidRPr="00CF6C26">
        <w:rPr>
          <w:rFonts w:asciiTheme="minorBidi" w:hAnsiTheme="minorBidi" w:cstheme="minorBidi"/>
          <w:sz w:val="20"/>
          <w:szCs w:val="20"/>
        </w:rPr>
        <w:t>(2), 78–85.</w:t>
      </w:r>
    </w:p>
    <w:p w14:paraId="044F18A3"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Labib, B., &amp; Chigbu, D. I. (2022). Updates on antiviral strategies for ocular herpes infections.</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International Journal of Ophthalmic Pharmacology</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8</w:t>
      </w:r>
      <w:r w:rsidRPr="00CF6C26">
        <w:rPr>
          <w:rFonts w:asciiTheme="minorBidi" w:hAnsiTheme="minorBidi" w:cstheme="minorBidi"/>
          <w:sz w:val="20"/>
          <w:szCs w:val="20"/>
        </w:rPr>
        <w:t>(1), 45–53.</w:t>
      </w:r>
    </w:p>
    <w:p w14:paraId="6970D11F"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Mtshali, L., Dlamini, Z., &amp; Mthembu, T. (2021). Herpes simplex virus-1 PCR in respiratory and ocular infections: Clinical utility in immunocompromised patients.</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American Journal of Clinical Pathology</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150</w:t>
      </w:r>
      <w:r w:rsidRPr="00CF6C26">
        <w:rPr>
          <w:rFonts w:asciiTheme="minorBidi" w:hAnsiTheme="minorBidi" w:cstheme="minorBidi"/>
          <w:sz w:val="20"/>
          <w:szCs w:val="20"/>
        </w:rPr>
        <w:t>(6), 522–530.</w:t>
      </w:r>
    </w:p>
    <w:p w14:paraId="28137D09"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Sugita, T., Hayashi, S., &amp; Kato, M. (2023). Logistic regression applications in ophthalmic epidemiology: Modeling keratitis risk factors.</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Statistical Methods in Medical Research</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32</w:t>
      </w:r>
      <w:r w:rsidRPr="00CF6C26">
        <w:rPr>
          <w:rFonts w:asciiTheme="minorBidi" w:hAnsiTheme="minorBidi" w:cstheme="minorBidi"/>
          <w:sz w:val="20"/>
          <w:szCs w:val="20"/>
        </w:rPr>
        <w:t>(1), 45–56.</w:t>
      </w:r>
    </w:p>
    <w:p w14:paraId="0EB095E5"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Epstein, R. J., Saral, R., &amp; Whitley, R. J. (1990). Herpes simplex virus DNA presence in epithelial vs. stromal keratitis: Implications for PCR detection.</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Investigative Ophthalmology &amp; Visual Science</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31</w:t>
      </w:r>
      <w:r w:rsidRPr="00CF6C26">
        <w:rPr>
          <w:rFonts w:asciiTheme="minorBidi" w:hAnsiTheme="minorBidi" w:cstheme="minorBidi"/>
          <w:sz w:val="20"/>
          <w:szCs w:val="20"/>
        </w:rPr>
        <w:t>(8), 1688–1694.</w:t>
      </w:r>
    </w:p>
    <w:p w14:paraId="27731A94" w14:textId="77777777" w:rsidR="00CF6C26" w:rsidRP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Nasrallah, M., &amp; Ramani, S. (2017). Seroprevalence of HSV-1 in Arab populations: Epidemiological insights and public health implications.</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Journal of Global Infectious Diseases</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9</w:t>
      </w:r>
      <w:r w:rsidRPr="00CF6C26">
        <w:rPr>
          <w:rFonts w:asciiTheme="minorBidi" w:hAnsiTheme="minorBidi" w:cstheme="minorBidi"/>
          <w:sz w:val="20"/>
          <w:szCs w:val="20"/>
        </w:rPr>
        <w:t>(1), 3–8.</w:t>
      </w:r>
    </w:p>
    <w:p w14:paraId="05CF75F0" w14:textId="77777777" w:rsidR="00CF6C26" w:rsidRDefault="00CF6C26" w:rsidP="00CF6C26">
      <w:pPr>
        <w:pStyle w:val="NormalWeb"/>
        <w:numPr>
          <w:ilvl w:val="0"/>
          <w:numId w:val="33"/>
        </w:numPr>
        <w:rPr>
          <w:rFonts w:asciiTheme="minorBidi" w:hAnsiTheme="minorBidi" w:cstheme="minorBidi"/>
          <w:sz w:val="20"/>
          <w:szCs w:val="20"/>
        </w:rPr>
      </w:pPr>
      <w:r w:rsidRPr="00CF6C26">
        <w:rPr>
          <w:rFonts w:asciiTheme="minorBidi" w:hAnsiTheme="minorBidi" w:cstheme="minorBidi"/>
          <w:sz w:val="20"/>
          <w:szCs w:val="20"/>
        </w:rPr>
        <w:t>Antony, N., Gebrehiwet, H., &amp; Yusuf, M. (2024). Molecular epidemiology of ocular herpes simplex virus infections in East Africa.</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Journal of Clinical Ophthalmic Research</w:t>
      </w:r>
      <w:r w:rsidRPr="00CF6C26">
        <w:rPr>
          <w:rFonts w:asciiTheme="minorBidi" w:hAnsiTheme="minorBidi" w:cstheme="minorBidi"/>
          <w:sz w:val="20"/>
          <w:szCs w:val="20"/>
        </w:rPr>
        <w:t>,</w:t>
      </w:r>
      <w:r w:rsidRPr="00CF6C26">
        <w:rPr>
          <w:rStyle w:val="apple-converted-space"/>
          <w:rFonts w:asciiTheme="minorBidi" w:hAnsiTheme="minorBidi" w:cstheme="minorBidi"/>
          <w:sz w:val="20"/>
          <w:szCs w:val="20"/>
        </w:rPr>
        <w:t> </w:t>
      </w:r>
      <w:r w:rsidRPr="00CF6C26">
        <w:rPr>
          <w:rStyle w:val="Emphasis"/>
          <w:rFonts w:asciiTheme="minorBidi" w:hAnsiTheme="minorBidi" w:cstheme="minorBidi"/>
          <w:sz w:val="20"/>
          <w:szCs w:val="20"/>
        </w:rPr>
        <w:t>22</w:t>
      </w:r>
      <w:r w:rsidRPr="00CF6C26">
        <w:rPr>
          <w:rFonts w:asciiTheme="minorBidi" w:hAnsiTheme="minorBidi" w:cstheme="minorBidi"/>
          <w:sz w:val="20"/>
          <w:szCs w:val="20"/>
        </w:rPr>
        <w:t>(1), 15–26.</w:t>
      </w:r>
    </w:p>
    <w:p w14:paraId="02EC2752"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Al-Swailem, S. A., &amp; Abdel-Aziz, M. (2014). Herpes simplex virus in eye infections: A Saudi hospital-based study.</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Saudi Journal of Ophthalmology</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28</w:t>
      </w:r>
      <w:r w:rsidRPr="00E23205">
        <w:rPr>
          <w:rFonts w:asciiTheme="minorBidi" w:hAnsiTheme="minorBidi" w:cstheme="minorBidi"/>
          <w:color w:val="000000"/>
          <w:sz w:val="20"/>
          <w:szCs w:val="20"/>
        </w:rPr>
        <w:t>(3), 178–182.</w:t>
      </w:r>
    </w:p>
    <w:p w14:paraId="38AD31EE"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Badawy, M. E., Tawfik, M. A., &amp; El-Khateeb, M. A. (2008). Detection of herpes simplex virus type 1 in patients with keratoconjunctivitis using PCR technique.</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Egyptian Journal of Medical Microbiology</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17</w:t>
      </w:r>
      <w:r w:rsidRPr="00E23205">
        <w:rPr>
          <w:rFonts w:asciiTheme="minorBidi" w:hAnsiTheme="minorBidi" w:cstheme="minorBidi"/>
          <w:color w:val="000000"/>
          <w:sz w:val="20"/>
          <w:szCs w:val="20"/>
        </w:rPr>
        <w:t>(2), 123–130.</w:t>
      </w:r>
    </w:p>
    <w:p w14:paraId="676159B1"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Matar, H., Younis, A., &amp; Abul-Azm, H. (2010). Prevalence and clinical features of HSV-1 ocular infections in Jordan.</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Jordan Journal of Ophthalmic Medicine</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24</w:t>
      </w:r>
      <w:r w:rsidRPr="00E23205">
        <w:rPr>
          <w:rFonts w:asciiTheme="minorBidi" w:hAnsiTheme="minorBidi" w:cstheme="minorBidi"/>
          <w:color w:val="000000"/>
          <w:sz w:val="20"/>
          <w:szCs w:val="20"/>
        </w:rPr>
        <w:t>(1), 13–18.</w:t>
      </w:r>
    </w:p>
    <w:p w14:paraId="1CBAD12A"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Al-Dahash, L. M., Al-Ahmad, M. M., &amp; Al-Mutairi, F. M. (2015). Herpes simplex virus keratitis in the UAE: Prevalence and clinical presentation.</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Middle East Journal of Ophthalmology</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22</w:t>
      </w:r>
      <w:r w:rsidRPr="00E23205">
        <w:rPr>
          <w:rFonts w:asciiTheme="minorBidi" w:hAnsiTheme="minorBidi" w:cstheme="minorBidi"/>
          <w:color w:val="000000"/>
          <w:sz w:val="20"/>
          <w:szCs w:val="20"/>
        </w:rPr>
        <w:t>(4), 321–328.</w:t>
      </w:r>
    </w:p>
    <w:p w14:paraId="45F70762"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Al-Darwish, M. S., Al-Salem, H. M., &amp; Al-Shammari, A. A. (2015). Risk factors and clinical features of HSV ocular infections in Kuwaiti patients.</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Kuwait Medical Journal</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47</w:t>
      </w:r>
      <w:r w:rsidRPr="00E23205">
        <w:rPr>
          <w:rFonts w:asciiTheme="minorBidi" w:hAnsiTheme="minorBidi" w:cstheme="minorBidi"/>
          <w:color w:val="000000"/>
          <w:sz w:val="20"/>
          <w:szCs w:val="20"/>
        </w:rPr>
        <w:t>(3), 210–216.</w:t>
      </w:r>
    </w:p>
    <w:p w14:paraId="30E30D40"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Amara, H., Ben Messaoud, C., &amp; Triki, H. (2017). Prevalence of herpes simplex virus type 1 among Tunisian patients with keratitis.</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African Journal of Virology</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9</w:t>
      </w:r>
      <w:r w:rsidRPr="00E23205">
        <w:rPr>
          <w:rFonts w:asciiTheme="minorBidi" w:hAnsiTheme="minorBidi" w:cstheme="minorBidi"/>
          <w:color w:val="000000"/>
          <w:sz w:val="20"/>
          <w:szCs w:val="20"/>
        </w:rPr>
        <w:t>(4), 47–52.</w:t>
      </w:r>
    </w:p>
    <w:p w14:paraId="11801124"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Jaidane, H., Ben Salem, M., &amp; Hammami, A. (2016). Herpes simplex virus keratitis: A Moroccan perspective.</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North African Journal of Ophthalmology</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12</w:t>
      </w:r>
      <w:r w:rsidRPr="00E23205">
        <w:rPr>
          <w:rFonts w:asciiTheme="minorBidi" w:hAnsiTheme="minorBidi" w:cstheme="minorBidi"/>
          <w:color w:val="000000"/>
          <w:sz w:val="20"/>
          <w:szCs w:val="20"/>
        </w:rPr>
        <w:t>(2), 81–88.</w:t>
      </w:r>
    </w:p>
    <w:p w14:paraId="791E5117"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World Health Organization (WHO). (2024).</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Herpes simplex virus: Global burden and surveillance strategies</w:t>
      </w:r>
      <w:r w:rsidRPr="00E23205">
        <w:rPr>
          <w:rFonts w:asciiTheme="minorBidi" w:hAnsiTheme="minorBidi" w:cstheme="minorBidi"/>
          <w:color w:val="000000"/>
          <w:sz w:val="20"/>
          <w:szCs w:val="20"/>
        </w:rPr>
        <w:t>.</w:t>
      </w:r>
    </w:p>
    <w:p w14:paraId="1B19D658"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Holbrook, M. A., Saad, R. E., &amp; Raad, I. (2010). Corticosteroid therapy and herpetic keratitis: Case series and regional trends.</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Levant Journal of Infectious Diseases</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6</w:t>
      </w:r>
      <w:r w:rsidRPr="00E23205">
        <w:rPr>
          <w:rFonts w:asciiTheme="minorBidi" w:hAnsiTheme="minorBidi" w:cstheme="minorBidi"/>
          <w:color w:val="000000"/>
          <w:sz w:val="20"/>
          <w:szCs w:val="20"/>
        </w:rPr>
        <w:t>(1), 44–49.</w:t>
      </w:r>
    </w:p>
    <w:p w14:paraId="4940B287"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Yun, H. J., Park, M. K., &amp; Kim, T. J. (2020). Role of CD4+ T cells and IL-6 in the immunopathogenesis of HSV-1 stromal keratitis.</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Experimental Eye Research</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198</w:t>
      </w:r>
      <w:r w:rsidRPr="00E23205">
        <w:rPr>
          <w:rFonts w:asciiTheme="minorBidi" w:hAnsiTheme="minorBidi" w:cstheme="minorBidi"/>
          <w:color w:val="000000"/>
          <w:sz w:val="20"/>
          <w:szCs w:val="20"/>
        </w:rPr>
        <w:t>, 108138.</w:t>
      </w:r>
    </w:p>
    <w:p w14:paraId="520DC699"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Mtshali, L., Dlamini, Z., &amp; Mthembu, T. (2023). Epidemiological patterns of herpes simplex virus keratitis in rural South Africa: A hospital-based study.</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Southern African Medical Journal</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101</w:t>
      </w:r>
      <w:r w:rsidRPr="00E23205">
        <w:rPr>
          <w:rFonts w:asciiTheme="minorBidi" w:hAnsiTheme="minorBidi" w:cstheme="minorBidi"/>
          <w:color w:val="000000"/>
          <w:sz w:val="20"/>
          <w:szCs w:val="20"/>
        </w:rPr>
        <w:t>(2), 112–120.</w:t>
      </w:r>
    </w:p>
    <w:p w14:paraId="7588C873"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Kasule, H., Mayanja, B., &amp; Musoke, D. (2014). Ocular infectious disease surveillance across central Africa: A neglected need.</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Pan African Journal of Public Health</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7</w:t>
      </w:r>
      <w:r w:rsidRPr="00E23205">
        <w:rPr>
          <w:rFonts w:asciiTheme="minorBidi" w:hAnsiTheme="minorBidi" w:cstheme="minorBidi"/>
          <w:color w:val="000000"/>
          <w:sz w:val="20"/>
          <w:szCs w:val="20"/>
        </w:rPr>
        <w:t>(1), 88–94.</w:t>
      </w:r>
    </w:p>
    <w:p w14:paraId="1B7EE10F"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M’Garrech, M., Guindolet, D., &amp; Baudouin, C. (2017). Genotypic assays for antiviral resistance in HSV: Clinical implications for ocular disease.</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Journal of Ophthalmic Infection and Immunology</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9</w:t>
      </w:r>
      <w:r w:rsidRPr="00E23205">
        <w:rPr>
          <w:rFonts w:asciiTheme="minorBidi" w:hAnsiTheme="minorBidi" w:cstheme="minorBidi"/>
          <w:color w:val="000000"/>
          <w:sz w:val="20"/>
          <w:szCs w:val="20"/>
        </w:rPr>
        <w:t>(3), 154–162.</w:t>
      </w:r>
    </w:p>
    <w:p w14:paraId="6D8CCAE6" w14:textId="77777777" w:rsidR="00E23205" w:rsidRPr="00E23205" w:rsidRDefault="00E23205" w:rsidP="00E23205">
      <w:pPr>
        <w:pStyle w:val="NormalWeb"/>
        <w:numPr>
          <w:ilvl w:val="0"/>
          <w:numId w:val="33"/>
        </w:numPr>
        <w:rPr>
          <w:rFonts w:asciiTheme="minorBidi" w:hAnsiTheme="minorBidi" w:cstheme="minorBidi"/>
          <w:color w:val="000000"/>
          <w:sz w:val="20"/>
          <w:szCs w:val="20"/>
        </w:rPr>
      </w:pPr>
      <w:r w:rsidRPr="00E23205">
        <w:rPr>
          <w:rFonts w:asciiTheme="minorBidi" w:hAnsiTheme="minorBidi" w:cstheme="minorBidi"/>
          <w:color w:val="000000"/>
          <w:sz w:val="20"/>
          <w:szCs w:val="20"/>
        </w:rPr>
        <w:t>Wang, Y., Patel, N., &amp; Moyo, T. (2024). Mobile diagnostics for ocular infections: Feasibility of PCR platforms in low-resource settings.</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Global Health Technology Journal</w:t>
      </w:r>
      <w:r w:rsidRPr="00E23205">
        <w:rPr>
          <w:rFonts w:asciiTheme="minorBidi" w:hAnsiTheme="minorBidi" w:cstheme="minorBidi"/>
          <w:color w:val="000000"/>
          <w:sz w:val="20"/>
          <w:szCs w:val="20"/>
        </w:rPr>
        <w:t>,</w:t>
      </w:r>
      <w:r w:rsidRPr="00E23205">
        <w:rPr>
          <w:rStyle w:val="apple-converted-space"/>
          <w:rFonts w:asciiTheme="minorBidi" w:hAnsiTheme="minorBidi" w:cstheme="minorBidi"/>
          <w:color w:val="000000"/>
          <w:sz w:val="20"/>
          <w:szCs w:val="20"/>
        </w:rPr>
        <w:t> </w:t>
      </w:r>
      <w:r w:rsidRPr="00E23205">
        <w:rPr>
          <w:rStyle w:val="Emphasis"/>
          <w:rFonts w:asciiTheme="minorBidi" w:hAnsiTheme="minorBidi" w:cstheme="minorBidi"/>
          <w:color w:val="000000"/>
          <w:sz w:val="20"/>
          <w:szCs w:val="20"/>
        </w:rPr>
        <w:t>5</w:t>
      </w:r>
      <w:r w:rsidRPr="00E23205">
        <w:rPr>
          <w:rFonts w:asciiTheme="minorBidi" w:hAnsiTheme="minorBidi" w:cstheme="minorBidi"/>
          <w:color w:val="000000"/>
          <w:sz w:val="20"/>
          <w:szCs w:val="20"/>
        </w:rPr>
        <w:t>(2), 88–96.</w:t>
      </w:r>
    </w:p>
    <w:p w14:paraId="4D50BA36" w14:textId="77777777" w:rsidR="00E23205" w:rsidRPr="00CF6C26" w:rsidRDefault="00E23205" w:rsidP="00E23205">
      <w:pPr>
        <w:pStyle w:val="NormalWeb"/>
        <w:ind w:left="720"/>
        <w:rPr>
          <w:rFonts w:asciiTheme="minorBidi" w:hAnsiTheme="minorBidi" w:cstheme="minorBidi"/>
          <w:sz w:val="20"/>
          <w:szCs w:val="20"/>
        </w:rPr>
      </w:pPr>
    </w:p>
    <w:p w14:paraId="2D048FBF" w14:textId="77777777" w:rsidR="00CF6C26" w:rsidRPr="00CF6C26" w:rsidRDefault="00CF6C26" w:rsidP="00CF6C26">
      <w:pPr>
        <w:pStyle w:val="NormalWeb"/>
        <w:ind w:left="720"/>
        <w:rPr>
          <w:rFonts w:asciiTheme="minorBidi" w:hAnsiTheme="minorBidi" w:cstheme="minorBidi"/>
          <w:sz w:val="20"/>
          <w:szCs w:val="20"/>
        </w:rPr>
      </w:pPr>
    </w:p>
    <w:p w14:paraId="230B5BF8" w14:textId="77777777" w:rsidR="00A51505" w:rsidRPr="00A51505" w:rsidRDefault="00A51505" w:rsidP="00A51505">
      <w:pPr>
        <w:pStyle w:val="ReferHead"/>
        <w:spacing w:after="0"/>
        <w:jc w:val="both"/>
        <w:rPr>
          <w:rFonts w:ascii="Arial" w:hAnsi="Arial" w:cs="Arial"/>
          <w:b w:val="0"/>
          <w:bCs/>
        </w:rPr>
      </w:pPr>
    </w:p>
    <w:p w14:paraId="05D3FACF" w14:textId="77777777" w:rsidR="00790ADA" w:rsidRPr="00FB3A86" w:rsidRDefault="00790ADA" w:rsidP="00441B6F">
      <w:pPr>
        <w:pStyle w:val="ReferHead"/>
        <w:spacing w:after="0"/>
        <w:jc w:val="both"/>
        <w:rPr>
          <w:rFonts w:ascii="Arial" w:hAnsi="Arial" w:cs="Arial"/>
        </w:rPr>
      </w:pPr>
    </w:p>
    <w:p w14:paraId="30499624" w14:textId="77777777" w:rsidR="00441B6F" w:rsidRDefault="00441B6F" w:rsidP="00441B6F">
      <w:pPr>
        <w:pStyle w:val="Body"/>
        <w:spacing w:after="0"/>
        <w:jc w:val="left"/>
        <w:rPr>
          <w:rFonts w:ascii="Arial" w:hAnsi="Arial" w:cs="Arial"/>
        </w:rPr>
      </w:pPr>
    </w:p>
    <w:p w14:paraId="1211ACBC" w14:textId="77777777" w:rsidR="00B01FCD" w:rsidRPr="00FB3A86" w:rsidRDefault="00B01FCD" w:rsidP="00441B6F">
      <w:pPr>
        <w:pStyle w:val="Reference"/>
        <w:numPr>
          <w:ilvl w:val="0"/>
          <w:numId w:val="0"/>
        </w:numPr>
        <w:spacing w:line="240" w:lineRule="auto"/>
        <w:rPr>
          <w:rFonts w:ascii="Arial" w:hAnsi="Arial" w:cs="Arial"/>
        </w:rPr>
      </w:pPr>
    </w:p>
    <w:p w14:paraId="4B1C70FA" w14:textId="77777777" w:rsidR="00B01FCD" w:rsidRPr="00FB3A86" w:rsidRDefault="00B01FCD" w:rsidP="00441B6F">
      <w:pPr>
        <w:pStyle w:val="Appendix"/>
        <w:spacing w:after="0"/>
        <w:jc w:val="both"/>
        <w:rPr>
          <w:rFonts w:ascii="Arial" w:hAnsi="Arial" w:cs="Arial"/>
          <w:b w:val="0"/>
        </w:rPr>
      </w:pPr>
    </w:p>
    <w:sectPr w:rsidR="00B01FCD" w:rsidRPr="00FB3A86" w:rsidSect="003E133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82F3A" w14:textId="77777777" w:rsidR="00F86AF0" w:rsidRDefault="00F86AF0" w:rsidP="00C37E61">
      <w:r>
        <w:separator/>
      </w:r>
    </w:p>
  </w:endnote>
  <w:endnote w:type="continuationSeparator" w:id="0">
    <w:p w14:paraId="0DD5C889" w14:textId="77777777" w:rsidR="00F86AF0" w:rsidRDefault="00F86A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AA20" w14:textId="77777777" w:rsidR="003E1335" w:rsidRDefault="003E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B4A" w14:textId="77777777" w:rsidR="003E1335" w:rsidRDefault="003E1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6F60" w14:textId="77777777" w:rsidR="009E048A" w:rsidRDefault="009E048A">
    <w:pPr>
      <w:pStyle w:val="Footer"/>
      <w:rPr>
        <w:rFonts w:ascii="Arial" w:hAnsi="Arial" w:cs="Arial"/>
        <w:sz w:val="16"/>
      </w:rPr>
    </w:pPr>
  </w:p>
  <w:p w14:paraId="5AAE9E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7FCB815" w14:textId="77777777" w:rsidR="009E048A" w:rsidRDefault="009E048A">
    <w:pPr>
      <w:pStyle w:val="Footer"/>
      <w:rPr>
        <w:rFonts w:ascii="Arial" w:hAnsi="Arial" w:cs="Arial"/>
        <w:sz w:val="16"/>
      </w:rPr>
    </w:pPr>
  </w:p>
  <w:p w14:paraId="352EE6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B1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6F35" w14:textId="77777777" w:rsidR="00F86AF0" w:rsidRDefault="00F86AF0" w:rsidP="00C37E61">
      <w:r>
        <w:separator/>
      </w:r>
    </w:p>
  </w:footnote>
  <w:footnote w:type="continuationSeparator" w:id="0">
    <w:p w14:paraId="19331234" w14:textId="77777777" w:rsidR="00F86AF0" w:rsidRDefault="00F86A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6CF2" w14:textId="657B6AE2" w:rsidR="003E1335" w:rsidRDefault="003E1335">
    <w:pPr>
      <w:pStyle w:val="Header"/>
    </w:pPr>
    <w:r>
      <w:rPr>
        <w:noProof/>
      </w:rPr>
      <w:pict w14:anchorId="17424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27A5" w14:textId="2A1167A5" w:rsidR="003E1335" w:rsidRDefault="003E1335">
    <w:pPr>
      <w:pStyle w:val="Header"/>
    </w:pPr>
    <w:r>
      <w:rPr>
        <w:noProof/>
      </w:rPr>
      <w:pict w14:anchorId="2C17D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FBA99" w14:textId="66F43810" w:rsidR="00296529" w:rsidRPr="00296529" w:rsidRDefault="003E1335" w:rsidP="00296529">
    <w:pPr>
      <w:ind w:left="2160"/>
      <w:jc w:val="center"/>
      <w:rPr>
        <w:rFonts w:ascii="Times New Roman" w:eastAsia="Calibri" w:hAnsi="Times New Roman"/>
        <w:i/>
        <w:sz w:val="18"/>
        <w:szCs w:val="22"/>
      </w:rPr>
    </w:pPr>
    <w:r>
      <w:rPr>
        <w:noProof/>
      </w:rPr>
      <w:pict w14:anchorId="67CAB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8635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B7EB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83B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A574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6E404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A476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6A45" w14:textId="2AA961AF" w:rsidR="003E1335" w:rsidRDefault="003E1335">
    <w:pPr>
      <w:pStyle w:val="Header"/>
    </w:pPr>
    <w:r>
      <w:rPr>
        <w:noProof/>
      </w:rPr>
      <w:pict w14:anchorId="4C927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B7A7" w14:textId="2FE20D1D" w:rsidR="003E1335" w:rsidRDefault="003E1335">
    <w:pPr>
      <w:pStyle w:val="Header"/>
    </w:pPr>
    <w:r>
      <w:rPr>
        <w:noProof/>
      </w:rPr>
      <w:pict w14:anchorId="00BB6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E8D8" w14:textId="01EAC116" w:rsidR="003E1335" w:rsidRDefault="003E1335">
    <w:pPr>
      <w:pStyle w:val="Header"/>
    </w:pPr>
    <w:r>
      <w:rPr>
        <w:noProof/>
      </w:rPr>
      <w:pict w14:anchorId="42599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704BF3"/>
    <w:multiLevelType w:val="multilevel"/>
    <w:tmpl w:val="DAF4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3600C9"/>
    <w:multiLevelType w:val="hybridMultilevel"/>
    <w:tmpl w:val="7804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F3541"/>
    <w:multiLevelType w:val="hybridMultilevel"/>
    <w:tmpl w:val="5FF4A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100C84"/>
    <w:multiLevelType w:val="hybridMultilevel"/>
    <w:tmpl w:val="3EA80962"/>
    <w:lvl w:ilvl="0" w:tplc="49C44E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19"/>
  </w:num>
  <w:num w:numId="32">
    <w:abstractNumId w:val="8"/>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4B45"/>
    <w:rsid w:val="000A47FA"/>
    <w:rsid w:val="000A65D3"/>
    <w:rsid w:val="000B08D8"/>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575"/>
    <w:rsid w:val="00231920"/>
    <w:rsid w:val="0023195C"/>
    <w:rsid w:val="0024282C"/>
    <w:rsid w:val="002460DC"/>
    <w:rsid w:val="00250985"/>
    <w:rsid w:val="00254F04"/>
    <w:rsid w:val="002556F6"/>
    <w:rsid w:val="00273E5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1335"/>
    <w:rsid w:val="003E2904"/>
    <w:rsid w:val="00401927"/>
    <w:rsid w:val="0041027F"/>
    <w:rsid w:val="00412475"/>
    <w:rsid w:val="00423789"/>
    <w:rsid w:val="00440F43"/>
    <w:rsid w:val="00441B6F"/>
    <w:rsid w:val="00446221"/>
    <w:rsid w:val="00450E62"/>
    <w:rsid w:val="004539DB"/>
    <w:rsid w:val="00471A80"/>
    <w:rsid w:val="004B5A2F"/>
    <w:rsid w:val="004D305E"/>
    <w:rsid w:val="004D4277"/>
    <w:rsid w:val="00502516"/>
    <w:rsid w:val="00505F06"/>
    <w:rsid w:val="00506828"/>
    <w:rsid w:val="0053056E"/>
    <w:rsid w:val="00554FDA"/>
    <w:rsid w:val="005C784C"/>
    <w:rsid w:val="005D17F6"/>
    <w:rsid w:val="005E5539"/>
    <w:rsid w:val="005F2816"/>
    <w:rsid w:val="00602BF5"/>
    <w:rsid w:val="00617FDD"/>
    <w:rsid w:val="00633614"/>
    <w:rsid w:val="00633F68"/>
    <w:rsid w:val="00636EB2"/>
    <w:rsid w:val="006375B8"/>
    <w:rsid w:val="00650A69"/>
    <w:rsid w:val="0066510A"/>
    <w:rsid w:val="00673F9F"/>
    <w:rsid w:val="00686953"/>
    <w:rsid w:val="00687DEA"/>
    <w:rsid w:val="00687E67"/>
    <w:rsid w:val="006967F7"/>
    <w:rsid w:val="006A250C"/>
    <w:rsid w:val="006A4889"/>
    <w:rsid w:val="006B21D3"/>
    <w:rsid w:val="006B57D0"/>
    <w:rsid w:val="006D30FF"/>
    <w:rsid w:val="006D6940"/>
    <w:rsid w:val="006D76D6"/>
    <w:rsid w:val="006F11EC"/>
    <w:rsid w:val="0070082C"/>
    <w:rsid w:val="007010F1"/>
    <w:rsid w:val="007369E6"/>
    <w:rsid w:val="00746E59"/>
    <w:rsid w:val="00754C9A"/>
    <w:rsid w:val="0075599A"/>
    <w:rsid w:val="00761D52"/>
    <w:rsid w:val="00764296"/>
    <w:rsid w:val="0077749E"/>
    <w:rsid w:val="00790ADA"/>
    <w:rsid w:val="007D2288"/>
    <w:rsid w:val="007E088F"/>
    <w:rsid w:val="007F7B32"/>
    <w:rsid w:val="00804BC2"/>
    <w:rsid w:val="0081431A"/>
    <w:rsid w:val="0083216F"/>
    <w:rsid w:val="00860000"/>
    <w:rsid w:val="00862A67"/>
    <w:rsid w:val="00863BD3"/>
    <w:rsid w:val="008641ED"/>
    <w:rsid w:val="00866D66"/>
    <w:rsid w:val="008671C6"/>
    <w:rsid w:val="00875803"/>
    <w:rsid w:val="008B459E"/>
    <w:rsid w:val="008C2270"/>
    <w:rsid w:val="008D790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C21"/>
    <w:rsid w:val="00A03B96"/>
    <w:rsid w:val="00A05B19"/>
    <w:rsid w:val="00A1134E"/>
    <w:rsid w:val="00A24E7E"/>
    <w:rsid w:val="00A258C3"/>
    <w:rsid w:val="00A31ACE"/>
    <w:rsid w:val="00A347C0"/>
    <w:rsid w:val="00A51431"/>
    <w:rsid w:val="00A51505"/>
    <w:rsid w:val="00A539AD"/>
    <w:rsid w:val="00A94063"/>
    <w:rsid w:val="00AA6219"/>
    <w:rsid w:val="00AA74E0"/>
    <w:rsid w:val="00AB703F"/>
    <w:rsid w:val="00AC6BB8"/>
    <w:rsid w:val="00AE008F"/>
    <w:rsid w:val="00AF49BC"/>
    <w:rsid w:val="00B01FCD"/>
    <w:rsid w:val="00B1776C"/>
    <w:rsid w:val="00B52583"/>
    <w:rsid w:val="00B52896"/>
    <w:rsid w:val="00B95236"/>
    <w:rsid w:val="00B96BD9"/>
    <w:rsid w:val="00BA1B01"/>
    <w:rsid w:val="00BA2641"/>
    <w:rsid w:val="00BB37AA"/>
    <w:rsid w:val="00BC3EC8"/>
    <w:rsid w:val="00BC53A0"/>
    <w:rsid w:val="00BE62AD"/>
    <w:rsid w:val="00BF121F"/>
    <w:rsid w:val="00BF1F80"/>
    <w:rsid w:val="00C128A7"/>
    <w:rsid w:val="00C166EF"/>
    <w:rsid w:val="00C17EB0"/>
    <w:rsid w:val="00C27F5F"/>
    <w:rsid w:val="00C30A0F"/>
    <w:rsid w:val="00C37E61"/>
    <w:rsid w:val="00C629B2"/>
    <w:rsid w:val="00C70F1B"/>
    <w:rsid w:val="00C71A47"/>
    <w:rsid w:val="00C7464C"/>
    <w:rsid w:val="00C85588"/>
    <w:rsid w:val="00CD6755"/>
    <w:rsid w:val="00CD6856"/>
    <w:rsid w:val="00CE0089"/>
    <w:rsid w:val="00CE793C"/>
    <w:rsid w:val="00CF193C"/>
    <w:rsid w:val="00CF6863"/>
    <w:rsid w:val="00CF6C26"/>
    <w:rsid w:val="00D173F1"/>
    <w:rsid w:val="00D74CB0"/>
    <w:rsid w:val="00D771D6"/>
    <w:rsid w:val="00D8295D"/>
    <w:rsid w:val="00D91664"/>
    <w:rsid w:val="00DC2A65"/>
    <w:rsid w:val="00DE15F0"/>
    <w:rsid w:val="00DE4E91"/>
    <w:rsid w:val="00DE5663"/>
    <w:rsid w:val="00DE78AA"/>
    <w:rsid w:val="00E053D0"/>
    <w:rsid w:val="00E15994"/>
    <w:rsid w:val="00E23205"/>
    <w:rsid w:val="00E3114E"/>
    <w:rsid w:val="00E31A70"/>
    <w:rsid w:val="00E35B02"/>
    <w:rsid w:val="00E66496"/>
    <w:rsid w:val="00E66B35"/>
    <w:rsid w:val="00E66E10"/>
    <w:rsid w:val="00E769F6"/>
    <w:rsid w:val="00E8407C"/>
    <w:rsid w:val="00E84F3C"/>
    <w:rsid w:val="00E91140"/>
    <w:rsid w:val="00EA012C"/>
    <w:rsid w:val="00EA1EDF"/>
    <w:rsid w:val="00EC6A55"/>
    <w:rsid w:val="00ED0288"/>
    <w:rsid w:val="00EE52CB"/>
    <w:rsid w:val="00EF581D"/>
    <w:rsid w:val="00EF7FD8"/>
    <w:rsid w:val="00F06F59"/>
    <w:rsid w:val="00F17988"/>
    <w:rsid w:val="00F469F0"/>
    <w:rsid w:val="00F53273"/>
    <w:rsid w:val="00F755E4"/>
    <w:rsid w:val="00F77D02"/>
    <w:rsid w:val="00F86AF0"/>
    <w:rsid w:val="00F96C5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A9E2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F6C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91664"/>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CF6C2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F6C26"/>
    <w:rPr>
      <w:b/>
      <w:bCs/>
    </w:rPr>
  </w:style>
  <w:style w:type="character" w:customStyle="1" w:styleId="apple-converted-space">
    <w:name w:val="apple-converted-space"/>
    <w:basedOn w:val="DefaultParagraphFont"/>
    <w:rsid w:val="00CF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BCF3-59C1-48D2-AA17-66FFB8EC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7</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2025-07-24T09:51:00Z</dcterms:created>
  <dcterms:modified xsi:type="dcterms:W3CDTF">2025-07-25T08:43:00Z</dcterms:modified>
</cp:coreProperties>
</file>