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959C0" w14:textId="77777777" w:rsidR="008D7253" w:rsidRDefault="008D7253">
      <w:pPr>
        <w:spacing w:line="360" w:lineRule="auto"/>
        <w:rPr>
          <w:rFonts w:ascii="Times New Roman" w:eastAsia="Times New Roman" w:hAnsi="Times New Roman" w:cs="Times New Roman"/>
          <w:sz w:val="28"/>
          <w:szCs w:val="28"/>
        </w:rPr>
      </w:pPr>
    </w:p>
    <w:p w14:paraId="2FA4F50A" w14:textId="77777777" w:rsidR="008D7253" w:rsidRDefault="00F93EB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Components of the Economic Model of Investments in Mining Heaters Considering Electricity Costs</w:t>
      </w:r>
    </w:p>
    <w:p w14:paraId="665955C0" w14:textId="77777777" w:rsidR="008D7253" w:rsidRDefault="008D7253">
      <w:pPr>
        <w:spacing w:line="360" w:lineRule="auto"/>
        <w:ind w:firstLine="708"/>
        <w:jc w:val="both"/>
        <w:rPr>
          <w:rFonts w:ascii="Times New Roman" w:eastAsia="Times New Roman" w:hAnsi="Times New Roman" w:cs="Times New Roman"/>
          <w:b/>
          <w:sz w:val="28"/>
          <w:szCs w:val="28"/>
        </w:rPr>
      </w:pPr>
    </w:p>
    <w:p w14:paraId="64B8DA3C" w14:textId="678499F2" w:rsidR="008D7253" w:rsidRDefault="008D7253">
      <w:pPr>
        <w:spacing w:line="360" w:lineRule="auto"/>
        <w:jc w:val="center"/>
        <w:rPr>
          <w:rFonts w:ascii="Times New Roman" w:eastAsia="Times New Roman" w:hAnsi="Times New Roman" w:cs="Times New Roman"/>
          <w:sz w:val="28"/>
          <w:szCs w:val="28"/>
        </w:rPr>
      </w:pPr>
    </w:p>
    <w:p w14:paraId="6512C615" w14:textId="77777777" w:rsidR="00180316" w:rsidRDefault="00180316">
      <w:pPr>
        <w:spacing w:line="360" w:lineRule="auto"/>
        <w:jc w:val="center"/>
        <w:rPr>
          <w:rFonts w:ascii="Times New Roman" w:eastAsia="Times New Roman" w:hAnsi="Times New Roman" w:cs="Times New Roman"/>
          <w:sz w:val="28"/>
          <w:szCs w:val="28"/>
        </w:rPr>
      </w:pPr>
      <w:bookmarkStart w:id="0" w:name="_GoBack"/>
      <w:bookmarkEnd w:id="0"/>
    </w:p>
    <w:p w14:paraId="22991BEC" w14:textId="77777777" w:rsidR="008D7253" w:rsidRDefault="008D7253">
      <w:pPr>
        <w:spacing w:line="360" w:lineRule="auto"/>
        <w:jc w:val="center"/>
        <w:rPr>
          <w:rFonts w:ascii="Times New Roman" w:eastAsia="Times New Roman" w:hAnsi="Times New Roman" w:cs="Times New Roman"/>
          <w:sz w:val="28"/>
          <w:szCs w:val="28"/>
        </w:rPr>
      </w:pPr>
    </w:p>
    <w:p w14:paraId="66D0E454" w14:textId="77777777" w:rsidR="008D7253" w:rsidRDefault="00F93EB2">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76D4622C"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Caudex" w:eastAsia="Caudex" w:hAnsi="Caudex" w:cs="Caudex"/>
          <w:sz w:val="28"/>
          <w:szCs w:val="28"/>
        </w:rPr>
        <w:t>This article examines the formulation and analysis of the key components of the economic model for investments in mining heaters, considering both electrici</w:t>
      </w:r>
      <w:r>
        <w:rPr>
          <w:rFonts w:ascii="Caudex" w:eastAsia="Caudex" w:hAnsi="Caudex" w:cs="Caudex"/>
          <w:sz w:val="28"/>
          <w:szCs w:val="28"/>
        </w:rPr>
        <w:t>ty costs and potential revenues. The study aims to assess the investment efficiency of hybrid devices that combine the functions of an electric heater and a crypto miner, based on a comparison of CAPEX and OPEX under various climatic and market conditions.</w:t>
      </w:r>
      <w:r>
        <w:rPr>
          <w:rFonts w:ascii="Caudex" w:eastAsia="Caudex" w:hAnsi="Caudex" w:cs="Caudex"/>
          <w:sz w:val="28"/>
          <w:szCs w:val="28"/>
        </w:rPr>
        <w:t xml:space="preserve"> The relevance of this work is justified by the significant increase in electricity tariffs in the world’s leading economies, the acceleration of decarbonization processes, and the rapid development of distributed energy resources. Rising weighted average </w:t>
      </w:r>
      <w:r>
        <w:rPr>
          <w:rFonts w:ascii="Caudex" w:eastAsia="Caudex" w:hAnsi="Caudex" w:cs="Caudex"/>
          <w:sz w:val="28"/>
          <w:szCs w:val="28"/>
        </w:rPr>
        <w:t xml:space="preserve">electricity prices stimulate the search for solutions that simultaneously provide thermal benefits and generate digital income for each kilowatt-hour. In the context of legislative targets to reduce CO₂ emissions and the widespread adoption of heat pumps, </w:t>
      </w:r>
      <w:r>
        <w:rPr>
          <w:rFonts w:ascii="Caudex" w:eastAsia="Caudex" w:hAnsi="Caudex" w:cs="Caudex"/>
          <w:sz w:val="28"/>
          <w:szCs w:val="28"/>
        </w:rPr>
        <w:t>mining‑heaters emerge as a promising tool for combining heating and financial gain. The novelty of the research lies in a comprehensive approach to economic‑mathematical modeling that accounts for tariff dynamics, cryptocurrency network difficulty, and the</w:t>
      </w:r>
      <w:r>
        <w:rPr>
          <w:rFonts w:ascii="Caudex" w:eastAsia="Caudex" w:hAnsi="Caudex" w:cs="Caudex"/>
          <w:sz w:val="28"/>
          <w:szCs w:val="28"/>
        </w:rPr>
        <w:t xml:space="preserve"> cost of carbon credits, as well </w:t>
      </w:r>
      <w:r>
        <w:rPr>
          <w:rFonts w:ascii="Caudex" w:eastAsia="Caudex" w:hAnsi="Caudex" w:cs="Caudex"/>
          <w:sz w:val="28"/>
          <w:szCs w:val="28"/>
        </w:rPr>
        <w:lastRenderedPageBreak/>
        <w:t>as the integration of four methodological blocks: comparative analysis of ASIC device energy efficiency, scenario‑based profitability calculations, systematic review of CAPEX/OPEX, and content analysis of long‑term PPAs and</w:t>
      </w:r>
      <w:r>
        <w:rPr>
          <w:rFonts w:ascii="Caudex" w:eastAsia="Caudex" w:hAnsi="Caudex" w:cs="Caudex"/>
          <w:sz w:val="28"/>
          <w:szCs w:val="28"/>
        </w:rPr>
        <w:t xml:space="preserve"> free‑cooling case studies. This integrated approach enables the identification of optimal configurations of mining‑heaters for private and commercial investors. The main conclusions indicate that at an electricity tariff of approximately 0.165 $/kWh and a</w:t>
      </w:r>
      <w:r>
        <w:rPr>
          <w:rFonts w:ascii="Caudex" w:eastAsia="Caudex" w:hAnsi="Caudex" w:cs="Caudex"/>
          <w:sz w:val="28"/>
          <w:szCs w:val="28"/>
        </w:rPr>
        <w:t>n energy efficiency of 17 J/TH, the modern Antminer S21 achieves payback of heating costs through cryptocurrency revenue (≈ 0.67 $/h). The application of free cooling and liquid cooling in cold regions can reduce CAPEX and OPEX by 60–80%. Diversification o</w:t>
      </w:r>
      <w:r>
        <w:rPr>
          <w:rFonts w:ascii="Caudex" w:eastAsia="Caudex" w:hAnsi="Caudex" w:cs="Caudex"/>
          <w:sz w:val="28"/>
          <w:szCs w:val="28"/>
        </w:rPr>
        <w:t>f three revenue streams—computational, thermal, and carbon—ensures project resilience to market and seasonal fluctuations. This article will be useful to private investors, communal operators, and specialists in the field of distributed energy.</w:t>
      </w:r>
    </w:p>
    <w:p w14:paraId="4CC73542"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Keywords: </w:t>
      </w:r>
      <w:r>
        <w:rPr>
          <w:rFonts w:ascii="Times New Roman" w:eastAsia="Times New Roman" w:hAnsi="Times New Roman" w:cs="Times New Roman"/>
          <w:sz w:val="28"/>
          <w:szCs w:val="28"/>
        </w:rPr>
        <w:t>e</w:t>
      </w:r>
      <w:r>
        <w:rPr>
          <w:rFonts w:ascii="Times New Roman" w:eastAsia="Times New Roman" w:hAnsi="Times New Roman" w:cs="Times New Roman"/>
          <w:sz w:val="28"/>
          <w:szCs w:val="28"/>
        </w:rPr>
        <w:t>conomic model, investments, mining‑heaters, electricity costs, CAPEX/OPEX, distributed energy, energy efficiency, profitability</w:t>
      </w:r>
    </w:p>
    <w:p w14:paraId="115307CF" w14:textId="77777777" w:rsidR="008D7253" w:rsidRDefault="008D7253">
      <w:pPr>
        <w:spacing w:line="360" w:lineRule="auto"/>
        <w:ind w:firstLine="708"/>
        <w:jc w:val="both"/>
        <w:rPr>
          <w:rFonts w:ascii="Times New Roman" w:eastAsia="Times New Roman" w:hAnsi="Times New Roman" w:cs="Times New Roman"/>
          <w:b/>
          <w:sz w:val="28"/>
          <w:szCs w:val="28"/>
        </w:rPr>
      </w:pPr>
    </w:p>
    <w:p w14:paraId="395F5A14" w14:textId="77777777" w:rsidR="008D7253" w:rsidRDefault="00F93EB2">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1A0F8EDB"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rise in electricity tariffs renders heat‑generating miners a subject of practical interest for investors. Acco</w:t>
      </w:r>
      <w:r>
        <w:rPr>
          <w:rFonts w:ascii="Times New Roman" w:eastAsia="Times New Roman" w:hAnsi="Times New Roman" w:cs="Times New Roman"/>
          <w:sz w:val="28"/>
          <w:szCs w:val="28"/>
        </w:rPr>
        <w:t>rding to GlobalPetrolPrices, the average world price for households increased by 4.49% since the beginning of 2025, while for businesses, the rise was 3.19% (Global Petrol Prices, 2025). In the USA, the average residential tariff increased from 16.0¢/kWh t</w:t>
      </w:r>
      <w:r>
        <w:rPr>
          <w:rFonts w:ascii="Times New Roman" w:eastAsia="Times New Roman" w:hAnsi="Times New Roman" w:cs="Times New Roman"/>
          <w:sz w:val="28"/>
          <w:szCs w:val="28"/>
        </w:rPr>
        <w:t xml:space="preserve">o 16.5¢/kWh in just one year (EIA, 2025), whereas in Germany, it reached a peak of  $ 0.402/kWh as early as July 2024 (Moore, 2025). Such growth outpaces inflation and drives consumers </w:t>
      </w:r>
      <w:r>
        <w:rPr>
          <w:rFonts w:ascii="Times New Roman" w:eastAsia="Times New Roman" w:hAnsi="Times New Roman" w:cs="Times New Roman"/>
          <w:sz w:val="28"/>
          <w:szCs w:val="28"/>
        </w:rPr>
        <w:lastRenderedPageBreak/>
        <w:t>to seek solutions where each spent kilowatt‑hour provides benefit and r</w:t>
      </w:r>
      <w:r>
        <w:rPr>
          <w:rFonts w:ascii="Times New Roman" w:eastAsia="Times New Roman" w:hAnsi="Times New Roman" w:cs="Times New Roman"/>
          <w:sz w:val="28"/>
          <w:szCs w:val="28"/>
        </w:rPr>
        <w:t>eturns part of the investment.</w:t>
      </w:r>
    </w:p>
    <w:p w14:paraId="61E81603"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Concurrently, the energy policies of the largest economies focus on decarbonization. The International Energy Agency forecasts a reduction in global CO₂ emissions from the power sector by more than 2 % already in 2024 (IEA, 2</w:t>
      </w:r>
      <w:r>
        <w:rPr>
          <w:rFonts w:ascii="Times New Roman" w:eastAsia="Times New Roman" w:hAnsi="Times New Roman" w:cs="Times New Roman"/>
          <w:sz w:val="28"/>
          <w:szCs w:val="28"/>
        </w:rPr>
        <w:t>024), and the European Commission explicitly names heat pumps as a key instrument for achieving climate neutrality by 2050 (European Commission, 2023). Speaking in the same breath, the EU wants to put 30 million more heat pumps by 2030. This will require a</w:t>
      </w:r>
      <w:r>
        <w:rPr>
          <w:rFonts w:ascii="Times New Roman" w:eastAsia="Times New Roman" w:hAnsi="Times New Roman" w:cs="Times New Roman"/>
          <w:sz w:val="28"/>
          <w:szCs w:val="28"/>
        </w:rPr>
        <w:t xml:space="preserve"> significant amount of private funding (Calipel et al., 2024). A mining heater is just an electric heater with a computer part, fitting this plan: it converts electricity into heat, while the computer also makes digital earnings in cryptocurrency.</w:t>
      </w:r>
    </w:p>
    <w:p w14:paraId="1FA1629C"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move</w:t>
      </w:r>
      <w:r>
        <w:rPr>
          <w:rFonts w:ascii="Times New Roman" w:eastAsia="Times New Roman" w:hAnsi="Times New Roman" w:cs="Times New Roman"/>
          <w:sz w:val="28"/>
          <w:szCs w:val="28"/>
        </w:rPr>
        <w:t xml:space="preserve"> to spread-out power has made interest in such mixed machines stronger. The market for Distributed Energy Resource Management Systems (DERMS) is valued at $672.6 million in 2024 and, according to forecasts, is expected to grow to $1.87 billion by 2032 at a</w:t>
      </w:r>
      <w:r>
        <w:rPr>
          <w:rFonts w:ascii="Times New Roman" w:eastAsia="Times New Roman" w:hAnsi="Times New Roman" w:cs="Times New Roman"/>
          <w:sz w:val="28"/>
          <w:szCs w:val="28"/>
        </w:rPr>
        <w:t xml:space="preserve"> compound annual growth rate of 13% (Fortune Business Insights, 2025). In conditions where millions of small energy sources integrate into grids, mining‑heaters offer a rare combination: they reduce peak loads through local heat supply and simultaneously c</w:t>
      </w:r>
      <w:r>
        <w:rPr>
          <w:rFonts w:ascii="Times New Roman" w:eastAsia="Times New Roman" w:hAnsi="Times New Roman" w:cs="Times New Roman"/>
          <w:sz w:val="28"/>
          <w:szCs w:val="28"/>
        </w:rPr>
        <w:t>reate a cash flow that serves as a natural hedge against rising tariffs.</w:t>
      </w:r>
    </w:p>
    <w:p w14:paraId="0D50B545"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factors—rising electricity prices, tightening climate goals, and the exponential growth of distributed energy resources—form an economic niche where a mining‑heater becomes not </w:t>
      </w:r>
      <w:r>
        <w:rPr>
          <w:rFonts w:ascii="Times New Roman" w:eastAsia="Times New Roman" w:hAnsi="Times New Roman" w:cs="Times New Roman"/>
          <w:sz w:val="28"/>
          <w:szCs w:val="28"/>
        </w:rPr>
        <w:t>merely a gadget for enthusiasts, but an investment asset capable of reducing heating costs and generating additional revenue in digital form.</w:t>
      </w:r>
    </w:p>
    <w:p w14:paraId="6C46CD30" w14:textId="77777777" w:rsidR="008D7253" w:rsidRDefault="008D7253">
      <w:pPr>
        <w:spacing w:line="360" w:lineRule="auto"/>
        <w:ind w:firstLine="708"/>
        <w:jc w:val="both"/>
        <w:rPr>
          <w:rFonts w:ascii="Times New Roman" w:eastAsia="Times New Roman" w:hAnsi="Times New Roman" w:cs="Times New Roman"/>
          <w:sz w:val="28"/>
          <w:szCs w:val="28"/>
        </w:rPr>
      </w:pPr>
    </w:p>
    <w:p w14:paraId="733AA252" w14:textId="77777777" w:rsidR="008D7253" w:rsidRDefault="00F93EB2">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Materials and Methodology</w:t>
      </w:r>
    </w:p>
    <w:p w14:paraId="2B72159B"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study is based on the analysis of twenty sources, including international </w:t>
      </w:r>
      <w:r>
        <w:rPr>
          <w:rFonts w:ascii="Times New Roman" w:eastAsia="Times New Roman" w:hAnsi="Times New Roman" w:cs="Times New Roman"/>
          <w:sz w:val="28"/>
          <w:szCs w:val="28"/>
        </w:rPr>
        <w:t xml:space="preserve">statistical databases, industry reports, manufacturers’ technical </w:t>
      </w:r>
      <w:r>
        <w:rPr>
          <w:rFonts w:ascii="Times New Roman" w:eastAsia="Times New Roman" w:hAnsi="Times New Roman" w:cs="Times New Roman"/>
          <w:sz w:val="28"/>
          <w:szCs w:val="28"/>
        </w:rPr>
        <w:lastRenderedPageBreak/>
        <w:t>documents, and research on climate policy. The theoretical foundation comprises data on electricity tariff dynamics: the Global Petrol Prices report demonstrated the rise in average world ta</w:t>
      </w:r>
      <w:r>
        <w:rPr>
          <w:rFonts w:ascii="Times New Roman" w:eastAsia="Times New Roman" w:hAnsi="Times New Roman" w:cs="Times New Roman"/>
          <w:sz w:val="28"/>
          <w:szCs w:val="28"/>
        </w:rPr>
        <w:t>riffs for households and businesses at the start of 2025 (Global Petrol Prices, 2025), while the EIA and Moore reports detailed tariff changes in the USA and Germany, respectively (EIA, 2025; Moore, 2025). Energy policy decarbonization targets and heat pum</w:t>
      </w:r>
      <w:r>
        <w:rPr>
          <w:rFonts w:ascii="Times New Roman" w:eastAsia="Times New Roman" w:hAnsi="Times New Roman" w:cs="Times New Roman"/>
          <w:sz w:val="28"/>
          <w:szCs w:val="28"/>
        </w:rPr>
        <w:t>p installation plans were examined based on IEA publications (IEA, 2024) and European Commission communications (European Commission, 2023), and DERMS market forecasts were sourced from Fortune Business Insights (Fortune Business Insights, 2025). Technical</w:t>
      </w:r>
      <w:r>
        <w:rPr>
          <w:rFonts w:ascii="Times New Roman" w:eastAsia="Times New Roman" w:hAnsi="Times New Roman" w:cs="Times New Roman"/>
          <w:sz w:val="28"/>
          <w:szCs w:val="28"/>
        </w:rPr>
        <w:t xml:space="preserve"> foundations included studies on ASIC board energy efficiency and data center PUE (EZ Blockchain, 2025; Lawton, 2024), as well as works on liquid cooling and free-cooling systems (Shehabi et al., 2024; California Energy Commission, 2024; Grand View Researc</w:t>
      </w:r>
      <w:r>
        <w:rPr>
          <w:rFonts w:ascii="Times New Roman" w:eastAsia="Times New Roman" w:hAnsi="Times New Roman" w:cs="Times New Roman"/>
          <w:sz w:val="28"/>
          <w:szCs w:val="28"/>
        </w:rPr>
        <w:t>h, 2024).</w:t>
      </w:r>
    </w:p>
    <w:p w14:paraId="52B3B1DA"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Methodologically, the research combined four key approaches. First, a comparative analysis of the energy efficiency of mining‑heaters—juxtaposing the J/TH metrics of modern ASIC models (EZ Blockchain, 2025) with regional electricity tariffs (Glob</w:t>
      </w:r>
      <w:r>
        <w:rPr>
          <w:rFonts w:ascii="Times New Roman" w:eastAsia="Times New Roman" w:hAnsi="Times New Roman" w:cs="Times New Roman"/>
          <w:sz w:val="28"/>
          <w:szCs w:val="28"/>
        </w:rPr>
        <w:t>al Petrol Prices, 2025; EIA, 2025; Moore, 2025; Eurostat, 2025). Second, scenario‑based economic‑mathematical modeling of device profitability under various combinations of tariffs, network difficulty, and cryptocurrency prices, utilizing data from Verifie</w:t>
      </w:r>
      <w:r>
        <w:rPr>
          <w:rFonts w:ascii="Times New Roman" w:eastAsia="Times New Roman" w:hAnsi="Times New Roman" w:cs="Times New Roman"/>
          <w:sz w:val="28"/>
          <w:szCs w:val="28"/>
        </w:rPr>
        <w:t>d Market Research and EZ Blockchain (Verified Market Research, 2025; EZ Blockchain, 2025). Third, a systematic review of capital and operational expenditures: evaluation of turnkey CAPEX according to data from TeraWulf and Mills (TeraWulf, 2025; Mills, 201</w:t>
      </w:r>
      <w:r>
        <w:rPr>
          <w:rFonts w:ascii="Times New Roman" w:eastAsia="Times New Roman" w:hAnsi="Times New Roman" w:cs="Times New Roman"/>
          <w:sz w:val="28"/>
          <w:szCs w:val="28"/>
        </w:rPr>
        <w:t>8) and analysis of OPEX based on reports by CyrusOne (WiredRE, 2013) and Lawrence Berkeley Lab (Greenberg et al., 2006). In the end, a review of rules and market outlooks for long-term PPAs and decarbonization efforts, shown by LevelTen and Eurostat (Penro</w:t>
      </w:r>
      <w:r>
        <w:rPr>
          <w:rFonts w:ascii="Times New Roman" w:eastAsia="Times New Roman" w:hAnsi="Times New Roman" w:cs="Times New Roman"/>
          <w:sz w:val="28"/>
          <w:szCs w:val="28"/>
        </w:rPr>
        <w:t xml:space="preserve">d, 2024; Eurostat, 2025), as well as case studies of free-cooling and water-side economizer uses in cold weather (Shehabi et al., 2024; California Energy Commission, 2024) were included. All information was </w:t>
      </w:r>
      <w:r>
        <w:rPr>
          <w:rFonts w:ascii="Times New Roman" w:eastAsia="Times New Roman" w:hAnsi="Times New Roman" w:cs="Times New Roman"/>
          <w:sz w:val="28"/>
          <w:szCs w:val="28"/>
        </w:rPr>
        <w:lastRenderedPageBreak/>
        <w:t>analyzed using basic statistics and comparison ch</w:t>
      </w:r>
      <w:r>
        <w:rPr>
          <w:rFonts w:ascii="Times New Roman" w:eastAsia="Times New Roman" w:hAnsi="Times New Roman" w:cs="Times New Roman"/>
          <w:sz w:val="28"/>
          <w:szCs w:val="28"/>
        </w:rPr>
        <w:t>arts to identify the primary factors that drive investment efficiency in mining heaters.</w:t>
      </w:r>
    </w:p>
    <w:p w14:paraId="52BACA2B" w14:textId="77777777" w:rsidR="008D7253" w:rsidRDefault="008D7253">
      <w:pPr>
        <w:spacing w:line="360" w:lineRule="auto"/>
        <w:ind w:firstLine="708"/>
        <w:jc w:val="both"/>
        <w:rPr>
          <w:rFonts w:ascii="Times New Roman" w:eastAsia="Times New Roman" w:hAnsi="Times New Roman" w:cs="Times New Roman"/>
          <w:b/>
          <w:sz w:val="28"/>
          <w:szCs w:val="28"/>
        </w:rPr>
      </w:pPr>
    </w:p>
    <w:p w14:paraId="62EAA285" w14:textId="77777777" w:rsidR="008D7253" w:rsidRDefault="00F93EB2">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and Discussion</w:t>
      </w:r>
    </w:p>
    <w:p w14:paraId="5E69AC6B"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heat-generating miner is based on a simple thermodynamic principle: any electronic device that emits no significant light or mechanical wor</w:t>
      </w:r>
      <w:r>
        <w:rPr>
          <w:rFonts w:ascii="Times New Roman" w:eastAsia="Times New Roman" w:hAnsi="Times New Roman" w:cs="Times New Roman"/>
          <w:sz w:val="28"/>
          <w:szCs w:val="28"/>
        </w:rPr>
        <w:t>k converts almost all of the electrical power it consumes into heat. Such a device differs from a conventional electric heater only in that it simultaneously performs SHA‑256 computations; the delivered hashing power, expressed in terahashes per second, pr</w:t>
      </w:r>
      <w:r>
        <w:rPr>
          <w:rFonts w:ascii="Times New Roman" w:eastAsia="Times New Roman" w:hAnsi="Times New Roman" w:cs="Times New Roman"/>
          <w:sz w:val="28"/>
          <w:szCs w:val="28"/>
        </w:rPr>
        <w:t>ovides a constant cryptocurrency income, while the thermal output remains unchanged.</w:t>
      </w:r>
    </w:p>
    <w:p w14:paraId="1708787D"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large‑scale industrial mining, this energy is additionally burdened by cooling costs: the average power usage effectiveness of data centers in 2024 is PUE = 1.55, </w:t>
      </w:r>
      <w:r>
        <w:rPr>
          <w:rFonts w:ascii="Times New Roman" w:eastAsia="Times New Roman" w:hAnsi="Times New Roman" w:cs="Times New Roman"/>
          <w:sz w:val="28"/>
          <w:szCs w:val="28"/>
        </w:rPr>
        <w:t>meaning that for every kilowatt of computational load an extra 0.55 kW is expended on ventilation, air conditioning, and distribution losses; thus approximately 35 % of the consumed energy does not translate into useful computational hashrate and is paid f</w:t>
      </w:r>
      <w:r>
        <w:rPr>
          <w:rFonts w:ascii="Times New Roman" w:eastAsia="Times New Roman" w:hAnsi="Times New Roman" w:cs="Times New Roman"/>
          <w:sz w:val="28"/>
          <w:szCs w:val="28"/>
        </w:rPr>
        <w:t>or as pure overhead (Lawton, 2024). In a mining heater, the air or heat‑transfer fluid is integrated directly into the heating circuit, so heat dissipation ceases to be a side issue and becomes the primary function, eliminating the need for a separate cool</w:t>
      </w:r>
      <w:r>
        <w:rPr>
          <w:rFonts w:ascii="Times New Roman" w:eastAsia="Times New Roman" w:hAnsi="Times New Roman" w:cs="Times New Roman"/>
          <w:sz w:val="28"/>
          <w:szCs w:val="28"/>
        </w:rPr>
        <w:t>ing system. The cryptocurrency-mining equipment segment continues on a moderate growth trajectory, with a CAGR of 8% for the hardware market size over the 2026–2032 horizon, as shown in Fig. 1 (Verified Market Research, 2025).</w:t>
      </w:r>
    </w:p>
    <w:p w14:paraId="3B03114D" w14:textId="77777777" w:rsidR="008D7253" w:rsidRDefault="00F93EB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1671EE5C" wp14:editId="2BD2101F">
            <wp:extent cx="5731200" cy="3543300"/>
            <wp:effectExtent l="0" t="0" r="0" b="0"/>
            <wp:docPr id="1" name="image2.png" descr="Диаграмма"/>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6"/>
                    <a:srcRect/>
                    <a:stretch>
                      <a:fillRect/>
                    </a:stretch>
                  </pic:blipFill>
                  <pic:spPr>
                    <a:xfrm>
                      <a:off x="0" y="0"/>
                      <a:ext cx="5731200" cy="3543300"/>
                    </a:xfrm>
                    <a:prstGeom prst="rect">
                      <a:avLst/>
                    </a:prstGeom>
                    <a:ln/>
                  </pic:spPr>
                </pic:pic>
              </a:graphicData>
            </a:graphic>
          </wp:inline>
        </w:drawing>
      </w:r>
    </w:p>
    <w:p w14:paraId="7FBB9228" w14:textId="77777777" w:rsidR="008D7253" w:rsidRDefault="00F93E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 1. Cryptocurrency Mini</w:t>
      </w:r>
      <w:r>
        <w:rPr>
          <w:rFonts w:ascii="Times New Roman" w:eastAsia="Times New Roman" w:hAnsi="Times New Roman" w:cs="Times New Roman"/>
          <w:sz w:val="28"/>
          <w:szCs w:val="28"/>
        </w:rPr>
        <w:t>ng Hardware Market Size (Verified Market Research, 2025)</w:t>
      </w:r>
    </w:p>
    <w:p w14:paraId="59E30AE8"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Compared to traditional electric heaters—whose cost per kW·h of heat equals the grid tariff—the hybrid unit recoups part of its expenses in monetary terms through mining. A modern 5 nm ASIC such as t</w:t>
      </w:r>
      <w:r>
        <w:rPr>
          <w:rFonts w:ascii="Times New Roman" w:eastAsia="Times New Roman" w:hAnsi="Times New Roman" w:cs="Times New Roman"/>
          <w:sz w:val="28"/>
          <w:szCs w:val="28"/>
        </w:rPr>
        <w:t>he Antminer S21 delivers up to 195 TH/s at 3.5 kW, i.e., 17 J/TH (EZ Blockchain, 2025); at a tariff of 0.165 $/kW·h this equates to roughly 0.58 $/h in electricity costs, whereas at the current network difficulty such hashrate generates approximately 0.67 </w:t>
      </w:r>
      <w:r>
        <w:rPr>
          <w:rFonts w:ascii="Times New Roman" w:eastAsia="Times New Roman" w:hAnsi="Times New Roman" w:cs="Times New Roman"/>
          <w:sz w:val="28"/>
          <w:szCs w:val="28"/>
        </w:rPr>
        <w:t>$/h in BTC, turning heat generation into a revenue‑generating process even before considering that the heat itself provides free space heating.</w:t>
      </w:r>
    </w:p>
    <w:p w14:paraId="76264237"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Architecturally, the device comprises a set of ASIC boards connected to a power board designed for maximal utili</w:t>
      </w:r>
      <w:r>
        <w:rPr>
          <w:rFonts w:ascii="Times New Roman" w:eastAsia="Times New Roman" w:hAnsi="Times New Roman" w:cs="Times New Roman"/>
          <w:sz w:val="28"/>
          <w:szCs w:val="28"/>
        </w:rPr>
        <w:t>zation of copper and ferrite, thermally coupled to a heatsink or liquid “cold‑plate.” The enclosure functions as an air-distribution duct; low-noise residential models employ centrifugal fans, while commercial units utilize sealed hydro-loops, allowing for</w:t>
      </w:r>
      <w:r>
        <w:rPr>
          <w:rFonts w:ascii="Times New Roman" w:eastAsia="Times New Roman" w:hAnsi="Times New Roman" w:cs="Times New Roman"/>
          <w:sz w:val="28"/>
          <w:szCs w:val="28"/>
        </w:rPr>
        <w:t xml:space="preserve"> connection to existing heating systems without requiring ductwork modification.</w:t>
      </w:r>
    </w:p>
    <w:p w14:paraId="34C73350"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software stack operates atop the hardware: an embedded Linux controller manages pool connectivity via the Stratum V2 protocol, loads optimized firmware with a dynamic underv</w:t>
      </w:r>
      <w:r>
        <w:rPr>
          <w:rFonts w:ascii="Times New Roman" w:eastAsia="Times New Roman" w:hAnsi="Times New Roman" w:cs="Times New Roman"/>
          <w:sz w:val="28"/>
          <w:szCs w:val="28"/>
        </w:rPr>
        <w:t>olting algorithm, and transmits telemetry to a cloud monitoring service for real-time tracking of hashrate deviations, die temperatures, and power consumption. The interface is accessible via both a web‑based GUI and an API, simplifying integration with sm</w:t>
      </w:r>
      <w:r>
        <w:rPr>
          <w:rFonts w:ascii="Times New Roman" w:eastAsia="Times New Roman" w:hAnsi="Times New Roman" w:cs="Times New Roman"/>
          <w:sz w:val="28"/>
          <w:szCs w:val="28"/>
        </w:rPr>
        <w:t>art home systems or DER platforms.</w:t>
      </w:r>
    </w:p>
    <w:p w14:paraId="59085D4D"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Typical use cases range from residential heating of 20–40 m² spaces—replacing an electric convector—to local boiler rooms of 50–200 kW, where multiple racks of mining heaters supply heat into a low-temperature water loop,</w:t>
      </w:r>
      <w:r>
        <w:rPr>
          <w:rFonts w:ascii="Times New Roman" w:eastAsia="Times New Roman" w:hAnsi="Times New Roman" w:cs="Times New Roman"/>
          <w:sz w:val="28"/>
          <w:szCs w:val="28"/>
        </w:rPr>
        <w:t xml:space="preserve"> with mining revenue subsidizing utility bills. In commercial buildings, the devices can function as supply‑air heaters in shoulder seasons, complementing the central HVAC system and reducing peak power demand by balancing loads between heating and computa</w:t>
      </w:r>
      <w:r>
        <w:rPr>
          <w:rFonts w:ascii="Times New Roman" w:eastAsia="Times New Roman" w:hAnsi="Times New Roman" w:cs="Times New Roman"/>
          <w:sz w:val="28"/>
          <w:szCs w:val="28"/>
        </w:rPr>
        <w:t>tion.</w:t>
      </w:r>
    </w:p>
    <w:p w14:paraId="30F039A0"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structure of the initial capital expenditure (capex) for a mining heater is based on the cost of computing power, i.e., $/TH, and its energy efficiency in J/TH, which determines the units needed to fulfill a specific thermal and hashing output, a</w:t>
      </w:r>
      <w:r>
        <w:rPr>
          <w:rFonts w:ascii="Times New Roman" w:eastAsia="Times New Roman" w:hAnsi="Times New Roman" w:cs="Times New Roman"/>
          <w:sz w:val="28"/>
          <w:szCs w:val="28"/>
        </w:rPr>
        <w:t>s influenced by these two factors. Greater efficiency permits lowering electricity and cooling costs, but raises upfront investment, as older chips are about as efficient and they presently sell for roughly half the price.</w:t>
      </w:r>
    </w:p>
    <w:p w14:paraId="0ADF8320"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the computational modules, a h</w:t>
      </w:r>
      <w:r>
        <w:rPr>
          <w:rFonts w:ascii="Times New Roman" w:eastAsia="Times New Roman" w:hAnsi="Times New Roman" w:cs="Times New Roman"/>
          <w:sz w:val="28"/>
          <w:szCs w:val="28"/>
        </w:rPr>
        <w:t>eating circuit is added. The critical component here is the heat exchanger. Although it constitutes a relatively small share of the overall budget, this component is responsible for integrating the miner into the heating system and ensuring the longevity o</w:t>
      </w:r>
      <w:r>
        <w:rPr>
          <w:rFonts w:ascii="Times New Roman" w:eastAsia="Times New Roman" w:hAnsi="Times New Roman" w:cs="Times New Roman"/>
          <w:sz w:val="28"/>
          <w:szCs w:val="28"/>
        </w:rPr>
        <w:t>f the installation. Further expenses include power infrastructure. According to TeraWulf, turnkey site development for cryptomining—excluding the mining machines themselves—costs approximately $500,000 per MW, or about $50/kW of power, covering transformer</w:t>
      </w:r>
      <w:r>
        <w:rPr>
          <w:rFonts w:ascii="Times New Roman" w:eastAsia="Times New Roman" w:hAnsi="Times New Roman" w:cs="Times New Roman"/>
          <w:sz w:val="28"/>
          <w:szCs w:val="28"/>
        </w:rPr>
        <w:t xml:space="preserve">s, distribution buses, protective automation, and </w:t>
      </w:r>
      <w:r>
        <w:rPr>
          <w:rFonts w:ascii="Times New Roman" w:eastAsia="Times New Roman" w:hAnsi="Times New Roman" w:cs="Times New Roman"/>
          <w:sz w:val="28"/>
          <w:szCs w:val="28"/>
        </w:rPr>
        <w:lastRenderedPageBreak/>
        <w:t>communications channels (TeraWulf, 2025). Installation, commissioning, and network integration typically add to the total CAPEX.</w:t>
      </w:r>
    </w:p>
    <w:p w14:paraId="3BB6077E" w14:textId="217F2C2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Climate and scale can dramatically shift these figures. In cold regions, ambi</w:t>
      </w:r>
      <w:r>
        <w:rPr>
          <w:rFonts w:ascii="Times New Roman" w:eastAsia="Times New Roman" w:hAnsi="Times New Roman" w:cs="Times New Roman"/>
          <w:sz w:val="28"/>
          <w:szCs w:val="28"/>
        </w:rPr>
        <w:t>ent temperatures allow for free-cooling operation for much of the year, where outside air or a dry cooler can replace compressor chillers. Berkeley Lab analysis shows that employing air-side or water-side economizers reduces the need for mechanical cooling</w:t>
      </w:r>
      <w:r>
        <w:rPr>
          <w:rFonts w:ascii="Times New Roman" w:eastAsia="Times New Roman" w:hAnsi="Times New Roman" w:cs="Times New Roman"/>
          <w:sz w:val="28"/>
          <w:szCs w:val="28"/>
        </w:rPr>
        <w:t xml:space="preserve"> and the operating costs of chillers, thereby also lowering capital costs, as high-capacity chillers and cooling towers can be omitted or sized down (Shehabi et al., 2024). Additional savings stem from the liquid cooling of servers. RackCDU tests in Califo</w:t>
      </w:r>
      <w:r>
        <w:rPr>
          <w:rFonts w:ascii="Times New Roman" w:eastAsia="Times New Roman" w:hAnsi="Times New Roman" w:cs="Times New Roman"/>
          <w:sz w:val="28"/>
          <w:szCs w:val="28"/>
        </w:rPr>
        <w:t>rnia demonstrated the potential to reduce cooling-system energy consumption by 60–80%, paving the way for fewer fan units and reduced air-conditioning footprints (California Energy Commission, 2024). Grand View Research forecasts that the global liquid coo</w:t>
      </w:r>
      <w:r>
        <w:rPr>
          <w:rFonts w:ascii="Times New Roman" w:eastAsia="Times New Roman" w:hAnsi="Times New Roman" w:cs="Times New Roman"/>
          <w:sz w:val="28"/>
          <w:szCs w:val="28"/>
        </w:rPr>
        <w:t>ling market for data centers will grow from $5.38 billion in 2024 to $17.77 billion by 2030 at a CAGR of 21.6%, as shown in Fig. </w:t>
      </w:r>
      <w:r w:rsidR="00E045B8">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rPr>
        <w:t xml:space="preserve"> (Grand View Research, 2024).</w:t>
      </w:r>
    </w:p>
    <w:p w14:paraId="514A2E56" w14:textId="77777777" w:rsidR="008D7253" w:rsidRDefault="00F93EB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4C140CA" wp14:editId="74DF62D1">
            <wp:extent cx="5731200" cy="3543300"/>
            <wp:effectExtent l="0" t="0" r="0" b="0"/>
            <wp:docPr id="3"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7"/>
                    <a:srcRect/>
                    <a:stretch>
                      <a:fillRect/>
                    </a:stretch>
                  </pic:blipFill>
                  <pic:spPr>
                    <a:xfrm>
                      <a:off x="0" y="0"/>
                      <a:ext cx="5731200" cy="3543300"/>
                    </a:xfrm>
                    <a:prstGeom prst="rect">
                      <a:avLst/>
                    </a:prstGeom>
                    <a:ln/>
                  </pic:spPr>
                </pic:pic>
              </a:graphicData>
            </a:graphic>
          </wp:inline>
        </w:drawing>
      </w:r>
    </w:p>
    <w:p w14:paraId="25E0709C" w14:textId="71321574" w:rsidR="008D7253" w:rsidRDefault="00F93E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 </w:t>
      </w:r>
      <w:r w:rsidR="007C3004">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rPr>
        <w:t>. The global data center liquid cooling market size (Grand View Research, 2024)</w:t>
      </w:r>
    </w:p>
    <w:p w14:paraId="2E4CE292"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cold c</w:t>
      </w:r>
      <w:r>
        <w:rPr>
          <w:rFonts w:ascii="Times New Roman" w:eastAsia="Times New Roman" w:hAnsi="Times New Roman" w:cs="Times New Roman"/>
          <w:sz w:val="28"/>
          <w:szCs w:val="28"/>
        </w:rPr>
        <w:t xml:space="preserve">limate combined with heat recovery amplifies the effect: northern sites benefit from a prolonged free-cooling season while concurrently experiencing higher demand for thermal energy, thereby reducing the specific capital expenditure per kilowatt-hour sold </w:t>
      </w:r>
      <w:r>
        <w:rPr>
          <w:rFonts w:ascii="Times New Roman" w:eastAsia="Times New Roman" w:hAnsi="Times New Roman" w:cs="Times New Roman"/>
          <w:sz w:val="28"/>
          <w:szCs w:val="28"/>
        </w:rPr>
        <w:t>or usefully recovered. Thus, the total capital expenditure for a mining heater depends primarily on the selected ASIC energy efficiency, the cost of heat exchangers, and the electrical balance of plant, but can be significantly reduced through optimal clim</w:t>
      </w:r>
      <w:r>
        <w:rPr>
          <w:rFonts w:ascii="Times New Roman" w:eastAsia="Times New Roman" w:hAnsi="Times New Roman" w:cs="Times New Roman"/>
          <w:sz w:val="28"/>
          <w:szCs w:val="28"/>
        </w:rPr>
        <w:t>ate selection and capacity upscaling.</w:t>
      </w:r>
    </w:p>
    <w:p w14:paraId="569CC2F8" w14:textId="3AE9FC4A" w:rsidR="008D7253" w:rsidRDefault="00F93EB2">
      <w:pPr>
        <w:spacing w:line="360" w:lineRule="auto"/>
        <w:ind w:firstLine="708"/>
        <w:jc w:val="both"/>
        <w:rPr>
          <w:rFonts w:ascii="Times New Roman" w:eastAsia="Times New Roman" w:hAnsi="Times New Roman" w:cs="Times New Roman"/>
          <w:sz w:val="28"/>
          <w:szCs w:val="28"/>
        </w:rPr>
      </w:pPr>
      <w:r>
        <w:rPr>
          <w:rFonts w:ascii="Cardo" w:eastAsia="Cardo" w:hAnsi="Cardo" w:cs="Cardo"/>
          <w:sz w:val="28"/>
          <w:szCs w:val="28"/>
        </w:rPr>
        <w:t>Electricity remains the principal variable in the operating budget. In the European Union, where mining‑heaters are especially in demand during the 6,000 degree‑day season, Eurostat recorded €28.72 per 100 kW·h in H2 2</w:t>
      </w:r>
      <w:r>
        <w:rPr>
          <w:rFonts w:ascii="Cardo" w:eastAsia="Cardo" w:hAnsi="Cardo" w:cs="Cardo"/>
          <w:sz w:val="28"/>
          <w:szCs w:val="28"/>
        </w:rPr>
        <w:t>024 (≈ €0.287/kW·h)—a level three times higher than pre‑crisis rates, as shown in Fig. </w:t>
      </w:r>
      <w:r w:rsidR="00E045B8">
        <w:rPr>
          <w:rFonts w:asciiTheme="minorHAnsi" w:eastAsia="Cardo" w:hAnsiTheme="minorHAnsi" w:cs="Cardo"/>
          <w:sz w:val="28"/>
          <w:szCs w:val="28"/>
          <w:lang w:val="en-US"/>
        </w:rPr>
        <w:t>3</w:t>
      </w:r>
      <w:r>
        <w:rPr>
          <w:rFonts w:ascii="Cardo" w:eastAsia="Cardo" w:hAnsi="Cardo" w:cs="Cardo"/>
          <w:sz w:val="28"/>
          <w:szCs w:val="28"/>
        </w:rPr>
        <w:t xml:space="preserve"> (Eurostat, 2025). </w:t>
      </w:r>
    </w:p>
    <w:p w14:paraId="56F08C51" w14:textId="77777777" w:rsidR="008D7253" w:rsidRDefault="00F93EB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8DED92C" wp14:editId="583E4087">
            <wp:extent cx="5731200" cy="3543300"/>
            <wp:effectExtent l="0" t="0" r="0" b="0"/>
            <wp:docPr id="2" name="image3.png" descr="Диаграмма"/>
            <wp:cNvGraphicFramePr/>
            <a:graphic xmlns:a="http://schemas.openxmlformats.org/drawingml/2006/main">
              <a:graphicData uri="http://schemas.openxmlformats.org/drawingml/2006/picture">
                <pic:pic xmlns:pic="http://schemas.openxmlformats.org/drawingml/2006/picture">
                  <pic:nvPicPr>
                    <pic:cNvPr id="0" name="image3.png" descr="Диаграмма"/>
                    <pic:cNvPicPr preferRelativeResize="0"/>
                  </pic:nvPicPr>
                  <pic:blipFill>
                    <a:blip r:embed="rId8"/>
                    <a:srcRect/>
                    <a:stretch>
                      <a:fillRect/>
                    </a:stretch>
                  </pic:blipFill>
                  <pic:spPr>
                    <a:xfrm>
                      <a:off x="0" y="0"/>
                      <a:ext cx="5731200" cy="3543300"/>
                    </a:xfrm>
                    <a:prstGeom prst="rect">
                      <a:avLst/>
                    </a:prstGeom>
                    <a:ln/>
                  </pic:spPr>
                </pic:pic>
              </a:graphicData>
            </a:graphic>
          </wp:inline>
        </w:drawing>
      </w:r>
    </w:p>
    <w:p w14:paraId="6543F2AA" w14:textId="7D496FB7" w:rsidR="008D7253" w:rsidRDefault="00F93E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 </w:t>
      </w:r>
      <w:r w:rsidR="007C3004">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 Electricity Prices for Household Consumers in the EU by Half‑Year (Eurostat, 2025)</w:t>
      </w:r>
    </w:p>
    <w:p w14:paraId="7AC14B88"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Procurement costs can be lowered via long‑term PPAs: </w:t>
      </w:r>
      <w:r>
        <w:rPr>
          <w:rFonts w:ascii="Times New Roman" w:eastAsia="Times New Roman" w:hAnsi="Times New Roman" w:cs="Times New Roman"/>
          <w:sz w:val="28"/>
          <w:szCs w:val="28"/>
        </w:rPr>
        <w:t>according to LevelTen, the average solar contract price in North America was $56.58/MW·h in Q3 2024, i.e., 5.66 ¢/kW·h (Penrod, 2024), which is fundamentally below retail tariffs and protects the margin of the miner‑heater operator.</w:t>
      </w:r>
    </w:p>
    <w:p w14:paraId="647B9033"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Maintenance in modern m</w:t>
      </w:r>
      <w:r>
        <w:rPr>
          <w:rFonts w:ascii="Times New Roman" w:eastAsia="Times New Roman" w:hAnsi="Times New Roman" w:cs="Times New Roman"/>
          <w:sz w:val="28"/>
          <w:szCs w:val="28"/>
        </w:rPr>
        <w:t>ining data centers accounts for 2–3% of initial CAPEX annually; this range for preventive operations was cited by operator CyrusOne for its sites (WiredRE, 2013). Key scheduled tasks include monthly filter replacement, thermal interface renewal every two y</w:t>
      </w:r>
      <w:r>
        <w:rPr>
          <w:rFonts w:ascii="Times New Roman" w:eastAsia="Times New Roman" w:hAnsi="Times New Roman" w:cs="Times New Roman"/>
          <w:sz w:val="28"/>
          <w:szCs w:val="28"/>
        </w:rPr>
        <w:t>ears, and planned removal of fans or pumps upon reaching end‑of‑life. Transitioning to liquid cooling and waterside economizers yields additional savings: a Lawrence Berkeley Lab study of 22 data centers showed that free‑cooling can reduce cooling energy c</w:t>
      </w:r>
      <w:r>
        <w:rPr>
          <w:rFonts w:ascii="Times New Roman" w:eastAsia="Times New Roman" w:hAnsi="Times New Roman" w:cs="Times New Roman"/>
          <w:sz w:val="28"/>
          <w:szCs w:val="28"/>
        </w:rPr>
        <w:t>onsumption by “up to 75 %” (Greenberg et al., 2006), thereby proportionally reducing operating expenses associated with compressor chillers.</w:t>
      </w:r>
    </w:p>
    <w:p w14:paraId="7357CEAA"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Financial expenditures inherent to the mining process consist of pool commissions and network fees. Equipment lifes</w:t>
      </w:r>
      <w:r>
        <w:rPr>
          <w:rFonts w:ascii="Times New Roman" w:eastAsia="Times New Roman" w:hAnsi="Times New Roman" w:cs="Times New Roman"/>
          <w:sz w:val="28"/>
          <w:szCs w:val="28"/>
        </w:rPr>
        <w:t>pan is accounted for via depreciation: Galaxy Digital analysts recommend a straight‑line schedule over a “median three years” for an ASIC fleet (Bailey &amp; Helmy, 2021). Finally, property-risk insurance adds approximately 0.5% of replacement value per annum—</w:t>
      </w:r>
      <w:r>
        <w:rPr>
          <w:rFonts w:ascii="Times New Roman" w:eastAsia="Times New Roman" w:hAnsi="Times New Roman" w:cs="Times New Roman"/>
          <w:sz w:val="28"/>
          <w:szCs w:val="28"/>
        </w:rPr>
        <w:t xml:space="preserve">a rate used by agricultural sectors for equipment valuation and serving as a benchmark for high-density IT installations (Mills, 2018). Taken together, electricity comprises the majority of OPEX. At the same time, maintenance, pool fees, depreciation, and </w:t>
      </w:r>
      <w:r>
        <w:rPr>
          <w:rFonts w:ascii="Times New Roman" w:eastAsia="Times New Roman" w:hAnsi="Times New Roman" w:cs="Times New Roman"/>
          <w:sz w:val="28"/>
          <w:szCs w:val="28"/>
        </w:rPr>
        <w:t>insurance define a relatively narrow but unavoidable financial corridor that determines the break‑even point of the hybrid miner‑heater.</w:t>
      </w:r>
    </w:p>
    <w:p w14:paraId="0AA03D4E"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revenue side of a mining heater derives from three autonomous yet complementary streams. The primary source is comp</w:t>
      </w:r>
      <w:r>
        <w:rPr>
          <w:rFonts w:ascii="Times New Roman" w:eastAsia="Times New Roman" w:hAnsi="Times New Roman" w:cs="Times New Roman"/>
          <w:sz w:val="28"/>
          <w:szCs w:val="28"/>
        </w:rPr>
        <w:t>utational revenue. As long as the device performs hash operations, it continuously participates in the distributed transaction‑confirmation system and receives rewards from mining pools. This reward is determined by the prevailing cryptocurrency market pri</w:t>
      </w:r>
      <w:r>
        <w:rPr>
          <w:rFonts w:ascii="Times New Roman" w:eastAsia="Times New Roman" w:hAnsi="Times New Roman" w:cs="Times New Roman"/>
          <w:sz w:val="28"/>
          <w:szCs w:val="28"/>
        </w:rPr>
        <w:t xml:space="preserve">ce, </w:t>
      </w:r>
      <w:r>
        <w:rPr>
          <w:rFonts w:ascii="Times New Roman" w:eastAsia="Times New Roman" w:hAnsi="Times New Roman" w:cs="Times New Roman"/>
          <w:sz w:val="28"/>
          <w:szCs w:val="28"/>
        </w:rPr>
        <w:lastRenderedPageBreak/>
        <w:t>algorithmic difficulty, and the pool’s commission. The practical value of this stream lies in its denomination in a digital asset subject to market fluctuations but largely uncorrelated with local fuel or utility costs, thereby providing natural divers</w:t>
      </w:r>
      <w:r>
        <w:rPr>
          <w:rFonts w:ascii="Times New Roman" w:eastAsia="Times New Roman" w:hAnsi="Times New Roman" w:cs="Times New Roman"/>
          <w:sz w:val="28"/>
          <w:szCs w:val="28"/>
        </w:rPr>
        <w:t>ification relative to traditional energy businesses.</w:t>
      </w:r>
    </w:p>
    <w:p w14:paraId="405CA264"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second stream arises from the heat produced by the same chips. Since all consumed energy is converted into heat, the equipment owner may utilize it in two ways. In residential or commercial sectors, </w:t>
      </w:r>
      <w:r>
        <w:rPr>
          <w:rFonts w:ascii="Times New Roman" w:eastAsia="Times New Roman" w:hAnsi="Times New Roman" w:cs="Times New Roman"/>
          <w:sz w:val="28"/>
          <w:szCs w:val="28"/>
        </w:rPr>
        <w:t>the heat directly replaces electric convectors or gas boilers, reducing the consumer’s heating expenses. In district or industrial networks, heat-generating equipment is connected to existing pipelines and sold under a service contract model, where payment</w:t>
      </w:r>
      <w:r>
        <w:rPr>
          <w:rFonts w:ascii="Times New Roman" w:eastAsia="Times New Roman" w:hAnsi="Times New Roman" w:cs="Times New Roman"/>
          <w:sz w:val="28"/>
          <w:szCs w:val="28"/>
        </w:rPr>
        <w:t xml:space="preserve"> is based on the quantity of energy delivered. Such a scheme benefits both parties: the consumer obtains guaranteed thermal delivery at a typically below-market cost, while the miner-heater operator gains additional revenue that is weakly correlated with c</w:t>
      </w:r>
      <w:r>
        <w:rPr>
          <w:rFonts w:ascii="Times New Roman" w:eastAsia="Times New Roman" w:hAnsi="Times New Roman" w:cs="Times New Roman"/>
          <w:sz w:val="28"/>
          <w:szCs w:val="28"/>
        </w:rPr>
        <w:t>ryptocurrency prices, thereby smoothing market cycles.</w:t>
      </w:r>
    </w:p>
    <w:p w14:paraId="3CCEB3FD"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third source relates to climate policy. Because mining‑derived heat reduces the need to burn fossil fuels, the operator can claim avoidance of a certain volume of CO₂ emissions. This avoided emissi</w:t>
      </w:r>
      <w:r>
        <w:rPr>
          <w:rFonts w:ascii="Times New Roman" w:eastAsia="Times New Roman" w:hAnsi="Times New Roman" w:cs="Times New Roman"/>
          <w:sz w:val="28"/>
          <w:szCs w:val="28"/>
        </w:rPr>
        <w:t>on is converted into carbon credits, which are sold on regulated or voluntary markets or serve as a basis for grants under national decarbonization programs. The successful monetization of the carbon stream requires validation by approved methodologies; ho</w:t>
      </w:r>
      <w:r>
        <w:rPr>
          <w:rFonts w:ascii="Times New Roman" w:eastAsia="Times New Roman" w:hAnsi="Times New Roman" w:cs="Times New Roman"/>
          <w:sz w:val="28"/>
          <w:szCs w:val="28"/>
        </w:rPr>
        <w:t>wever, once a project is registered and verified by an independent auditor, the carbon revenue becomes a stable and further income channel.</w:t>
      </w:r>
    </w:p>
    <w:p w14:paraId="60DBCCB2"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synergy of these three streams reduces project vulnerability to fluctuations in any single market. When cryptocu</w:t>
      </w:r>
      <w:r>
        <w:rPr>
          <w:rFonts w:ascii="Times New Roman" w:eastAsia="Times New Roman" w:hAnsi="Times New Roman" w:cs="Times New Roman"/>
          <w:sz w:val="28"/>
          <w:szCs w:val="28"/>
        </w:rPr>
        <w:t>rrency prices temporarily decline, heat and carbon revenues support the overall margin. If heating demand seasonally dips, heightened blockchain activity compensates for lost turnover. And during periods of relaxed environmental regulations, digital revenu</w:t>
      </w:r>
      <w:r>
        <w:rPr>
          <w:rFonts w:ascii="Times New Roman" w:eastAsia="Times New Roman" w:hAnsi="Times New Roman" w:cs="Times New Roman"/>
          <w:sz w:val="28"/>
          <w:szCs w:val="28"/>
        </w:rPr>
        <w:t xml:space="preserve">e contributes more significantly to total cash flow. Thus, the mining‑heater </w:t>
      </w:r>
      <w:r>
        <w:rPr>
          <w:rFonts w:ascii="Times New Roman" w:eastAsia="Times New Roman" w:hAnsi="Times New Roman" w:cs="Times New Roman"/>
          <w:sz w:val="28"/>
          <w:szCs w:val="28"/>
        </w:rPr>
        <w:lastRenderedPageBreak/>
        <w:t>becomes a multifunctional asset whose economic resilience relies on diversified but complementary monetary sources.</w:t>
      </w:r>
    </w:p>
    <w:p w14:paraId="6B48B60F" w14:textId="77777777" w:rsidR="008D7253" w:rsidRDefault="008D7253">
      <w:pPr>
        <w:spacing w:line="360" w:lineRule="auto"/>
        <w:ind w:firstLine="708"/>
        <w:jc w:val="both"/>
        <w:rPr>
          <w:rFonts w:ascii="Times New Roman" w:eastAsia="Times New Roman" w:hAnsi="Times New Roman" w:cs="Times New Roman"/>
          <w:sz w:val="28"/>
          <w:szCs w:val="28"/>
        </w:rPr>
      </w:pPr>
    </w:p>
    <w:p w14:paraId="5F7D3EC8" w14:textId="77777777" w:rsidR="008D7253" w:rsidRDefault="00F93EB2">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62DE56B2"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Based on the analysis of the investment economic mo</w:t>
      </w:r>
      <w:r>
        <w:rPr>
          <w:rFonts w:ascii="Times New Roman" w:eastAsia="Times New Roman" w:hAnsi="Times New Roman" w:cs="Times New Roman"/>
          <w:sz w:val="28"/>
          <w:szCs w:val="28"/>
        </w:rPr>
        <w:t>del for mining heaters, the following conclusions can be drawn. Rising electricity tariffs in many countries (for example, by 4.49 % for households and 3.19 % for businesses globally since the start of 2025; the average residential tariff in the USA increa</w:t>
      </w:r>
      <w:r>
        <w:rPr>
          <w:rFonts w:ascii="Times New Roman" w:eastAsia="Times New Roman" w:hAnsi="Times New Roman" w:cs="Times New Roman"/>
          <w:sz w:val="28"/>
          <w:szCs w:val="28"/>
        </w:rPr>
        <w:t xml:space="preserve">sed from 16.0 ¢/kW·h to 16.5 ¢/kW·h; in Germany reaching $0.402/kW·h in July 2024) create a favorable backdrop for devices that convert each consumed kilowatt‑hour into useful heat while simultaneously generating cryptocurrency income. Unlike conventional </w:t>
      </w:r>
      <w:r>
        <w:rPr>
          <w:rFonts w:ascii="Times New Roman" w:eastAsia="Times New Roman" w:hAnsi="Times New Roman" w:cs="Times New Roman"/>
          <w:sz w:val="28"/>
          <w:szCs w:val="28"/>
        </w:rPr>
        <w:t>electric heaters, a mining heater recoups part of its electricity cost through mining. At a tariff of $0.165/kW·h and a hashrate of 195 TH/s, a modern Antminer S21 generates approximately $0.67/h in revenue, making the heating process self-funding before a</w:t>
      </w:r>
      <w:r>
        <w:rPr>
          <w:rFonts w:ascii="Times New Roman" w:eastAsia="Times New Roman" w:hAnsi="Times New Roman" w:cs="Times New Roman"/>
          <w:sz w:val="28"/>
          <w:szCs w:val="28"/>
        </w:rPr>
        <w:t>ccounting for the free space heating.</w:t>
      </w:r>
    </w:p>
    <w:p w14:paraId="06B0D4EB"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economic efficiency of the unit is primarily determined by hardware and infrastructure components. High ASIC energy efficiency (17 J/TH) reduces the share of electricity costs and simplifies the calculation of </w:t>
      </w:r>
      <w:r>
        <w:rPr>
          <w:rFonts w:ascii="Times New Roman" w:eastAsia="Times New Roman" w:hAnsi="Times New Roman" w:cs="Times New Roman"/>
          <w:sz w:val="28"/>
          <w:szCs w:val="28"/>
        </w:rPr>
        <w:t>required equipment for a given thermal and hashing output. Simultaneously, the integration of the heat-exchange circuit and the elimination of a separate cooling path eliminate the excess losses characteristic of classical data centers, with a PUE of 1.55,</w:t>
      </w:r>
      <w:r>
        <w:rPr>
          <w:rFonts w:ascii="Times New Roman" w:eastAsia="Times New Roman" w:hAnsi="Times New Roman" w:cs="Times New Roman"/>
          <w:sz w:val="28"/>
          <w:szCs w:val="28"/>
        </w:rPr>
        <w:t xml:space="preserve"> where up to 35% of energy is consumed by ventilation and air conditioning. In cold climates, free‑cooling and liquid cooling further reduce CAPEX and OPEX by optimizing refrigeration equipment and economizers.</w:t>
      </w:r>
    </w:p>
    <w:p w14:paraId="48E4DE36"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Capital expenditure for deploying a mining he</w:t>
      </w:r>
      <w:r>
        <w:rPr>
          <w:rFonts w:ascii="Times New Roman" w:eastAsia="Times New Roman" w:hAnsi="Times New Roman" w:cs="Times New Roman"/>
          <w:sz w:val="28"/>
          <w:szCs w:val="28"/>
        </w:rPr>
        <w:t>ater consists of the costs of computational modules, heat-exchange hardware, and power infrastructure (approximately $50/kW “turnkey,” excluding the ASICs themselves). Region selection and project scale substantially impact the total investment. The use of</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economizers and waterside economizers in the Northern Hemisphere can cut cooling costs by 60–80%, reducing the requirements for compressor chillers and fans.</w:t>
      </w:r>
    </w:p>
    <w:p w14:paraId="0F2DA938"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Cardo" w:eastAsia="Cardo" w:hAnsi="Cardo" w:cs="Cardo"/>
          <w:sz w:val="28"/>
          <w:szCs w:val="28"/>
        </w:rPr>
        <w:t>Operating expenses concentrate around electricity costs (e.g., €28.72 per 100 kW·h in the EU in H</w:t>
      </w:r>
      <w:r>
        <w:rPr>
          <w:rFonts w:ascii="Cardo" w:eastAsia="Cardo" w:hAnsi="Cardo" w:cs="Cardo"/>
          <w:sz w:val="28"/>
          <w:szCs w:val="28"/>
        </w:rPr>
        <w:t>2 2024), while maintenance, depreciation, pool commissions, and insurance occupy a relatively narrow and predictable budget share (2–3 % of CAPEX for preventive operations, straight‑line depreciation over three years, insurance ≈ 0.5 %). Long‑term PPAs ($5</w:t>
      </w:r>
      <w:r>
        <w:rPr>
          <w:rFonts w:ascii="Cardo" w:eastAsia="Cardo" w:hAnsi="Cardo" w:cs="Cardo"/>
          <w:sz w:val="28"/>
          <w:szCs w:val="28"/>
        </w:rPr>
        <w:t>6.58/MW·h for solar contracts in North America) protect the miner‑heater’s margin against rising retail tariffs.</w:t>
      </w:r>
    </w:p>
    <w:p w14:paraId="65C17686" w14:textId="77777777" w:rsidR="008D7253" w:rsidRDefault="00F93EB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Project revenue comprises three independent yet complementary streams: cryptocurrency income from hash operations, savings or direct monetizati</w:t>
      </w:r>
      <w:r>
        <w:rPr>
          <w:rFonts w:ascii="Times New Roman" w:eastAsia="Times New Roman" w:hAnsi="Times New Roman" w:cs="Times New Roman"/>
          <w:sz w:val="28"/>
          <w:szCs w:val="28"/>
        </w:rPr>
        <w:t>on of thermal energy, and the sale of carbon credits arising from decarbonized heat production. This combination ensures resilience to individual market volatility: a drop in cryptocurrency prices is offset by heat and carbon revenues, while seasonal heati</w:t>
      </w:r>
      <w:r>
        <w:rPr>
          <w:rFonts w:ascii="Times New Roman" w:eastAsia="Times New Roman" w:hAnsi="Times New Roman" w:cs="Times New Roman"/>
          <w:sz w:val="28"/>
          <w:szCs w:val="28"/>
        </w:rPr>
        <w:t>ng demand slumps are balanced by blockchain activity.</w:t>
      </w:r>
    </w:p>
    <w:p w14:paraId="49ECE0D3" w14:textId="77777777" w:rsidR="008D7253" w:rsidRDefault="00F93EB2">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Thus, the mining‑heater represents a multifunctional investment asset capable of simultaneously reducing heating costs, generating digital revenue, and supporting climate commitments. Its economic model</w:t>
      </w:r>
      <w:r>
        <w:rPr>
          <w:rFonts w:ascii="Times New Roman" w:eastAsia="Times New Roman" w:hAnsi="Times New Roman" w:cs="Times New Roman"/>
          <w:sz w:val="28"/>
          <w:szCs w:val="28"/>
        </w:rPr>
        <w:t>—based on CAPEX/OPEX optimization and revenue diversification—renders such devices attractive to private investors and utility operators amid rising tariffs, tightening climate targets, and the development of distributed energy resources.</w:t>
      </w:r>
    </w:p>
    <w:p w14:paraId="5D09AA75" w14:textId="77777777" w:rsidR="007C3004" w:rsidRDefault="007C3004">
      <w:pPr>
        <w:spacing w:line="360" w:lineRule="auto"/>
        <w:ind w:firstLine="708"/>
        <w:jc w:val="both"/>
        <w:rPr>
          <w:rFonts w:ascii="Times New Roman" w:eastAsia="Times New Roman" w:hAnsi="Times New Roman" w:cs="Times New Roman"/>
          <w:sz w:val="28"/>
          <w:szCs w:val="28"/>
          <w:lang w:val="en-US"/>
        </w:rPr>
      </w:pPr>
    </w:p>
    <w:p w14:paraId="009689CE" w14:textId="77777777" w:rsidR="007C3004" w:rsidRDefault="007C3004">
      <w:pPr>
        <w:spacing w:line="360" w:lineRule="auto"/>
        <w:ind w:firstLine="708"/>
        <w:jc w:val="both"/>
        <w:rPr>
          <w:rFonts w:ascii="Times New Roman" w:eastAsia="Times New Roman" w:hAnsi="Times New Roman" w:cs="Times New Roman"/>
          <w:sz w:val="28"/>
          <w:szCs w:val="28"/>
          <w:lang w:val="en-US"/>
        </w:rPr>
      </w:pPr>
    </w:p>
    <w:p w14:paraId="3F79E60F" w14:textId="77777777" w:rsidR="007C3004" w:rsidRDefault="007C3004">
      <w:pPr>
        <w:spacing w:line="360" w:lineRule="auto"/>
        <w:ind w:firstLine="708"/>
        <w:jc w:val="both"/>
        <w:rPr>
          <w:rFonts w:ascii="Times New Roman" w:eastAsia="Times New Roman" w:hAnsi="Times New Roman" w:cs="Times New Roman"/>
          <w:sz w:val="28"/>
          <w:szCs w:val="28"/>
          <w:lang w:val="en-US"/>
        </w:rPr>
      </w:pPr>
    </w:p>
    <w:p w14:paraId="382FB0D1" w14:textId="77777777" w:rsidR="007C3004" w:rsidRPr="007C3004" w:rsidRDefault="007C3004" w:rsidP="007C3004">
      <w:pPr>
        <w:spacing w:after="200"/>
        <w:jc w:val="both"/>
        <w:outlineLvl w:val="0"/>
        <w:rPr>
          <w:rFonts w:eastAsia="Times New Roman"/>
          <w:lang w:val="en-GB" w:eastAsia="en-GB"/>
        </w:rPr>
      </w:pPr>
      <w:r w:rsidRPr="007C3004">
        <w:rPr>
          <w:rFonts w:eastAsia="Times New Roman"/>
          <w:b/>
          <w:bCs/>
          <w:lang w:val="en-GB" w:eastAsia="en-GB"/>
        </w:rPr>
        <w:t>COMPETING INTERESTS DISCLAIMER:</w:t>
      </w:r>
    </w:p>
    <w:p w14:paraId="189F1446" w14:textId="77777777" w:rsidR="007C3004" w:rsidRPr="007C3004" w:rsidRDefault="007C3004" w:rsidP="007C3004">
      <w:pPr>
        <w:spacing w:after="200"/>
        <w:rPr>
          <w:rFonts w:ascii="Calibri" w:eastAsia="Times New Roman" w:hAnsi="Calibri" w:cs="Times New Roman"/>
          <w:lang w:val="en-GB" w:eastAsia="en-GB"/>
        </w:rPr>
      </w:pPr>
      <w:r w:rsidRPr="007C3004">
        <w:rPr>
          <w:rFonts w:ascii="Calibri" w:eastAsia="Times New Roman" w:hAnsi="Calibri"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1BBB0FDF" w14:textId="77777777" w:rsidR="007C3004" w:rsidRPr="007C3004" w:rsidRDefault="007C3004">
      <w:pPr>
        <w:spacing w:line="360" w:lineRule="auto"/>
        <w:ind w:firstLine="708"/>
        <w:jc w:val="both"/>
        <w:rPr>
          <w:rFonts w:ascii="Times New Roman" w:eastAsia="Times New Roman" w:hAnsi="Times New Roman" w:cs="Times New Roman"/>
          <w:sz w:val="28"/>
          <w:szCs w:val="28"/>
          <w:lang w:val="en-US"/>
        </w:rPr>
      </w:pPr>
    </w:p>
    <w:p w14:paraId="20846AAC" w14:textId="77777777" w:rsidR="008D7253" w:rsidRDefault="00F93EB2" w:rsidP="00074D53">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12FD0927"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Bailey, B., &amp; Helmy, K</w:t>
      </w:r>
      <w:r>
        <w:rPr>
          <w:rFonts w:ascii="Times New Roman" w:eastAsia="Times New Roman" w:hAnsi="Times New Roman" w:cs="Times New Roman"/>
          <w:sz w:val="24"/>
          <w:szCs w:val="24"/>
        </w:rPr>
        <w:t xml:space="preserve">. (2021). </w:t>
      </w:r>
      <w:r>
        <w:rPr>
          <w:rFonts w:ascii="Times New Roman" w:eastAsia="Times New Roman" w:hAnsi="Times New Roman" w:cs="Times New Roman"/>
          <w:i/>
          <w:sz w:val="24"/>
          <w:szCs w:val="24"/>
        </w:rPr>
        <w:t>How Much Does It Cost To Mine a Bitcoin</w:t>
      </w:r>
      <w:r>
        <w:rPr>
          <w:rFonts w:ascii="Times New Roman" w:eastAsia="Times New Roman" w:hAnsi="Times New Roman" w:cs="Times New Roman"/>
          <w:sz w:val="24"/>
          <w:szCs w:val="24"/>
        </w:rPr>
        <w:t>? Galaxy.</w:t>
      </w:r>
      <w:hyperlink r:id="rId9">
        <w:r w:rsidR="008D7253">
          <w:rPr>
            <w:rFonts w:ascii="Times New Roman" w:eastAsia="Times New Roman" w:hAnsi="Times New Roman" w:cs="Times New Roman"/>
            <w:sz w:val="24"/>
            <w:szCs w:val="24"/>
          </w:rPr>
          <w:t xml:space="preserve"> </w:t>
        </w:r>
      </w:hyperlink>
      <w:hyperlink r:id="rId10">
        <w:r w:rsidR="008D7253">
          <w:rPr>
            <w:rFonts w:ascii="Times New Roman" w:eastAsia="Times New Roman" w:hAnsi="Times New Roman" w:cs="Times New Roman"/>
            <w:color w:val="1155CC"/>
            <w:sz w:val="24"/>
            <w:szCs w:val="24"/>
          </w:rPr>
          <w:t>https://www.galaxy.com/insights/research/how-much-does-it-cost-to-mine-a-bitcoin</w:t>
        </w:r>
      </w:hyperlink>
    </w:p>
    <w:p w14:paraId="1054C748"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California Energy Commission. (2024). </w:t>
      </w:r>
      <w:r>
        <w:rPr>
          <w:rFonts w:ascii="Times New Roman" w:eastAsia="Times New Roman" w:hAnsi="Times New Roman" w:cs="Times New Roman"/>
          <w:i/>
          <w:sz w:val="24"/>
          <w:szCs w:val="24"/>
        </w:rPr>
        <w:t>Demonstration of Low-Cost Data Center L</w:t>
      </w:r>
      <w:r>
        <w:rPr>
          <w:rFonts w:ascii="Times New Roman" w:eastAsia="Times New Roman" w:hAnsi="Times New Roman" w:cs="Times New Roman"/>
          <w:i/>
          <w:sz w:val="24"/>
          <w:szCs w:val="24"/>
        </w:rPr>
        <w:t>iquid Cooling</w:t>
      </w:r>
      <w:r>
        <w:rPr>
          <w:rFonts w:ascii="Times New Roman" w:eastAsia="Times New Roman" w:hAnsi="Times New Roman" w:cs="Times New Roman"/>
          <w:sz w:val="24"/>
          <w:szCs w:val="24"/>
        </w:rPr>
        <w:t>. California Energy Commission.</w:t>
      </w:r>
      <w:hyperlink r:id="rId11">
        <w:r w:rsidR="008D7253">
          <w:rPr>
            <w:rFonts w:ascii="Times New Roman" w:eastAsia="Times New Roman" w:hAnsi="Times New Roman" w:cs="Times New Roman"/>
            <w:sz w:val="24"/>
            <w:szCs w:val="24"/>
          </w:rPr>
          <w:t xml:space="preserve"> </w:t>
        </w:r>
      </w:hyperlink>
      <w:hyperlink r:id="rId12">
        <w:r w:rsidR="008D7253">
          <w:rPr>
            <w:rFonts w:ascii="Times New Roman" w:eastAsia="Times New Roman" w:hAnsi="Times New Roman" w:cs="Times New Roman"/>
            <w:color w:val="1155CC"/>
            <w:sz w:val="24"/>
            <w:szCs w:val="24"/>
          </w:rPr>
          <w:t>https://www.energy.ca.gov/sites/default/files/2024-06/CEC-500-2024-061.pdf</w:t>
        </w:r>
      </w:hyperlink>
    </w:p>
    <w:p w14:paraId="1F6DCBC8"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Calipel, C., Bizien, A., Thomas, &amp; Paris, P.-C. (2024). </w:t>
      </w:r>
      <w:r>
        <w:rPr>
          <w:rFonts w:ascii="Times New Roman" w:eastAsia="Times New Roman" w:hAnsi="Times New Roman" w:cs="Times New Roman"/>
          <w:i/>
          <w:sz w:val="24"/>
          <w:szCs w:val="24"/>
        </w:rPr>
        <w:t>European Climate Investment Deficit report: An investment pathway for Europe’s future</w:t>
      </w:r>
      <w:r>
        <w:rPr>
          <w:rFonts w:ascii="Times New Roman" w:eastAsia="Times New Roman" w:hAnsi="Times New Roman" w:cs="Times New Roman"/>
          <w:sz w:val="24"/>
          <w:szCs w:val="24"/>
        </w:rPr>
        <w:t>. European Commission.</w:t>
      </w:r>
      <w:hyperlink r:id="rId13">
        <w:r w:rsidR="008D7253">
          <w:rPr>
            <w:rFonts w:ascii="Times New Roman" w:eastAsia="Times New Roman" w:hAnsi="Times New Roman" w:cs="Times New Roman"/>
            <w:sz w:val="24"/>
            <w:szCs w:val="24"/>
          </w:rPr>
          <w:t xml:space="preserve"> </w:t>
        </w:r>
      </w:hyperlink>
      <w:hyperlink r:id="rId14">
        <w:r w:rsidR="008D7253">
          <w:rPr>
            <w:rFonts w:ascii="Times New Roman" w:eastAsia="Times New Roman" w:hAnsi="Times New Roman" w:cs="Times New Roman"/>
            <w:color w:val="1155CC"/>
            <w:sz w:val="24"/>
            <w:szCs w:val="24"/>
          </w:rPr>
          <w:t>https://managenergy.ec.europa.eu/document/download/0d757276-b594-41f9-a240-8be8fc5924cc_en?filename=20240222-i4ce3859-Panorama-EU_VA-40p.pdf&amp;prefLang=lt</w:t>
        </w:r>
      </w:hyperlink>
    </w:p>
    <w:p w14:paraId="522F7B17"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EIA. (2025). </w:t>
      </w:r>
      <w:r>
        <w:rPr>
          <w:rFonts w:ascii="Times New Roman" w:eastAsia="Times New Roman" w:hAnsi="Times New Roman" w:cs="Times New Roman"/>
          <w:i/>
          <w:sz w:val="24"/>
          <w:szCs w:val="24"/>
        </w:rPr>
        <w:t>Residential electric bills in Hawaii and C</w:t>
      </w:r>
      <w:r>
        <w:rPr>
          <w:rFonts w:ascii="Times New Roman" w:eastAsia="Times New Roman" w:hAnsi="Times New Roman" w:cs="Times New Roman"/>
          <w:i/>
          <w:sz w:val="24"/>
          <w:szCs w:val="24"/>
        </w:rPr>
        <w:t>onnecticut are twice those in New Mexico and Utah</w:t>
      </w:r>
      <w:r>
        <w:rPr>
          <w:rFonts w:ascii="Times New Roman" w:eastAsia="Times New Roman" w:hAnsi="Times New Roman" w:cs="Times New Roman"/>
          <w:sz w:val="24"/>
          <w:szCs w:val="24"/>
        </w:rPr>
        <w:t>. EIA.</w:t>
      </w:r>
      <w:hyperlink r:id="rId15">
        <w:r w:rsidR="008D7253">
          <w:rPr>
            <w:rFonts w:ascii="Times New Roman" w:eastAsia="Times New Roman" w:hAnsi="Times New Roman" w:cs="Times New Roman"/>
            <w:sz w:val="24"/>
            <w:szCs w:val="24"/>
          </w:rPr>
          <w:t xml:space="preserve"> </w:t>
        </w:r>
      </w:hyperlink>
      <w:hyperlink r:id="rId16">
        <w:r w:rsidR="008D7253">
          <w:rPr>
            <w:rFonts w:ascii="Times New Roman" w:eastAsia="Times New Roman" w:hAnsi="Times New Roman" w:cs="Times New Roman"/>
            <w:color w:val="1155CC"/>
            <w:sz w:val="24"/>
            <w:szCs w:val="24"/>
          </w:rPr>
          <w:t>https://www.eia.gov/todayinenergy/detail.php?id=65244</w:t>
        </w:r>
      </w:hyperlink>
    </w:p>
    <w:p w14:paraId="02920D7B"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European Commission. (2023). </w:t>
      </w:r>
      <w:r>
        <w:rPr>
          <w:rFonts w:ascii="Times New Roman" w:eastAsia="Times New Roman" w:hAnsi="Times New Roman" w:cs="Times New Roman"/>
          <w:i/>
          <w:sz w:val="24"/>
          <w:szCs w:val="24"/>
        </w:rPr>
        <w:t>Heat pumps</w:t>
      </w:r>
      <w:r>
        <w:rPr>
          <w:rFonts w:ascii="Times New Roman" w:eastAsia="Times New Roman" w:hAnsi="Times New Roman" w:cs="Times New Roman"/>
          <w:sz w:val="24"/>
          <w:szCs w:val="24"/>
        </w:rPr>
        <w:t>. European Commission.</w:t>
      </w:r>
      <w:hyperlink r:id="rId17">
        <w:r w:rsidR="008D7253">
          <w:rPr>
            <w:rFonts w:ascii="Times New Roman" w:eastAsia="Times New Roman" w:hAnsi="Times New Roman" w:cs="Times New Roman"/>
            <w:sz w:val="24"/>
            <w:szCs w:val="24"/>
          </w:rPr>
          <w:t xml:space="preserve"> </w:t>
        </w:r>
      </w:hyperlink>
      <w:hyperlink r:id="rId18">
        <w:r w:rsidR="008D7253">
          <w:rPr>
            <w:rFonts w:ascii="Times New Roman" w:eastAsia="Times New Roman" w:hAnsi="Times New Roman" w:cs="Times New Roman"/>
            <w:color w:val="1155CC"/>
            <w:sz w:val="24"/>
            <w:szCs w:val="24"/>
          </w:rPr>
          <w:t>https://energy.ec.europa.eu/topics/energy-efficiency/heat-pumps_en</w:t>
        </w:r>
      </w:hyperlink>
    </w:p>
    <w:p w14:paraId="381BDF48"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Eurostat. (2025, May 6). </w:t>
      </w:r>
      <w:r>
        <w:rPr>
          <w:rFonts w:ascii="Times New Roman" w:eastAsia="Times New Roman" w:hAnsi="Times New Roman" w:cs="Times New Roman"/>
          <w:i/>
          <w:sz w:val="24"/>
          <w:szCs w:val="24"/>
        </w:rPr>
        <w:t>Household electricity prices in the EU are stable in 2024</w:t>
      </w:r>
      <w:r>
        <w:rPr>
          <w:rFonts w:ascii="Times New Roman" w:eastAsia="Times New Roman" w:hAnsi="Times New Roman" w:cs="Times New Roman"/>
          <w:sz w:val="24"/>
          <w:szCs w:val="24"/>
        </w:rPr>
        <w:t>. Eurostat.</w:t>
      </w:r>
      <w:hyperlink r:id="rId19">
        <w:r w:rsidR="008D7253">
          <w:rPr>
            <w:rFonts w:ascii="Times New Roman" w:eastAsia="Times New Roman" w:hAnsi="Times New Roman" w:cs="Times New Roman"/>
            <w:sz w:val="24"/>
            <w:szCs w:val="24"/>
          </w:rPr>
          <w:t xml:space="preserve"> </w:t>
        </w:r>
      </w:hyperlink>
      <w:hyperlink r:id="rId20">
        <w:r w:rsidR="008D7253">
          <w:rPr>
            <w:rFonts w:ascii="Times New Roman" w:eastAsia="Times New Roman" w:hAnsi="Times New Roman" w:cs="Times New Roman"/>
            <w:color w:val="1155CC"/>
            <w:sz w:val="24"/>
            <w:szCs w:val="24"/>
          </w:rPr>
          <w:t>https://ec.europa.eu/eurostat/web/products-eurostat-news/w/ddn-20250506-2</w:t>
        </w:r>
      </w:hyperlink>
    </w:p>
    <w:p w14:paraId="20519E75"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EZ Blockchain. (2025). </w:t>
      </w:r>
      <w:r>
        <w:rPr>
          <w:rFonts w:ascii="Times New Roman" w:eastAsia="Times New Roman" w:hAnsi="Times New Roman" w:cs="Times New Roman"/>
          <w:i/>
          <w:sz w:val="24"/>
          <w:szCs w:val="24"/>
        </w:rPr>
        <w:t>Bitmain Antminer S21 For Sale</w:t>
      </w:r>
      <w:r>
        <w:rPr>
          <w:rFonts w:ascii="Times New Roman" w:eastAsia="Times New Roman" w:hAnsi="Times New Roman" w:cs="Times New Roman"/>
          <w:sz w:val="24"/>
          <w:szCs w:val="24"/>
        </w:rPr>
        <w:t>. EZ Blockchain.</w:t>
      </w:r>
      <w:hyperlink r:id="rId21">
        <w:r w:rsidR="008D7253">
          <w:rPr>
            <w:rFonts w:ascii="Times New Roman" w:eastAsia="Times New Roman" w:hAnsi="Times New Roman" w:cs="Times New Roman"/>
            <w:sz w:val="24"/>
            <w:szCs w:val="24"/>
          </w:rPr>
          <w:t xml:space="preserve"> </w:t>
        </w:r>
      </w:hyperlink>
      <w:hyperlink r:id="rId22">
        <w:r w:rsidR="008D7253">
          <w:rPr>
            <w:rFonts w:ascii="Times New Roman" w:eastAsia="Times New Roman" w:hAnsi="Times New Roman" w:cs="Times New Roman"/>
            <w:color w:val="1155CC"/>
            <w:sz w:val="24"/>
            <w:szCs w:val="24"/>
          </w:rPr>
          <w:t>https://ezblockchain.net/hardware/antminer-s21/</w:t>
        </w:r>
      </w:hyperlink>
    </w:p>
    <w:p w14:paraId="7638BC0D"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Fortune Business Insights. (2025). </w:t>
      </w:r>
      <w:r>
        <w:rPr>
          <w:rFonts w:ascii="Times New Roman" w:eastAsia="Times New Roman" w:hAnsi="Times New Roman" w:cs="Times New Roman"/>
          <w:i/>
          <w:sz w:val="24"/>
          <w:szCs w:val="24"/>
        </w:rPr>
        <w:t>Distributed Energy Resource Management System Market</w:t>
      </w:r>
      <w:r>
        <w:rPr>
          <w:rFonts w:ascii="Times New Roman" w:eastAsia="Times New Roman" w:hAnsi="Times New Roman" w:cs="Times New Roman"/>
          <w:sz w:val="24"/>
          <w:szCs w:val="24"/>
        </w:rPr>
        <w:t>. Fortune Business Insights.</w:t>
      </w:r>
      <w:hyperlink r:id="rId23">
        <w:r w:rsidR="008D7253">
          <w:rPr>
            <w:rFonts w:ascii="Times New Roman" w:eastAsia="Times New Roman" w:hAnsi="Times New Roman" w:cs="Times New Roman"/>
            <w:sz w:val="24"/>
            <w:szCs w:val="24"/>
          </w:rPr>
          <w:t xml:space="preserve"> </w:t>
        </w:r>
      </w:hyperlink>
      <w:hyperlink r:id="rId24">
        <w:r w:rsidR="008D7253">
          <w:rPr>
            <w:rFonts w:ascii="Times New Roman" w:eastAsia="Times New Roman" w:hAnsi="Times New Roman" w:cs="Times New Roman"/>
            <w:color w:val="1155CC"/>
            <w:sz w:val="24"/>
            <w:szCs w:val="24"/>
          </w:rPr>
          <w:t>https://www.fortunebusinessinsights.com/industry-reports/distributed-energy-resource-management-system-market-100825</w:t>
        </w:r>
      </w:hyperlink>
    </w:p>
    <w:p w14:paraId="79933ED9"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Global Petrol Prices. (2025). </w:t>
      </w:r>
      <w:r>
        <w:rPr>
          <w:rFonts w:ascii="Times New Roman" w:eastAsia="Times New Roman" w:hAnsi="Times New Roman" w:cs="Times New Roman"/>
          <w:i/>
          <w:sz w:val="24"/>
          <w:szCs w:val="24"/>
        </w:rPr>
        <w:t>Electricity prices around the world</w:t>
      </w:r>
      <w:r>
        <w:rPr>
          <w:rFonts w:ascii="Times New Roman" w:eastAsia="Times New Roman" w:hAnsi="Times New Roman" w:cs="Times New Roman"/>
          <w:sz w:val="24"/>
          <w:szCs w:val="24"/>
        </w:rPr>
        <w:t>. Global Petrol Prices.</w:t>
      </w:r>
      <w:hyperlink r:id="rId25">
        <w:r w:rsidR="008D7253">
          <w:rPr>
            <w:rFonts w:ascii="Times New Roman" w:eastAsia="Times New Roman" w:hAnsi="Times New Roman" w:cs="Times New Roman"/>
            <w:sz w:val="24"/>
            <w:szCs w:val="24"/>
          </w:rPr>
          <w:t xml:space="preserve"> </w:t>
        </w:r>
      </w:hyperlink>
      <w:hyperlink r:id="rId26">
        <w:r w:rsidR="008D7253">
          <w:rPr>
            <w:rFonts w:ascii="Times New Roman" w:eastAsia="Times New Roman" w:hAnsi="Times New Roman" w:cs="Times New Roman"/>
            <w:color w:val="1155CC"/>
            <w:sz w:val="24"/>
            <w:szCs w:val="24"/>
          </w:rPr>
          <w:t>https://www.globalpetrolprices.com/electricity_prices/</w:t>
        </w:r>
      </w:hyperlink>
    </w:p>
    <w:p w14:paraId="20DEFC0D"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Grand View Research. (2024). </w:t>
      </w:r>
      <w:r>
        <w:rPr>
          <w:rFonts w:ascii="Times New Roman" w:eastAsia="Times New Roman" w:hAnsi="Times New Roman" w:cs="Times New Roman"/>
          <w:i/>
          <w:sz w:val="24"/>
          <w:szCs w:val="24"/>
        </w:rPr>
        <w:t>Data Center Liquid Cooling Market</w:t>
      </w:r>
      <w:r>
        <w:rPr>
          <w:rFonts w:ascii="Times New Roman" w:eastAsia="Times New Roman" w:hAnsi="Times New Roman" w:cs="Times New Roman"/>
          <w:sz w:val="24"/>
          <w:szCs w:val="24"/>
        </w:rPr>
        <w:t>. Grand View Research.</w:t>
      </w:r>
      <w:hyperlink r:id="rId27">
        <w:r w:rsidR="008D7253">
          <w:rPr>
            <w:rFonts w:ascii="Times New Roman" w:eastAsia="Times New Roman" w:hAnsi="Times New Roman" w:cs="Times New Roman"/>
            <w:sz w:val="24"/>
            <w:szCs w:val="24"/>
          </w:rPr>
          <w:t xml:space="preserve"> </w:t>
        </w:r>
      </w:hyperlink>
      <w:hyperlink r:id="rId28">
        <w:r w:rsidR="008D7253">
          <w:rPr>
            <w:rFonts w:ascii="Times New Roman" w:eastAsia="Times New Roman" w:hAnsi="Times New Roman" w:cs="Times New Roman"/>
            <w:color w:val="1155CC"/>
            <w:sz w:val="24"/>
            <w:szCs w:val="24"/>
          </w:rPr>
          <w:t>https://www.grandviewresearch.com/industry-analysis/data-center-liquid-cooling-market-report</w:t>
        </w:r>
      </w:hyperlink>
    </w:p>
    <w:p w14:paraId="257843E2"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lastRenderedPageBreak/>
        <w:t xml:space="preserve">Greenberg, S., Mills, E., &amp; Tschudi, B. (2006). </w:t>
      </w:r>
      <w:r>
        <w:rPr>
          <w:rFonts w:ascii="Times New Roman" w:eastAsia="Times New Roman" w:hAnsi="Times New Roman" w:cs="Times New Roman"/>
          <w:i/>
          <w:sz w:val="24"/>
          <w:szCs w:val="24"/>
        </w:rPr>
        <w:t>Best Practices for Data Centers: Lessons Learned from Benchmarking 22 Data Centers</w:t>
      </w:r>
      <w:r>
        <w:rPr>
          <w:rFonts w:ascii="Times New Roman" w:eastAsia="Times New Roman" w:hAnsi="Times New Roman" w:cs="Times New Roman"/>
          <w:sz w:val="24"/>
          <w:szCs w:val="24"/>
        </w:rPr>
        <w:t>. LBL.</w:t>
      </w:r>
      <w:hyperlink r:id="rId29">
        <w:r w:rsidR="008D7253">
          <w:rPr>
            <w:rFonts w:ascii="Times New Roman" w:eastAsia="Times New Roman" w:hAnsi="Times New Roman" w:cs="Times New Roman"/>
            <w:sz w:val="24"/>
            <w:szCs w:val="24"/>
          </w:rPr>
          <w:t xml:space="preserve"> </w:t>
        </w:r>
      </w:hyperlink>
      <w:hyperlink r:id="rId30">
        <w:r w:rsidR="008D7253">
          <w:rPr>
            <w:rFonts w:ascii="Times New Roman" w:eastAsia="Times New Roman" w:hAnsi="Times New Roman" w:cs="Times New Roman"/>
            <w:color w:val="1155CC"/>
            <w:sz w:val="24"/>
            <w:szCs w:val="24"/>
          </w:rPr>
          <w:t>https://datacenters.lbl.gov/sites/default/files/aceee-datacenters.pdf</w:t>
        </w:r>
      </w:hyperlink>
    </w:p>
    <w:p w14:paraId="11D101AE"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IEA. (2024). </w:t>
      </w:r>
      <w:r>
        <w:rPr>
          <w:rFonts w:ascii="Times New Roman" w:eastAsia="Times New Roman" w:hAnsi="Times New Roman" w:cs="Times New Roman"/>
          <w:i/>
          <w:sz w:val="24"/>
          <w:szCs w:val="24"/>
        </w:rPr>
        <w:t>Executive summary – Electricity 2024</w:t>
      </w:r>
      <w:r>
        <w:rPr>
          <w:rFonts w:ascii="Times New Roman" w:eastAsia="Times New Roman" w:hAnsi="Times New Roman" w:cs="Times New Roman"/>
          <w:sz w:val="24"/>
          <w:szCs w:val="24"/>
        </w:rPr>
        <w:t>. IEA.</w:t>
      </w:r>
      <w:hyperlink r:id="rId31">
        <w:r w:rsidR="008D7253">
          <w:rPr>
            <w:rFonts w:ascii="Times New Roman" w:eastAsia="Times New Roman" w:hAnsi="Times New Roman" w:cs="Times New Roman"/>
            <w:sz w:val="24"/>
            <w:szCs w:val="24"/>
          </w:rPr>
          <w:t xml:space="preserve"> </w:t>
        </w:r>
      </w:hyperlink>
      <w:hyperlink r:id="rId32">
        <w:r w:rsidR="008D7253">
          <w:rPr>
            <w:rFonts w:ascii="Times New Roman" w:eastAsia="Times New Roman" w:hAnsi="Times New Roman" w:cs="Times New Roman"/>
            <w:color w:val="1155CC"/>
            <w:sz w:val="24"/>
            <w:szCs w:val="24"/>
          </w:rPr>
          <w:t>https://www.iea.org/reports/electricity-2024/executive-summary</w:t>
        </w:r>
      </w:hyperlink>
    </w:p>
    <w:p w14:paraId="1A3A3C1E"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Lawton, S. (2024, September 17</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Building a More Sustainable Data Center: Challenges and Opportunities in the AI Era</w:t>
      </w:r>
      <w:r>
        <w:rPr>
          <w:rFonts w:ascii="Times New Roman" w:eastAsia="Times New Roman" w:hAnsi="Times New Roman" w:cs="Times New Roman"/>
          <w:sz w:val="24"/>
          <w:szCs w:val="24"/>
        </w:rPr>
        <w:t>. Data Center Knowledge.</w:t>
      </w:r>
      <w:hyperlink r:id="rId33">
        <w:r w:rsidR="008D7253">
          <w:rPr>
            <w:rFonts w:ascii="Times New Roman" w:eastAsia="Times New Roman" w:hAnsi="Times New Roman" w:cs="Times New Roman"/>
            <w:sz w:val="24"/>
            <w:szCs w:val="24"/>
          </w:rPr>
          <w:t xml:space="preserve"> </w:t>
        </w:r>
      </w:hyperlink>
      <w:hyperlink r:id="rId34">
        <w:r w:rsidR="008D7253">
          <w:rPr>
            <w:rFonts w:ascii="Times New Roman" w:eastAsia="Times New Roman" w:hAnsi="Times New Roman" w:cs="Times New Roman"/>
            <w:color w:val="1155CC"/>
            <w:sz w:val="24"/>
            <w:szCs w:val="24"/>
          </w:rPr>
          <w:t>https://www.datacenterknowledge.com/sustainability/building-a-more-sustainable-data-center-challenges-and-opportunities-in-the-ai-era</w:t>
        </w:r>
      </w:hyperlink>
    </w:p>
    <w:p w14:paraId="4720FE73"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Mills, B. (2018). </w:t>
      </w:r>
      <w:r>
        <w:rPr>
          <w:rFonts w:ascii="Times New Roman" w:eastAsia="Times New Roman" w:hAnsi="Times New Roman" w:cs="Times New Roman"/>
          <w:i/>
          <w:sz w:val="24"/>
          <w:szCs w:val="24"/>
        </w:rPr>
        <w:t>Farm Machinery Cost Calculations</w:t>
      </w:r>
      <w:r>
        <w:rPr>
          <w:rFonts w:ascii="Times New Roman" w:eastAsia="Times New Roman" w:hAnsi="Times New Roman" w:cs="Times New Roman"/>
          <w:sz w:val="24"/>
          <w:szCs w:val="24"/>
        </w:rPr>
        <w:t>. Msstate.</w:t>
      </w:r>
      <w:hyperlink r:id="rId35">
        <w:r w:rsidR="008D7253">
          <w:rPr>
            <w:rFonts w:ascii="Times New Roman" w:eastAsia="Times New Roman" w:hAnsi="Times New Roman" w:cs="Times New Roman"/>
            <w:sz w:val="24"/>
            <w:szCs w:val="24"/>
          </w:rPr>
          <w:t xml:space="preserve"> </w:t>
        </w:r>
      </w:hyperlink>
      <w:hyperlink r:id="rId36">
        <w:r w:rsidR="008D7253">
          <w:rPr>
            <w:rFonts w:ascii="Times New Roman" w:eastAsia="Times New Roman" w:hAnsi="Times New Roman" w:cs="Times New Roman"/>
            <w:color w:val="1155CC"/>
            <w:sz w:val="24"/>
            <w:szCs w:val="24"/>
          </w:rPr>
          <w:t>https://extension.msstate.edu/publications/farm-machinery-cost-calculations</w:t>
        </w:r>
      </w:hyperlink>
    </w:p>
    <w:p w14:paraId="57CE5A6B"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Moore, L. (2025, March 24). </w:t>
      </w:r>
      <w:r>
        <w:rPr>
          <w:rFonts w:ascii="Times New Roman" w:eastAsia="Times New Roman" w:hAnsi="Times New Roman" w:cs="Times New Roman"/>
          <w:i/>
          <w:sz w:val="24"/>
          <w:szCs w:val="24"/>
        </w:rPr>
        <w:t>Changes in Electricity Prices Globally</w:t>
      </w:r>
      <w:r>
        <w:rPr>
          <w:rFonts w:ascii="Times New Roman" w:eastAsia="Times New Roman" w:hAnsi="Times New Roman" w:cs="Times New Roman"/>
          <w:sz w:val="24"/>
          <w:szCs w:val="24"/>
        </w:rPr>
        <w:t>. Compare the Market.</w:t>
      </w:r>
      <w:hyperlink r:id="rId37">
        <w:r w:rsidR="008D7253">
          <w:rPr>
            <w:rFonts w:ascii="Times New Roman" w:eastAsia="Times New Roman" w:hAnsi="Times New Roman" w:cs="Times New Roman"/>
            <w:sz w:val="24"/>
            <w:szCs w:val="24"/>
          </w:rPr>
          <w:t xml:space="preserve"> </w:t>
        </w:r>
      </w:hyperlink>
      <w:hyperlink r:id="rId38">
        <w:r w:rsidR="008D7253">
          <w:rPr>
            <w:rFonts w:ascii="Times New Roman" w:eastAsia="Times New Roman" w:hAnsi="Times New Roman" w:cs="Times New Roman"/>
            <w:color w:val="1155CC"/>
            <w:sz w:val="24"/>
            <w:szCs w:val="24"/>
          </w:rPr>
          <w:t>https://www.comparethemarket.com.au/energy/features/changes-in-electricity-prices-globally/</w:t>
        </w:r>
      </w:hyperlink>
    </w:p>
    <w:p w14:paraId="226F9024"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Penrod, E. (2024, October 22). </w:t>
      </w:r>
      <w:r>
        <w:rPr>
          <w:rFonts w:ascii="Times New Roman" w:eastAsia="Times New Roman" w:hAnsi="Times New Roman" w:cs="Times New Roman"/>
          <w:i/>
          <w:sz w:val="24"/>
          <w:szCs w:val="24"/>
        </w:rPr>
        <w:t>Renewable PPA prices continue to rise — and may do so through 2030, say LevelTen and Ascend analysts</w:t>
      </w:r>
      <w:r>
        <w:rPr>
          <w:rFonts w:ascii="Times New Roman" w:eastAsia="Times New Roman" w:hAnsi="Times New Roman" w:cs="Times New Roman"/>
          <w:sz w:val="24"/>
          <w:szCs w:val="24"/>
        </w:rPr>
        <w:t>. Utility Dive.</w:t>
      </w:r>
      <w:hyperlink r:id="rId39">
        <w:r w:rsidR="008D7253">
          <w:rPr>
            <w:rFonts w:ascii="Times New Roman" w:eastAsia="Times New Roman" w:hAnsi="Times New Roman" w:cs="Times New Roman"/>
            <w:sz w:val="24"/>
            <w:szCs w:val="24"/>
          </w:rPr>
          <w:t xml:space="preserve"> </w:t>
        </w:r>
      </w:hyperlink>
      <w:hyperlink r:id="rId40">
        <w:r w:rsidR="008D7253">
          <w:rPr>
            <w:rFonts w:ascii="Times New Roman" w:eastAsia="Times New Roman" w:hAnsi="Times New Roman" w:cs="Times New Roman"/>
            <w:color w:val="1155CC"/>
            <w:sz w:val="24"/>
            <w:szCs w:val="24"/>
          </w:rPr>
          <w:t>https://www.utilitydive.com/news/ppa-power-purchase-prices-wind-solar-levelten-ascend-analytics/730245/</w:t>
        </w:r>
      </w:hyperlink>
    </w:p>
    <w:p w14:paraId="2CF983AE"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Shehabi, A., Smith, S., Hubbard, A., Newkirk, A., Lei, N., Siddik, A., Holecek, B., Koomey, J., Masanet, E., &amp; Sartor, D. (2024). </w:t>
      </w:r>
      <w:r>
        <w:rPr>
          <w:rFonts w:ascii="Times New Roman" w:eastAsia="Times New Roman" w:hAnsi="Times New Roman" w:cs="Times New Roman"/>
          <w:i/>
          <w:sz w:val="24"/>
          <w:szCs w:val="24"/>
        </w:rPr>
        <w:t>2024 United States Data Center Energy Usage Report</w:t>
      </w:r>
      <w:r>
        <w:rPr>
          <w:rFonts w:ascii="Times New Roman" w:eastAsia="Times New Roman" w:hAnsi="Times New Roman" w:cs="Times New Roman"/>
          <w:sz w:val="24"/>
          <w:szCs w:val="24"/>
        </w:rPr>
        <w:t>. LBL.</w:t>
      </w:r>
      <w:hyperlink r:id="rId41">
        <w:r w:rsidR="008D7253">
          <w:rPr>
            <w:rFonts w:ascii="Times New Roman" w:eastAsia="Times New Roman" w:hAnsi="Times New Roman" w:cs="Times New Roman"/>
            <w:sz w:val="24"/>
            <w:szCs w:val="24"/>
          </w:rPr>
          <w:t xml:space="preserve"> </w:t>
        </w:r>
      </w:hyperlink>
      <w:hyperlink r:id="rId42">
        <w:r w:rsidR="008D7253">
          <w:rPr>
            <w:rFonts w:ascii="Times New Roman" w:eastAsia="Times New Roman" w:hAnsi="Times New Roman" w:cs="Times New Roman"/>
            <w:color w:val="1155CC"/>
            <w:sz w:val="24"/>
            <w:szCs w:val="24"/>
          </w:rPr>
          <w:t>https://eta-publications.lbl.gov/sites/default/files/2024-12/lbnl-2024-united-states-data-center-energy-usage-report.pdf</w:t>
        </w:r>
      </w:hyperlink>
    </w:p>
    <w:p w14:paraId="7B3D7270"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Terawulf. (2025). </w:t>
      </w:r>
      <w:r>
        <w:rPr>
          <w:rFonts w:ascii="Times New Roman" w:eastAsia="Times New Roman" w:hAnsi="Times New Roman" w:cs="Times New Roman"/>
          <w:i/>
          <w:sz w:val="24"/>
          <w:szCs w:val="24"/>
        </w:rPr>
        <w:t>Powering the Future: Energy Solutions for AI, HPC, and Bitcoin Mining</w:t>
      </w:r>
      <w:r>
        <w:rPr>
          <w:rFonts w:ascii="Times New Roman" w:eastAsia="Times New Roman" w:hAnsi="Times New Roman" w:cs="Times New Roman"/>
          <w:sz w:val="24"/>
          <w:szCs w:val="24"/>
        </w:rPr>
        <w:t>. Terawulf.</w:t>
      </w:r>
      <w:hyperlink r:id="rId43">
        <w:r w:rsidR="008D7253">
          <w:rPr>
            <w:rFonts w:ascii="Times New Roman" w:eastAsia="Times New Roman" w:hAnsi="Times New Roman" w:cs="Times New Roman"/>
            <w:sz w:val="24"/>
            <w:szCs w:val="24"/>
          </w:rPr>
          <w:t xml:space="preserve"> </w:t>
        </w:r>
      </w:hyperlink>
      <w:hyperlink r:id="rId44">
        <w:r w:rsidR="008D7253">
          <w:rPr>
            <w:rFonts w:ascii="Times New Roman" w:eastAsia="Times New Roman" w:hAnsi="Times New Roman" w:cs="Times New Roman"/>
            <w:color w:val="1155CC"/>
            <w:sz w:val="24"/>
            <w:szCs w:val="24"/>
          </w:rPr>
          <w:t>https://www.terawulf.com/news/powering-the-future-energy-solutions-for-ai-hpc-and-bitcoin-mining</w:t>
        </w:r>
      </w:hyperlink>
    </w:p>
    <w:p w14:paraId="7F5C36C8"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Verified Market Research. (2025). </w:t>
      </w:r>
      <w:r>
        <w:rPr>
          <w:rFonts w:ascii="Times New Roman" w:eastAsia="Times New Roman" w:hAnsi="Times New Roman" w:cs="Times New Roman"/>
          <w:i/>
          <w:sz w:val="24"/>
          <w:szCs w:val="24"/>
        </w:rPr>
        <w:t>Cryptocurrency Mining Hardware Market Size, Share, &amp; Forecast</w:t>
      </w:r>
      <w:r>
        <w:rPr>
          <w:rFonts w:ascii="Times New Roman" w:eastAsia="Times New Roman" w:hAnsi="Times New Roman" w:cs="Times New Roman"/>
          <w:sz w:val="24"/>
          <w:szCs w:val="24"/>
        </w:rPr>
        <w:t>. Verified Market Research.</w:t>
      </w:r>
      <w:hyperlink r:id="rId45">
        <w:r w:rsidR="008D7253">
          <w:rPr>
            <w:rFonts w:ascii="Times New Roman" w:eastAsia="Times New Roman" w:hAnsi="Times New Roman" w:cs="Times New Roman"/>
            <w:sz w:val="24"/>
            <w:szCs w:val="24"/>
          </w:rPr>
          <w:t xml:space="preserve"> </w:t>
        </w:r>
      </w:hyperlink>
      <w:hyperlink r:id="rId46">
        <w:r w:rsidR="008D7253">
          <w:rPr>
            <w:rFonts w:ascii="Times New Roman" w:eastAsia="Times New Roman" w:hAnsi="Times New Roman" w:cs="Times New Roman"/>
            <w:color w:val="1155CC"/>
            <w:sz w:val="24"/>
            <w:szCs w:val="24"/>
          </w:rPr>
          <w:t>https://www.verifiedmarketresearch.com/product/cryptocurrency-mining-hardware-market/</w:t>
        </w:r>
      </w:hyperlink>
    </w:p>
    <w:p w14:paraId="0FAE9FDA" w14:textId="77777777" w:rsidR="008D7253" w:rsidRDefault="00F93EB2">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WiredRE. (2013, August 29). </w:t>
      </w:r>
      <w:r>
        <w:rPr>
          <w:rFonts w:ascii="Times New Roman" w:eastAsia="Times New Roman" w:hAnsi="Times New Roman" w:cs="Times New Roman"/>
          <w:i/>
          <w:sz w:val="24"/>
          <w:szCs w:val="24"/>
        </w:rPr>
        <w:t xml:space="preserve">Data Center Maintenance CapEx: </w:t>
      </w:r>
      <w:r>
        <w:rPr>
          <w:rFonts w:ascii="Times New Roman" w:eastAsia="Times New Roman" w:hAnsi="Times New Roman" w:cs="Times New Roman"/>
          <w:i/>
          <w:sz w:val="24"/>
          <w:szCs w:val="24"/>
        </w:rPr>
        <w:t>Slightly More Transparency</w:t>
      </w:r>
      <w:r>
        <w:rPr>
          <w:rFonts w:ascii="Times New Roman" w:eastAsia="Times New Roman" w:hAnsi="Times New Roman" w:cs="Times New Roman"/>
          <w:sz w:val="24"/>
          <w:szCs w:val="24"/>
        </w:rPr>
        <w:t>. WiredRE.</w:t>
      </w:r>
      <w:hyperlink r:id="rId47">
        <w:r w:rsidR="008D7253">
          <w:rPr>
            <w:rFonts w:ascii="Times New Roman" w:eastAsia="Times New Roman" w:hAnsi="Times New Roman" w:cs="Times New Roman"/>
            <w:sz w:val="24"/>
            <w:szCs w:val="24"/>
          </w:rPr>
          <w:t xml:space="preserve"> </w:t>
        </w:r>
      </w:hyperlink>
      <w:hyperlink r:id="rId48">
        <w:r w:rsidR="008D7253">
          <w:rPr>
            <w:rFonts w:ascii="Times New Roman" w:eastAsia="Times New Roman" w:hAnsi="Times New Roman" w:cs="Times New Roman"/>
            <w:color w:val="1155CC"/>
            <w:sz w:val="24"/>
            <w:szCs w:val="24"/>
          </w:rPr>
          <w:t>https://wiredre.com/data-center-maintenance-capital-expense-2013/</w:t>
        </w:r>
      </w:hyperlink>
    </w:p>
    <w:p w14:paraId="39373826" w14:textId="77777777" w:rsidR="008D7253" w:rsidRDefault="008D7253">
      <w:pPr>
        <w:spacing w:line="360" w:lineRule="auto"/>
        <w:ind w:firstLine="708"/>
        <w:jc w:val="both"/>
        <w:rPr>
          <w:rFonts w:ascii="Times New Roman" w:eastAsia="Times New Roman" w:hAnsi="Times New Roman" w:cs="Times New Roman"/>
          <w:sz w:val="28"/>
          <w:szCs w:val="28"/>
        </w:rPr>
      </w:pPr>
    </w:p>
    <w:sectPr w:rsidR="008D7253">
      <w:headerReference w:type="even" r:id="rId49"/>
      <w:headerReference w:type="default" r:id="rId50"/>
      <w:footerReference w:type="even" r:id="rId51"/>
      <w:footerReference w:type="default" r:id="rId52"/>
      <w:headerReference w:type="first" r:id="rId53"/>
      <w:footerReference w:type="first" r:id="rId5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1D46A" w14:textId="77777777" w:rsidR="00F93EB2" w:rsidRDefault="00F93EB2" w:rsidP="00180316">
      <w:pPr>
        <w:spacing w:line="240" w:lineRule="auto"/>
      </w:pPr>
      <w:r>
        <w:separator/>
      </w:r>
    </w:p>
  </w:endnote>
  <w:endnote w:type="continuationSeparator" w:id="0">
    <w:p w14:paraId="1A347905" w14:textId="77777777" w:rsidR="00F93EB2" w:rsidRDefault="00F93EB2" w:rsidP="001803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udex">
    <w:charset w:val="00"/>
    <w:family w:val="auto"/>
    <w:pitch w:val="default"/>
    <w:embedRegular r:id="rId1" w:fontKey="{FBE07D4B-7CB9-4121-BD60-B8757BD646FE}"/>
  </w:font>
  <w:font w:name="Cardo">
    <w:charset w:val="00"/>
    <w:family w:val="auto"/>
    <w:pitch w:val="default"/>
    <w:embedRegular r:id="rId2" w:fontKey="{71B28982-710B-4754-8498-7F1F6A13DF2C}"/>
  </w:font>
  <w:font w:name="Cambria">
    <w:panose1 w:val="02040503050406030204"/>
    <w:charset w:val="00"/>
    <w:family w:val="roman"/>
    <w:pitch w:val="variable"/>
    <w:sig w:usb0="E00006FF" w:usb1="420024FF" w:usb2="02000000" w:usb3="00000000" w:csb0="0000019F" w:csb1="00000000"/>
    <w:embedRegular r:id="rId3" w:fontKey="{595974A4-2B04-4420-B447-954A3B3258A4}"/>
  </w:font>
  <w:font w:name="Calibri">
    <w:panose1 w:val="020F0502020204030204"/>
    <w:charset w:val="00"/>
    <w:family w:val="swiss"/>
    <w:pitch w:val="variable"/>
    <w:sig w:usb0="E0002AFF" w:usb1="4000ACFF" w:usb2="00000001" w:usb3="00000000" w:csb0="000001FF" w:csb1="00000000"/>
    <w:embedRegular r:id="rId4" w:fontKey="{1363D207-898E-4576-A50C-033D3DF76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47E80" w14:textId="77777777" w:rsidR="00180316" w:rsidRDefault="00180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0972" w14:textId="77777777" w:rsidR="00180316" w:rsidRDefault="001803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F5B2A" w14:textId="77777777" w:rsidR="00180316" w:rsidRDefault="00180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77797" w14:textId="77777777" w:rsidR="00F93EB2" w:rsidRDefault="00F93EB2" w:rsidP="00180316">
      <w:pPr>
        <w:spacing w:line="240" w:lineRule="auto"/>
      </w:pPr>
      <w:r>
        <w:separator/>
      </w:r>
    </w:p>
  </w:footnote>
  <w:footnote w:type="continuationSeparator" w:id="0">
    <w:p w14:paraId="7F284FD5" w14:textId="77777777" w:rsidR="00F93EB2" w:rsidRDefault="00F93EB2" w:rsidP="001803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8B19A" w14:textId="142AEC8B" w:rsidR="00180316" w:rsidRDefault="00180316">
    <w:pPr>
      <w:pStyle w:val="Header"/>
    </w:pPr>
    <w:r>
      <w:rPr>
        <w:noProof/>
      </w:rPr>
      <w:pict w14:anchorId="33746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504766"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E728B" w14:textId="0166A91D" w:rsidR="00180316" w:rsidRDefault="00180316">
    <w:pPr>
      <w:pStyle w:val="Header"/>
    </w:pPr>
    <w:r>
      <w:rPr>
        <w:noProof/>
      </w:rPr>
      <w:pict w14:anchorId="6060E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504767"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3D0C2" w14:textId="67369594" w:rsidR="00180316" w:rsidRDefault="00180316">
    <w:pPr>
      <w:pStyle w:val="Header"/>
    </w:pPr>
    <w:r>
      <w:rPr>
        <w:noProof/>
      </w:rPr>
      <w:pict w14:anchorId="47BAE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504765"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53"/>
    <w:rsid w:val="00074D53"/>
    <w:rsid w:val="00180316"/>
    <w:rsid w:val="006549A6"/>
    <w:rsid w:val="007C3004"/>
    <w:rsid w:val="008D7253"/>
    <w:rsid w:val="008F1192"/>
    <w:rsid w:val="009809AB"/>
    <w:rsid w:val="009F6473"/>
    <w:rsid w:val="00B81EDB"/>
    <w:rsid w:val="00CD39B1"/>
    <w:rsid w:val="00D517C8"/>
    <w:rsid w:val="00E045B8"/>
    <w:rsid w:val="00F93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C45AF7"/>
  <w15:docId w15:val="{CCD71486-A33C-4C8C-8089-21D2D07B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F6473"/>
    <w:rPr>
      <w:color w:val="0000FF" w:themeColor="hyperlink"/>
      <w:u w:val="single"/>
    </w:rPr>
  </w:style>
  <w:style w:type="character" w:styleId="UnresolvedMention">
    <w:name w:val="Unresolved Mention"/>
    <w:basedOn w:val="DefaultParagraphFont"/>
    <w:uiPriority w:val="99"/>
    <w:semiHidden/>
    <w:unhideWhenUsed/>
    <w:rsid w:val="009F6473"/>
    <w:rPr>
      <w:color w:val="605E5C"/>
      <w:shd w:val="clear" w:color="auto" w:fill="E1DFDD"/>
    </w:rPr>
  </w:style>
  <w:style w:type="paragraph" w:styleId="ListParagraph">
    <w:name w:val="List Paragraph"/>
    <w:basedOn w:val="Normal"/>
    <w:uiPriority w:val="34"/>
    <w:qFormat/>
    <w:rsid w:val="007C3004"/>
    <w:pPr>
      <w:ind w:left="720"/>
      <w:contextualSpacing/>
    </w:pPr>
  </w:style>
  <w:style w:type="paragraph" w:styleId="Header">
    <w:name w:val="header"/>
    <w:basedOn w:val="Normal"/>
    <w:link w:val="HeaderChar"/>
    <w:uiPriority w:val="99"/>
    <w:unhideWhenUsed/>
    <w:rsid w:val="00180316"/>
    <w:pPr>
      <w:tabs>
        <w:tab w:val="center" w:pos="4680"/>
        <w:tab w:val="right" w:pos="9360"/>
      </w:tabs>
      <w:spacing w:line="240" w:lineRule="auto"/>
    </w:pPr>
  </w:style>
  <w:style w:type="character" w:customStyle="1" w:styleId="HeaderChar">
    <w:name w:val="Header Char"/>
    <w:basedOn w:val="DefaultParagraphFont"/>
    <w:link w:val="Header"/>
    <w:uiPriority w:val="99"/>
    <w:rsid w:val="00180316"/>
  </w:style>
  <w:style w:type="paragraph" w:styleId="Footer">
    <w:name w:val="footer"/>
    <w:basedOn w:val="Normal"/>
    <w:link w:val="FooterChar"/>
    <w:uiPriority w:val="99"/>
    <w:unhideWhenUsed/>
    <w:rsid w:val="00180316"/>
    <w:pPr>
      <w:tabs>
        <w:tab w:val="center" w:pos="4680"/>
        <w:tab w:val="right" w:pos="9360"/>
      </w:tabs>
      <w:spacing w:line="240" w:lineRule="auto"/>
    </w:pPr>
  </w:style>
  <w:style w:type="character" w:customStyle="1" w:styleId="FooterChar">
    <w:name w:val="Footer Char"/>
    <w:basedOn w:val="DefaultParagraphFont"/>
    <w:link w:val="Footer"/>
    <w:uiPriority w:val="99"/>
    <w:rsid w:val="00180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managenergy.ec.europa.eu/document/download/0d757276-b594-41f9-a240-8be8fc5924cc_en?filename=20240222-i4ce3859-Panorama-EU_VA-40p.pdf&amp;prefLang=lt" TargetMode="External"/><Relationship Id="rId18" Type="http://schemas.openxmlformats.org/officeDocument/2006/relationships/hyperlink" Target="https://energy.ec.europa.eu/topics/energy-efficiency/heat-pumps_en" TargetMode="External"/><Relationship Id="rId26" Type="http://schemas.openxmlformats.org/officeDocument/2006/relationships/hyperlink" Target="https://www.globalpetrolprices.com/electricity_prices/" TargetMode="External"/><Relationship Id="rId39" Type="http://schemas.openxmlformats.org/officeDocument/2006/relationships/hyperlink" Target="https://www.utilitydive.com/news/ppa-power-purchase-prices-wind-solar-levelten-ascend-analytics/730245/" TargetMode="External"/><Relationship Id="rId21" Type="http://schemas.openxmlformats.org/officeDocument/2006/relationships/hyperlink" Target="https://ezblockchain.net/hardware/antminer-s21/" TargetMode="External"/><Relationship Id="rId34" Type="http://schemas.openxmlformats.org/officeDocument/2006/relationships/hyperlink" Target="https://www.datacenterknowledge.com/sustainability/building-a-more-sustainable-data-center-challenges-and-opportunities-in-the-ai-era" TargetMode="External"/><Relationship Id="rId42" Type="http://schemas.openxmlformats.org/officeDocument/2006/relationships/hyperlink" Target="https://eta-publications.lbl.gov/sites/default/files/2024-12/lbnl-2024-united-states-data-center-energy-usage-report.pdf" TargetMode="External"/><Relationship Id="rId47" Type="http://schemas.openxmlformats.org/officeDocument/2006/relationships/hyperlink" Target="https://wiredre.com/data-center-maintenance-capital-expense-2013/"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eia.gov/todayinenergy/detail.php?id=65244" TargetMode="External"/><Relationship Id="rId29" Type="http://schemas.openxmlformats.org/officeDocument/2006/relationships/hyperlink" Target="https://datacenters.lbl.gov/sites/default/files/aceee-datacenters.pdf" TargetMode="External"/><Relationship Id="rId11" Type="http://schemas.openxmlformats.org/officeDocument/2006/relationships/hyperlink" Target="https://www.energy.ca.gov/sites/default/files/2024-06/CEC-500-2024-061.pdf" TargetMode="External"/><Relationship Id="rId24" Type="http://schemas.openxmlformats.org/officeDocument/2006/relationships/hyperlink" Target="https://www.fortunebusinessinsights.com/industry-reports/distributed-energy-resource-management-system-market-100825" TargetMode="External"/><Relationship Id="rId32" Type="http://schemas.openxmlformats.org/officeDocument/2006/relationships/hyperlink" Target="https://www.iea.org/reports/electricity-2024/executive-summary" TargetMode="External"/><Relationship Id="rId37" Type="http://schemas.openxmlformats.org/officeDocument/2006/relationships/hyperlink" Target="https://www.comparethemarket.com.au/energy/features/changes-in-electricity-prices-globally/" TargetMode="External"/><Relationship Id="rId40" Type="http://schemas.openxmlformats.org/officeDocument/2006/relationships/hyperlink" Target="https://www.utilitydive.com/news/ppa-power-purchase-prices-wind-solar-levelten-ascend-analytics/730245/" TargetMode="External"/><Relationship Id="rId45" Type="http://schemas.openxmlformats.org/officeDocument/2006/relationships/hyperlink" Target="https://www.verifiedmarketresearch.com/product/cryptocurrency-mining-hardware-market/" TargetMode="External"/><Relationship Id="rId53"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yperlink" Target="https://www.galaxy.com/insights/research/how-much-does-it-cost-to-mine-a-bitcoin" TargetMode="External"/><Relationship Id="rId19" Type="http://schemas.openxmlformats.org/officeDocument/2006/relationships/hyperlink" Target="https://ec.europa.eu/eurostat/web/products-eurostat-news/w/ddn-20250506-2" TargetMode="External"/><Relationship Id="rId31" Type="http://schemas.openxmlformats.org/officeDocument/2006/relationships/hyperlink" Target="https://www.iea.org/reports/electricity-2024/executive-summary" TargetMode="External"/><Relationship Id="rId44" Type="http://schemas.openxmlformats.org/officeDocument/2006/relationships/hyperlink" Target="https://www.terawulf.com/news/powering-the-future-energy-solutions-for-ai-hpc-and-bitcoin-mining" TargetMode="External"/><Relationship Id="rId5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galaxy.com/insights/research/how-much-does-it-cost-to-mine-a-bitcoin" TargetMode="External"/><Relationship Id="rId14" Type="http://schemas.openxmlformats.org/officeDocument/2006/relationships/hyperlink" Target="https://managenergy.ec.europa.eu/document/download/0d757276-b594-41f9-a240-8be8fc5924cc_en?filename=20240222-i4ce3859-Panorama-EU_VA-40p.pdf&amp;prefLang=lt" TargetMode="External"/><Relationship Id="rId22" Type="http://schemas.openxmlformats.org/officeDocument/2006/relationships/hyperlink" Target="https://ezblockchain.net/hardware/antminer-s21/" TargetMode="External"/><Relationship Id="rId27" Type="http://schemas.openxmlformats.org/officeDocument/2006/relationships/hyperlink" Target="https://www.grandviewresearch.com/industry-analysis/data-center-liquid-cooling-market-report" TargetMode="External"/><Relationship Id="rId30" Type="http://schemas.openxmlformats.org/officeDocument/2006/relationships/hyperlink" Target="https://datacenters.lbl.gov/sites/default/files/aceee-datacenters.pdf" TargetMode="External"/><Relationship Id="rId35" Type="http://schemas.openxmlformats.org/officeDocument/2006/relationships/hyperlink" Target="https://extension.msstate.edu/publications/farm-machinery-cost-calculations" TargetMode="External"/><Relationship Id="rId43" Type="http://schemas.openxmlformats.org/officeDocument/2006/relationships/hyperlink" Target="https://www.terawulf.com/news/powering-the-future-energy-solutions-for-ai-hpc-and-bitcoin-mining" TargetMode="External"/><Relationship Id="rId48" Type="http://schemas.openxmlformats.org/officeDocument/2006/relationships/hyperlink" Target="https://wiredre.com/data-center-maintenance-capital-expense-2013/"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www.energy.ca.gov/sites/default/files/2024-06/CEC-500-2024-061.pdf" TargetMode="External"/><Relationship Id="rId17" Type="http://schemas.openxmlformats.org/officeDocument/2006/relationships/hyperlink" Target="https://energy.ec.europa.eu/topics/energy-efficiency/heat-pumps_en" TargetMode="External"/><Relationship Id="rId25" Type="http://schemas.openxmlformats.org/officeDocument/2006/relationships/hyperlink" Target="https://www.globalpetrolprices.com/electricity_prices/" TargetMode="External"/><Relationship Id="rId33" Type="http://schemas.openxmlformats.org/officeDocument/2006/relationships/hyperlink" Target="https://www.datacenterknowledge.com/sustainability/building-a-more-sustainable-data-center-challenges-and-opportunities-in-the-ai-era" TargetMode="External"/><Relationship Id="rId38" Type="http://schemas.openxmlformats.org/officeDocument/2006/relationships/hyperlink" Target="https://www.comparethemarket.com.au/energy/features/changes-in-electricity-prices-globally/" TargetMode="External"/><Relationship Id="rId46" Type="http://schemas.openxmlformats.org/officeDocument/2006/relationships/hyperlink" Target="https://www.verifiedmarketresearch.com/product/cryptocurrency-mining-hardware-market/" TargetMode="External"/><Relationship Id="rId20" Type="http://schemas.openxmlformats.org/officeDocument/2006/relationships/hyperlink" Target="https://ec.europa.eu/eurostat/web/products-eurostat-news/w/ddn-20250506-2" TargetMode="External"/><Relationship Id="rId41" Type="http://schemas.openxmlformats.org/officeDocument/2006/relationships/hyperlink" Target="https://eta-publications.lbl.gov/sites/default/files/2024-12/lbnl-2024-united-states-data-center-energy-usage-report.pdf" TargetMode="External"/><Relationship Id="rId54"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eia.gov/todayinenergy/detail.php?id=65244" TargetMode="External"/><Relationship Id="rId23" Type="http://schemas.openxmlformats.org/officeDocument/2006/relationships/hyperlink" Target="https://www.fortunebusinessinsights.com/industry-reports/distributed-energy-resource-management-system-market-100825" TargetMode="External"/><Relationship Id="rId28" Type="http://schemas.openxmlformats.org/officeDocument/2006/relationships/hyperlink" Target="https://www.grandviewresearch.com/industry-analysis/data-center-liquid-cooling-market-report" TargetMode="External"/><Relationship Id="rId36" Type="http://schemas.openxmlformats.org/officeDocument/2006/relationships/hyperlink" Target="https://extension.msstate.edu/publications/farm-machinery-cost-calculations"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4484</Words>
  <Characters>25563</Characters>
  <Application>Microsoft Office Word</Application>
  <DocSecurity>0</DocSecurity>
  <Lines>213</Lines>
  <Paragraphs>59</Paragraphs>
  <ScaleCrop>false</ScaleCrop>
  <Company/>
  <LinksUpToDate>false</LinksUpToDate>
  <CharactersWithSpaces>29988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45</cp:revision>
  <dcterms:created xsi:type="dcterms:W3CDTF">2025-08-12T08:23:00Z</dcterms:created>
  <dcterms:modified xsi:type="dcterms:W3CDTF">2025-08-12T11:54:00Z</dcterms:modified>
</cp:coreProperties>
</file>