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65BAC" w14:textId="77777777" w:rsidR="00326E3C" w:rsidRPr="00216F5A" w:rsidRDefault="008A7566" w:rsidP="00717C83">
      <w:pPr>
        <w:jc w:val="right"/>
        <w:rPr>
          <w:rFonts w:ascii="Arial" w:hAnsi="Arial" w:cs="Arial"/>
          <w:b/>
          <w:sz w:val="36"/>
          <w:szCs w:val="36"/>
        </w:rPr>
      </w:pPr>
      <w:bookmarkStart w:id="0" w:name="_Toc12955885"/>
      <w:r w:rsidRPr="00216F5A">
        <w:rPr>
          <w:rFonts w:ascii="Arial" w:hAnsi="Arial" w:cs="Arial"/>
          <w:b/>
          <w:sz w:val="36"/>
          <w:szCs w:val="36"/>
        </w:rPr>
        <w:t>THE ECONOMIC IMPACT OF INTERNET FRAUD AMONG STUDENTS OF TERTIARY INSTITUTIONS IN THE UPPER EAST REGION OF GHAN</w:t>
      </w:r>
      <w:bookmarkStart w:id="1" w:name="_Toc12955837"/>
      <w:r w:rsidRPr="00216F5A">
        <w:rPr>
          <w:rFonts w:ascii="Arial" w:hAnsi="Arial" w:cs="Arial"/>
          <w:b/>
          <w:sz w:val="36"/>
          <w:szCs w:val="36"/>
        </w:rPr>
        <w:t>A</w:t>
      </w:r>
    </w:p>
    <w:p w14:paraId="35D699E5" w14:textId="77777777" w:rsidR="00607040" w:rsidRDefault="00607040" w:rsidP="003F02C7">
      <w:pPr>
        <w:tabs>
          <w:tab w:val="left" w:pos="8595"/>
        </w:tabs>
        <w:rPr>
          <w:rFonts w:ascii="Arial" w:hAnsi="Arial" w:cs="Arial"/>
        </w:rPr>
      </w:pPr>
    </w:p>
    <w:bookmarkStart w:id="2" w:name="_GoBack"/>
    <w:bookmarkEnd w:id="2"/>
    <w:p w14:paraId="07FFFFA5" w14:textId="1BAF798B" w:rsidR="00782455" w:rsidRPr="00216F5A" w:rsidRDefault="003F02C7" w:rsidP="003F02C7">
      <w:pPr>
        <w:tabs>
          <w:tab w:val="left" w:pos="8595"/>
        </w:tabs>
        <w:rPr>
          <w:rFonts w:ascii="Arial" w:hAnsi="Arial" w:cs="Arial"/>
          <w:b/>
          <w:bCs/>
          <w:color w:val="000000"/>
          <w:szCs w:val="18"/>
        </w:rPr>
      </w:pPr>
      <w:r w:rsidRPr="00216F5A">
        <w:rPr>
          <w:rFonts w:ascii="Arial" w:hAnsi="Arial" w:cs="Arial"/>
          <w:noProof/>
        </w:rPr>
        <mc:AlternateContent>
          <mc:Choice Requires="wps">
            <w:drawing>
              <wp:inline distT="0" distB="0" distL="0" distR="0" wp14:anchorId="68CD4094" wp14:editId="2533673A">
                <wp:extent cx="6038850" cy="45719"/>
                <wp:effectExtent l="0" t="0" r="19050" b="3111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A5FC91" id="_x0000_t32" coordsize="21600,21600" o:spt="32" o:oned="t" path="m,l21600,21600e" filled="f">
                <v:path arrowok="t" fillok="f" o:connecttype="none"/>
                <o:lock v:ext="edit" shapetype="t"/>
              </v:shapetype>
              <v:shape id="Straight Arrow Connector 1" o:spid="_x0000_s1026" type="#_x0000_t32" style="width:475.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" strokeweight="1.5pt">
                <w10:anchorlock/>
              </v:shape>
            </w:pict>
          </mc:Fallback>
        </mc:AlternateContent>
      </w:r>
      <w:bookmarkEnd w:id="1"/>
      <w:r w:rsidR="00782455" w:rsidRPr="00216F5A">
        <w:rPr>
          <w:rFonts w:ascii="Arial" w:hAnsi="Arial" w:cs="Arial"/>
        </w:rPr>
        <w:t xml:space="preserve"> </w:t>
      </w:r>
      <w:r w:rsidR="00782455" w:rsidRPr="00216F5A">
        <w:rPr>
          <w:rFonts w:ascii="Arial" w:hAnsi="Arial" w:cs="Arial"/>
          <w:b/>
        </w:rPr>
        <w:t>ABSTRACT</w:t>
      </w:r>
    </w:p>
    <w:p w14:paraId="02FF0A94" w14:textId="77777777" w:rsidR="00326E3C" w:rsidRPr="00323ABF" w:rsidRDefault="008A7566" w:rsidP="0020078E">
      <w:pPr>
        <w:spacing w:after="0" w:line="240" w:lineRule="auto"/>
        <w:rPr>
          <w:rFonts w:ascii="Arial" w:hAnsi="Arial" w:cs="Arial"/>
          <w:bCs/>
          <w:color w:val="000000"/>
        </w:rPr>
      </w:pPr>
      <w:r w:rsidRPr="00323ABF">
        <w:rPr>
          <w:rFonts w:ascii="Arial" w:eastAsia="Times New Roman" w:hAnsi="Arial" w:cs="Arial"/>
          <w:bCs/>
          <w:color w:val="000000"/>
        </w:rPr>
        <w:t xml:space="preserve">The prevalence of web-aided crimes in tertiary institutions, such as fraud, cyber harassment and hacking, is a growing concern. These criminal activities do not only tarnish the reputation of the institutions but also have far-reaching implications, impacting graduates' job prospects, particularly those with backgrounds in Information Technology (IT). In light of this, a study was conducted to explore the economic impact of internet fraud in the Upper East Region of Ghana. The research, which utilized questionnaires and interviews, revealed that factors such as unemployment, ignorance, and the allure of quick financial gains drive students to engage in these illicit activities. While some students have benefited financially from internet fraud, using the proceeds to pay for their education and living expenses, many have been derailed from their academic pursuits. </w:t>
      </w:r>
      <w:r w:rsidRPr="00323ABF">
        <w:rPr>
          <w:rFonts w:ascii="Arial" w:hAnsi="Arial" w:cs="Arial"/>
          <w:bCs/>
          <w:color w:val="000000"/>
        </w:rPr>
        <w:t xml:space="preserve">In essence, internet fraud has adversely affected students, diverting their potential from more constructive endeavors. Redirecting their Information Communication Technology (ICT) skills towards legitimate professions could significantly benefit the nation, particularly in facilitating successful business transactions. Students can also be exposed and trained to get involved in legitimate online opportunities and businesses through online data entry and surveys, </w:t>
      </w:r>
      <w:r w:rsidR="00222C0A" w:rsidRPr="00323ABF">
        <w:rPr>
          <w:rFonts w:ascii="Arial" w:hAnsi="Arial" w:cs="Arial"/>
          <w:bCs/>
          <w:color w:val="000000"/>
        </w:rPr>
        <w:t xml:space="preserve">software </w:t>
      </w:r>
      <w:r w:rsidRPr="00323ABF">
        <w:rPr>
          <w:rFonts w:ascii="Arial" w:hAnsi="Arial" w:cs="Arial"/>
          <w:bCs/>
          <w:color w:val="000000"/>
        </w:rPr>
        <w:t xml:space="preserve">testing and advertising among others. Implementing training programs to guide these individuals in utilizing their skills for the country's advancement is one potential solution. </w:t>
      </w:r>
    </w:p>
    <w:p w14:paraId="0D4574A2" w14:textId="77777777" w:rsidR="00326E3C" w:rsidRPr="00216F5A" w:rsidRDefault="008A7566" w:rsidP="0020078E">
      <w:pPr>
        <w:pStyle w:val="NormalWeb"/>
        <w:spacing w:before="240" w:beforeAutospacing="0" w:after="240" w:afterAutospacing="0"/>
        <w:rPr>
          <w:rFonts w:ascii="Arial" w:hAnsi="Arial" w:cs="Arial"/>
          <w:i/>
          <w:sz w:val="20"/>
          <w:szCs w:val="20"/>
        </w:rPr>
      </w:pPr>
      <w:r w:rsidRPr="00216F5A">
        <w:rPr>
          <w:rFonts w:ascii="Arial" w:hAnsi="Arial" w:cs="Arial"/>
          <w:i/>
          <w:iCs/>
          <w:color w:val="000000"/>
          <w:sz w:val="20"/>
          <w:szCs w:val="20"/>
        </w:rPr>
        <w:t>Keywords:</w:t>
      </w:r>
      <w:r w:rsidRPr="00216F5A">
        <w:rPr>
          <w:rFonts w:ascii="Arial" w:hAnsi="Arial" w:cs="Arial"/>
          <w:i/>
          <w:color w:val="000000"/>
          <w:sz w:val="20"/>
          <w:szCs w:val="20"/>
        </w:rPr>
        <w:t xml:space="preserve"> Automated Teller Machine, Data, Machine spoofing, Internet fraud, Students, Ghana</w:t>
      </w:r>
    </w:p>
    <w:p w14:paraId="3C982C6B" w14:textId="77777777" w:rsidR="00326E3C" w:rsidRPr="00216F5A" w:rsidRDefault="008A7566">
      <w:pPr>
        <w:pStyle w:val="NormalWeb"/>
        <w:spacing w:before="240" w:beforeAutospacing="0" w:after="240" w:afterAutospacing="0"/>
        <w:rPr>
          <w:rFonts w:ascii="Arial" w:hAnsi="Arial" w:cs="Arial"/>
        </w:rPr>
      </w:pPr>
      <w:r w:rsidRPr="00216F5A">
        <w:rPr>
          <w:rFonts w:ascii="Arial" w:eastAsia="Arial Unicode MS" w:hAnsi="Arial" w:cs="Arial"/>
          <w:noProof/>
        </w:rPr>
        <mc:AlternateContent>
          <mc:Choice Requires="wps">
            <w:drawing>
              <wp:anchor distT="0" distB="0" distL="0" distR="0" simplePos="0" relativeHeight="251658240" behindDoc="0" locked="0" layoutInCell="1" allowOverlap="1" wp14:anchorId="400BE068" wp14:editId="22ACC26F">
                <wp:simplePos x="0" y="0"/>
                <wp:positionH relativeFrom="column">
                  <wp:posOffset>-15875</wp:posOffset>
                </wp:positionH>
                <wp:positionV relativeFrom="paragraph">
                  <wp:posOffset>56515</wp:posOffset>
                </wp:positionV>
                <wp:extent cx="6057900" cy="19050"/>
                <wp:effectExtent l="0" t="0" r="19050" b="19050"/>
                <wp:wrapNone/>
                <wp:docPr id="1027" name="Straight Connector 2"/>
                <wp:cNvGraphicFramePr/>
                <a:graphic xmlns:a="http://schemas.openxmlformats.org/drawingml/2006/main">
                  <a:graphicData uri="http://schemas.microsoft.com/office/word/2010/wordprocessingShape">
                    <wps:wsp>
                      <wps:cNvCnPr/>
                      <wps:spPr>
                        <a:xfrm>
                          <a:off x="0" y="0"/>
                          <a:ext cx="6057900" cy="19050"/>
                        </a:xfrm>
                        <a:prstGeom prst="line">
                          <a:avLst/>
                        </a:prstGeom>
                        <a:ln w="6350" cap="flat" cmpd="sng">
                          <a:solidFill>
                            <a:srgbClr val="000000"/>
                          </a:solidFill>
                          <a:prstDash val="solid"/>
                          <a:miter/>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A03BE9B" id="Straight Connector 2" o:spid="_x0000_s1026" style="position:absolute;z-index:251658240;visibility:visible;mso-wrap-style:square;mso-wrap-distance-left:0;mso-wrap-distance-top:0;mso-wrap-distance-right:0;mso-wrap-distance-bottom:0;mso-position-horizontal:absolute;mso-position-horizontal-relative:text;mso-position-vertical:absolute;mso-position-vertical-relative:text" from="-1.25pt,4.45pt" to="475.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" strokeweight=".5pt">
                <v:stroke joinstyle="miter"/>
              </v:line>
            </w:pict>
          </mc:Fallback>
        </mc:AlternateContent>
      </w:r>
      <w:r w:rsidRPr="00216F5A">
        <w:rPr>
          <w:rFonts w:ascii="Arial" w:hAnsi="Arial" w:cs="Arial"/>
          <w:color w:val="000000"/>
        </w:rPr>
        <w:t> </w:t>
      </w:r>
    </w:p>
    <w:p w14:paraId="34ECCCDE" w14:textId="77777777" w:rsidR="00326E3C" w:rsidRPr="00216F5A" w:rsidRDefault="008A7566">
      <w:pPr>
        <w:pStyle w:val="NormalWeb"/>
        <w:spacing w:before="240" w:beforeAutospacing="0" w:after="240" w:afterAutospacing="0"/>
        <w:rPr>
          <w:rFonts w:ascii="Arial" w:hAnsi="Arial" w:cs="Arial"/>
          <w:sz w:val="20"/>
          <w:szCs w:val="20"/>
        </w:rPr>
      </w:pPr>
      <w:r w:rsidRPr="00216F5A">
        <w:rPr>
          <w:rFonts w:ascii="Arial" w:hAnsi="Arial" w:cs="Arial"/>
          <w:b/>
          <w:bCs/>
          <w:color w:val="000000"/>
          <w:sz w:val="20"/>
          <w:szCs w:val="20"/>
        </w:rPr>
        <w:t xml:space="preserve">1. </w:t>
      </w:r>
      <w:r w:rsidR="00216F5A" w:rsidRPr="00216F5A">
        <w:rPr>
          <w:rStyle w:val="katex-mathml"/>
          <w:b/>
        </w:rPr>
        <w:t>INTRODUCTION</w:t>
      </w:r>
    </w:p>
    <w:p w14:paraId="7B7C408E" w14:textId="77777777" w:rsidR="00326E3C" w:rsidRPr="00216F5A" w:rsidRDefault="008A7566">
      <w:pPr>
        <w:pStyle w:val="NormalWeb"/>
        <w:spacing w:before="240" w:after="240"/>
        <w:jc w:val="both"/>
        <w:rPr>
          <w:rFonts w:ascii="Arial" w:hAnsi="Arial" w:cs="Arial"/>
          <w:color w:val="000000"/>
          <w:sz w:val="20"/>
          <w:szCs w:val="20"/>
        </w:rPr>
      </w:pPr>
      <w:r w:rsidRPr="00216F5A">
        <w:rPr>
          <w:rFonts w:ascii="Arial" w:hAnsi="Arial" w:cs="Arial"/>
          <w:color w:val="000000"/>
          <w:sz w:val="20"/>
          <w:szCs w:val="20"/>
        </w:rPr>
        <w:t xml:space="preserve">The Internet is one of the best advancements. The mid-year 2016 update of the World Internet Users and Population Statistics report revealed a milestone of over three billion internet users, a significant 49.2% of the global population, marking constant annual growth. Ghana Ithon Internet clients positioning in African nations, demonstrating an expansion from 30,000 to more than 5,000,000 as of June 2014 (Internet World Stats, 2016). Despite the huge advantages of the Internet, it has changed into an appealing and simple instrument for tricksters (Croal, 2007; Doig, 2006). The research discusses the prevalence of internet fraud in West Africa and its connection to routine activity theory. It highlights the rise of internet fraud in West Africa in the late 1990s and early 2000s, with countries like Nigeria, Ghana, and Cameroon being among the top nations for internet fraud. Additionally, it emphasizes that routine activity theory suggests internet fraud is influenced more by everyday activities than social causes like poverty and unemployment. Cohen and Felson (1979), distinguished three key ideas that come because of routine exercises that empower or debilitate crimes. First is the nearness of potential guilty parties and individuals chasing, willing, and being able to perpetrate wrongdoing. Spurred wrongdoers are people who are equipped to commit Internet fraud, </w:t>
      </w:r>
      <w:r w:rsidR="008B7378" w:rsidRPr="00216F5A">
        <w:rPr>
          <w:rFonts w:ascii="Arial" w:hAnsi="Arial" w:cs="Arial"/>
          <w:color w:val="000000"/>
          <w:sz w:val="20"/>
          <w:szCs w:val="20"/>
        </w:rPr>
        <w:t>nevertheless</w:t>
      </w:r>
      <w:r w:rsidRPr="00216F5A">
        <w:rPr>
          <w:rFonts w:ascii="Arial" w:hAnsi="Arial" w:cs="Arial"/>
          <w:color w:val="000000"/>
          <w:sz w:val="20"/>
          <w:szCs w:val="20"/>
        </w:rPr>
        <w:t xml:space="preserve"> are happy to do so. Furthermore, the nearness of reasonable </w:t>
      </w:r>
      <w:r w:rsidR="008B7378" w:rsidRPr="00216F5A">
        <w:rPr>
          <w:rFonts w:ascii="Arial" w:hAnsi="Arial" w:cs="Arial"/>
          <w:color w:val="000000"/>
          <w:sz w:val="20"/>
          <w:szCs w:val="20"/>
        </w:rPr>
        <w:t>aim</w:t>
      </w:r>
      <w:r w:rsidRPr="00216F5A">
        <w:rPr>
          <w:rFonts w:ascii="Arial" w:hAnsi="Arial" w:cs="Arial"/>
          <w:color w:val="000000"/>
          <w:sz w:val="20"/>
          <w:szCs w:val="20"/>
        </w:rPr>
        <w:t xml:space="preserve"> individuals or property that is unconscious of wrongdoing. Reasonable </w:t>
      </w:r>
      <w:r w:rsidR="008B7378" w:rsidRPr="00216F5A">
        <w:rPr>
          <w:rFonts w:ascii="Arial" w:hAnsi="Arial" w:cs="Arial"/>
          <w:color w:val="000000"/>
          <w:sz w:val="20"/>
          <w:szCs w:val="20"/>
        </w:rPr>
        <w:t>aim</w:t>
      </w:r>
      <w:r w:rsidRPr="00216F5A">
        <w:rPr>
          <w:rFonts w:ascii="Arial" w:hAnsi="Arial" w:cs="Arial"/>
          <w:color w:val="000000"/>
          <w:sz w:val="20"/>
          <w:szCs w:val="20"/>
        </w:rPr>
        <w:t xml:space="preserve"> can be individuals or items that are </w:t>
      </w:r>
      <w:r w:rsidR="008B7378" w:rsidRPr="00216F5A">
        <w:rPr>
          <w:rFonts w:ascii="Arial" w:hAnsi="Arial" w:cs="Arial"/>
          <w:color w:val="000000"/>
          <w:sz w:val="20"/>
          <w:szCs w:val="20"/>
        </w:rPr>
        <w:t>gotten</w:t>
      </w:r>
      <w:r w:rsidRPr="00216F5A">
        <w:rPr>
          <w:rFonts w:ascii="Arial" w:hAnsi="Arial" w:cs="Arial"/>
          <w:color w:val="000000"/>
          <w:sz w:val="20"/>
          <w:szCs w:val="20"/>
        </w:rPr>
        <w:t xml:space="preserve"> by guilty parties as helpless or especially alluring (Pratt, </w:t>
      </w:r>
      <w:proofErr w:type="spellStart"/>
      <w:r w:rsidRPr="00216F5A">
        <w:rPr>
          <w:rFonts w:ascii="Arial" w:hAnsi="Arial" w:cs="Arial"/>
          <w:color w:val="000000"/>
          <w:sz w:val="20"/>
          <w:szCs w:val="20"/>
        </w:rPr>
        <w:t>Holtfreter</w:t>
      </w:r>
      <w:proofErr w:type="spellEnd"/>
      <w:r w:rsidRPr="00216F5A">
        <w:rPr>
          <w:rFonts w:ascii="Arial" w:hAnsi="Arial" w:cs="Arial"/>
          <w:color w:val="000000"/>
          <w:sz w:val="20"/>
          <w:szCs w:val="20"/>
        </w:rPr>
        <w:t xml:space="preserve">, and </w:t>
      </w:r>
      <w:proofErr w:type="spellStart"/>
      <w:r w:rsidRPr="00216F5A">
        <w:rPr>
          <w:rFonts w:ascii="Arial" w:hAnsi="Arial" w:cs="Arial"/>
          <w:color w:val="000000"/>
          <w:sz w:val="20"/>
          <w:szCs w:val="20"/>
        </w:rPr>
        <w:t>Reisig</w:t>
      </w:r>
      <w:proofErr w:type="spellEnd"/>
      <w:r w:rsidRPr="00216F5A">
        <w:rPr>
          <w:rFonts w:ascii="Arial" w:hAnsi="Arial" w:cs="Arial"/>
          <w:color w:val="000000"/>
          <w:sz w:val="20"/>
          <w:szCs w:val="20"/>
        </w:rPr>
        <w:t xml:space="preserve">, 2012). Explicitly, it is the nonappearance of proficient and </w:t>
      </w:r>
      <w:r w:rsidR="008B7378" w:rsidRPr="00216F5A">
        <w:rPr>
          <w:rFonts w:ascii="Arial" w:hAnsi="Arial" w:cs="Arial"/>
          <w:color w:val="000000"/>
          <w:sz w:val="20"/>
          <w:szCs w:val="20"/>
        </w:rPr>
        <w:t>ready</w:t>
      </w:r>
      <w:r w:rsidRPr="00216F5A">
        <w:rPr>
          <w:rFonts w:ascii="Arial" w:hAnsi="Arial" w:cs="Arial"/>
          <w:color w:val="000000"/>
          <w:sz w:val="20"/>
          <w:szCs w:val="20"/>
        </w:rPr>
        <w:t xml:space="preserve"> gatekeepers (absence of insurance, gadgets, and procedures to battle offenses). According to the hypothesis, the nearness of fit watchmen prevents people from being culpable. Along these lines, the proximity of doorkeepers will dissuade most guilty parties, causing even inviting directions outside reach. Along these </w:t>
      </w:r>
      <w:r w:rsidRPr="00216F5A">
        <w:rPr>
          <w:rFonts w:ascii="Arial" w:hAnsi="Arial" w:cs="Arial"/>
          <w:color w:val="000000"/>
          <w:sz w:val="20"/>
          <w:szCs w:val="20"/>
        </w:rPr>
        <w:lastRenderedPageBreak/>
        <w:t>lines, the closeness of chance conjoined with the dearth of control expands criminal impulses improving the possibility of an offense to occur. Bennette (1991) contended that without the combination of these three elements, wrongdoing can't happen.</w:t>
      </w:r>
    </w:p>
    <w:p w14:paraId="68C5749B" w14:textId="77777777" w:rsidR="00326E3C" w:rsidRPr="00216F5A" w:rsidRDefault="00326E3C">
      <w:pPr>
        <w:pStyle w:val="NormalWeb"/>
        <w:spacing w:before="240" w:after="240"/>
        <w:jc w:val="both"/>
        <w:rPr>
          <w:rFonts w:ascii="Arial" w:hAnsi="Arial" w:cs="Arial"/>
          <w:color w:val="000000"/>
          <w:sz w:val="20"/>
          <w:szCs w:val="20"/>
        </w:rPr>
      </w:pPr>
    </w:p>
    <w:p w14:paraId="7A17433C" w14:textId="77777777" w:rsidR="00326E3C" w:rsidRPr="00216F5A" w:rsidRDefault="008A7566">
      <w:pPr>
        <w:pStyle w:val="NormalWeb"/>
        <w:spacing w:before="0" w:beforeAutospacing="0" w:after="240" w:afterAutospacing="0"/>
        <w:jc w:val="both"/>
        <w:rPr>
          <w:rFonts w:ascii="Arial" w:hAnsi="Arial" w:cs="Arial"/>
          <w:b/>
          <w:bCs/>
          <w:color w:val="000000"/>
          <w:sz w:val="20"/>
        </w:rPr>
      </w:pPr>
      <w:r w:rsidRPr="00216F5A">
        <w:rPr>
          <w:rFonts w:ascii="Arial" w:hAnsi="Arial" w:cs="Arial"/>
          <w:b/>
          <w:bCs/>
          <w:color w:val="000000"/>
          <w:sz w:val="20"/>
        </w:rPr>
        <w:t xml:space="preserve">2. </w:t>
      </w:r>
      <w:r w:rsidR="00216F5A" w:rsidRPr="00216F5A">
        <w:rPr>
          <w:rFonts w:ascii="Arial" w:hAnsi="Arial" w:cs="Arial"/>
          <w:b/>
          <w:bCs/>
          <w:color w:val="000000"/>
          <w:sz w:val="22"/>
        </w:rPr>
        <w:t xml:space="preserve">CURRENT STUDY </w:t>
      </w:r>
    </w:p>
    <w:p w14:paraId="697B4856" w14:textId="77777777" w:rsidR="00326E3C" w:rsidRPr="00216F5A" w:rsidRDefault="008A7566">
      <w:pPr>
        <w:pStyle w:val="NormalWeb"/>
        <w:spacing w:before="0" w:beforeAutospacing="0" w:after="240" w:afterAutospacing="0"/>
        <w:jc w:val="both"/>
        <w:rPr>
          <w:rFonts w:ascii="Arial" w:hAnsi="Arial" w:cs="Arial"/>
          <w:b/>
          <w:bCs/>
          <w:color w:val="000000"/>
          <w:sz w:val="20"/>
        </w:rPr>
      </w:pPr>
      <w:r w:rsidRPr="00216F5A">
        <w:rPr>
          <w:rFonts w:ascii="Arial" w:hAnsi="Arial" w:cs="Arial"/>
          <w:color w:val="000000"/>
          <w:sz w:val="20"/>
          <w:szCs w:val="20"/>
        </w:rPr>
        <w:t>The study delves into literature on internet fraud to investigate its effects for harmony and development. The primary hypothesis is the routine action theory, complemented by supporting theories such as the space progress hypothesis and economic clash hypothesis. The section covers the concept of Internet fraud, its prevalence in Ghana, its impact on development and peace, and the legal aspects of Internet fraud. It also includes a review of comparative studies by researchers. The section concludes with a discussion of the theoretical frameworks for the study, which elucidate the relationship between Internet fraud, development, and peace.</w:t>
      </w:r>
    </w:p>
    <w:p w14:paraId="3992E8AE" w14:textId="77777777" w:rsidR="00326E3C" w:rsidRPr="00216F5A" w:rsidRDefault="008A7566">
      <w:pPr>
        <w:pStyle w:val="NormalWeb"/>
        <w:spacing w:before="240" w:beforeAutospacing="0" w:after="240" w:afterAutospacing="0"/>
        <w:jc w:val="both"/>
        <w:rPr>
          <w:rFonts w:ascii="Arial" w:hAnsi="Arial" w:cs="Arial"/>
        </w:rPr>
      </w:pPr>
      <w:r w:rsidRPr="00216F5A">
        <w:rPr>
          <w:rFonts w:ascii="Arial" w:hAnsi="Arial" w:cs="Arial"/>
          <w:color w:val="000000"/>
          <w:sz w:val="20"/>
          <w:szCs w:val="20"/>
        </w:rPr>
        <w:t> </w:t>
      </w:r>
      <w:r w:rsidRPr="00216F5A">
        <w:rPr>
          <w:rFonts w:ascii="Arial" w:hAnsi="Arial" w:cs="Arial"/>
          <w:b/>
          <w:color w:val="000000"/>
          <w:sz w:val="20"/>
          <w:szCs w:val="20"/>
        </w:rPr>
        <w:t xml:space="preserve">2.1 </w:t>
      </w:r>
      <w:r w:rsidRPr="00216F5A">
        <w:rPr>
          <w:rFonts w:ascii="Arial" w:hAnsi="Arial" w:cs="Arial"/>
          <w:b/>
          <w:bCs/>
          <w:color w:val="000000"/>
          <w:sz w:val="20"/>
          <w:szCs w:val="22"/>
        </w:rPr>
        <w:t>Hypothetical Side of the Study</w:t>
      </w:r>
    </w:p>
    <w:p w14:paraId="53F52218" w14:textId="77777777" w:rsidR="00326E3C" w:rsidRPr="00216F5A" w:rsidRDefault="008A7566">
      <w:pPr>
        <w:pStyle w:val="NormalWeb"/>
        <w:spacing w:before="240" w:beforeAutospacing="0" w:after="240" w:afterAutospacing="0"/>
        <w:jc w:val="both"/>
        <w:rPr>
          <w:rFonts w:ascii="Arial" w:hAnsi="Arial" w:cs="Arial"/>
          <w:color w:val="000000"/>
          <w:sz w:val="20"/>
          <w:szCs w:val="20"/>
        </w:rPr>
      </w:pPr>
      <w:r w:rsidRPr="00216F5A">
        <w:rPr>
          <w:rFonts w:ascii="Arial" w:hAnsi="Arial" w:cs="Arial"/>
          <w:color w:val="000000"/>
          <w:sz w:val="20"/>
          <w:szCs w:val="20"/>
        </w:rPr>
        <w:t xml:space="preserve">This section aims to clarify the supporting views of Internet fraud, specifically focusing on the </w:t>
      </w:r>
      <w:r w:rsidR="008B7378" w:rsidRPr="00216F5A">
        <w:rPr>
          <w:rFonts w:ascii="Arial" w:hAnsi="Arial" w:cs="Arial"/>
          <w:color w:val="000000"/>
          <w:sz w:val="20"/>
          <w:szCs w:val="20"/>
        </w:rPr>
        <w:t xml:space="preserve">effects </w:t>
      </w:r>
      <w:r w:rsidRPr="00216F5A">
        <w:rPr>
          <w:rFonts w:ascii="Arial" w:hAnsi="Arial" w:cs="Arial"/>
          <w:color w:val="000000"/>
          <w:sz w:val="20"/>
          <w:szCs w:val="20"/>
        </w:rPr>
        <w:t xml:space="preserve">of Internet fraud on development and peace. The main theories under examination are the Routine Activity and Space Transition Theory. These theories are being analyzed to understand the motivating factors and behavioral designs of Internet fraud </w:t>
      </w:r>
      <w:r w:rsidR="008B7378" w:rsidRPr="00216F5A">
        <w:rPr>
          <w:rFonts w:ascii="Arial" w:hAnsi="Arial" w:cs="Arial"/>
          <w:color w:val="000000"/>
          <w:sz w:val="20"/>
          <w:szCs w:val="20"/>
        </w:rPr>
        <w:t>committers</w:t>
      </w:r>
      <w:r w:rsidRPr="00216F5A">
        <w:rPr>
          <w:rFonts w:ascii="Arial" w:hAnsi="Arial" w:cs="Arial"/>
          <w:color w:val="000000"/>
          <w:sz w:val="20"/>
          <w:szCs w:val="20"/>
        </w:rPr>
        <w:t xml:space="preserve">, which is the main goal of this study. Be that as it may, the two hypotheses did not give the ramifications of the standard of conduct of culprits as fraud. The Monetary Theory of Conflict will likewise be utilized to help the study. It is to a great extent connected to give an image of Internet extortion on a </w:t>
      </w:r>
      <w:proofErr w:type="gramStart"/>
      <w:r w:rsidRPr="00216F5A">
        <w:rPr>
          <w:rFonts w:ascii="Arial" w:hAnsi="Arial" w:cs="Arial"/>
          <w:color w:val="000000"/>
          <w:sz w:val="20"/>
          <w:szCs w:val="20"/>
        </w:rPr>
        <w:t>large scale</w:t>
      </w:r>
      <w:proofErr w:type="gramEnd"/>
      <w:r w:rsidRPr="00216F5A">
        <w:rPr>
          <w:rFonts w:ascii="Arial" w:hAnsi="Arial" w:cs="Arial"/>
          <w:color w:val="000000"/>
          <w:sz w:val="20"/>
          <w:szCs w:val="20"/>
        </w:rPr>
        <w:t xml:space="preserve"> level. The fundamental suspicion behind this hypothesis is that wrongdoing happens, or is in all respects liable to occur when a driven wrongdoer and a potentially injured individual (that isn't secured) meet in a similar area in the meantime (Broadhurst and Choo, 2009). The hypothesis trusts that the normal exercises of people in a specific domain impact insulting practices inside that condition (Nalla, 2014). Cohen and Felson (1979), characterized routine exercises as "intermittent and common exercises which house elemental populace and personal needs. The research strongly suggests that individuals' daily exercise patterns throughout the day and night can indeed make some people more vulnerable to being targeted by a calculating perpetrator. It is crucial to note that the relationship between criminal victims and perpetrators means that findings from </w:t>
      </w:r>
      <w:proofErr w:type="gramStart"/>
      <w:r w:rsidRPr="00216F5A">
        <w:rPr>
          <w:rFonts w:ascii="Arial" w:hAnsi="Arial" w:cs="Arial"/>
          <w:color w:val="000000"/>
          <w:sz w:val="20"/>
          <w:szCs w:val="20"/>
        </w:rPr>
        <w:t>The</w:t>
      </w:r>
      <w:proofErr w:type="gramEnd"/>
      <w:r w:rsidRPr="00216F5A">
        <w:rPr>
          <w:rFonts w:ascii="Arial" w:hAnsi="Arial" w:cs="Arial"/>
          <w:color w:val="000000"/>
          <w:sz w:val="20"/>
          <w:szCs w:val="20"/>
        </w:rPr>
        <w:t xml:space="preserve"> routine exercise hypothesis clarifies why and how youth particularly, are at an uplifted danger of being associated with culpable conduct and being deceived. The hypothetical case is that there is no linkage of the inspirational factors in connection to the suggestion which when expressed could without much of a stretch be a prevention of Internet extortion. The hypothesis has conviction in guardianship in dissuading crimes anyway when the ramifications of crimes are not marked, guardianship turns into an impermanent system rather than a </w:t>
      </w:r>
      <w:proofErr w:type="gramStart"/>
      <w:r w:rsidRPr="00216F5A">
        <w:rPr>
          <w:rFonts w:ascii="Arial" w:hAnsi="Arial" w:cs="Arial"/>
          <w:color w:val="000000"/>
          <w:sz w:val="20"/>
          <w:szCs w:val="20"/>
        </w:rPr>
        <w:t>long haul</w:t>
      </w:r>
      <w:proofErr w:type="gramEnd"/>
      <w:r w:rsidRPr="00216F5A">
        <w:rPr>
          <w:rFonts w:ascii="Arial" w:hAnsi="Arial" w:cs="Arial"/>
          <w:color w:val="000000"/>
          <w:sz w:val="20"/>
          <w:szCs w:val="20"/>
        </w:rPr>
        <w:t xml:space="preserve"> measure.</w:t>
      </w:r>
    </w:p>
    <w:p w14:paraId="7E29C61C" w14:textId="77777777" w:rsidR="00326E3C" w:rsidRPr="00216F5A" w:rsidRDefault="008A7566">
      <w:pPr>
        <w:pStyle w:val="NormalWeb"/>
        <w:spacing w:before="240" w:beforeAutospacing="0" w:after="240" w:afterAutospacing="0"/>
        <w:jc w:val="both"/>
        <w:rPr>
          <w:rFonts w:ascii="Arial" w:hAnsi="Arial" w:cs="Arial"/>
          <w:sz w:val="20"/>
        </w:rPr>
      </w:pPr>
      <w:r w:rsidRPr="00216F5A">
        <w:rPr>
          <w:rFonts w:ascii="Arial" w:hAnsi="Arial" w:cs="Arial"/>
          <w:b/>
          <w:bCs/>
          <w:color w:val="000000"/>
          <w:sz w:val="20"/>
        </w:rPr>
        <w:t>2.2 The Concept of Internet Fraud</w:t>
      </w:r>
    </w:p>
    <w:p w14:paraId="23A226BF" w14:textId="77777777" w:rsidR="00326E3C" w:rsidRPr="00216F5A" w:rsidRDefault="008A7566">
      <w:pPr>
        <w:pStyle w:val="NormalWeb"/>
        <w:spacing w:before="240" w:after="240"/>
        <w:jc w:val="both"/>
        <w:rPr>
          <w:rFonts w:ascii="Arial" w:hAnsi="Arial" w:cs="Arial"/>
          <w:color w:val="000000"/>
          <w:sz w:val="20"/>
          <w:szCs w:val="20"/>
        </w:rPr>
      </w:pPr>
      <w:r w:rsidRPr="00216F5A">
        <w:rPr>
          <w:rFonts w:ascii="Arial" w:hAnsi="Arial" w:cs="Arial"/>
          <w:color w:val="000000"/>
          <w:sz w:val="20"/>
          <w:szCs w:val="20"/>
        </w:rPr>
        <w:t>The web or the internet has as of late been a 'transporter of burden' on people, organizations, and nations. Because the Internet has encouraged correspondence, business exchange, and training. Loathing the endless advantages of the Internet, it has additionally been a simple stage for wrongdoers to submit misrepresentation, disturb or endanger individuals, download illicit and explicit materials, undeniably more than they utilize the Internet to disregard national security. These wrongdoings are named cybercrime, which are classified as cyber psychological oppression, digital kid erotic enjoyment, digital harassment, spam, and internet misrepresentation. Web extortion is a substitute to cybercrime. It is alluded to as "419" tricks or ''</w:t>
      </w:r>
      <w:proofErr w:type="spellStart"/>
      <w:r w:rsidRPr="00216F5A">
        <w:rPr>
          <w:rFonts w:ascii="Arial" w:hAnsi="Arial" w:cs="Arial"/>
          <w:color w:val="000000"/>
          <w:sz w:val="20"/>
          <w:szCs w:val="20"/>
        </w:rPr>
        <w:t>sakawa</w:t>
      </w:r>
      <w:proofErr w:type="spellEnd"/>
      <w:r w:rsidRPr="00216F5A">
        <w:rPr>
          <w:rFonts w:ascii="Arial" w:hAnsi="Arial" w:cs="Arial"/>
          <w:color w:val="000000"/>
          <w:sz w:val="20"/>
          <w:szCs w:val="20"/>
        </w:rPr>
        <w:t xml:space="preserve">'' in West Africa, explicitly in Nigeria and Ghana individually and respectively. Multiple researchers have agreed to share information on the significance of Internet misrepresentation. Its practices always have </w:t>
      </w:r>
      <w:r w:rsidR="008B7378" w:rsidRPr="00216F5A">
        <w:rPr>
          <w:rFonts w:ascii="Arial" w:hAnsi="Arial" w:cs="Arial"/>
          <w:color w:val="000000"/>
          <w:sz w:val="20"/>
          <w:szCs w:val="20"/>
        </w:rPr>
        <w:t>led</w:t>
      </w:r>
      <w:r w:rsidRPr="00216F5A">
        <w:rPr>
          <w:rFonts w:ascii="Arial" w:hAnsi="Arial" w:cs="Arial"/>
          <w:color w:val="000000"/>
          <w:sz w:val="20"/>
          <w:szCs w:val="20"/>
        </w:rPr>
        <w:t xml:space="preserve"> </w:t>
      </w:r>
      <w:r w:rsidR="008B7378" w:rsidRPr="00216F5A">
        <w:rPr>
          <w:rFonts w:ascii="Arial" w:hAnsi="Arial" w:cs="Arial"/>
          <w:color w:val="000000"/>
          <w:sz w:val="20"/>
          <w:szCs w:val="20"/>
        </w:rPr>
        <w:t xml:space="preserve">to </w:t>
      </w:r>
      <w:r w:rsidRPr="00216F5A">
        <w:rPr>
          <w:rFonts w:ascii="Arial" w:hAnsi="Arial" w:cs="Arial"/>
          <w:color w:val="000000"/>
          <w:sz w:val="20"/>
          <w:szCs w:val="20"/>
        </w:rPr>
        <w:t xml:space="preserve">some significant worries about the </w:t>
      </w:r>
      <w:r w:rsidR="008B7378" w:rsidRPr="00216F5A">
        <w:rPr>
          <w:rFonts w:ascii="Arial" w:hAnsi="Arial" w:cs="Arial"/>
          <w:color w:val="000000"/>
          <w:sz w:val="20"/>
          <w:szCs w:val="20"/>
        </w:rPr>
        <w:t>aptitude</w:t>
      </w:r>
      <w:r w:rsidRPr="00216F5A">
        <w:rPr>
          <w:rFonts w:ascii="Arial" w:hAnsi="Arial" w:cs="Arial"/>
          <w:color w:val="000000"/>
          <w:sz w:val="20"/>
          <w:szCs w:val="20"/>
        </w:rPr>
        <w:t xml:space="preserve"> to destabilize the financial advancement of nations (Burell, 2008).</w:t>
      </w:r>
    </w:p>
    <w:p w14:paraId="1EB5298E" w14:textId="77777777" w:rsidR="00326E3C" w:rsidRPr="00216F5A" w:rsidRDefault="008A7566">
      <w:pPr>
        <w:pStyle w:val="NormalWeb"/>
        <w:spacing w:before="240" w:beforeAutospacing="0" w:after="240" w:afterAutospacing="0"/>
        <w:jc w:val="both"/>
        <w:rPr>
          <w:rFonts w:ascii="Arial" w:hAnsi="Arial" w:cs="Arial"/>
          <w:color w:val="000000"/>
          <w:sz w:val="20"/>
          <w:szCs w:val="20"/>
        </w:rPr>
      </w:pPr>
      <w:r w:rsidRPr="00216F5A">
        <w:rPr>
          <w:rFonts w:ascii="Arial" w:hAnsi="Arial" w:cs="Arial"/>
          <w:color w:val="000000"/>
          <w:sz w:val="20"/>
          <w:szCs w:val="20"/>
        </w:rPr>
        <w:t xml:space="preserve">The Bureau of Justice Statistics clarified Internet fraud as the intended distortion of data or character to hoodwink others (Rantala, 2004) whiles the Department of Justice characterizes Internet extortion as misrepresentation which utilizes any part of the Internet to achieve the expected fake movement (National </w:t>
      </w:r>
      <w:r w:rsidRPr="00216F5A">
        <w:rPr>
          <w:rFonts w:ascii="Arial" w:hAnsi="Arial" w:cs="Arial"/>
          <w:color w:val="000000"/>
          <w:sz w:val="20"/>
          <w:szCs w:val="20"/>
        </w:rPr>
        <w:lastRenderedPageBreak/>
        <w:t>White Collar Crime Center, 2008). The Australian Federal Police conceptualized Internet fraud as an extortion conspire that employs at least one online administration, for example, email, web locales, visit rooms, or message sheets to present fake sales to forthcoming exploited people, to direct deceitful exchanges, or to transmit the returns of fraud to money affiliated organizations or to others aware with the plan.</w:t>
      </w:r>
    </w:p>
    <w:p w14:paraId="270800F5" w14:textId="77777777" w:rsidR="00966563" w:rsidRPr="00216F5A" w:rsidRDefault="008A7566" w:rsidP="00ED50B1">
      <w:pPr>
        <w:pStyle w:val="NormalWeb"/>
        <w:spacing w:before="240" w:beforeAutospacing="0" w:after="240" w:afterAutospacing="0"/>
        <w:jc w:val="both"/>
        <w:rPr>
          <w:rFonts w:ascii="Arial" w:hAnsi="Arial" w:cs="Arial"/>
        </w:rPr>
      </w:pPr>
      <w:r w:rsidRPr="00216F5A">
        <w:rPr>
          <w:rFonts w:ascii="Arial" w:hAnsi="Arial" w:cs="Arial"/>
          <w:b/>
          <w:bCs/>
          <w:color w:val="000000"/>
          <w:sz w:val="20"/>
          <w:szCs w:val="20"/>
        </w:rPr>
        <w:t>2.3 Types of Internet Fraud  </w:t>
      </w:r>
    </w:p>
    <w:p w14:paraId="79197EB5" w14:textId="77777777" w:rsidR="00ED50B1" w:rsidRPr="00216F5A" w:rsidRDefault="00ED50B1" w:rsidP="00ED50B1">
      <w:pPr>
        <w:spacing w:after="0" w:line="240" w:lineRule="auto"/>
        <w:rPr>
          <w:rFonts w:ascii="Arial" w:eastAsia="Times New Roman" w:hAnsi="Arial" w:cs="Arial"/>
          <w:sz w:val="20"/>
          <w:szCs w:val="20"/>
        </w:rPr>
      </w:pPr>
      <w:r w:rsidRPr="00216F5A">
        <w:rPr>
          <w:rFonts w:ascii="Arial" w:eastAsia="Times New Roman" w:hAnsi="Arial" w:cs="Arial"/>
          <w:sz w:val="20"/>
          <w:szCs w:val="20"/>
        </w:rPr>
        <w:t>Various forms of Internet fraud have been the subject of numerous study investigations. The top ten common forms of Internet fraud were determined by Internet Fraud Watch Statistics in 2002, and the 2010 Internet Crime Complaint Center announced the same. These reports state that the following are prevalent types of Internet fraud: identity theft, phishing, lottery fraud, online auction fraud, general product fraud, credit card fraud, advance fee fraud, and money scam. According to Internet Fraud Watch Statistics, the most kind of online fraud is online auction fraud. In contrast, advance fee fraud was recognized as a prevalent type by the Internet Crime Complaint Center (2010). According to Jegede (2014), credit card fraud is a major problem that occurs all around the world.</w:t>
      </w:r>
    </w:p>
    <w:p w14:paraId="621EDF70" w14:textId="77777777" w:rsidR="00ED50B1" w:rsidRPr="00216F5A" w:rsidRDefault="00ED50B1" w:rsidP="00ED50B1">
      <w:pPr>
        <w:spacing w:after="0" w:line="240" w:lineRule="auto"/>
        <w:rPr>
          <w:rFonts w:ascii="Arial" w:eastAsia="Times New Roman" w:hAnsi="Arial" w:cs="Arial"/>
          <w:sz w:val="20"/>
          <w:szCs w:val="20"/>
        </w:rPr>
      </w:pPr>
      <w:r w:rsidRPr="00216F5A">
        <w:rPr>
          <w:rFonts w:ascii="Arial" w:eastAsia="Times New Roman" w:hAnsi="Arial" w:cs="Arial"/>
          <w:sz w:val="20"/>
          <w:szCs w:val="20"/>
        </w:rPr>
        <w:t>Phishing is another type of online fraud in which scammers pose as trustworthy websites or emails in order to trick victims into divulging private information like bank account numbers, passwords, and credit card numbers (Kunz &amp; Wilson, 2002). According to Shinder (2000), scammers send unwary consumers misleading messages purporting to be from a reputable company. The creation of these dishonest websites is done exclusively to steal user data (IC3, 2008).</w:t>
      </w:r>
    </w:p>
    <w:p w14:paraId="556EA4ED" w14:textId="77777777" w:rsidR="00ED50B1" w:rsidRPr="00216F5A" w:rsidRDefault="00966563" w:rsidP="00ED50B1">
      <w:pPr>
        <w:spacing w:after="0" w:line="240" w:lineRule="auto"/>
        <w:rPr>
          <w:rFonts w:ascii="Arial" w:eastAsia="Times New Roman" w:hAnsi="Arial" w:cs="Arial"/>
          <w:sz w:val="20"/>
          <w:szCs w:val="20"/>
        </w:rPr>
      </w:pPr>
      <w:r w:rsidRPr="00216F5A">
        <w:rPr>
          <w:rFonts w:ascii="Arial" w:hAnsi="Arial" w:cs="Arial"/>
          <w:color w:val="000000"/>
          <w:sz w:val="20"/>
          <w:szCs w:val="20"/>
        </w:rPr>
        <w:t xml:space="preserve"> </w:t>
      </w:r>
      <w:r w:rsidR="00ED50B1" w:rsidRPr="00216F5A">
        <w:rPr>
          <w:rFonts w:ascii="Arial" w:eastAsia="Times New Roman" w:hAnsi="Arial" w:cs="Arial"/>
          <w:sz w:val="20"/>
          <w:szCs w:val="20"/>
        </w:rPr>
        <w:t xml:space="preserve">Phishing messages are directed at users of online banking, online auction platforms, and other payment systems. They provide recipients with a link to change their bank account information. Following the link results in the download of software that records banking login credentials and </w:t>
      </w:r>
      <w:r w:rsidR="00BA3127" w:rsidRPr="00216F5A">
        <w:rPr>
          <w:rFonts w:ascii="Arial" w:eastAsia="Times New Roman" w:hAnsi="Arial" w:cs="Arial"/>
          <w:sz w:val="20"/>
          <w:szCs w:val="20"/>
        </w:rPr>
        <w:t>directs</w:t>
      </w:r>
      <w:r w:rsidR="00ED50B1" w:rsidRPr="00216F5A">
        <w:rPr>
          <w:rFonts w:ascii="Arial" w:eastAsia="Times New Roman" w:hAnsi="Arial" w:cs="Arial"/>
          <w:sz w:val="20"/>
          <w:szCs w:val="20"/>
        </w:rPr>
        <w:t xml:space="preserve"> them to a third party. Ghosh (2013) reports that there were "445,004 attacks in 2012, compared to 258,461 in 2011 and 187,203 in 2010," suggesting that phishing attempts are becoming a bigger problem. In summary, the sort of fraud committed depends on factors like location, education, and experience.</w:t>
      </w:r>
    </w:p>
    <w:p w14:paraId="10B9FEC1" w14:textId="77777777" w:rsidR="00CA119F" w:rsidRPr="00216F5A" w:rsidRDefault="00CA119F">
      <w:pPr>
        <w:pStyle w:val="NormalWeb"/>
        <w:spacing w:before="240" w:beforeAutospacing="0" w:after="240" w:afterAutospacing="0"/>
        <w:jc w:val="both"/>
        <w:rPr>
          <w:rFonts w:ascii="Arial" w:hAnsi="Arial" w:cs="Arial"/>
          <w:color w:val="000000"/>
          <w:sz w:val="20"/>
          <w:szCs w:val="20"/>
        </w:rPr>
      </w:pPr>
    </w:p>
    <w:p w14:paraId="4A6EDFBF" w14:textId="77777777" w:rsidR="00070AC2" w:rsidRPr="00216F5A" w:rsidRDefault="008A7566" w:rsidP="0091236B">
      <w:pPr>
        <w:pStyle w:val="NormalWeb"/>
        <w:spacing w:before="240" w:beforeAutospacing="0" w:after="240" w:afterAutospacing="0"/>
        <w:jc w:val="both"/>
        <w:rPr>
          <w:rFonts w:ascii="Arial" w:hAnsi="Arial" w:cs="Arial"/>
          <w:sz w:val="20"/>
          <w:szCs w:val="20"/>
        </w:rPr>
      </w:pPr>
      <w:r w:rsidRPr="00216F5A">
        <w:rPr>
          <w:rFonts w:ascii="Arial" w:hAnsi="Arial" w:cs="Arial"/>
          <w:b/>
          <w:bCs/>
          <w:color w:val="000000"/>
          <w:sz w:val="20"/>
          <w:szCs w:val="20"/>
        </w:rPr>
        <w:t>2.6 Internet Fraud in Ghana</w:t>
      </w:r>
    </w:p>
    <w:p w14:paraId="1A8A6D9E" w14:textId="77777777" w:rsidR="00070AC2" w:rsidRPr="00216F5A" w:rsidRDefault="00070AC2" w:rsidP="00070AC2">
      <w:pPr>
        <w:spacing w:before="100" w:beforeAutospacing="1" w:after="100" w:afterAutospacing="1" w:line="240" w:lineRule="auto"/>
        <w:rPr>
          <w:rFonts w:ascii="Arial" w:eastAsia="Times New Roman" w:hAnsi="Arial" w:cs="Arial"/>
          <w:sz w:val="20"/>
          <w:szCs w:val="20"/>
        </w:rPr>
      </w:pPr>
      <w:r w:rsidRPr="00216F5A">
        <w:rPr>
          <w:rFonts w:ascii="Arial" w:eastAsia="Times New Roman" w:hAnsi="Arial" w:cs="Arial"/>
          <w:sz w:val="20"/>
          <w:szCs w:val="20"/>
        </w:rPr>
        <w:t>Originating in Ghana around the turn of the millennium, the internet fraud practice known as "</w:t>
      </w:r>
      <w:proofErr w:type="spellStart"/>
      <w:r w:rsidRPr="00216F5A">
        <w:rPr>
          <w:rFonts w:ascii="Arial" w:eastAsia="Times New Roman" w:hAnsi="Arial" w:cs="Arial"/>
          <w:sz w:val="20"/>
          <w:szCs w:val="20"/>
        </w:rPr>
        <w:t>sakawa</w:t>
      </w:r>
      <w:proofErr w:type="spellEnd"/>
      <w:r w:rsidRPr="00216F5A">
        <w:rPr>
          <w:rFonts w:ascii="Arial" w:eastAsia="Times New Roman" w:hAnsi="Arial" w:cs="Arial"/>
          <w:sz w:val="20"/>
          <w:szCs w:val="20"/>
        </w:rPr>
        <w:t>" (derived from the Hausa word meaning "put inside") has rapidly gained notoriety. Initially, "</w:t>
      </w:r>
      <w:proofErr w:type="spellStart"/>
      <w:r w:rsidRPr="00216F5A">
        <w:rPr>
          <w:rFonts w:ascii="Arial" w:eastAsia="Times New Roman" w:hAnsi="Arial" w:cs="Arial"/>
          <w:sz w:val="20"/>
          <w:szCs w:val="20"/>
        </w:rPr>
        <w:t>sakawa</w:t>
      </w:r>
      <w:proofErr w:type="spellEnd"/>
      <w:r w:rsidRPr="00216F5A">
        <w:rPr>
          <w:rFonts w:ascii="Arial" w:eastAsia="Times New Roman" w:hAnsi="Arial" w:cs="Arial"/>
          <w:sz w:val="20"/>
          <w:szCs w:val="20"/>
        </w:rPr>
        <w:t>" primarily involved credit card fraud, where Ghanaian perpetrators utilized stolen Western credit card information to make online purchases and ship the goods to Ghana (Warner, 2011). However, the landscape of internet fraud in Ghana has significantly evolved since 2004. Today, three primary types of internet fraud are prevalent in Ghana. The most common involves information theft, where individuals, often young men, create fake profiles on social media platforms like Facebook and dating sites like eHarmony.com to target Western users, primarily those seeking romantic relationships with Ghanaians or Africans (Oduro-Frimpong, 2014). Ghana is ranked third globally, behind the US and UK, in terms of the number of perpetrators involved in this type of fraud (Oduro-Frimpong, 2014). To enhance their illicit activities, some "</w:t>
      </w:r>
      <w:proofErr w:type="spellStart"/>
      <w:r w:rsidRPr="00216F5A">
        <w:rPr>
          <w:rFonts w:ascii="Arial" w:eastAsia="Times New Roman" w:hAnsi="Arial" w:cs="Arial"/>
          <w:sz w:val="20"/>
          <w:szCs w:val="20"/>
        </w:rPr>
        <w:t>sakawa</w:t>
      </w:r>
      <w:proofErr w:type="spellEnd"/>
      <w:r w:rsidRPr="00216F5A">
        <w:rPr>
          <w:rFonts w:ascii="Arial" w:eastAsia="Times New Roman" w:hAnsi="Arial" w:cs="Arial"/>
          <w:sz w:val="20"/>
          <w:szCs w:val="20"/>
        </w:rPr>
        <w:t xml:space="preserve">" perpetrators seek spiritual or occult assistance (Oduro-Frimpong, 2011; </w:t>
      </w:r>
      <w:proofErr w:type="spellStart"/>
      <w:r w:rsidRPr="00216F5A">
        <w:rPr>
          <w:rFonts w:ascii="Arial" w:eastAsia="Times New Roman" w:hAnsi="Arial" w:cs="Arial"/>
          <w:sz w:val="20"/>
          <w:szCs w:val="20"/>
        </w:rPr>
        <w:t>Obosu</w:t>
      </w:r>
      <w:proofErr w:type="spellEnd"/>
      <w:r w:rsidRPr="00216F5A">
        <w:rPr>
          <w:rFonts w:ascii="Arial" w:eastAsia="Times New Roman" w:hAnsi="Arial" w:cs="Arial"/>
          <w:sz w:val="20"/>
          <w:szCs w:val="20"/>
        </w:rPr>
        <w:t>, 2009). These individuals, often perceived as socially awkward or nerdy, leverage their internet savvy to engage in fraudulent activities that exploit the vulnerabilities of unsuspecting victims.</w:t>
      </w:r>
    </w:p>
    <w:p w14:paraId="4B9C07F6" w14:textId="77777777" w:rsidR="00326E3C" w:rsidRPr="00216F5A" w:rsidRDefault="008A7566">
      <w:pPr>
        <w:pStyle w:val="NormalWeb"/>
        <w:spacing w:before="240" w:beforeAutospacing="0" w:after="240" w:afterAutospacing="0"/>
        <w:jc w:val="both"/>
        <w:rPr>
          <w:rFonts w:ascii="Arial" w:hAnsi="Arial" w:cs="Arial"/>
          <w:sz w:val="20"/>
        </w:rPr>
      </w:pPr>
      <w:r w:rsidRPr="00216F5A">
        <w:rPr>
          <w:rFonts w:ascii="Arial" w:hAnsi="Arial" w:cs="Arial"/>
          <w:b/>
          <w:bCs/>
          <w:color w:val="000000"/>
          <w:sz w:val="20"/>
        </w:rPr>
        <w:t>2.7 Implication of Internet Fraud</w:t>
      </w:r>
    </w:p>
    <w:p w14:paraId="3BEA3FBC" w14:textId="77777777" w:rsidR="003107A3" w:rsidRPr="00216F5A" w:rsidRDefault="003107A3" w:rsidP="003107A3">
      <w:pPr>
        <w:spacing w:after="0" w:line="240" w:lineRule="auto"/>
        <w:rPr>
          <w:rFonts w:ascii="Arial" w:eastAsia="Times New Roman" w:hAnsi="Arial" w:cs="Arial"/>
          <w:sz w:val="20"/>
          <w:szCs w:val="20"/>
        </w:rPr>
      </w:pPr>
      <w:r w:rsidRPr="00216F5A">
        <w:rPr>
          <w:rFonts w:ascii="Arial" w:eastAsia="Times New Roman" w:hAnsi="Arial" w:cs="Arial"/>
          <w:sz w:val="20"/>
          <w:szCs w:val="20"/>
        </w:rPr>
        <w:t>Button, Lewis, and Tapley's (2009) and Marsh's (2004) research shows that the harm inflicted on victims of Internet extortion extends beyond financial loss. The unfortunate victims of online deception suffer from physical harm, emotional distress, and psychological harm. Unfortunately, there have been a few instances when victims have committed suicide and self-harm. An analysis of 750 victims of Internet fraud by Button, Lewis, and Tapley (2009) showed that 68% of the victims expressed strong feelings of annoyance, 45% said that financial misfortune had affected their emotions, 44% reported feeling under pressure, and 37% reported mental health effects. A tiny proportion of the victims also had interpersonal problems, mental and physical health problems, or suicide ideation (Button, Lewis &amp; Tapley, 2009).</w:t>
      </w:r>
    </w:p>
    <w:p w14:paraId="249BE132" w14:textId="77777777" w:rsidR="003107A3" w:rsidRPr="00216F5A" w:rsidRDefault="003107A3" w:rsidP="003107A3">
      <w:pPr>
        <w:spacing w:after="0" w:line="240" w:lineRule="auto"/>
        <w:rPr>
          <w:rFonts w:ascii="Arial" w:eastAsia="Times New Roman" w:hAnsi="Arial" w:cs="Arial"/>
          <w:sz w:val="20"/>
          <w:szCs w:val="20"/>
        </w:rPr>
      </w:pPr>
      <w:r w:rsidRPr="00216F5A">
        <w:rPr>
          <w:rFonts w:ascii="Arial" w:eastAsia="Times New Roman" w:hAnsi="Arial" w:cs="Arial"/>
          <w:sz w:val="20"/>
          <w:szCs w:val="20"/>
        </w:rPr>
        <w:lastRenderedPageBreak/>
        <w:t xml:space="preserve">Due to the lack of confidence that foreign investors have in conducting business with the nation, internet fraud has resulted in substantial financial losses for both the government and private enterprises. This has led to a decrease in foreign investment and international trade (Boateng et al, 2011; </w:t>
      </w:r>
      <w:proofErr w:type="spellStart"/>
      <w:r w:rsidRPr="00216F5A">
        <w:rPr>
          <w:rFonts w:ascii="Arial" w:eastAsia="Times New Roman" w:hAnsi="Arial" w:cs="Arial"/>
          <w:sz w:val="20"/>
          <w:szCs w:val="20"/>
        </w:rPr>
        <w:t>Obosu</w:t>
      </w:r>
      <w:proofErr w:type="spellEnd"/>
      <w:r w:rsidRPr="00216F5A">
        <w:rPr>
          <w:rFonts w:ascii="Arial" w:eastAsia="Times New Roman" w:hAnsi="Arial" w:cs="Arial"/>
          <w:sz w:val="20"/>
          <w:szCs w:val="20"/>
        </w:rPr>
        <w:t xml:space="preserve">, 2009; Oduro-Frimpong, 2011). According to Burrell (2008), online fraud damages a nation's image. Various academics contest the idea that Internet extortion causes "dread and panic" in the nation and ultimately determines its future (Armstrong, 2011; Asamoah and Agyapong, 2011; Oduro-Frimpong, 2011). Furthermore, it </w:t>
      </w:r>
      <w:r w:rsidR="00BA3127" w:rsidRPr="00216F5A">
        <w:rPr>
          <w:rFonts w:ascii="Arial" w:eastAsia="Times New Roman" w:hAnsi="Arial" w:cs="Arial"/>
          <w:sz w:val="20"/>
          <w:szCs w:val="20"/>
        </w:rPr>
        <w:t>diminishes</w:t>
      </w:r>
      <w:r w:rsidRPr="00216F5A">
        <w:rPr>
          <w:rFonts w:ascii="Arial" w:eastAsia="Times New Roman" w:hAnsi="Arial" w:cs="Arial"/>
          <w:sz w:val="20"/>
          <w:szCs w:val="20"/>
        </w:rPr>
        <w:t xml:space="preserve"> the human resources, the majority of whom are teenagers, endangering national unity and progress. </w:t>
      </w:r>
    </w:p>
    <w:p w14:paraId="0B1B0319" w14:textId="77777777" w:rsidR="00ED50B1" w:rsidRPr="00216F5A" w:rsidRDefault="00B336C8" w:rsidP="00ED50B1">
      <w:pPr>
        <w:spacing w:after="0" w:line="240" w:lineRule="auto"/>
        <w:rPr>
          <w:rFonts w:ascii="Arial" w:eastAsia="Times New Roman" w:hAnsi="Arial" w:cs="Arial"/>
          <w:sz w:val="20"/>
          <w:szCs w:val="24"/>
        </w:rPr>
      </w:pPr>
      <w:r w:rsidRPr="00216F5A">
        <w:rPr>
          <w:rFonts w:ascii="Arial" w:eastAsia="Times New Roman" w:hAnsi="Arial" w:cs="Arial"/>
          <w:sz w:val="20"/>
          <w:szCs w:val="24"/>
        </w:rPr>
        <w:t xml:space="preserve">Therefore, it is likely that Internet extortion distorts the country's progress and peace if these terms are defined as the state in which all of humanity's essential needs are met and society is free from fear and hunger. </w:t>
      </w:r>
      <w:r w:rsidR="00ED50B1" w:rsidRPr="00216F5A">
        <w:rPr>
          <w:rFonts w:ascii="Arial" w:eastAsia="Times New Roman" w:hAnsi="Arial" w:cs="Arial"/>
          <w:sz w:val="20"/>
          <w:szCs w:val="20"/>
        </w:rPr>
        <w:t xml:space="preserve">Asamoah and Agyapong (2011), </w:t>
      </w:r>
      <w:proofErr w:type="spellStart"/>
      <w:r w:rsidR="00ED50B1" w:rsidRPr="00216F5A">
        <w:rPr>
          <w:rFonts w:ascii="Arial" w:eastAsia="Times New Roman" w:hAnsi="Arial" w:cs="Arial"/>
          <w:sz w:val="20"/>
          <w:szCs w:val="20"/>
        </w:rPr>
        <w:t>Obosu</w:t>
      </w:r>
      <w:proofErr w:type="spellEnd"/>
      <w:r w:rsidR="00ED50B1" w:rsidRPr="00216F5A">
        <w:rPr>
          <w:rFonts w:ascii="Arial" w:eastAsia="Times New Roman" w:hAnsi="Arial" w:cs="Arial"/>
          <w:sz w:val="20"/>
          <w:szCs w:val="20"/>
        </w:rPr>
        <w:t xml:space="preserve"> (2009), and Oduro-Frimpong (2014) attest once again to the nation's financial gain via online extortion. According to Oduro-Frimpong (2011) and </w:t>
      </w:r>
      <w:proofErr w:type="spellStart"/>
      <w:r w:rsidR="00ED50B1" w:rsidRPr="00216F5A">
        <w:rPr>
          <w:rFonts w:ascii="Arial" w:eastAsia="Times New Roman" w:hAnsi="Arial" w:cs="Arial"/>
          <w:sz w:val="20"/>
          <w:szCs w:val="20"/>
        </w:rPr>
        <w:t>Obosu</w:t>
      </w:r>
      <w:proofErr w:type="spellEnd"/>
      <w:r w:rsidR="00ED50B1" w:rsidRPr="00216F5A">
        <w:rPr>
          <w:rFonts w:ascii="Arial" w:eastAsia="Times New Roman" w:hAnsi="Arial" w:cs="Arial"/>
          <w:sz w:val="20"/>
          <w:szCs w:val="20"/>
        </w:rPr>
        <w:t xml:space="preserve"> (2009), online deception has increased the number of people living in the country. The country's living conditions and the social orders of scammers are actually thought to benefit from Internet shakedown.</w:t>
      </w:r>
    </w:p>
    <w:p w14:paraId="265297F2" w14:textId="77777777" w:rsidR="00326E3C" w:rsidRPr="00216F5A" w:rsidRDefault="008A7566">
      <w:pPr>
        <w:pStyle w:val="NormalWeb"/>
        <w:spacing w:before="240" w:beforeAutospacing="0" w:after="240" w:afterAutospacing="0"/>
        <w:jc w:val="both"/>
        <w:rPr>
          <w:rFonts w:ascii="Arial" w:hAnsi="Arial" w:cs="Arial"/>
          <w:sz w:val="20"/>
        </w:rPr>
      </w:pPr>
      <w:r w:rsidRPr="00216F5A">
        <w:rPr>
          <w:rFonts w:ascii="Arial" w:hAnsi="Arial" w:cs="Arial"/>
          <w:b/>
          <w:bCs/>
          <w:color w:val="000000"/>
          <w:sz w:val="20"/>
        </w:rPr>
        <w:t xml:space="preserve">2.8 </w:t>
      </w:r>
      <w:r w:rsidR="00A22497" w:rsidRPr="00216F5A">
        <w:rPr>
          <w:rFonts w:ascii="Arial" w:hAnsi="Arial" w:cs="Arial"/>
          <w:b/>
          <w:sz w:val="20"/>
        </w:rPr>
        <w:t>Legal Framework for Combating Internet Fraud in Ghana</w:t>
      </w:r>
    </w:p>
    <w:p w14:paraId="499BEBCA" w14:textId="77777777" w:rsidR="00326E3C" w:rsidRPr="00216F5A" w:rsidRDefault="00A22497" w:rsidP="00A22497">
      <w:pPr>
        <w:spacing w:before="100" w:beforeAutospacing="1" w:after="100" w:afterAutospacing="1" w:line="240" w:lineRule="auto"/>
        <w:rPr>
          <w:rFonts w:ascii="Arial" w:eastAsia="Times New Roman" w:hAnsi="Arial" w:cs="Arial"/>
          <w:sz w:val="20"/>
          <w:szCs w:val="20"/>
        </w:rPr>
      </w:pPr>
      <w:r w:rsidRPr="00216F5A">
        <w:rPr>
          <w:rFonts w:ascii="Arial" w:eastAsia="Times New Roman" w:hAnsi="Arial" w:cs="Arial"/>
          <w:sz w:val="20"/>
          <w:szCs w:val="20"/>
        </w:rPr>
        <w:t>Ghana's legal landscape, particularly in the realm of cybercrime, has evolved to address the increasing prevalence of internet fraud. Prior to 2008, specific laws governing internet fraud were absent. However, the enactment of the Electronic Transactions Act (Act 772) and the Electronic Communications Act (Act 775) in 2008 marked a significant step towards addressing cybercrimes, including hacking and unauthorized access, which are central to many internet fraud schemes (Kunz &amp; Wilson, 2004). While these laws provide a foundational framework, challenges remain in effectively prosecuting internet fraud cases. The Criminal Code Act 29/60, specifically Section 131 on fraud by false pretenses, is often relied upon to prosecute such offenses. However, the penalties associated with these traditional laws may not be sufficiently deterrent, allowing perpetrators to continue their illicit activities. The lack of specialized cybercrime units within the Ghanaian police force and the limited technical expertise to investigate complex online fraud cases further hinder effective law enforcement. Additionally, the swift and dynamic nature of internet fraud often outpaces the legal system's ability to adapt and respond. To address these challenges, Ghana needs to strengthen its legal framework, enhance law enforcement capabilities, and foster international cooperation to combat transnational cybercrime. By investing in digital forensics expertise, training law enforcement personnel, and collaborating with international law enforcement agencies, Ghana can effectively address the growing threat of internet fraud.</w:t>
      </w:r>
    </w:p>
    <w:p w14:paraId="7DB18C28" w14:textId="77777777" w:rsidR="00326E3C" w:rsidRPr="00216F5A" w:rsidRDefault="008A7566">
      <w:pPr>
        <w:spacing w:before="240" w:after="240" w:line="240" w:lineRule="auto"/>
        <w:jc w:val="both"/>
        <w:rPr>
          <w:rFonts w:ascii="Arial" w:eastAsia="Times New Roman" w:hAnsi="Arial" w:cs="Arial"/>
          <w:sz w:val="24"/>
          <w:szCs w:val="24"/>
        </w:rPr>
      </w:pPr>
      <w:r w:rsidRPr="00216F5A">
        <w:rPr>
          <w:rFonts w:ascii="Arial" w:eastAsia="Times New Roman" w:hAnsi="Arial" w:cs="Arial"/>
          <w:b/>
          <w:bCs/>
          <w:color w:val="000000"/>
          <w:sz w:val="20"/>
          <w:szCs w:val="24"/>
        </w:rPr>
        <w:t>3.</w:t>
      </w:r>
      <w:r w:rsidRPr="00216F5A">
        <w:rPr>
          <w:rFonts w:ascii="Arial" w:eastAsia="Times New Roman" w:hAnsi="Arial" w:cs="Arial"/>
          <w:b/>
          <w:bCs/>
          <w:color w:val="000000"/>
          <w:szCs w:val="24"/>
        </w:rPr>
        <w:t xml:space="preserve"> </w:t>
      </w:r>
      <w:r w:rsidR="00216F5A" w:rsidRPr="00216F5A">
        <w:rPr>
          <w:rFonts w:ascii="Arial" w:eastAsia="Times New Roman" w:hAnsi="Arial" w:cs="Arial"/>
          <w:b/>
          <w:bCs/>
          <w:color w:val="000000"/>
          <w:szCs w:val="24"/>
        </w:rPr>
        <w:t>METHODOLOGY</w:t>
      </w:r>
    </w:p>
    <w:p w14:paraId="1F5ACA54" w14:textId="77777777" w:rsidR="00326E3C" w:rsidRPr="00216F5A" w:rsidRDefault="008A7566" w:rsidP="001A4A52">
      <w:pPr>
        <w:spacing w:after="0" w:line="240" w:lineRule="auto"/>
        <w:rPr>
          <w:rFonts w:ascii="Arial" w:eastAsia="Times New Roman" w:hAnsi="Arial" w:cs="Arial"/>
          <w:color w:val="000000"/>
          <w:sz w:val="20"/>
          <w:szCs w:val="20"/>
        </w:rPr>
      </w:pPr>
      <w:r w:rsidRPr="00216F5A">
        <w:rPr>
          <w:rFonts w:ascii="Arial" w:eastAsia="Times New Roman" w:hAnsi="Arial" w:cs="Arial"/>
          <w:color w:val="000000"/>
          <w:sz w:val="20"/>
          <w:szCs w:val="20"/>
        </w:rPr>
        <w:t xml:space="preserve">Primary data was the main data employed for the analysis of this research. </w:t>
      </w:r>
      <w:r w:rsidR="00FB4689" w:rsidRPr="00216F5A">
        <w:rPr>
          <w:rFonts w:ascii="Arial" w:eastAsia="Times New Roman" w:hAnsi="Arial" w:cs="Arial"/>
          <w:sz w:val="20"/>
          <w:szCs w:val="24"/>
        </w:rPr>
        <w:t xml:space="preserve">A well-crafted questionnaire was used to collect information from respondents in order to collect the data. </w:t>
      </w:r>
      <w:r w:rsidRPr="00216F5A">
        <w:rPr>
          <w:rFonts w:ascii="Arial" w:eastAsia="Times New Roman" w:hAnsi="Arial" w:cs="Arial"/>
          <w:color w:val="000000"/>
          <w:sz w:val="20"/>
          <w:szCs w:val="20"/>
        </w:rPr>
        <w:t>Qualitative (closed and open questions) and quantitative methods of data collection will be used. Self–Self-administered questionnaires and students will have their questionnaires interpreted to them when necessary.</w:t>
      </w:r>
      <w:r w:rsidR="001A4A52" w:rsidRPr="00216F5A">
        <w:rPr>
          <w:rFonts w:ascii="Arial" w:hAnsi="Arial" w:cs="Arial"/>
        </w:rPr>
        <w:t xml:space="preserve"> </w:t>
      </w:r>
      <w:r w:rsidR="001A4A52" w:rsidRPr="00216F5A">
        <w:rPr>
          <w:rFonts w:ascii="Arial" w:eastAsia="Times New Roman" w:hAnsi="Arial" w:cs="Arial"/>
          <w:sz w:val="20"/>
          <w:szCs w:val="24"/>
        </w:rPr>
        <w:t>An informant who was knowledgeable about how online scammers operate on college campuses helped get in touch with them.</w:t>
      </w:r>
      <w:r w:rsidRPr="00216F5A">
        <w:rPr>
          <w:rFonts w:ascii="Arial" w:eastAsia="Times New Roman" w:hAnsi="Arial" w:cs="Arial"/>
          <w:color w:val="000000"/>
          <w:sz w:val="20"/>
          <w:szCs w:val="20"/>
        </w:rPr>
        <w:t xml:space="preserve"> </w:t>
      </w:r>
      <w:r w:rsidR="00BC174A" w:rsidRPr="00216F5A">
        <w:rPr>
          <w:rFonts w:ascii="Arial" w:hAnsi="Arial" w:cs="Arial"/>
          <w:sz w:val="20"/>
        </w:rPr>
        <w:t xml:space="preserve">A snowball sampling strategy, initiated through a campus informant, was used to recruit participants involved in internet fraud activities. This method proved effective in sustaining respondent availability throughout the study. </w:t>
      </w:r>
      <w:r w:rsidRPr="00216F5A">
        <w:rPr>
          <w:rFonts w:ascii="Arial" w:eastAsia="Times New Roman" w:hAnsi="Arial" w:cs="Arial"/>
          <w:color w:val="000000"/>
          <w:sz w:val="20"/>
          <w:szCs w:val="20"/>
        </w:rPr>
        <w:t xml:space="preserve">Data collection methodologies comprised of focus group discussions and in-depth interviews. Logistic regression was used as a statistical tool for the data. SPSS was used to explore the data. The target population for the study was Tertiary institutions in the </w:t>
      </w:r>
      <w:proofErr w:type="spellStart"/>
      <w:r w:rsidRPr="00216F5A">
        <w:rPr>
          <w:rFonts w:ascii="Arial" w:eastAsia="Times New Roman" w:hAnsi="Arial" w:cs="Arial"/>
          <w:color w:val="000000"/>
          <w:sz w:val="20"/>
          <w:szCs w:val="20"/>
        </w:rPr>
        <w:t>Navrongo</w:t>
      </w:r>
      <w:proofErr w:type="spellEnd"/>
      <w:r w:rsidRPr="00216F5A">
        <w:rPr>
          <w:rFonts w:ascii="Arial" w:eastAsia="Times New Roman" w:hAnsi="Arial" w:cs="Arial"/>
          <w:color w:val="000000"/>
          <w:sz w:val="20"/>
          <w:szCs w:val="20"/>
        </w:rPr>
        <w:t xml:space="preserve"> municipality.</w:t>
      </w:r>
    </w:p>
    <w:p w14:paraId="7910AC4A" w14:textId="77777777" w:rsidR="00326E3C" w:rsidRPr="00216F5A" w:rsidRDefault="008A7566">
      <w:pPr>
        <w:spacing w:before="240" w:after="240" w:line="240" w:lineRule="auto"/>
        <w:jc w:val="both"/>
        <w:rPr>
          <w:rFonts w:ascii="Arial" w:eastAsia="Times New Roman" w:hAnsi="Arial" w:cs="Arial"/>
          <w:sz w:val="24"/>
          <w:szCs w:val="24"/>
        </w:rPr>
      </w:pPr>
      <w:r w:rsidRPr="00216F5A">
        <w:rPr>
          <w:rFonts w:ascii="Arial" w:eastAsia="Times New Roman" w:hAnsi="Arial" w:cs="Arial"/>
          <w:b/>
          <w:bCs/>
          <w:color w:val="000000"/>
          <w:sz w:val="20"/>
          <w:szCs w:val="20"/>
        </w:rPr>
        <w:t>3.1 Population and Sample Size</w:t>
      </w:r>
    </w:p>
    <w:p w14:paraId="0FAE806E" w14:textId="77777777" w:rsidR="00326E3C" w:rsidRPr="00216F5A" w:rsidRDefault="008A7566">
      <w:pPr>
        <w:jc w:val="both"/>
        <w:rPr>
          <w:rFonts w:ascii="Arial" w:eastAsia="Times New Roman" w:hAnsi="Arial" w:cs="Arial"/>
          <w:color w:val="000000"/>
          <w:sz w:val="20"/>
          <w:szCs w:val="20"/>
        </w:rPr>
      </w:pPr>
      <w:r w:rsidRPr="00216F5A">
        <w:rPr>
          <w:rFonts w:ascii="Arial" w:eastAsia="Times New Roman" w:hAnsi="Arial" w:cs="Arial"/>
          <w:color w:val="000000"/>
          <w:sz w:val="20"/>
          <w:szCs w:val="20"/>
        </w:rPr>
        <w:t xml:space="preserve">The tertiary students in </w:t>
      </w:r>
      <w:proofErr w:type="spellStart"/>
      <w:r w:rsidRPr="00216F5A">
        <w:rPr>
          <w:rFonts w:ascii="Arial" w:eastAsia="Times New Roman" w:hAnsi="Arial" w:cs="Arial"/>
          <w:color w:val="000000"/>
          <w:sz w:val="20"/>
          <w:szCs w:val="20"/>
        </w:rPr>
        <w:t>Navrongo</w:t>
      </w:r>
      <w:proofErr w:type="spellEnd"/>
      <w:r w:rsidRPr="00216F5A">
        <w:rPr>
          <w:rFonts w:ascii="Arial" w:eastAsia="Times New Roman" w:hAnsi="Arial" w:cs="Arial"/>
          <w:color w:val="000000"/>
          <w:sz w:val="20"/>
          <w:szCs w:val="20"/>
        </w:rPr>
        <w:t xml:space="preserve"> municipality constitutes the study population. Unavoidable limitations made it not feasible to observe all divisions within the specified population. Therefore, a sample representing the entire population was selected A total of 100 students were selected from the University for Development Studies, Saint John Bosco College of Education, and the </w:t>
      </w:r>
      <w:proofErr w:type="spellStart"/>
      <w:r w:rsidRPr="00216F5A">
        <w:rPr>
          <w:rFonts w:ascii="Arial" w:eastAsia="Times New Roman" w:hAnsi="Arial" w:cs="Arial"/>
          <w:color w:val="000000"/>
          <w:sz w:val="20"/>
          <w:szCs w:val="20"/>
        </w:rPr>
        <w:t>Navrongo</w:t>
      </w:r>
      <w:proofErr w:type="spellEnd"/>
      <w:r w:rsidRPr="00216F5A">
        <w:rPr>
          <w:rFonts w:ascii="Arial" w:eastAsia="Times New Roman" w:hAnsi="Arial" w:cs="Arial"/>
          <w:color w:val="000000"/>
          <w:sz w:val="20"/>
          <w:szCs w:val="20"/>
        </w:rPr>
        <w:t xml:space="preserve"> Community Nursing Training College. The study used probability sampling, including stratified sampling to divide students into groups and snowball sampling to select participants for the survey. The sample size was calculated using the formula below (</w:t>
      </w:r>
      <w:proofErr w:type="spellStart"/>
      <w:r w:rsidRPr="00216F5A">
        <w:rPr>
          <w:rFonts w:ascii="Arial" w:eastAsia="Times New Roman" w:hAnsi="Arial" w:cs="Arial"/>
          <w:color w:val="000000"/>
          <w:sz w:val="20"/>
          <w:szCs w:val="20"/>
        </w:rPr>
        <w:t>Peduzzi</w:t>
      </w:r>
      <w:proofErr w:type="spellEnd"/>
      <w:r w:rsidRPr="00216F5A">
        <w:rPr>
          <w:rFonts w:ascii="Arial" w:eastAsia="Times New Roman" w:hAnsi="Arial" w:cs="Arial"/>
          <w:color w:val="000000"/>
          <w:sz w:val="20"/>
          <w:szCs w:val="20"/>
        </w:rPr>
        <w:t xml:space="preserve">, </w:t>
      </w:r>
      <w:proofErr w:type="spellStart"/>
      <w:r w:rsidRPr="00216F5A">
        <w:rPr>
          <w:rFonts w:ascii="Arial" w:eastAsia="Times New Roman" w:hAnsi="Arial" w:cs="Arial"/>
          <w:color w:val="000000"/>
          <w:sz w:val="20"/>
          <w:szCs w:val="20"/>
        </w:rPr>
        <w:t>Contato</w:t>
      </w:r>
      <w:proofErr w:type="spellEnd"/>
      <w:r w:rsidRPr="00216F5A">
        <w:rPr>
          <w:rFonts w:ascii="Arial" w:eastAsia="Times New Roman" w:hAnsi="Arial" w:cs="Arial"/>
          <w:color w:val="000000"/>
          <w:sz w:val="20"/>
          <w:szCs w:val="20"/>
        </w:rPr>
        <w:t xml:space="preserve">, </w:t>
      </w:r>
      <w:proofErr w:type="spellStart"/>
      <w:r w:rsidRPr="00216F5A">
        <w:rPr>
          <w:rFonts w:ascii="Arial" w:eastAsia="Times New Roman" w:hAnsi="Arial" w:cs="Arial"/>
          <w:color w:val="000000"/>
          <w:sz w:val="20"/>
          <w:szCs w:val="20"/>
        </w:rPr>
        <w:t>Holfrod</w:t>
      </w:r>
      <w:proofErr w:type="spellEnd"/>
      <w:r w:rsidRPr="00216F5A">
        <w:rPr>
          <w:rFonts w:ascii="Arial" w:eastAsia="Times New Roman" w:hAnsi="Arial" w:cs="Arial"/>
          <w:color w:val="000000"/>
          <w:sz w:val="20"/>
          <w:szCs w:val="20"/>
        </w:rPr>
        <w:t>, Feinstein, 1996).</w:t>
      </w:r>
    </w:p>
    <w:p w14:paraId="3481C504" w14:textId="77777777" w:rsidR="00326E3C" w:rsidRPr="00216F5A" w:rsidRDefault="008A7566">
      <w:pPr>
        <w:jc w:val="both"/>
        <w:rPr>
          <w:rFonts w:ascii="Arial" w:eastAsia="Times New Roman" w:hAnsi="Arial" w:cs="Arial"/>
          <w:sz w:val="20"/>
          <w:szCs w:val="20"/>
        </w:rPr>
      </w:pPr>
      <m:oMath>
        <m:r>
          <m:rPr>
            <m:sty m:val="bi"/>
          </m:rPr>
          <w:rPr>
            <w:rFonts w:ascii="Cambria Math" w:hAnsi="Cambria Math" w:cs="Arial"/>
            <w:sz w:val="20"/>
            <w:szCs w:val="20"/>
          </w:rPr>
          <w:lastRenderedPageBreak/>
          <m:t>n</m:t>
        </m:r>
        <m:r>
          <w:rPr>
            <w:rFonts w:ascii="Cambria Math" w:hAnsi="Cambria Math" w:cs="Arial"/>
            <w:sz w:val="20"/>
            <w:szCs w:val="20"/>
          </w:rPr>
          <m:t>=</m:t>
        </m:r>
        <m:f>
          <m:fPr>
            <m:ctrlPr>
              <w:rPr>
                <w:rFonts w:ascii="Cambria Math" w:hAnsi="Cambria Math" w:cs="Arial"/>
                <w:i/>
                <w:sz w:val="20"/>
                <w:szCs w:val="20"/>
              </w:rPr>
            </m:ctrlPr>
          </m:fPr>
          <m:num>
            <m:r>
              <m:rPr>
                <m:sty m:val="bi"/>
              </m:rPr>
              <w:rPr>
                <w:rFonts w:ascii="Cambria Math" w:hAnsi="Cambria Math" w:cs="Arial"/>
                <w:sz w:val="20"/>
                <w:szCs w:val="20"/>
              </w:rPr>
              <m:t>10</m:t>
            </m:r>
            <m:r>
              <m:rPr>
                <m:sty m:val="bi"/>
              </m:rPr>
              <w:rPr>
                <w:rFonts w:ascii="Cambria Math" w:hAnsi="Cambria Math" w:cs="Arial"/>
                <w:sz w:val="20"/>
                <w:szCs w:val="20"/>
              </w:rPr>
              <m:t>k</m:t>
            </m:r>
          </m:num>
          <m:den>
            <m:r>
              <m:rPr>
                <m:sty m:val="bi"/>
              </m:rPr>
              <w:rPr>
                <w:rFonts w:ascii="Cambria Math" w:hAnsi="Cambria Math" w:cs="Arial"/>
                <w:sz w:val="20"/>
                <w:szCs w:val="20"/>
              </w:rPr>
              <m:t>p</m:t>
            </m:r>
          </m:den>
        </m:f>
      </m:oMath>
      <w:r w:rsidRPr="00216F5A">
        <w:rPr>
          <w:rFonts w:ascii="Arial" w:eastAsia="Times New Roman" w:hAnsi="Arial" w:cs="Arial"/>
          <w:sz w:val="20"/>
          <w:szCs w:val="20"/>
        </w:rPr>
        <w:t>=</w:t>
      </w:r>
      <m:oMath>
        <m:r>
          <w:rPr>
            <w:rFonts w:ascii="Cambria Math" w:eastAsia="Times New Roman" w:hAnsi="Cambria Math" w:cs="Arial"/>
            <w:sz w:val="20"/>
            <w:szCs w:val="20"/>
          </w:rPr>
          <m:t xml:space="preserve"> </m:t>
        </m:r>
        <m:f>
          <m:fPr>
            <m:ctrlPr>
              <w:rPr>
                <w:rFonts w:ascii="Cambria Math" w:hAnsi="Cambria Math" w:cs="Arial"/>
                <w:i/>
                <w:sz w:val="20"/>
                <w:szCs w:val="20"/>
              </w:rPr>
            </m:ctrlPr>
          </m:fPr>
          <m:num>
            <m:r>
              <m:rPr>
                <m:sty m:val="bi"/>
              </m:rPr>
              <w:rPr>
                <w:rFonts w:ascii="Cambria Math" w:hAnsi="Cambria Math" w:cs="Arial"/>
                <w:sz w:val="20"/>
                <w:szCs w:val="20"/>
              </w:rPr>
              <m:t>10</m:t>
            </m:r>
            <m:r>
              <w:rPr>
                <w:rFonts w:ascii="Cambria Math" w:hAnsi="Cambria Math" w:cs="Arial"/>
                <w:sz w:val="20"/>
                <w:szCs w:val="20"/>
              </w:rPr>
              <m:t>×</m:t>
            </m:r>
            <m:r>
              <m:rPr>
                <m:sty m:val="bi"/>
              </m:rPr>
              <w:rPr>
                <w:rFonts w:ascii="Cambria Math" w:hAnsi="Cambria Math" w:cs="Arial"/>
                <w:sz w:val="20"/>
                <w:szCs w:val="20"/>
              </w:rPr>
              <m:t>3</m:t>
            </m:r>
          </m:num>
          <m:den>
            <m:r>
              <m:rPr>
                <m:sty m:val="bi"/>
              </m:rPr>
              <w:rPr>
                <w:rFonts w:ascii="Cambria Math" w:hAnsi="Cambria Math" w:cs="Arial"/>
                <w:sz w:val="20"/>
                <w:szCs w:val="20"/>
              </w:rPr>
              <m:t>0</m:t>
            </m:r>
            <m:r>
              <w:rPr>
                <w:rFonts w:ascii="Cambria Math" w:hAnsi="Cambria Math" w:cs="Arial"/>
                <w:sz w:val="20"/>
                <w:szCs w:val="20"/>
              </w:rPr>
              <m:t>.</m:t>
            </m:r>
            <m:r>
              <m:rPr>
                <m:sty m:val="bi"/>
              </m:rPr>
              <w:rPr>
                <w:rFonts w:ascii="Cambria Math" w:hAnsi="Cambria Math" w:cs="Arial"/>
                <w:sz w:val="20"/>
                <w:szCs w:val="20"/>
              </w:rPr>
              <m:t>5</m:t>
            </m:r>
          </m:den>
        </m:f>
      </m:oMath>
      <w:r w:rsidRPr="00216F5A">
        <w:rPr>
          <w:rFonts w:ascii="Arial" w:eastAsia="Times New Roman" w:hAnsi="Arial" w:cs="Arial"/>
          <w:sz w:val="20"/>
          <w:szCs w:val="20"/>
        </w:rPr>
        <w:t>=60</w:t>
      </w:r>
      <w:r w:rsidRPr="00216F5A">
        <w:rPr>
          <w:rFonts w:ascii="Arial" w:eastAsia="Times New Roman" w:hAnsi="Arial" w:cs="Arial"/>
          <w:sz w:val="20"/>
          <w:szCs w:val="20"/>
        </w:rPr>
        <w:tab/>
      </w:r>
      <w:r w:rsidRPr="00216F5A">
        <w:rPr>
          <w:rFonts w:ascii="Arial" w:eastAsia="Times New Roman" w:hAnsi="Arial" w:cs="Arial"/>
          <w:sz w:val="20"/>
          <w:szCs w:val="20"/>
        </w:rPr>
        <w:tab/>
      </w:r>
      <w:r w:rsidRPr="00216F5A">
        <w:rPr>
          <w:rFonts w:ascii="Arial" w:eastAsia="Times New Roman" w:hAnsi="Arial" w:cs="Arial"/>
          <w:sz w:val="20"/>
          <w:szCs w:val="20"/>
        </w:rPr>
        <w:tab/>
      </w:r>
      <w:r w:rsidRPr="00216F5A">
        <w:rPr>
          <w:rFonts w:ascii="Arial" w:eastAsia="Times New Roman" w:hAnsi="Arial" w:cs="Arial"/>
          <w:sz w:val="20"/>
          <w:szCs w:val="20"/>
        </w:rPr>
        <w:tab/>
      </w:r>
      <w:r w:rsidRPr="00216F5A">
        <w:rPr>
          <w:rFonts w:ascii="Arial" w:eastAsia="Times New Roman" w:hAnsi="Arial" w:cs="Arial"/>
          <w:sz w:val="20"/>
          <w:szCs w:val="20"/>
        </w:rPr>
        <w:tab/>
      </w:r>
      <w:r w:rsidRPr="00216F5A">
        <w:rPr>
          <w:rFonts w:ascii="Arial" w:eastAsia="Times New Roman" w:hAnsi="Arial" w:cs="Arial"/>
          <w:sz w:val="20"/>
          <w:szCs w:val="20"/>
        </w:rPr>
        <w:tab/>
      </w:r>
      <w:r w:rsidRPr="00216F5A">
        <w:rPr>
          <w:rFonts w:ascii="Arial" w:eastAsia="Times New Roman" w:hAnsi="Arial" w:cs="Arial"/>
          <w:sz w:val="20"/>
          <w:szCs w:val="20"/>
        </w:rPr>
        <w:tab/>
      </w:r>
      <w:r w:rsidRPr="00216F5A">
        <w:rPr>
          <w:rFonts w:ascii="Arial" w:eastAsia="Times New Roman" w:hAnsi="Arial" w:cs="Arial"/>
          <w:sz w:val="20"/>
          <w:szCs w:val="20"/>
        </w:rPr>
        <w:tab/>
      </w:r>
      <w:r w:rsidRPr="00216F5A">
        <w:rPr>
          <w:rFonts w:ascii="Arial" w:eastAsia="Times New Roman" w:hAnsi="Arial" w:cs="Arial"/>
          <w:sz w:val="20"/>
          <w:szCs w:val="20"/>
        </w:rPr>
        <w:tab/>
      </w:r>
      <w:r w:rsidRPr="00216F5A">
        <w:rPr>
          <w:rFonts w:ascii="Arial" w:eastAsia="Times New Roman" w:hAnsi="Arial" w:cs="Arial"/>
          <w:sz w:val="20"/>
          <w:szCs w:val="20"/>
        </w:rPr>
        <w:tab/>
      </w:r>
      <w:r w:rsidRPr="00216F5A">
        <w:rPr>
          <w:rFonts w:ascii="Arial" w:eastAsia="Times New Roman" w:hAnsi="Arial" w:cs="Arial"/>
          <w:i/>
          <w:sz w:val="20"/>
          <w:szCs w:val="20"/>
        </w:rPr>
        <w:t>(I)</w:t>
      </w:r>
    </w:p>
    <w:p w14:paraId="7170081C" w14:textId="77777777" w:rsidR="00304772" w:rsidRPr="00216F5A" w:rsidRDefault="00304772" w:rsidP="00304772">
      <w:pPr>
        <w:spacing w:after="0" w:line="240" w:lineRule="auto"/>
        <w:rPr>
          <w:rFonts w:ascii="Arial" w:eastAsia="Times New Roman" w:hAnsi="Arial" w:cs="Arial"/>
          <w:sz w:val="20"/>
          <w:szCs w:val="24"/>
        </w:rPr>
      </w:pPr>
      <w:bookmarkStart w:id="3" w:name="_Toc12955865"/>
      <w:r w:rsidRPr="00216F5A">
        <w:rPr>
          <w:rFonts w:ascii="Arial" w:eastAsia="Times New Roman" w:hAnsi="Arial" w:cs="Arial"/>
          <w:sz w:val="20"/>
          <w:szCs w:val="24"/>
        </w:rPr>
        <w:t>Three variables (k) and a minimal percentage of the population's negative response (p) of 0.5 are present.</w:t>
      </w:r>
    </w:p>
    <w:p w14:paraId="71F41C52" w14:textId="77777777" w:rsidR="00326E3C" w:rsidRPr="00216F5A" w:rsidRDefault="008A7566">
      <w:pPr>
        <w:jc w:val="both"/>
        <w:rPr>
          <w:rFonts w:ascii="Arial" w:eastAsia="Times New Roman" w:hAnsi="Arial" w:cs="Arial"/>
          <w:sz w:val="20"/>
          <w:szCs w:val="20"/>
        </w:rPr>
      </w:pPr>
      <w:r w:rsidRPr="00216F5A">
        <w:rPr>
          <w:rFonts w:ascii="Arial" w:eastAsia="Times New Roman" w:hAnsi="Arial" w:cs="Arial"/>
          <w:sz w:val="20"/>
          <w:szCs w:val="20"/>
        </w:rPr>
        <w:t xml:space="preserve"> According to Pampel (2000), a sample size of 60 was used, while Long (1997) recommended that the sample size for logistic regression analysis should not be less than 100; otherwise, the results may be misleading. In this case, the sample size is 286, which is greater than 100.</w:t>
      </w:r>
    </w:p>
    <w:p w14:paraId="3CEF6343" w14:textId="77777777" w:rsidR="00326E3C" w:rsidRPr="00216F5A" w:rsidRDefault="008A7566">
      <w:pPr>
        <w:jc w:val="both"/>
        <w:rPr>
          <w:rFonts w:ascii="Arial" w:eastAsia="Times New Roman" w:hAnsi="Arial" w:cs="Arial"/>
          <w:b/>
          <w:sz w:val="20"/>
          <w:szCs w:val="20"/>
        </w:rPr>
      </w:pPr>
      <w:r w:rsidRPr="00216F5A">
        <w:rPr>
          <w:rFonts w:ascii="Arial" w:eastAsia="Times New Roman" w:hAnsi="Arial" w:cs="Arial"/>
          <w:b/>
          <w:sz w:val="20"/>
          <w:szCs w:val="20"/>
        </w:rPr>
        <w:t>3.2 Logistic Regression (Logit Regression)</w:t>
      </w:r>
      <w:bookmarkEnd w:id="3"/>
    </w:p>
    <w:p w14:paraId="46BFC35A" w14:textId="77777777" w:rsidR="00AF1FAE" w:rsidRPr="00216F5A" w:rsidRDefault="000B1A63" w:rsidP="00AF1FAE">
      <w:pPr>
        <w:spacing w:after="0" w:line="240" w:lineRule="auto"/>
        <w:rPr>
          <w:rFonts w:ascii="Arial" w:eastAsia="Times New Roman" w:hAnsi="Arial" w:cs="Arial"/>
          <w:sz w:val="24"/>
          <w:szCs w:val="24"/>
        </w:rPr>
      </w:pPr>
      <w:bookmarkStart w:id="4" w:name="_Toc12955866"/>
      <w:r w:rsidRPr="00216F5A">
        <w:rPr>
          <w:rFonts w:ascii="Arial" w:eastAsia="Times New Roman" w:hAnsi="Arial" w:cs="Arial"/>
          <w:sz w:val="20"/>
          <w:szCs w:val="24"/>
        </w:rPr>
        <w:t xml:space="preserve">A number of relapse techniques, including discriminant assessment (DA) and computed relapse (Logic relapse), have been developed for analyzing data with unambiguous ward factors. </w:t>
      </w:r>
      <w:r w:rsidR="00AF1FAE" w:rsidRPr="00216F5A">
        <w:rPr>
          <w:rFonts w:ascii="Arial" w:eastAsia="Times New Roman" w:hAnsi="Arial" w:cs="Arial"/>
          <w:sz w:val="20"/>
          <w:szCs w:val="24"/>
        </w:rPr>
        <w:t xml:space="preserve">Limiting errors around the line of best fit using the common relapse least squares deviations criteria for the best-fit methodology is unsuitable because the dependent variable is binary and we cannot foresee a </w:t>
      </w:r>
      <w:proofErr w:type="spellStart"/>
      <w:r w:rsidR="00AF1FAE" w:rsidRPr="00216F5A">
        <w:rPr>
          <w:rFonts w:ascii="Arial" w:eastAsia="Times New Roman" w:hAnsi="Arial" w:cs="Arial"/>
          <w:sz w:val="20"/>
          <w:szCs w:val="24"/>
        </w:rPr>
        <w:t>n</w:t>
      </w:r>
      <w:r w:rsidR="00FB4689" w:rsidRPr="00216F5A">
        <w:rPr>
          <w:rFonts w:ascii="Arial" w:eastAsia="Times New Roman" w:hAnsi="Arial" w:cs="Arial"/>
          <w:sz w:val="20"/>
          <w:szCs w:val="24"/>
        </w:rPr>
        <w:t>ume</w:t>
      </w:r>
      <w:r w:rsidR="00AF1FAE" w:rsidRPr="00216F5A">
        <w:rPr>
          <w:rFonts w:ascii="Arial" w:eastAsia="Times New Roman" w:hAnsi="Arial" w:cs="Arial"/>
          <w:sz w:val="20"/>
          <w:szCs w:val="24"/>
        </w:rPr>
        <w:t>ical</w:t>
      </w:r>
      <w:proofErr w:type="spellEnd"/>
      <w:r w:rsidR="00AF1FAE" w:rsidRPr="00216F5A">
        <w:rPr>
          <w:rFonts w:ascii="Arial" w:eastAsia="Times New Roman" w:hAnsi="Arial" w:cs="Arial"/>
          <w:sz w:val="20"/>
          <w:szCs w:val="24"/>
        </w:rPr>
        <w:t xml:space="preserve"> incentive for it using the ordinary relapse methodology. </w:t>
      </w:r>
    </w:p>
    <w:p w14:paraId="45B62E82" w14:textId="77777777" w:rsidR="003A2C6A" w:rsidRPr="00216F5A" w:rsidRDefault="000B1A63" w:rsidP="003A2C6A">
      <w:pPr>
        <w:spacing w:after="0" w:line="240" w:lineRule="auto"/>
        <w:rPr>
          <w:rFonts w:ascii="Arial" w:eastAsia="Times New Roman" w:hAnsi="Arial" w:cs="Arial"/>
          <w:sz w:val="24"/>
          <w:szCs w:val="24"/>
        </w:rPr>
      </w:pPr>
      <w:r w:rsidRPr="00216F5A">
        <w:rPr>
          <w:rFonts w:ascii="Arial" w:eastAsia="Times New Roman" w:hAnsi="Arial" w:cs="Arial"/>
          <w:sz w:val="20"/>
          <w:szCs w:val="24"/>
        </w:rPr>
        <w:t>The main limitation of direct relapse is its inability to control direct and binary subordinate causes.</w:t>
      </w:r>
      <w:r w:rsidR="008A7566" w:rsidRPr="00216F5A">
        <w:rPr>
          <w:rFonts w:ascii="Arial" w:hAnsi="Arial" w:cs="Arial"/>
          <w:sz w:val="20"/>
          <w:szCs w:val="20"/>
        </w:rPr>
        <w:t xml:space="preserve"> </w:t>
      </w:r>
      <w:bookmarkStart w:id="5" w:name="_Toc12955867"/>
      <w:bookmarkEnd w:id="4"/>
      <w:r w:rsidR="001A4A52" w:rsidRPr="00216F5A">
        <w:rPr>
          <w:rFonts w:ascii="Arial" w:eastAsia="Times New Roman" w:hAnsi="Arial" w:cs="Arial"/>
          <w:sz w:val="20"/>
          <w:szCs w:val="24"/>
        </w:rPr>
        <w:t>By employing the largest probability approach to frame a best-fitting condition or capacity, strategic relapse raises the possibility of classifying the observed data according to the relapse coefficients. Comparatively speaking, computed relapse employs the binomial likelihood hypothesis, which has only two characteristics to predict: the likelihood (p) is 1 rather than 0.</w:t>
      </w:r>
    </w:p>
    <w:bookmarkEnd w:id="5"/>
    <w:p w14:paraId="792310C2" w14:textId="77777777" w:rsidR="00AF1FAE" w:rsidRPr="00216F5A" w:rsidRDefault="00AF1FAE" w:rsidP="00AF1FAE">
      <w:pPr>
        <w:spacing w:after="0" w:line="240" w:lineRule="auto"/>
        <w:rPr>
          <w:rFonts w:ascii="Arial" w:eastAsia="Times New Roman" w:hAnsi="Arial" w:cs="Arial"/>
          <w:sz w:val="20"/>
          <w:szCs w:val="24"/>
        </w:rPr>
      </w:pPr>
      <w:r w:rsidRPr="00216F5A">
        <w:rPr>
          <w:rFonts w:ascii="Arial" w:eastAsia="Times New Roman" w:hAnsi="Arial" w:cs="Arial"/>
          <w:sz w:val="20"/>
          <w:szCs w:val="24"/>
        </w:rPr>
        <w:t>The fundamental ideas of logistic regression state that there is no requirement for a direct correlation between the independent and dependent variables.</w:t>
      </w:r>
    </w:p>
    <w:p w14:paraId="5146D305" w14:textId="77777777" w:rsidR="003A2C6A" w:rsidRPr="00216F5A" w:rsidRDefault="003A2C6A" w:rsidP="003A2C6A">
      <w:pPr>
        <w:spacing w:after="0" w:line="240" w:lineRule="auto"/>
        <w:rPr>
          <w:rFonts w:ascii="Arial" w:eastAsia="Times New Roman" w:hAnsi="Arial" w:cs="Arial"/>
          <w:sz w:val="20"/>
          <w:szCs w:val="20"/>
        </w:rPr>
      </w:pPr>
      <w:r w:rsidRPr="00216F5A">
        <w:rPr>
          <w:rFonts w:ascii="Arial" w:eastAsia="Times New Roman" w:hAnsi="Arial" w:cs="Arial"/>
          <w:sz w:val="20"/>
          <w:szCs w:val="20"/>
        </w:rPr>
        <w:t>Having only two categories is not a requirement for the dependent variable to be strictly dichotomous. Equal variance within each category, a normal distribution, or a direct relationship are not requirements for the independent variable. The categories (groups) must be exhaustive and mutually exclusive; every instance must be a member of at least one category and belong to at least one category (Rodrigues, 2007).</w:t>
      </w:r>
    </w:p>
    <w:p w14:paraId="251A3A10" w14:textId="77777777" w:rsidR="00326E3C" w:rsidRPr="00216F5A" w:rsidRDefault="008A7566">
      <w:pPr>
        <w:jc w:val="both"/>
        <w:rPr>
          <w:rFonts w:ascii="Arial" w:hAnsi="Arial" w:cs="Arial"/>
          <w:sz w:val="20"/>
          <w:szCs w:val="20"/>
        </w:rPr>
      </w:pPr>
      <w:r w:rsidRPr="00216F5A">
        <w:rPr>
          <w:rFonts w:ascii="Arial" w:hAnsi="Arial" w:cs="Arial"/>
          <w:sz w:val="20"/>
          <w:szCs w:val="20"/>
        </w:rPr>
        <w:t xml:space="preserve">The Logit Model is therefore presented as shown below, taking the logarithm of the chances gives the connection work </w:t>
      </w:r>
    </w:p>
    <w:p w14:paraId="7A324A15" w14:textId="77777777" w:rsidR="00326E3C" w:rsidRPr="00216F5A" w:rsidRDefault="008A7566">
      <w:pPr>
        <w:jc w:val="both"/>
        <w:rPr>
          <w:rFonts w:ascii="Arial" w:hAnsi="Arial" w:cs="Arial"/>
          <w:sz w:val="20"/>
          <w:szCs w:val="20"/>
        </w:rPr>
      </w:pPr>
      <m:oMath>
        <m:r>
          <w:rPr>
            <w:rFonts w:ascii="Cambria Math" w:hAnsi="Cambria Math" w:cs="Arial"/>
            <w:sz w:val="20"/>
            <w:szCs w:val="20"/>
          </w:rPr>
          <m:t>log</m:t>
        </m:r>
        <m:d>
          <m:dPr>
            <m:ctrlPr>
              <w:rPr>
                <w:rFonts w:ascii="Cambria Math" w:hAnsi="Cambria Math" w:cs="Arial"/>
                <w:i/>
                <w:sz w:val="20"/>
                <w:szCs w:val="20"/>
              </w:rPr>
            </m:ctrlPr>
          </m:dPr>
          <m:e>
            <m:f>
              <m:fPr>
                <m:ctrlPr>
                  <w:rPr>
                    <w:rFonts w:ascii="Cambria Math" w:hAnsi="Cambria Math" w:cs="Arial"/>
                    <w:i/>
                    <w:sz w:val="20"/>
                    <w:szCs w:val="20"/>
                  </w:rPr>
                </m:ctrlPr>
              </m:fPr>
              <m:num>
                <m:r>
                  <m:rPr>
                    <m:sty m:val="p"/>
                  </m:rPr>
                  <w:rPr>
                    <w:rFonts w:ascii="Cambria Math" w:hAnsi="Cambria Math" w:cs="Arial"/>
                    <w:sz w:val="20"/>
                    <w:szCs w:val="20"/>
                  </w:rPr>
                  <m:t>γ</m:t>
                </m:r>
              </m:num>
              <m:den>
                <m:r>
                  <m:rPr>
                    <m:sty m:val="p"/>
                  </m:rPr>
                  <w:rPr>
                    <w:rFonts w:ascii="Cambria Math" w:hAnsi="Cambria Math" w:cs="Arial"/>
                    <w:sz w:val="20"/>
                    <w:szCs w:val="20"/>
                  </w:rPr>
                  <m:t>1-γ</m:t>
                </m:r>
              </m:den>
            </m:f>
          </m:e>
        </m:d>
      </m:oMath>
      <w:r w:rsidRPr="00216F5A">
        <w:rPr>
          <w:rFonts w:ascii="Arial" w:hAnsi="Arial" w:cs="Arial"/>
          <w:sz w:val="20"/>
          <w:szCs w:val="20"/>
        </w:rPr>
        <w:t>=β</w:t>
      </w:r>
      <w:r w:rsidRPr="00216F5A">
        <w:rPr>
          <w:rFonts w:ascii="Arial" w:hAnsi="Arial" w:cs="Arial"/>
          <w:sz w:val="20"/>
          <w:szCs w:val="20"/>
          <w:vertAlign w:val="subscript"/>
        </w:rPr>
        <w:t>1</w:t>
      </w:r>
      <w:r w:rsidRPr="00216F5A">
        <w:rPr>
          <w:rFonts w:ascii="Arial" w:hAnsi="Arial" w:cs="Arial"/>
          <w:sz w:val="20"/>
          <w:szCs w:val="20"/>
        </w:rPr>
        <w:t>-β</w:t>
      </w:r>
      <w:r w:rsidRPr="00216F5A">
        <w:rPr>
          <w:rFonts w:ascii="Arial" w:hAnsi="Arial" w:cs="Arial"/>
          <w:sz w:val="20"/>
          <w:szCs w:val="20"/>
          <w:vertAlign w:val="subscript"/>
        </w:rPr>
        <w:t>2</w:t>
      </w:r>
      <m:oMath>
        <m:r>
          <w:rPr>
            <w:rFonts w:ascii="Cambria Math" w:hAnsi="Cambria Math" w:cs="Arial"/>
            <w:sz w:val="20"/>
            <w:szCs w:val="20"/>
            <w:vertAlign w:val="subscript"/>
          </w:rPr>
          <m:t>x</m:t>
        </m:r>
      </m:oMath>
      <w:r w:rsidRPr="00216F5A">
        <w:rPr>
          <w:rFonts w:ascii="Arial" w:hAnsi="Arial" w:cs="Arial"/>
          <w:sz w:val="20"/>
          <w:szCs w:val="20"/>
          <w:vertAlign w:val="subscript"/>
        </w:rPr>
        <w:tab/>
      </w:r>
      <w:r w:rsidRPr="00216F5A">
        <w:rPr>
          <w:rFonts w:ascii="Arial" w:hAnsi="Arial" w:cs="Arial"/>
          <w:sz w:val="20"/>
          <w:szCs w:val="20"/>
          <w:vertAlign w:val="subscript"/>
        </w:rPr>
        <w:tab/>
      </w:r>
      <w:r w:rsidRPr="00216F5A">
        <w:rPr>
          <w:rFonts w:ascii="Arial" w:hAnsi="Arial" w:cs="Arial"/>
          <w:sz w:val="20"/>
          <w:szCs w:val="20"/>
          <w:vertAlign w:val="subscript"/>
        </w:rPr>
        <w:tab/>
      </w:r>
      <w:r w:rsidRPr="00216F5A">
        <w:rPr>
          <w:rFonts w:ascii="Arial" w:hAnsi="Arial" w:cs="Arial"/>
          <w:sz w:val="20"/>
          <w:szCs w:val="20"/>
          <w:vertAlign w:val="subscript"/>
        </w:rPr>
        <w:tab/>
      </w:r>
      <w:r w:rsidRPr="00216F5A">
        <w:rPr>
          <w:rFonts w:ascii="Arial" w:hAnsi="Arial" w:cs="Arial"/>
          <w:sz w:val="20"/>
          <w:szCs w:val="20"/>
          <w:vertAlign w:val="subscript"/>
        </w:rPr>
        <w:tab/>
      </w:r>
      <w:r w:rsidRPr="00216F5A">
        <w:rPr>
          <w:rFonts w:ascii="Arial" w:hAnsi="Arial" w:cs="Arial"/>
          <w:sz w:val="20"/>
          <w:szCs w:val="20"/>
          <w:vertAlign w:val="subscript"/>
        </w:rPr>
        <w:tab/>
      </w:r>
      <w:r w:rsidRPr="00216F5A">
        <w:rPr>
          <w:rFonts w:ascii="Arial" w:hAnsi="Arial" w:cs="Arial"/>
          <w:sz w:val="20"/>
          <w:szCs w:val="20"/>
          <w:vertAlign w:val="subscript"/>
        </w:rPr>
        <w:tab/>
      </w:r>
      <w:r w:rsidRPr="00216F5A">
        <w:rPr>
          <w:rFonts w:ascii="Arial" w:hAnsi="Arial" w:cs="Arial"/>
          <w:sz w:val="20"/>
          <w:szCs w:val="20"/>
          <w:vertAlign w:val="subscript"/>
        </w:rPr>
        <w:tab/>
      </w:r>
      <w:r w:rsidRPr="00216F5A">
        <w:rPr>
          <w:rFonts w:ascii="Arial" w:hAnsi="Arial" w:cs="Arial"/>
          <w:sz w:val="20"/>
          <w:szCs w:val="20"/>
          <w:vertAlign w:val="subscript"/>
        </w:rPr>
        <w:tab/>
      </w:r>
      <w:r w:rsidRPr="00216F5A">
        <w:rPr>
          <w:rFonts w:ascii="Arial" w:hAnsi="Arial" w:cs="Arial"/>
          <w:sz w:val="20"/>
          <w:szCs w:val="20"/>
          <w:vertAlign w:val="subscript"/>
        </w:rPr>
        <w:tab/>
      </w:r>
      <w:r w:rsidRPr="00216F5A">
        <w:rPr>
          <w:rFonts w:ascii="Arial" w:eastAsia="Times New Roman" w:hAnsi="Arial" w:cs="Arial"/>
          <w:i/>
          <w:sz w:val="20"/>
          <w:szCs w:val="20"/>
        </w:rPr>
        <w:t>(II)</w:t>
      </w:r>
    </w:p>
    <w:p w14:paraId="7650F266" w14:textId="77777777" w:rsidR="00326E3C" w:rsidRPr="00216F5A" w:rsidRDefault="008A7566">
      <w:pPr>
        <w:jc w:val="both"/>
        <w:rPr>
          <w:rFonts w:ascii="Arial" w:hAnsi="Arial" w:cs="Arial"/>
          <w:sz w:val="20"/>
          <w:szCs w:val="20"/>
        </w:rPr>
      </w:pPr>
      <w:r w:rsidRPr="00216F5A">
        <w:rPr>
          <w:rFonts w:ascii="Arial" w:hAnsi="Arial" w:cs="Arial"/>
          <w:sz w:val="20"/>
          <w:szCs w:val="20"/>
        </w:rPr>
        <w:t>The term log</w:t>
      </w:r>
      <m:oMath>
        <m:d>
          <m:dPr>
            <m:ctrlPr>
              <w:rPr>
                <w:rFonts w:ascii="Cambria Math" w:hAnsi="Cambria Math" w:cs="Arial"/>
                <w:i/>
                <w:sz w:val="20"/>
                <w:szCs w:val="20"/>
              </w:rPr>
            </m:ctrlPr>
          </m:dPr>
          <m:e>
            <m:f>
              <m:fPr>
                <m:ctrlPr>
                  <w:rPr>
                    <w:rFonts w:ascii="Cambria Math" w:hAnsi="Cambria Math" w:cs="Arial"/>
                    <w:i/>
                    <w:sz w:val="20"/>
                    <w:szCs w:val="20"/>
                  </w:rPr>
                </m:ctrlPr>
              </m:fPr>
              <m:num>
                <m:r>
                  <m:rPr>
                    <m:sty m:val="p"/>
                  </m:rPr>
                  <w:rPr>
                    <w:rFonts w:ascii="Cambria Math" w:hAnsi="Cambria Math" w:cs="Arial"/>
                    <w:sz w:val="20"/>
                    <w:szCs w:val="20"/>
                  </w:rPr>
                  <m:t>γ</m:t>
                </m:r>
              </m:num>
              <m:den>
                <m:r>
                  <m:rPr>
                    <m:sty m:val="p"/>
                  </m:rPr>
                  <w:rPr>
                    <w:rFonts w:ascii="Cambria Math" w:hAnsi="Cambria Math" w:cs="Arial"/>
                    <w:sz w:val="20"/>
                    <w:szCs w:val="20"/>
                  </w:rPr>
                  <m:t>1-γ</m:t>
                </m:r>
              </m:den>
            </m:f>
          </m:e>
        </m:d>
      </m:oMath>
      <w:r w:rsidRPr="00216F5A">
        <w:rPr>
          <w:rFonts w:ascii="Arial" w:hAnsi="Arial" w:cs="Arial"/>
          <w:sz w:val="20"/>
          <w:szCs w:val="20"/>
        </w:rPr>
        <w:t xml:space="preserve"> is once in a while called the logic capacity and it has a characteristic translation as the logarithms of chances. The basic direct strategic model or logit model </w:t>
      </w:r>
      <m:oMath>
        <m:r>
          <w:rPr>
            <w:rFonts w:ascii="Cambria Math" w:hAnsi="Cambria Math" w:cs="Arial"/>
            <w:sz w:val="20"/>
            <w:szCs w:val="20"/>
          </w:rPr>
          <m:t>log</m:t>
        </m:r>
        <m:d>
          <m:dPr>
            <m:ctrlPr>
              <w:rPr>
                <w:rFonts w:ascii="Cambria Math" w:hAnsi="Cambria Math" w:cs="Arial"/>
                <w:i/>
                <w:sz w:val="20"/>
                <w:szCs w:val="20"/>
              </w:rPr>
            </m:ctrlPr>
          </m:dPr>
          <m:e>
            <m:f>
              <m:fPr>
                <m:ctrlPr>
                  <w:rPr>
                    <w:rFonts w:ascii="Cambria Math" w:hAnsi="Cambria Math" w:cs="Arial"/>
                    <w:i/>
                    <w:sz w:val="20"/>
                    <w:szCs w:val="20"/>
                  </w:rPr>
                </m:ctrlPr>
              </m:fPr>
              <m:num>
                <m:r>
                  <m:rPr>
                    <m:sty m:val="p"/>
                  </m:rPr>
                  <w:rPr>
                    <w:rFonts w:ascii="Cambria Math" w:hAnsi="Cambria Math" w:cs="Arial"/>
                    <w:sz w:val="20"/>
                    <w:szCs w:val="20"/>
                  </w:rPr>
                  <m:t>γ</m:t>
                </m:r>
              </m:num>
              <m:den>
                <m:r>
                  <m:rPr>
                    <m:sty m:val="p"/>
                  </m:rPr>
                  <w:rPr>
                    <w:rFonts w:ascii="Cambria Math" w:hAnsi="Cambria Math" w:cs="Arial"/>
                    <w:sz w:val="20"/>
                    <w:szCs w:val="20"/>
                  </w:rPr>
                  <m:t>1-γ</m:t>
                </m:r>
              </m:den>
            </m:f>
          </m:e>
        </m:d>
      </m:oMath>
      <w:r w:rsidRPr="00216F5A">
        <w:rPr>
          <w:rFonts w:ascii="Arial" w:hAnsi="Arial" w:cs="Arial"/>
          <w:sz w:val="20"/>
          <w:szCs w:val="20"/>
        </w:rPr>
        <w:t>=β</w:t>
      </w:r>
      <w:r w:rsidRPr="00216F5A">
        <w:rPr>
          <w:rFonts w:ascii="Arial" w:hAnsi="Arial" w:cs="Arial"/>
          <w:sz w:val="20"/>
          <w:szCs w:val="20"/>
          <w:vertAlign w:val="subscript"/>
        </w:rPr>
        <w:t>1</w:t>
      </w:r>
      <w:r w:rsidRPr="00216F5A">
        <w:rPr>
          <w:rFonts w:ascii="Arial" w:hAnsi="Arial" w:cs="Arial"/>
          <w:sz w:val="20"/>
          <w:szCs w:val="20"/>
        </w:rPr>
        <w:t>-β</w:t>
      </w:r>
      <w:r w:rsidRPr="00216F5A">
        <w:rPr>
          <w:rFonts w:ascii="Arial" w:hAnsi="Arial" w:cs="Arial"/>
          <w:sz w:val="20"/>
          <w:szCs w:val="20"/>
          <w:vertAlign w:val="subscript"/>
        </w:rPr>
        <w:t>2</w:t>
      </w:r>
      <m:oMath>
        <m:r>
          <w:rPr>
            <w:rFonts w:ascii="Cambria Math" w:hAnsi="Cambria Math" w:cs="Arial"/>
            <w:sz w:val="20"/>
            <w:szCs w:val="20"/>
            <w:vertAlign w:val="subscript"/>
          </w:rPr>
          <m:t>x</m:t>
        </m:r>
      </m:oMath>
      <w:r w:rsidRPr="00216F5A">
        <w:rPr>
          <w:rFonts w:ascii="Arial" w:hAnsi="Arial" w:cs="Arial"/>
          <w:sz w:val="20"/>
          <w:szCs w:val="20"/>
        </w:rPr>
        <w:t xml:space="preserve"> is a unique instance of the generally calculated relapse model. </w:t>
      </w:r>
    </w:p>
    <w:p w14:paraId="1A702D1E" w14:textId="77777777" w:rsidR="00326E3C" w:rsidRPr="00216F5A" w:rsidRDefault="008A7566">
      <w:pPr>
        <w:jc w:val="both"/>
        <w:rPr>
          <w:rFonts w:ascii="Arial" w:hAnsi="Arial" w:cs="Arial"/>
          <w:sz w:val="20"/>
          <w:szCs w:val="20"/>
        </w:rPr>
      </w:pPr>
      <w:r w:rsidRPr="00216F5A">
        <w:rPr>
          <w:rFonts w:ascii="Arial" w:hAnsi="Arial" w:cs="Arial"/>
          <w:sz w:val="20"/>
          <w:szCs w:val="20"/>
        </w:rPr>
        <w:t>Logit</w:t>
      </w:r>
      <w:r w:rsidR="0091236B" w:rsidRPr="00216F5A">
        <w:rPr>
          <w:rFonts w:ascii="Arial" w:hAnsi="Arial" w:cs="Arial"/>
          <w:sz w:val="20"/>
          <w:szCs w:val="20"/>
        </w:rPr>
        <w:t xml:space="preserve"> </w:t>
      </w:r>
      <w:r w:rsidRPr="00216F5A">
        <w:rPr>
          <w:rFonts w:ascii="Arial" w:hAnsi="Arial" w:cs="Arial"/>
          <w:sz w:val="20"/>
          <w:szCs w:val="20"/>
        </w:rPr>
        <w:t>(</w:t>
      </w:r>
      <m:oMath>
        <m:sSub>
          <m:sSubPr>
            <m:ctrlPr>
              <w:rPr>
                <w:rFonts w:ascii="Cambria Math" w:hAnsi="Cambria Math" w:cs="Arial"/>
                <w:i/>
                <w:sz w:val="20"/>
                <w:szCs w:val="20"/>
              </w:rPr>
            </m:ctrlPr>
          </m:sSubPr>
          <m:e>
            <m:r>
              <m:rPr>
                <m:sty m:val="p"/>
              </m:rPr>
              <w:rPr>
                <w:rFonts w:ascii="Cambria Math" w:hAnsi="Cambria Math" w:cs="Arial"/>
                <w:sz w:val="20"/>
                <w:szCs w:val="20"/>
              </w:rPr>
              <m:t>γ</m:t>
            </m:r>
          </m:e>
          <m:sub>
            <m:r>
              <w:rPr>
                <w:rFonts w:ascii="Cambria Math" w:hAnsi="Cambria Math" w:cs="Arial"/>
                <w:sz w:val="20"/>
                <w:szCs w:val="20"/>
              </w:rPr>
              <m:t>i</m:t>
            </m:r>
          </m:sub>
        </m:sSub>
      </m:oMath>
      <w:r w:rsidRPr="00216F5A">
        <w:rPr>
          <w:rFonts w:ascii="Arial" w:hAnsi="Arial" w:cs="Arial"/>
          <w:sz w:val="20"/>
          <w:szCs w:val="20"/>
        </w:rPr>
        <w:t>)</w:t>
      </w:r>
      <w:r w:rsidR="0091236B" w:rsidRPr="00216F5A">
        <w:rPr>
          <w:rFonts w:ascii="Arial" w:hAnsi="Arial" w:cs="Arial"/>
          <w:sz w:val="20"/>
          <w:szCs w:val="20"/>
        </w:rPr>
        <w:t xml:space="preserve"> </w:t>
      </w:r>
      <w:r w:rsidRPr="00216F5A">
        <w:rPr>
          <w:rFonts w:ascii="Arial" w:hAnsi="Arial" w:cs="Arial"/>
          <w:sz w:val="20"/>
          <w:szCs w:val="20"/>
        </w:rPr>
        <w:t>=log</w:t>
      </w:r>
      <m:oMath>
        <m:d>
          <m:dPr>
            <m:ctrlPr>
              <w:rPr>
                <w:rFonts w:ascii="Cambria Math" w:hAnsi="Cambria Math" w:cs="Arial"/>
                <w:i/>
                <w:sz w:val="20"/>
                <w:szCs w:val="20"/>
              </w:rPr>
            </m:ctrlPr>
          </m:dPr>
          <m:e>
            <m:f>
              <m:fPr>
                <m:ctrlPr>
                  <w:rPr>
                    <w:rFonts w:ascii="Cambria Math" w:hAnsi="Cambria Math" w:cs="Arial"/>
                    <w:i/>
                    <w:sz w:val="20"/>
                    <w:szCs w:val="20"/>
                  </w:rPr>
                </m:ctrlPr>
              </m:fPr>
              <m:num>
                <m:r>
                  <m:rPr>
                    <m:sty m:val="p"/>
                  </m:rPr>
                  <w:rPr>
                    <w:rFonts w:ascii="Cambria Math" w:hAnsi="Cambria Math" w:cs="Arial"/>
                    <w:sz w:val="20"/>
                    <w:szCs w:val="20"/>
                  </w:rPr>
                  <m:t>γ</m:t>
                </m:r>
              </m:num>
              <m:den>
                <m:r>
                  <m:rPr>
                    <m:sty m:val="p"/>
                  </m:rPr>
                  <w:rPr>
                    <w:rFonts w:ascii="Cambria Math" w:hAnsi="Cambria Math" w:cs="Arial"/>
                    <w:sz w:val="20"/>
                    <w:szCs w:val="20"/>
                  </w:rPr>
                  <m:t>1-γ</m:t>
                </m:r>
              </m:den>
            </m:f>
          </m:e>
        </m:d>
      </m:oMath>
      <w:r w:rsidRPr="00216F5A">
        <w:rPr>
          <w:rFonts w:ascii="Arial" w:hAnsi="Arial" w:cs="Arial"/>
          <w:sz w:val="20"/>
          <w:szCs w:val="20"/>
        </w:rPr>
        <w:t>=</w:t>
      </w:r>
      <m:oMath>
        <m:sSubSup>
          <m:sSubSupPr>
            <m:ctrlPr>
              <w:rPr>
                <w:rFonts w:ascii="Cambria Math" w:hAnsi="Cambria Math" w:cs="Arial"/>
                <w:i/>
                <w:sz w:val="20"/>
                <w:szCs w:val="20"/>
              </w:rPr>
            </m:ctrlPr>
          </m:sSubSupPr>
          <m:e>
            <m:r>
              <w:rPr>
                <w:rFonts w:ascii="Cambria Math" w:hAnsi="Cambria Math" w:cs="Arial"/>
                <w:sz w:val="20"/>
                <w:szCs w:val="20"/>
              </w:rPr>
              <m:t>X</m:t>
            </m:r>
          </m:e>
          <m:sub>
            <m:r>
              <w:rPr>
                <w:rFonts w:ascii="Cambria Math" w:hAnsi="Cambria Math" w:cs="Arial"/>
                <w:sz w:val="20"/>
                <w:szCs w:val="20"/>
              </w:rPr>
              <m:t>i</m:t>
            </m:r>
          </m:sub>
          <m:sup>
            <m:r>
              <w:rPr>
                <w:rFonts w:ascii="Cambria Math" w:hAnsi="Cambria Math" w:cs="Arial"/>
                <w:sz w:val="20"/>
                <w:szCs w:val="20"/>
              </w:rPr>
              <m:t>T</m:t>
            </m:r>
          </m:sup>
        </m:sSubSup>
        <m:r>
          <m:rPr>
            <m:sty m:val="p"/>
          </m:rPr>
          <w:rPr>
            <w:rStyle w:val="mord"/>
            <w:rFonts w:ascii="Cambria Math" w:hAnsi="Cambria Math" w:cs="Arial"/>
            <w:sz w:val="20"/>
            <w:szCs w:val="20"/>
          </w:rPr>
          <m:t>β</m:t>
        </m:r>
        <m:r>
          <m:rPr>
            <m:sty m:val="p"/>
          </m:rPr>
          <w:rPr>
            <w:rStyle w:val="vlist-s"/>
            <w:rFonts w:ascii="Cambria Math" w:hAnsi="Cambria Math" w:cs="Arial"/>
            <w:sz w:val="20"/>
            <w:szCs w:val="20"/>
          </w:rPr>
          <m:t>​</m:t>
        </m:r>
      </m:oMath>
      <w:r w:rsidRPr="00216F5A">
        <w:rPr>
          <w:rFonts w:ascii="Arial" w:hAnsi="Arial" w:cs="Arial"/>
          <w:sz w:val="20"/>
          <w:szCs w:val="20"/>
        </w:rPr>
        <w:tab/>
      </w:r>
      <w:r w:rsidRPr="00216F5A">
        <w:rPr>
          <w:rFonts w:ascii="Arial" w:hAnsi="Arial" w:cs="Arial"/>
          <w:sz w:val="20"/>
          <w:szCs w:val="20"/>
        </w:rPr>
        <w:tab/>
      </w:r>
      <w:r w:rsidRPr="00216F5A">
        <w:rPr>
          <w:rFonts w:ascii="Arial" w:hAnsi="Arial" w:cs="Arial"/>
          <w:sz w:val="20"/>
          <w:szCs w:val="20"/>
        </w:rPr>
        <w:tab/>
      </w:r>
      <w:r w:rsidRPr="00216F5A">
        <w:rPr>
          <w:rFonts w:ascii="Arial" w:hAnsi="Arial" w:cs="Arial"/>
          <w:sz w:val="20"/>
          <w:szCs w:val="20"/>
        </w:rPr>
        <w:tab/>
      </w:r>
      <w:r w:rsidRPr="00216F5A">
        <w:rPr>
          <w:rFonts w:ascii="Arial" w:hAnsi="Arial" w:cs="Arial"/>
          <w:sz w:val="20"/>
          <w:szCs w:val="20"/>
        </w:rPr>
        <w:tab/>
      </w:r>
      <w:r w:rsidRPr="00216F5A">
        <w:rPr>
          <w:rFonts w:ascii="Arial" w:hAnsi="Arial" w:cs="Arial"/>
          <w:sz w:val="20"/>
          <w:szCs w:val="20"/>
        </w:rPr>
        <w:tab/>
      </w:r>
      <w:r w:rsidRPr="00216F5A">
        <w:rPr>
          <w:rFonts w:ascii="Arial" w:hAnsi="Arial" w:cs="Arial"/>
          <w:sz w:val="20"/>
          <w:szCs w:val="20"/>
        </w:rPr>
        <w:tab/>
      </w:r>
      <w:r w:rsidRPr="00216F5A">
        <w:rPr>
          <w:rFonts w:ascii="Arial" w:hAnsi="Arial" w:cs="Arial"/>
          <w:sz w:val="20"/>
          <w:szCs w:val="20"/>
        </w:rPr>
        <w:tab/>
      </w:r>
      <w:r w:rsidRPr="00216F5A">
        <w:rPr>
          <w:rFonts w:ascii="Arial" w:hAnsi="Arial" w:cs="Arial"/>
          <w:sz w:val="20"/>
          <w:szCs w:val="20"/>
        </w:rPr>
        <w:tab/>
      </w:r>
      <w:r w:rsidRPr="00216F5A">
        <w:rPr>
          <w:rFonts w:ascii="Arial" w:eastAsia="Times New Roman" w:hAnsi="Arial" w:cs="Arial"/>
          <w:i/>
          <w:sz w:val="20"/>
          <w:szCs w:val="20"/>
        </w:rPr>
        <w:t>(III)</w:t>
      </w:r>
      <w:r w:rsidRPr="00216F5A">
        <w:rPr>
          <w:rFonts w:ascii="Arial" w:hAnsi="Arial" w:cs="Arial"/>
          <w:sz w:val="20"/>
          <w:szCs w:val="20"/>
        </w:rPr>
        <w:t xml:space="preserve"> </w:t>
      </w:r>
    </w:p>
    <w:p w14:paraId="5C7F8754" w14:textId="77777777" w:rsidR="00326E3C" w:rsidRPr="00216F5A" w:rsidRDefault="008A7566">
      <w:pPr>
        <w:jc w:val="both"/>
        <w:rPr>
          <w:rFonts w:ascii="Arial" w:hAnsi="Arial" w:cs="Arial"/>
          <w:sz w:val="20"/>
          <w:szCs w:val="20"/>
        </w:rPr>
      </w:pPr>
      <w:r w:rsidRPr="00216F5A">
        <w:rPr>
          <w:rFonts w:ascii="Arial" w:hAnsi="Arial" w:cs="Arial"/>
          <w:sz w:val="20"/>
          <w:szCs w:val="20"/>
        </w:rPr>
        <w:t>Where X</w:t>
      </w:r>
      <w:r w:rsidRPr="00216F5A">
        <w:rPr>
          <w:rFonts w:ascii="Arial" w:hAnsi="Arial" w:cs="Arial"/>
          <w:i/>
          <w:sz w:val="20"/>
          <w:szCs w:val="20"/>
          <w:vertAlign w:val="subscript"/>
        </w:rPr>
        <w:t>i</w:t>
      </w:r>
      <w:r w:rsidRPr="00216F5A">
        <w:rPr>
          <w:rFonts w:ascii="Arial" w:hAnsi="Arial" w:cs="Arial"/>
          <w:sz w:val="20"/>
          <w:szCs w:val="20"/>
        </w:rPr>
        <w:t xml:space="preserve"> is a vector of persistent estimations comparing to </w:t>
      </w:r>
      <w:r w:rsidRPr="00216F5A">
        <w:rPr>
          <w:rFonts w:ascii="Arial" w:hAnsi="Arial" w:cs="Arial"/>
          <w:i/>
          <w:iCs/>
          <w:sz w:val="20"/>
          <w:szCs w:val="20"/>
        </w:rPr>
        <w:t xml:space="preserve">covariates </w:t>
      </w:r>
      <w:r w:rsidRPr="00216F5A">
        <w:rPr>
          <w:rFonts w:ascii="Arial" w:hAnsi="Arial" w:cs="Arial"/>
          <w:sz w:val="20"/>
          <w:szCs w:val="20"/>
        </w:rPr>
        <w:t xml:space="preserve">and </w:t>
      </w:r>
      <w:r w:rsidRPr="00216F5A">
        <w:rPr>
          <w:rFonts w:ascii="Arial" w:hAnsi="Arial" w:cs="Arial"/>
          <w:i/>
          <w:iCs/>
          <w:sz w:val="20"/>
          <w:szCs w:val="20"/>
        </w:rPr>
        <w:t xml:space="preserve">sham </w:t>
      </w:r>
      <w:r w:rsidRPr="00216F5A">
        <w:rPr>
          <w:rFonts w:ascii="Arial" w:hAnsi="Arial" w:cs="Arial"/>
          <w:sz w:val="20"/>
          <w:szCs w:val="20"/>
        </w:rPr>
        <w:t xml:space="preserve">factors relating to factor levels and β is the parameter vector. The model is in all respect broadly utilized for breaking down information including twofold or binomial reactions and a few illustrative factors. </w:t>
      </w:r>
    </w:p>
    <w:p w14:paraId="23777A88" w14:textId="77777777" w:rsidR="00326E3C" w:rsidRPr="00216F5A" w:rsidRDefault="008A7566">
      <w:pPr>
        <w:jc w:val="both"/>
        <w:rPr>
          <w:rFonts w:ascii="Arial" w:hAnsi="Arial" w:cs="Arial"/>
          <w:sz w:val="20"/>
          <w:szCs w:val="20"/>
        </w:rPr>
      </w:pPr>
      <w:r w:rsidRPr="00216F5A">
        <w:rPr>
          <w:rFonts w:ascii="Arial" w:hAnsi="Arial" w:cs="Arial"/>
          <w:sz w:val="20"/>
          <w:szCs w:val="20"/>
        </w:rPr>
        <w:t xml:space="preserve">The </w:t>
      </w:r>
      <w:r w:rsidR="0091236B" w:rsidRPr="00216F5A">
        <w:rPr>
          <w:rFonts w:ascii="Arial" w:hAnsi="Arial" w:cs="Arial"/>
          <w:sz w:val="20"/>
          <w:szCs w:val="20"/>
        </w:rPr>
        <w:t>Coefficients</w:t>
      </w:r>
      <w:r w:rsidRPr="00216F5A">
        <w:rPr>
          <w:rFonts w:ascii="Arial" w:hAnsi="Arial" w:cs="Arial"/>
          <w:sz w:val="20"/>
          <w:szCs w:val="20"/>
        </w:rPr>
        <w:t xml:space="preserve"> and Odds ratios of the Logit model are explored given that, the chances of a result being available among people with </w:t>
      </w:r>
      <m:oMath>
        <m:r>
          <m:rPr>
            <m:sty m:val="p"/>
          </m:rPr>
          <w:rPr>
            <w:rFonts w:ascii="Cambria Math" w:hAnsi="Cambria Math" w:cs="Arial"/>
            <w:sz w:val="20"/>
            <w:szCs w:val="20"/>
          </w:rPr>
          <m:t>x=1</m:t>
        </m:r>
      </m:oMath>
      <w:r w:rsidRPr="00216F5A">
        <w:rPr>
          <w:rFonts w:ascii="Arial" w:hAnsi="Arial" w:cs="Arial"/>
          <w:sz w:val="20"/>
          <w:szCs w:val="20"/>
        </w:rPr>
        <w:t xml:space="preserve">is characterized as </w:t>
      </w:r>
      <m:oMath>
        <m:f>
          <m:fPr>
            <m:ctrlPr>
              <w:rPr>
                <w:rFonts w:ascii="Cambria Math" w:hAnsi="Cambria Math" w:cs="Arial"/>
                <w:sz w:val="20"/>
                <w:szCs w:val="20"/>
              </w:rPr>
            </m:ctrlPr>
          </m:fPr>
          <m:num>
            <m:r>
              <m:rPr>
                <m:sty m:val="p"/>
              </m:rPr>
              <w:rPr>
                <w:rFonts w:ascii="Cambria Math" w:hAnsi="Cambria Math" w:cs="Arial"/>
                <w:sz w:val="20"/>
                <w:szCs w:val="20"/>
              </w:rPr>
              <m:t>γ(1)</m:t>
            </m:r>
          </m:num>
          <m:den>
            <m:r>
              <w:rPr>
                <w:rFonts w:ascii="Cambria Math" w:hAnsi="Cambria Math" w:cs="Arial"/>
                <w:sz w:val="20"/>
                <w:szCs w:val="20"/>
              </w:rPr>
              <m:t>1-</m:t>
            </m:r>
            <m:r>
              <m:rPr>
                <m:sty m:val="p"/>
              </m:rPr>
              <w:rPr>
                <w:rFonts w:ascii="Cambria Math" w:hAnsi="Cambria Math" w:cs="Arial"/>
                <w:sz w:val="20"/>
                <w:szCs w:val="20"/>
              </w:rPr>
              <m:t>γ(1)</m:t>
            </m:r>
          </m:den>
        </m:f>
      </m:oMath>
      <w:r w:rsidRPr="00216F5A">
        <w:rPr>
          <w:rFonts w:ascii="Arial" w:hAnsi="Arial" w:cs="Arial"/>
          <w:sz w:val="20"/>
          <w:szCs w:val="20"/>
        </w:rPr>
        <w:t>. Thus, the chances of a result present among people with x=0 is characterized as</w:t>
      </w:r>
      <m:oMath>
        <m:f>
          <m:fPr>
            <m:ctrlPr>
              <w:rPr>
                <w:rFonts w:ascii="Cambria Math" w:hAnsi="Cambria Math" w:cs="Arial"/>
                <w:sz w:val="20"/>
                <w:szCs w:val="20"/>
              </w:rPr>
            </m:ctrlPr>
          </m:fPr>
          <m:num>
            <m:r>
              <m:rPr>
                <m:sty m:val="p"/>
              </m:rPr>
              <w:rPr>
                <w:rFonts w:ascii="Cambria Math" w:hAnsi="Cambria Math" w:cs="Arial"/>
                <w:sz w:val="20"/>
                <w:szCs w:val="20"/>
              </w:rPr>
              <m:t>γ(0)</m:t>
            </m:r>
          </m:num>
          <m:den>
            <m:r>
              <w:rPr>
                <w:rFonts w:ascii="Cambria Math" w:hAnsi="Cambria Math" w:cs="Arial"/>
                <w:sz w:val="20"/>
                <w:szCs w:val="20"/>
              </w:rPr>
              <m:t>1-</m:t>
            </m:r>
            <m:r>
              <m:rPr>
                <m:sty m:val="p"/>
              </m:rPr>
              <w:rPr>
                <w:rFonts w:ascii="Cambria Math" w:hAnsi="Cambria Math" w:cs="Arial"/>
                <w:sz w:val="20"/>
                <w:szCs w:val="20"/>
              </w:rPr>
              <m:t>γ(0)</m:t>
            </m:r>
          </m:den>
        </m:f>
      </m:oMath>
      <w:r w:rsidRPr="00216F5A">
        <w:rPr>
          <w:rFonts w:ascii="Arial" w:hAnsi="Arial" w:cs="Arial"/>
          <w:sz w:val="20"/>
          <w:szCs w:val="20"/>
        </w:rPr>
        <w:t xml:space="preserve">. The chances proportions signified OR is characterized as the proportion of the chances for x=1 to the chances for x=0 and is given by the condition; </w:t>
      </w:r>
    </w:p>
    <w:p w14:paraId="39A48527" w14:textId="77777777" w:rsidR="00326E3C" w:rsidRPr="00216F5A" w:rsidRDefault="008A7566">
      <w:pPr>
        <w:jc w:val="both"/>
        <w:rPr>
          <w:rFonts w:ascii="Arial" w:hAnsi="Arial" w:cs="Arial"/>
          <w:sz w:val="20"/>
          <w:szCs w:val="20"/>
        </w:rPr>
      </w:pPr>
      <w:r w:rsidRPr="00216F5A">
        <w:rPr>
          <w:rFonts w:ascii="Arial" w:hAnsi="Arial" w:cs="Arial"/>
          <w:sz w:val="20"/>
          <w:szCs w:val="20"/>
        </w:rPr>
        <w:t xml:space="preserve">Or on the other hand = </w:t>
      </w:r>
      <m:oMath>
        <m:f>
          <m:fPr>
            <m:ctrlPr>
              <w:rPr>
                <w:rFonts w:ascii="Cambria Math" w:hAnsi="Cambria Math" w:cs="Arial"/>
                <w:sz w:val="20"/>
                <w:szCs w:val="20"/>
              </w:rPr>
            </m:ctrlPr>
          </m:fPr>
          <m:num>
            <m:f>
              <m:fPr>
                <m:ctrlPr>
                  <w:rPr>
                    <w:rFonts w:ascii="Cambria Math" w:hAnsi="Cambria Math" w:cs="Arial"/>
                    <w:sz w:val="20"/>
                    <w:szCs w:val="20"/>
                  </w:rPr>
                </m:ctrlPr>
              </m:fPr>
              <m:num>
                <m:r>
                  <m:rPr>
                    <m:sty m:val="p"/>
                  </m:rPr>
                  <w:rPr>
                    <w:rFonts w:ascii="Cambria Math" w:hAnsi="Cambria Math" w:cs="Arial"/>
                    <w:sz w:val="20"/>
                    <w:szCs w:val="20"/>
                  </w:rPr>
                  <m:t>γ(1)</m:t>
                </m:r>
              </m:num>
              <m:den>
                <m:r>
                  <w:rPr>
                    <w:rFonts w:ascii="Cambria Math" w:hAnsi="Cambria Math" w:cs="Arial"/>
                    <w:sz w:val="20"/>
                    <w:szCs w:val="20"/>
                  </w:rPr>
                  <m:t>1-</m:t>
                </m:r>
                <m:r>
                  <m:rPr>
                    <m:sty m:val="p"/>
                  </m:rPr>
                  <w:rPr>
                    <w:rFonts w:ascii="Cambria Math" w:hAnsi="Cambria Math" w:cs="Arial"/>
                    <w:sz w:val="20"/>
                    <w:szCs w:val="20"/>
                  </w:rPr>
                  <m:t>γ(1)</m:t>
                </m:r>
              </m:den>
            </m:f>
            <m:r>
              <m:rPr>
                <m:sty m:val="p"/>
              </m:rPr>
              <w:rPr>
                <w:rFonts w:ascii="Cambria Math" w:hAnsi="Cambria Math" w:cs="Arial"/>
                <w:sz w:val="20"/>
                <w:szCs w:val="20"/>
              </w:rPr>
              <m:t xml:space="preserve"> </m:t>
            </m:r>
          </m:num>
          <m:den>
            <m:f>
              <m:fPr>
                <m:ctrlPr>
                  <w:rPr>
                    <w:rFonts w:ascii="Cambria Math" w:hAnsi="Cambria Math" w:cs="Arial"/>
                    <w:sz w:val="20"/>
                    <w:szCs w:val="20"/>
                  </w:rPr>
                </m:ctrlPr>
              </m:fPr>
              <m:num>
                <m:r>
                  <m:rPr>
                    <m:sty m:val="p"/>
                  </m:rPr>
                  <w:rPr>
                    <w:rFonts w:ascii="Cambria Math" w:hAnsi="Cambria Math" w:cs="Arial"/>
                    <w:sz w:val="20"/>
                    <w:szCs w:val="20"/>
                  </w:rPr>
                  <m:t>γ(0)</m:t>
                </m:r>
              </m:num>
              <m:den>
                <m:r>
                  <w:rPr>
                    <w:rFonts w:ascii="Cambria Math" w:hAnsi="Cambria Math" w:cs="Arial"/>
                    <w:sz w:val="20"/>
                    <w:szCs w:val="20"/>
                  </w:rPr>
                  <m:t>1-</m:t>
                </m:r>
                <m:r>
                  <m:rPr>
                    <m:sty m:val="p"/>
                  </m:rPr>
                  <w:rPr>
                    <w:rFonts w:ascii="Cambria Math" w:hAnsi="Cambria Math" w:cs="Arial"/>
                    <w:sz w:val="20"/>
                    <w:szCs w:val="20"/>
                  </w:rPr>
                  <m:t>γ(0)</m:t>
                </m:r>
              </m:den>
            </m:f>
            <m:r>
              <m:rPr>
                <m:sty m:val="p"/>
              </m:rPr>
              <w:rPr>
                <w:rFonts w:ascii="Cambria Math" w:hAnsi="Cambria Math" w:cs="Arial"/>
                <w:sz w:val="20"/>
                <w:szCs w:val="20"/>
              </w:rPr>
              <m:t xml:space="preserve"> </m:t>
            </m:r>
          </m:den>
        </m:f>
      </m:oMath>
      <w:r w:rsidRPr="00216F5A">
        <w:rPr>
          <w:rFonts w:ascii="Arial" w:hAnsi="Arial" w:cs="Arial"/>
          <w:sz w:val="20"/>
          <w:szCs w:val="20"/>
        </w:rPr>
        <w:t xml:space="preserve"> </w:t>
      </w:r>
      <w:r w:rsidRPr="00216F5A">
        <w:rPr>
          <w:rFonts w:ascii="Arial" w:hAnsi="Arial" w:cs="Arial"/>
          <w:sz w:val="20"/>
          <w:szCs w:val="20"/>
        </w:rPr>
        <w:tab/>
      </w:r>
      <w:r w:rsidRPr="00216F5A">
        <w:rPr>
          <w:rFonts w:ascii="Arial" w:hAnsi="Arial" w:cs="Arial"/>
          <w:sz w:val="20"/>
          <w:szCs w:val="20"/>
        </w:rPr>
        <w:tab/>
      </w:r>
      <w:r w:rsidRPr="00216F5A">
        <w:rPr>
          <w:rFonts w:ascii="Arial" w:hAnsi="Arial" w:cs="Arial"/>
          <w:sz w:val="20"/>
          <w:szCs w:val="20"/>
        </w:rPr>
        <w:tab/>
      </w:r>
      <w:r w:rsidRPr="00216F5A">
        <w:rPr>
          <w:rFonts w:ascii="Arial" w:hAnsi="Arial" w:cs="Arial"/>
          <w:sz w:val="20"/>
          <w:szCs w:val="20"/>
        </w:rPr>
        <w:tab/>
      </w:r>
      <w:r w:rsidRPr="00216F5A">
        <w:rPr>
          <w:rFonts w:ascii="Arial" w:hAnsi="Arial" w:cs="Arial"/>
          <w:sz w:val="20"/>
          <w:szCs w:val="20"/>
        </w:rPr>
        <w:tab/>
      </w:r>
      <w:r w:rsidRPr="00216F5A">
        <w:rPr>
          <w:rFonts w:ascii="Arial" w:hAnsi="Arial" w:cs="Arial"/>
          <w:sz w:val="20"/>
          <w:szCs w:val="20"/>
        </w:rPr>
        <w:tab/>
      </w:r>
      <w:r w:rsidRPr="00216F5A">
        <w:rPr>
          <w:rFonts w:ascii="Arial" w:hAnsi="Arial" w:cs="Arial"/>
          <w:sz w:val="20"/>
          <w:szCs w:val="20"/>
        </w:rPr>
        <w:tab/>
      </w:r>
      <w:r w:rsidRPr="00216F5A">
        <w:rPr>
          <w:rFonts w:ascii="Arial" w:hAnsi="Arial" w:cs="Arial"/>
          <w:sz w:val="20"/>
          <w:szCs w:val="20"/>
        </w:rPr>
        <w:tab/>
      </w:r>
      <w:r w:rsidRPr="00216F5A">
        <w:rPr>
          <w:rFonts w:ascii="Arial" w:hAnsi="Arial" w:cs="Arial"/>
          <w:sz w:val="20"/>
          <w:szCs w:val="20"/>
        </w:rPr>
        <w:tab/>
      </w:r>
      <w:r w:rsidRPr="00216F5A">
        <w:rPr>
          <w:rFonts w:ascii="Arial" w:eastAsia="Times New Roman" w:hAnsi="Arial" w:cs="Arial"/>
          <w:i/>
          <w:sz w:val="20"/>
          <w:szCs w:val="20"/>
        </w:rPr>
        <w:t>(IV)</w:t>
      </w:r>
    </w:p>
    <w:p w14:paraId="77950986" w14:textId="77777777" w:rsidR="00326E3C" w:rsidRPr="00216F5A" w:rsidRDefault="008A7566">
      <w:pPr>
        <w:jc w:val="both"/>
        <w:rPr>
          <w:rFonts w:ascii="Arial" w:hAnsi="Arial" w:cs="Arial"/>
          <w:sz w:val="20"/>
          <w:szCs w:val="20"/>
        </w:rPr>
      </w:pPr>
      <w:r w:rsidRPr="00216F5A">
        <w:rPr>
          <w:rFonts w:ascii="Arial" w:hAnsi="Arial" w:cs="Arial"/>
          <w:sz w:val="20"/>
          <w:szCs w:val="20"/>
        </w:rPr>
        <w:t>Or on the other hand =</w:t>
      </w:r>
      <m:oMath>
        <m:f>
          <m:fPr>
            <m:ctrlPr>
              <w:rPr>
                <w:rFonts w:ascii="Cambria Math" w:hAnsi="Cambria Math" w:cs="Arial"/>
                <w:sz w:val="20"/>
                <w:szCs w:val="20"/>
              </w:rPr>
            </m:ctrlPr>
          </m:fPr>
          <m:num>
            <m:r>
              <m:rPr>
                <m:sty m:val="p"/>
              </m:rPr>
              <w:rPr>
                <w:rFonts w:ascii="Cambria Math" w:hAnsi="Cambria Math" w:cs="Arial"/>
                <w:sz w:val="20"/>
                <w:szCs w:val="20"/>
              </w:rPr>
              <m:t>exp(β0+β1)</m:t>
            </m:r>
          </m:num>
          <m:den>
            <m:r>
              <m:rPr>
                <m:sty m:val="p"/>
              </m:rPr>
              <w:rPr>
                <w:rFonts w:ascii="Cambria Math" w:hAnsi="Cambria Math" w:cs="Arial"/>
                <w:sz w:val="20"/>
                <w:szCs w:val="20"/>
              </w:rPr>
              <m:t>exp⁡</m:t>
            </m:r>
            <m:r>
              <w:rPr>
                <w:rFonts w:ascii="Cambria Math" w:hAnsi="Cambria Math" w:cs="Arial"/>
                <w:sz w:val="20"/>
                <w:szCs w:val="20"/>
              </w:rPr>
              <m:t>(</m:t>
            </m:r>
            <m:r>
              <m:rPr>
                <m:sty m:val="p"/>
              </m:rPr>
              <w:rPr>
                <w:rFonts w:ascii="Cambria Math" w:hAnsi="Cambria Math" w:cs="Arial"/>
                <w:sz w:val="20"/>
                <w:szCs w:val="20"/>
              </w:rPr>
              <m:t>β0)</m:t>
            </m:r>
          </m:den>
        </m:f>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exp</m:t>
            </m:r>
          </m:fName>
          <m:e>
            <m:d>
              <m:dPr>
                <m:begChr m:val="["/>
                <m:endChr m:val="]"/>
                <m:ctrlPr>
                  <w:rPr>
                    <w:rFonts w:ascii="Cambria Math" w:hAnsi="Cambria Math" w:cs="Arial"/>
                    <w:i/>
                    <w:sz w:val="20"/>
                    <w:szCs w:val="20"/>
                  </w:rPr>
                </m:ctrlPr>
              </m:dPr>
              <m:e>
                <m:d>
                  <m:dPr>
                    <m:ctrlPr>
                      <w:rPr>
                        <w:rFonts w:ascii="Cambria Math" w:hAnsi="Cambria Math" w:cs="Arial"/>
                        <w:i/>
                        <w:sz w:val="20"/>
                        <w:szCs w:val="20"/>
                      </w:rPr>
                    </m:ctrlPr>
                  </m:dPr>
                  <m:e>
                    <m:r>
                      <m:rPr>
                        <m:sty m:val="p"/>
                      </m:rPr>
                      <w:rPr>
                        <w:rFonts w:ascii="Cambria Math" w:hAnsi="Cambria Math" w:cs="Arial"/>
                        <w:sz w:val="20"/>
                        <w:szCs w:val="20"/>
                      </w:rPr>
                      <m:t>β0+β1</m:t>
                    </m:r>
                    <m:ctrlPr>
                      <w:rPr>
                        <w:rFonts w:ascii="Cambria Math" w:hAnsi="Cambria Math" w:cs="Arial"/>
                        <w:sz w:val="20"/>
                        <w:szCs w:val="20"/>
                      </w:rPr>
                    </m:ctrlPr>
                  </m:e>
                </m:d>
                <m:r>
                  <m:rPr>
                    <m:sty m:val="p"/>
                  </m:rPr>
                  <w:rPr>
                    <w:rFonts w:ascii="Cambria Math" w:hAnsi="Cambria Math" w:cs="Arial"/>
                    <w:sz w:val="20"/>
                    <w:szCs w:val="20"/>
                  </w:rPr>
                  <m:t>-β0</m:t>
                </m:r>
                <m:ctrlPr>
                  <w:rPr>
                    <w:rFonts w:ascii="Cambria Math" w:hAnsi="Cambria Math" w:cs="Arial"/>
                    <w:sz w:val="20"/>
                    <w:szCs w:val="20"/>
                  </w:rPr>
                </m:ctrlPr>
              </m:e>
            </m:d>
            <m:r>
              <w:rPr>
                <w:rFonts w:ascii="Cambria Math" w:hAnsi="Cambria Math" w:cs="Arial"/>
                <w:sz w:val="20"/>
                <w:szCs w:val="20"/>
              </w:rPr>
              <m:t>=</m:t>
            </m:r>
            <m:r>
              <m:rPr>
                <m:sty m:val="p"/>
              </m:rPr>
              <w:rPr>
                <w:rFonts w:ascii="Cambria Math" w:hAnsi="Cambria Math" w:cs="Arial"/>
                <w:sz w:val="20"/>
                <w:szCs w:val="20"/>
              </w:rPr>
              <m:t>exp⁡</m:t>
            </m:r>
            <m:r>
              <w:rPr>
                <w:rFonts w:ascii="Cambria Math" w:hAnsi="Cambria Math" w:cs="Arial"/>
                <w:sz w:val="20"/>
                <w:szCs w:val="20"/>
              </w:rPr>
              <m:t>(</m:t>
            </m:r>
            <m:r>
              <m:rPr>
                <m:sty m:val="p"/>
              </m:rPr>
              <w:rPr>
                <w:rFonts w:ascii="Cambria Math" w:hAnsi="Cambria Math" w:cs="Arial"/>
                <w:sz w:val="20"/>
                <w:szCs w:val="20"/>
              </w:rPr>
              <m:t>β1)</m:t>
            </m:r>
          </m:e>
        </m:func>
      </m:oMath>
      <w:r w:rsidRPr="00216F5A">
        <w:rPr>
          <w:rFonts w:ascii="Arial" w:hAnsi="Arial" w:cs="Arial"/>
          <w:sz w:val="20"/>
          <w:szCs w:val="20"/>
        </w:rPr>
        <w:t xml:space="preserve">  </w:t>
      </w:r>
      <w:r w:rsidRPr="00216F5A">
        <w:rPr>
          <w:rFonts w:ascii="Arial" w:hAnsi="Arial" w:cs="Arial"/>
          <w:sz w:val="20"/>
          <w:szCs w:val="20"/>
        </w:rPr>
        <w:tab/>
      </w:r>
      <w:r w:rsidRPr="00216F5A">
        <w:rPr>
          <w:rFonts w:ascii="Arial" w:hAnsi="Arial" w:cs="Arial"/>
          <w:sz w:val="20"/>
          <w:szCs w:val="20"/>
        </w:rPr>
        <w:tab/>
      </w:r>
      <w:r w:rsidRPr="00216F5A">
        <w:rPr>
          <w:rFonts w:ascii="Arial" w:hAnsi="Arial" w:cs="Arial"/>
          <w:sz w:val="20"/>
          <w:szCs w:val="20"/>
        </w:rPr>
        <w:tab/>
      </w:r>
      <w:r w:rsidRPr="00216F5A">
        <w:rPr>
          <w:rFonts w:ascii="Arial" w:hAnsi="Arial" w:cs="Arial"/>
          <w:sz w:val="20"/>
          <w:szCs w:val="20"/>
        </w:rPr>
        <w:tab/>
      </w:r>
      <w:r w:rsidRPr="00216F5A">
        <w:rPr>
          <w:rFonts w:ascii="Arial" w:hAnsi="Arial" w:cs="Arial"/>
          <w:sz w:val="20"/>
          <w:szCs w:val="20"/>
        </w:rPr>
        <w:tab/>
      </w:r>
      <w:r w:rsidRPr="00216F5A">
        <w:rPr>
          <w:rFonts w:ascii="Arial" w:eastAsia="Times New Roman" w:hAnsi="Arial" w:cs="Arial"/>
          <w:i/>
          <w:sz w:val="20"/>
          <w:szCs w:val="20"/>
        </w:rPr>
        <w:t>(V)</w:t>
      </w:r>
    </w:p>
    <w:p w14:paraId="2B9B4A26" w14:textId="77777777" w:rsidR="00326E3C" w:rsidRPr="00216F5A" w:rsidRDefault="008A7566">
      <w:pPr>
        <w:jc w:val="both"/>
        <w:rPr>
          <w:rFonts w:ascii="Arial" w:hAnsi="Arial" w:cs="Arial"/>
          <w:sz w:val="20"/>
          <w:szCs w:val="20"/>
        </w:rPr>
      </w:pPr>
      <w:r w:rsidRPr="00216F5A">
        <w:rPr>
          <w:rFonts w:ascii="Arial" w:hAnsi="Arial" w:cs="Arial"/>
          <w:sz w:val="20"/>
          <w:szCs w:val="20"/>
        </w:rPr>
        <w:lastRenderedPageBreak/>
        <w:t>Thus, the chances proportions are the exponential elements of the coefficients in the logic model. Most extreme probability appraisals of the Logic coefficient β, and thusly of the probabilities γ_(</w:t>
      </w:r>
      <w:proofErr w:type="spellStart"/>
      <w:r w:rsidRPr="00216F5A">
        <w:rPr>
          <w:rFonts w:ascii="Arial" w:hAnsi="Arial" w:cs="Arial"/>
          <w:sz w:val="20"/>
          <w:szCs w:val="20"/>
        </w:rPr>
        <w:t>i</w:t>
      </w:r>
      <w:proofErr w:type="spellEnd"/>
      <w:r w:rsidRPr="00216F5A">
        <w:rPr>
          <w:rFonts w:ascii="Arial" w:hAnsi="Arial" w:cs="Arial"/>
          <w:sz w:val="20"/>
          <w:szCs w:val="20"/>
        </w:rPr>
        <w:t>=g(</w:t>
      </w:r>
      <m:oMath>
        <m:sSub>
          <m:sSubPr>
            <m:ctrlPr>
              <w:rPr>
                <w:rFonts w:ascii="Cambria Math" w:hAnsi="Cambria Math" w:cs="Arial"/>
                <w:i/>
                <w:sz w:val="20"/>
                <w:szCs w:val="20"/>
              </w:rPr>
            </m:ctrlPr>
          </m:sSubPr>
          <m:e>
            <m:r>
              <w:rPr>
                <w:rFonts w:ascii="Cambria Math" w:hAnsi="Cambria Math" w:cs="Arial"/>
                <w:sz w:val="20"/>
                <w:szCs w:val="20"/>
              </w:rPr>
              <m:t>X</m:t>
            </m:r>
          </m:e>
          <m:sub>
            <m:sSup>
              <m:sSupPr>
                <m:ctrlPr>
                  <w:rPr>
                    <w:rFonts w:ascii="Cambria Math" w:hAnsi="Cambria Math" w:cs="Arial"/>
                    <w:i/>
                    <w:sz w:val="20"/>
                    <w:szCs w:val="20"/>
                  </w:rPr>
                </m:ctrlPr>
              </m:sSupPr>
              <m:e>
                <m:r>
                  <w:rPr>
                    <w:rFonts w:ascii="Cambria Math" w:hAnsi="Cambria Math" w:cs="Arial"/>
                    <w:sz w:val="20"/>
                    <w:szCs w:val="20"/>
                  </w:rPr>
                  <m:t>i</m:t>
                </m:r>
              </m:e>
              <m:sup>
                <m:r>
                  <w:rPr>
                    <w:rFonts w:ascii="Cambria Math" w:hAnsi="Cambria Math" w:cs="Arial"/>
                    <w:sz w:val="20"/>
                    <w:szCs w:val="20"/>
                  </w:rPr>
                  <m:t>T</m:t>
                </m:r>
              </m:sup>
            </m:sSup>
          </m:sub>
        </m:sSub>
      </m:oMath>
      <w:r w:rsidRPr="00216F5A">
        <w:rPr>
          <w:rFonts w:ascii="Arial" w:hAnsi="Arial" w:cs="Arial"/>
          <w:sz w:val="20"/>
          <w:szCs w:val="20"/>
        </w:rPr>
        <w:t xml:space="preserve">β) are acquired by expanding the log-probability work </w:t>
      </w:r>
    </w:p>
    <w:p w14:paraId="7F786001" w14:textId="77777777" w:rsidR="00326E3C" w:rsidRPr="00216F5A" w:rsidRDefault="008A7566">
      <w:pPr>
        <w:jc w:val="both"/>
        <w:rPr>
          <w:rFonts w:ascii="Arial" w:hAnsi="Arial" w:cs="Arial"/>
          <w:sz w:val="20"/>
          <w:szCs w:val="20"/>
        </w:rPr>
      </w:pPr>
      <m:oMath>
        <m:r>
          <w:rPr>
            <w:rFonts w:ascii="Cambria Math" w:hAnsi="Cambria Math" w:cs="Arial"/>
            <w:sz w:val="20"/>
            <w:szCs w:val="20"/>
          </w:rPr>
          <m:t>L(</m:t>
        </m:r>
        <m:r>
          <m:rPr>
            <m:sty m:val="p"/>
          </m:rPr>
          <w:rPr>
            <w:rFonts w:ascii="Cambria Math" w:hAnsi="Cambria Math" w:cs="Arial"/>
            <w:sz w:val="20"/>
            <w:szCs w:val="20"/>
          </w:rPr>
          <m:t>γ;y)</m:t>
        </m:r>
        <m:r>
          <w:rPr>
            <w:rFonts w:ascii="Cambria Math" w:eastAsia="Cambria Math" w:hAnsi="Cambria Math" w:cs="Arial"/>
            <w:sz w:val="20"/>
            <w:szCs w:val="20"/>
          </w:rPr>
          <m:t>=</m:t>
        </m:r>
        <m:nary>
          <m:naryPr>
            <m:chr m:val="∑"/>
            <m:grow m:val="1"/>
            <m:ctrlPr>
              <w:rPr>
                <w:rFonts w:ascii="Cambria Math" w:hAnsi="Cambria Math" w:cs="Arial"/>
                <w:sz w:val="20"/>
                <w:szCs w:val="20"/>
              </w:rPr>
            </m:ctrlPr>
          </m:naryPr>
          <m:sub>
            <m:r>
              <w:rPr>
                <w:rFonts w:ascii="Cambria Math" w:eastAsia="Cambria Math" w:hAnsi="Cambria Math" w:cs="Arial"/>
                <w:sz w:val="20"/>
                <w:szCs w:val="20"/>
              </w:rPr>
              <m:t>i=1</m:t>
            </m:r>
          </m:sub>
          <m:sup>
            <m:r>
              <w:rPr>
                <w:rFonts w:ascii="Cambria Math" w:eastAsia="Cambria Math" w:hAnsi="Cambria Math" w:cs="Arial"/>
                <w:sz w:val="20"/>
                <w:szCs w:val="20"/>
              </w:rPr>
              <m:t>n</m:t>
            </m:r>
          </m:sup>
          <m:e>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i</m:t>
                    </m:r>
                  </m:sub>
                </m:sSub>
                <m:r>
                  <m:rPr>
                    <m:sty m:val="p"/>
                  </m:rPr>
                  <w:rPr>
                    <w:rStyle w:val="mop"/>
                    <w:rFonts w:ascii="Cambria Math" w:hAnsi="Cambria Math" w:cs="Arial"/>
                    <w:sz w:val="20"/>
                    <w:szCs w:val="20"/>
                  </w:rPr>
                  <m:t>log</m:t>
                </m:r>
                <m:d>
                  <m:dPr>
                    <m:ctrlPr>
                      <w:rPr>
                        <w:rFonts w:ascii="Cambria Math" w:hAnsi="Cambria Math" w:cs="Arial"/>
                        <w:i/>
                        <w:sz w:val="20"/>
                        <w:szCs w:val="20"/>
                      </w:rPr>
                    </m:ctrlPr>
                  </m:dPr>
                  <m:e>
                    <m:sSub>
                      <m:sSubPr>
                        <m:ctrlPr>
                          <w:rPr>
                            <w:rFonts w:ascii="Cambria Math" w:hAnsi="Cambria Math" w:cs="Arial"/>
                            <w:i/>
                            <w:sz w:val="20"/>
                            <w:szCs w:val="20"/>
                          </w:rPr>
                        </m:ctrlPr>
                      </m:sSubPr>
                      <m:e>
                        <m:r>
                          <m:rPr>
                            <m:sty m:val="p"/>
                          </m:rPr>
                          <w:rPr>
                            <w:rFonts w:ascii="Cambria Math" w:hAnsi="Cambria Math" w:cs="Arial"/>
                            <w:sz w:val="20"/>
                            <w:szCs w:val="20"/>
                          </w:rPr>
                          <m:t>γ</m:t>
                        </m:r>
                      </m:e>
                      <m:sub>
                        <m:r>
                          <w:rPr>
                            <w:rFonts w:ascii="Cambria Math" w:hAnsi="Cambria Math" w:cs="Arial"/>
                            <w:sz w:val="20"/>
                            <w:szCs w:val="20"/>
                          </w:rPr>
                          <m:t>i</m:t>
                        </m:r>
                      </m:sub>
                    </m:sSub>
                    <m:ctrlPr>
                      <w:rPr>
                        <w:rFonts w:ascii="Cambria Math" w:hAnsi="Cambria Math" w:cs="Arial"/>
                        <w:sz w:val="20"/>
                        <w:szCs w:val="20"/>
                      </w:rPr>
                    </m:ctrlPr>
                  </m:e>
                </m:d>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i</m:t>
                        </m:r>
                      </m:sub>
                    </m:sSub>
                  </m:e>
                </m:d>
                <m:func>
                  <m:funcPr>
                    <m:ctrlPr>
                      <w:rPr>
                        <w:rFonts w:ascii="Cambria Math" w:hAnsi="Cambria Math" w:cs="Arial"/>
                        <w:i/>
                        <w:sz w:val="20"/>
                        <w:szCs w:val="20"/>
                      </w:rPr>
                    </m:ctrlPr>
                  </m:funcPr>
                  <m:fName>
                    <m:r>
                      <m:rPr>
                        <m:sty m:val="p"/>
                      </m:rPr>
                      <w:rPr>
                        <w:rFonts w:ascii="Cambria Math" w:hAnsi="Cambria Math" w:cs="Arial"/>
                        <w:sz w:val="20"/>
                        <w:szCs w:val="20"/>
                      </w:rPr>
                      <m:t>log</m:t>
                    </m:r>
                  </m:fName>
                  <m:e>
                    <m:d>
                      <m:dPr>
                        <m:ctrlPr>
                          <w:rPr>
                            <w:rFonts w:ascii="Cambria Math" w:hAnsi="Cambria Math" w:cs="Arial"/>
                            <w:i/>
                            <w:sz w:val="20"/>
                            <w:szCs w:val="20"/>
                          </w:rPr>
                        </m:ctrlPr>
                      </m:dPr>
                      <m:e>
                        <m:r>
                          <w:rPr>
                            <w:rFonts w:ascii="Cambria Math" w:hAnsi="Cambria Math" w:cs="Arial"/>
                            <w:sz w:val="20"/>
                            <w:szCs w:val="20"/>
                          </w:rPr>
                          <m:t>1-γi</m:t>
                        </m:r>
                      </m:e>
                    </m:d>
                  </m:e>
                </m:func>
                <m:r>
                  <w:rPr>
                    <w:rFonts w:ascii="Cambria Math" w:hAnsi="Cambria Math" w:cs="Arial"/>
                    <w:sz w:val="20"/>
                    <w:szCs w:val="20"/>
                  </w:rPr>
                  <m:t>+</m:t>
                </m:r>
                <m:func>
                  <m:funcPr>
                    <m:ctrlPr>
                      <w:rPr>
                        <w:rFonts w:ascii="Cambria Math" w:hAnsi="Cambria Math" w:cs="Arial"/>
                        <w:sz w:val="20"/>
                        <w:szCs w:val="20"/>
                      </w:rPr>
                    </m:ctrlPr>
                  </m:funcPr>
                  <m:fName>
                    <m:r>
                      <m:rPr>
                        <m:sty m:val="p"/>
                      </m:rPr>
                      <w:rPr>
                        <w:rFonts w:ascii="Cambria Math" w:hAnsi="Cambria Math" w:cs="Arial"/>
                        <w:sz w:val="20"/>
                        <w:szCs w:val="20"/>
                      </w:rPr>
                      <m:t>log</m:t>
                    </m:r>
                    <m:ctrlPr>
                      <w:rPr>
                        <w:rFonts w:ascii="Cambria Math" w:hAnsi="Cambria Math" w:cs="Arial"/>
                        <w:i/>
                        <w:sz w:val="20"/>
                        <w:szCs w:val="20"/>
                      </w:rPr>
                    </m:ctrlPr>
                  </m:fName>
                  <m:e>
                    <m:d>
                      <m:dPr>
                        <m:ctrlPr>
                          <w:rPr>
                            <w:rFonts w:ascii="Cambria Math" w:hAnsi="Cambria Math" w:cs="Arial"/>
                            <w:i/>
                            <w:sz w:val="20"/>
                            <w:szCs w:val="20"/>
                          </w:rPr>
                        </m:ctrlPr>
                      </m:dPr>
                      <m:e>
                        <m:m>
                          <m:mPr>
                            <m:mcs>
                              <m:mc>
                                <m:mcPr>
                                  <m:count m:val="1"/>
                                  <m:mcJc m:val="center"/>
                                </m:mcPr>
                              </m:mc>
                            </m:mcs>
                            <m:ctrlPr>
                              <w:rPr>
                                <w:rFonts w:ascii="Cambria Math" w:hAnsi="Cambria Math" w:cs="Arial"/>
                                <w:i/>
                                <w:sz w:val="20"/>
                                <w:szCs w:val="20"/>
                              </w:rPr>
                            </m:ctrlPr>
                          </m:mPr>
                          <m:mr>
                            <m:e>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i</m:t>
                                  </m:r>
                                </m:sub>
                              </m:sSub>
                            </m:e>
                          </m:mr>
                          <m:m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i</m:t>
                                  </m:r>
                                </m:sub>
                              </m:sSub>
                            </m:e>
                          </m:mr>
                        </m:m>
                      </m:e>
                    </m:d>
                  </m:e>
                </m:func>
              </m:e>
            </m:d>
          </m:e>
        </m:nary>
      </m:oMath>
      <w:r w:rsidRPr="00216F5A">
        <w:rPr>
          <w:rFonts w:ascii="Arial" w:hAnsi="Arial" w:cs="Arial"/>
          <w:sz w:val="20"/>
          <w:szCs w:val="20"/>
        </w:rPr>
        <w:t xml:space="preserve"> </w:t>
      </w:r>
      <w:r w:rsidRPr="00216F5A">
        <w:rPr>
          <w:rFonts w:ascii="Arial" w:hAnsi="Arial" w:cs="Arial"/>
          <w:sz w:val="20"/>
          <w:szCs w:val="20"/>
        </w:rPr>
        <w:tab/>
      </w:r>
      <w:r w:rsidRPr="00216F5A">
        <w:rPr>
          <w:rFonts w:ascii="Arial" w:hAnsi="Arial" w:cs="Arial"/>
          <w:sz w:val="20"/>
          <w:szCs w:val="20"/>
        </w:rPr>
        <w:tab/>
      </w:r>
      <w:r w:rsidRPr="00216F5A">
        <w:rPr>
          <w:rFonts w:ascii="Arial" w:hAnsi="Arial" w:cs="Arial"/>
          <w:sz w:val="20"/>
          <w:szCs w:val="20"/>
        </w:rPr>
        <w:tab/>
      </w:r>
      <w:r w:rsidRPr="00216F5A">
        <w:rPr>
          <w:rFonts w:ascii="Arial" w:hAnsi="Arial" w:cs="Arial"/>
          <w:sz w:val="20"/>
          <w:szCs w:val="20"/>
        </w:rPr>
        <w:tab/>
      </w:r>
      <w:r w:rsidRPr="00216F5A">
        <w:rPr>
          <w:rFonts w:ascii="Arial" w:hAnsi="Arial" w:cs="Arial"/>
          <w:sz w:val="20"/>
          <w:szCs w:val="20"/>
        </w:rPr>
        <w:tab/>
      </w:r>
      <w:r w:rsidRPr="00216F5A">
        <w:rPr>
          <w:rFonts w:ascii="Arial" w:eastAsia="Times New Roman" w:hAnsi="Arial" w:cs="Arial"/>
          <w:i/>
          <w:sz w:val="20"/>
          <w:szCs w:val="20"/>
        </w:rPr>
        <w:t>(VI)</w:t>
      </w:r>
    </w:p>
    <w:p w14:paraId="4807FC26" w14:textId="77777777" w:rsidR="00326E3C" w:rsidRPr="00216F5A" w:rsidRDefault="008A7566">
      <w:pPr>
        <w:jc w:val="both"/>
        <w:rPr>
          <w:rFonts w:ascii="Arial" w:eastAsia="Times New Roman" w:hAnsi="Arial" w:cs="Arial"/>
          <w:b/>
          <w:sz w:val="20"/>
          <w:szCs w:val="20"/>
        </w:rPr>
      </w:pPr>
      <w:bookmarkStart w:id="6" w:name="_Toc12955869"/>
      <w:r w:rsidRPr="00216F5A">
        <w:rPr>
          <w:rFonts w:ascii="Arial" w:eastAsia="Times New Roman" w:hAnsi="Arial" w:cs="Arial"/>
          <w:b/>
          <w:sz w:val="20"/>
          <w:szCs w:val="20"/>
        </w:rPr>
        <w:t>3.3 Binary Logistic Regression</w:t>
      </w:r>
      <w:bookmarkEnd w:id="6"/>
      <w:r w:rsidRPr="00216F5A">
        <w:rPr>
          <w:rFonts w:ascii="Arial" w:eastAsia="Times New Roman" w:hAnsi="Arial" w:cs="Arial"/>
          <w:b/>
          <w:sz w:val="20"/>
          <w:szCs w:val="20"/>
        </w:rPr>
        <w:t xml:space="preserve"> </w:t>
      </w:r>
    </w:p>
    <w:p w14:paraId="75612C52" w14:textId="77777777" w:rsidR="005F7814" w:rsidRPr="00216F5A" w:rsidRDefault="005F7814" w:rsidP="005F7814">
      <w:pPr>
        <w:spacing w:after="0" w:line="240" w:lineRule="auto"/>
        <w:rPr>
          <w:rFonts w:ascii="Arial" w:eastAsia="Times New Roman" w:hAnsi="Arial" w:cs="Arial"/>
          <w:sz w:val="20"/>
          <w:szCs w:val="24"/>
        </w:rPr>
      </w:pPr>
      <w:r w:rsidRPr="00216F5A">
        <w:rPr>
          <w:rFonts w:ascii="Arial" w:eastAsia="Times New Roman" w:hAnsi="Arial" w:cs="Arial"/>
          <w:sz w:val="20"/>
          <w:szCs w:val="24"/>
        </w:rPr>
        <w:t xml:space="preserve">When predicting the presence or absence of a trait or output based on a collection of predictor factors, the Binary Logistic Regression is helpful. Similar to a linear regression model, it is fitted to situations in which the </w:t>
      </w:r>
      <w:proofErr w:type="spellStart"/>
      <w:r w:rsidRPr="00216F5A">
        <w:rPr>
          <w:rFonts w:ascii="Arial" w:eastAsia="Times New Roman" w:hAnsi="Arial" w:cs="Arial"/>
          <w:sz w:val="20"/>
          <w:szCs w:val="24"/>
        </w:rPr>
        <w:t>dependant</w:t>
      </w:r>
      <w:proofErr w:type="spellEnd"/>
      <w:r w:rsidRPr="00216F5A">
        <w:rPr>
          <w:rFonts w:ascii="Arial" w:eastAsia="Times New Roman" w:hAnsi="Arial" w:cs="Arial"/>
          <w:sz w:val="20"/>
          <w:szCs w:val="24"/>
        </w:rPr>
        <w:t xml:space="preserve"> variable is binary, or dichotomous. For every independent variable in the model, odds ratios can be estimated using logistic regression coefficients. Income is categorized as either "Success" or "Failure" in this study. As categorical (dummy) variables, the respondents' age and gender serve as the independent variables. This is how the logistic regression model is expressed:</w:t>
      </w:r>
    </w:p>
    <w:p w14:paraId="2BEE42EC" w14:textId="77777777" w:rsidR="00326E3C" w:rsidRPr="00216F5A" w:rsidRDefault="008A7566">
      <w:pPr>
        <w:jc w:val="both"/>
        <w:rPr>
          <w:rFonts w:ascii="Arial" w:hAnsi="Arial" w:cs="Arial"/>
          <w:sz w:val="20"/>
          <w:szCs w:val="20"/>
        </w:rPr>
      </w:pPr>
      <w:r w:rsidRPr="00216F5A">
        <w:rPr>
          <w:rFonts w:ascii="Arial" w:hAnsi="Arial" w:cs="Arial"/>
          <w:sz w:val="20"/>
          <w:szCs w:val="20"/>
        </w:rPr>
        <w:t xml:space="preserve">Y = </w:t>
      </w:r>
      <m:oMath>
        <m:sSub>
          <m:sSubPr>
            <m:ctrlPr>
              <w:rPr>
                <w:rFonts w:ascii="Cambria Math" w:hAnsi="Cambria Math" w:cs="Arial"/>
                <w:i/>
                <w:sz w:val="20"/>
                <w:szCs w:val="20"/>
              </w:rPr>
            </m:ctrlPr>
          </m:sSubPr>
          <m:e>
            <m:r>
              <m:rPr>
                <m:sty m:val="p"/>
              </m:rPr>
              <w:rPr>
                <w:rFonts w:ascii="Cambria Math" w:hAnsi="Cambria Math" w:cs="Arial"/>
                <w:sz w:val="20"/>
                <w:szCs w:val="20"/>
              </w:rPr>
              <m:t>β</m:t>
            </m:r>
          </m:e>
          <m:sub>
            <m:r>
              <w:rPr>
                <w:rFonts w:ascii="Cambria Math" w:hAnsi="Cambria Math" w:cs="Arial"/>
                <w:sz w:val="20"/>
                <w:szCs w:val="20"/>
              </w:rPr>
              <m:t>0</m:t>
            </m:r>
          </m:sub>
        </m:sSub>
      </m:oMath>
      <w:r w:rsidRPr="00216F5A">
        <w:rPr>
          <w:rFonts w:ascii="Arial" w:hAnsi="Arial" w:cs="Arial"/>
          <w:sz w:val="20"/>
          <w:szCs w:val="20"/>
        </w:rPr>
        <w:t xml:space="preserve">+ </w:t>
      </w:r>
      <m:oMath>
        <m:sSub>
          <m:sSubPr>
            <m:ctrlPr>
              <w:rPr>
                <w:rFonts w:ascii="Cambria Math" w:hAnsi="Cambria Math" w:cs="Arial"/>
                <w:i/>
                <w:sz w:val="20"/>
                <w:szCs w:val="20"/>
              </w:rPr>
            </m:ctrlPr>
          </m:sSubPr>
          <m:e>
            <m:r>
              <m:rPr>
                <m:sty m:val="p"/>
              </m:rPr>
              <w:rPr>
                <w:rFonts w:ascii="Cambria Math" w:hAnsi="Cambria Math" w:cs="Arial"/>
                <w:sz w:val="20"/>
                <w:szCs w:val="20"/>
              </w:rPr>
              <m:t>β</m:t>
            </m:r>
          </m:e>
          <m:sub>
            <m:r>
              <w:rPr>
                <w:rFonts w:ascii="Cambria Math" w:hAnsi="Cambria Math" w:cs="Arial"/>
                <w:sz w:val="20"/>
                <w:szCs w:val="20"/>
              </w:rPr>
              <m:t>1</m:t>
            </m:r>
          </m:sub>
        </m:sSub>
      </m:oMath>
      <w:r w:rsidRPr="00216F5A">
        <w:rPr>
          <w:rFonts w:ascii="Arial" w:hAnsi="Arial" w:cs="Arial"/>
          <w:sz w:val="20"/>
          <w:szCs w:val="20"/>
        </w:rPr>
        <w:t xml:space="preserve"> (Gender) + </w:t>
      </w:r>
      <m:oMath>
        <m:sSub>
          <m:sSubPr>
            <m:ctrlPr>
              <w:rPr>
                <w:rFonts w:ascii="Cambria Math" w:hAnsi="Cambria Math" w:cs="Arial"/>
                <w:i/>
                <w:sz w:val="20"/>
                <w:szCs w:val="20"/>
              </w:rPr>
            </m:ctrlPr>
          </m:sSubPr>
          <m:e>
            <m:r>
              <m:rPr>
                <m:sty m:val="p"/>
              </m:rPr>
              <w:rPr>
                <w:rFonts w:ascii="Cambria Math" w:hAnsi="Cambria Math" w:cs="Arial"/>
                <w:sz w:val="20"/>
                <w:szCs w:val="20"/>
              </w:rPr>
              <m:t>β</m:t>
            </m:r>
          </m:e>
          <m:sub>
            <m:r>
              <w:rPr>
                <w:rFonts w:ascii="Cambria Math" w:hAnsi="Cambria Math" w:cs="Arial"/>
                <w:sz w:val="20"/>
                <w:szCs w:val="20"/>
              </w:rPr>
              <m:t>2</m:t>
            </m:r>
          </m:sub>
        </m:sSub>
      </m:oMath>
      <w:r w:rsidRPr="00216F5A">
        <w:rPr>
          <w:rFonts w:ascii="Arial" w:hAnsi="Arial" w:cs="Arial"/>
          <w:sz w:val="20"/>
          <w:szCs w:val="20"/>
        </w:rPr>
        <w:t xml:space="preserve">(Age) + </w:t>
      </w:r>
      <m:oMath>
        <m:sSub>
          <m:sSubPr>
            <m:ctrlPr>
              <w:rPr>
                <w:rFonts w:ascii="Cambria Math" w:hAnsi="Cambria Math" w:cs="Arial"/>
                <w:i/>
                <w:sz w:val="20"/>
                <w:szCs w:val="20"/>
              </w:rPr>
            </m:ctrlPr>
          </m:sSubPr>
          <m:e>
            <m:r>
              <m:rPr>
                <m:sty m:val="p"/>
              </m:rPr>
              <w:rPr>
                <w:rFonts w:ascii="Cambria Math" w:hAnsi="Cambria Math" w:cs="Arial"/>
                <w:sz w:val="20"/>
                <w:szCs w:val="20"/>
              </w:rPr>
              <m:t>β</m:t>
            </m:r>
          </m:e>
          <m:sub>
            <m:r>
              <w:rPr>
                <w:rFonts w:ascii="Cambria Math" w:hAnsi="Cambria Math" w:cs="Arial"/>
                <w:sz w:val="20"/>
                <w:szCs w:val="20"/>
              </w:rPr>
              <m:t>3</m:t>
            </m:r>
          </m:sub>
        </m:sSub>
      </m:oMath>
      <w:r w:rsidRPr="00216F5A">
        <w:rPr>
          <w:rFonts w:ascii="Arial" w:hAnsi="Arial" w:cs="Arial"/>
          <w:sz w:val="20"/>
          <w:szCs w:val="20"/>
        </w:rPr>
        <w:t>(Time)</w:t>
      </w:r>
    </w:p>
    <w:p w14:paraId="6E8A1865" w14:textId="77777777" w:rsidR="00CA119F" w:rsidRPr="00216F5A" w:rsidRDefault="00CA119F">
      <w:pPr>
        <w:jc w:val="both"/>
        <w:rPr>
          <w:rFonts w:ascii="Arial" w:eastAsia="Times New Roman" w:hAnsi="Arial" w:cs="Arial"/>
          <w:b/>
          <w:sz w:val="20"/>
          <w:szCs w:val="20"/>
        </w:rPr>
      </w:pPr>
      <w:bookmarkStart w:id="7" w:name="_Toc12955877"/>
    </w:p>
    <w:p w14:paraId="42D6D187" w14:textId="77777777" w:rsidR="00326E3C" w:rsidRPr="00216F5A" w:rsidRDefault="008A7566">
      <w:pPr>
        <w:jc w:val="both"/>
        <w:rPr>
          <w:rFonts w:ascii="Arial" w:eastAsia="Times New Roman" w:hAnsi="Arial" w:cs="Arial"/>
          <w:b/>
          <w:sz w:val="20"/>
          <w:szCs w:val="20"/>
        </w:rPr>
      </w:pPr>
      <w:r w:rsidRPr="00216F5A">
        <w:rPr>
          <w:rFonts w:ascii="Arial" w:eastAsia="Times New Roman" w:hAnsi="Arial" w:cs="Arial"/>
          <w:b/>
          <w:sz w:val="20"/>
          <w:szCs w:val="20"/>
        </w:rPr>
        <w:t xml:space="preserve">4. </w:t>
      </w:r>
      <w:r w:rsidRPr="00216F5A">
        <w:rPr>
          <w:rFonts w:ascii="Arial" w:eastAsia="Times New Roman" w:hAnsi="Arial" w:cs="Arial"/>
          <w:b/>
          <w:szCs w:val="20"/>
        </w:rPr>
        <w:t>ANALYSIS AND RESULTS DISCUSSION</w:t>
      </w:r>
      <w:bookmarkEnd w:id="7"/>
    </w:p>
    <w:p w14:paraId="4631052E" w14:textId="59006667" w:rsidR="00326E3C" w:rsidRPr="0011454A" w:rsidRDefault="008A7566">
      <w:pPr>
        <w:jc w:val="both"/>
        <w:rPr>
          <w:rFonts w:ascii="Arial" w:hAnsi="Arial" w:cs="Arial"/>
          <w:b/>
          <w:sz w:val="20"/>
          <w:szCs w:val="16"/>
        </w:rPr>
      </w:pPr>
      <w:bookmarkStart w:id="8" w:name="_Toc11398001"/>
      <w:r w:rsidRPr="0011454A">
        <w:rPr>
          <w:rFonts w:ascii="Arial" w:hAnsi="Arial" w:cs="Arial"/>
          <w:b/>
          <w:sz w:val="20"/>
          <w:szCs w:val="16"/>
        </w:rPr>
        <w:t>Table 1: Breakdown of the number of cases</w:t>
      </w:r>
      <w:bookmarkEnd w:id="8"/>
    </w:p>
    <w:tbl>
      <w:tblPr>
        <w:tblStyle w:val="PlainTable21"/>
        <w:tblW w:w="4345" w:type="pct"/>
        <w:tblLook w:val="04A0" w:firstRow="1" w:lastRow="0" w:firstColumn="1" w:lastColumn="0" w:noHBand="0" w:noVBand="1"/>
      </w:tblPr>
      <w:tblGrid>
        <w:gridCol w:w="1929"/>
        <w:gridCol w:w="2140"/>
        <w:gridCol w:w="2140"/>
        <w:gridCol w:w="2138"/>
      </w:tblGrid>
      <w:tr w:rsidR="00326E3C" w:rsidRPr="00216F5A" w14:paraId="714C2B1D" w14:textId="77777777" w:rsidTr="00326E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pct"/>
            <w:noWrap/>
          </w:tcPr>
          <w:p w14:paraId="61A08715" w14:textId="77777777" w:rsidR="00326E3C" w:rsidRPr="0011454A" w:rsidRDefault="008A7566">
            <w:pPr>
              <w:jc w:val="both"/>
              <w:rPr>
                <w:rFonts w:ascii="Arial" w:hAnsi="Arial" w:cs="Arial"/>
                <w:b w:val="0"/>
                <w:bCs w:val="0"/>
                <w:sz w:val="20"/>
                <w:szCs w:val="16"/>
              </w:rPr>
            </w:pPr>
            <w:r w:rsidRPr="0011454A">
              <w:rPr>
                <w:rFonts w:ascii="Arial" w:eastAsia="Times New Roman" w:hAnsi="Arial" w:cs="Arial"/>
                <w:color w:val="000000"/>
                <w:sz w:val="20"/>
                <w:szCs w:val="16"/>
              </w:rPr>
              <w:t>Weighted Cases</w:t>
            </w:r>
          </w:p>
        </w:tc>
        <w:tc>
          <w:tcPr>
            <w:tcW w:w="1352" w:type="pct"/>
          </w:tcPr>
          <w:p w14:paraId="666B1482" w14:textId="77777777" w:rsidR="00326E3C" w:rsidRPr="0011454A" w:rsidRDefault="00326E3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p>
        </w:tc>
        <w:tc>
          <w:tcPr>
            <w:tcW w:w="1352" w:type="pct"/>
          </w:tcPr>
          <w:p w14:paraId="34FE9DF0" w14:textId="77777777" w:rsidR="00326E3C" w:rsidRPr="0011454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hAnsi="Arial" w:cs="Arial"/>
                <w:sz w:val="20"/>
                <w:szCs w:val="16"/>
              </w:rPr>
              <w:t>N</w:t>
            </w:r>
          </w:p>
        </w:tc>
        <w:tc>
          <w:tcPr>
            <w:tcW w:w="1352" w:type="pct"/>
          </w:tcPr>
          <w:p w14:paraId="26FDCA71" w14:textId="77777777" w:rsidR="00326E3C" w:rsidRPr="0011454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hAnsi="Arial" w:cs="Arial"/>
                <w:sz w:val="20"/>
                <w:szCs w:val="16"/>
              </w:rPr>
              <w:t>Percent</w:t>
            </w:r>
          </w:p>
        </w:tc>
      </w:tr>
      <w:tr w:rsidR="00326E3C" w:rsidRPr="00216F5A" w14:paraId="17D63302" w14:textId="77777777" w:rsidTr="00326E3C">
        <w:tc>
          <w:tcPr>
            <w:cnfStyle w:val="001000000000" w:firstRow="0" w:lastRow="0" w:firstColumn="1" w:lastColumn="0" w:oddVBand="0" w:evenVBand="0" w:oddHBand="0" w:evenHBand="0" w:firstRowFirstColumn="0" w:firstRowLastColumn="0" w:lastRowFirstColumn="0" w:lastRowLastColumn="0"/>
            <w:tcW w:w="945" w:type="pct"/>
            <w:noWrap/>
          </w:tcPr>
          <w:p w14:paraId="121EDE1D" w14:textId="77777777" w:rsidR="00326E3C" w:rsidRPr="0011454A" w:rsidRDefault="008A7566">
            <w:pPr>
              <w:jc w:val="both"/>
              <w:rPr>
                <w:rFonts w:ascii="Arial" w:hAnsi="Arial" w:cs="Arial"/>
                <w:sz w:val="20"/>
                <w:szCs w:val="16"/>
              </w:rPr>
            </w:pPr>
            <w:r w:rsidRPr="0011454A">
              <w:rPr>
                <w:rFonts w:ascii="Arial" w:eastAsia="Times New Roman" w:hAnsi="Arial" w:cs="Arial"/>
                <w:color w:val="000000"/>
                <w:sz w:val="20"/>
                <w:szCs w:val="16"/>
              </w:rPr>
              <w:t>Selected Cases</w:t>
            </w:r>
          </w:p>
        </w:tc>
        <w:tc>
          <w:tcPr>
            <w:tcW w:w="1352" w:type="pct"/>
          </w:tcPr>
          <w:p w14:paraId="453BCBA3"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16"/>
              </w:rPr>
            </w:pPr>
            <w:r w:rsidRPr="0011454A">
              <w:rPr>
                <w:rFonts w:ascii="Arial" w:eastAsia="Times New Roman" w:hAnsi="Arial" w:cs="Arial"/>
                <w:color w:val="000000"/>
                <w:sz w:val="20"/>
                <w:szCs w:val="16"/>
              </w:rPr>
              <w:t>Included in Analysis</w:t>
            </w:r>
          </w:p>
        </w:tc>
        <w:tc>
          <w:tcPr>
            <w:tcW w:w="1352" w:type="pct"/>
          </w:tcPr>
          <w:p w14:paraId="22000289"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i w:val="0"/>
                <w:sz w:val="20"/>
                <w:szCs w:val="16"/>
              </w:rPr>
            </w:pPr>
            <w:r w:rsidRPr="0011454A">
              <w:rPr>
                <w:rStyle w:val="SubtleEmphasis1"/>
                <w:rFonts w:ascii="Arial" w:hAnsi="Arial" w:cs="Arial"/>
                <w:i w:val="0"/>
                <w:sz w:val="20"/>
                <w:szCs w:val="16"/>
              </w:rPr>
              <w:t>100</w:t>
            </w:r>
          </w:p>
        </w:tc>
        <w:tc>
          <w:tcPr>
            <w:tcW w:w="1352" w:type="pct"/>
          </w:tcPr>
          <w:p w14:paraId="756DFED5"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i w:val="0"/>
                <w:sz w:val="20"/>
                <w:szCs w:val="16"/>
              </w:rPr>
            </w:pPr>
            <w:r w:rsidRPr="0011454A">
              <w:rPr>
                <w:rStyle w:val="SubtleEmphasis1"/>
                <w:rFonts w:ascii="Arial" w:hAnsi="Arial" w:cs="Arial"/>
                <w:i w:val="0"/>
                <w:sz w:val="20"/>
                <w:szCs w:val="16"/>
              </w:rPr>
              <w:t>100</w:t>
            </w:r>
          </w:p>
        </w:tc>
      </w:tr>
      <w:tr w:rsidR="00326E3C" w:rsidRPr="00216F5A" w14:paraId="302FEDE8" w14:textId="77777777" w:rsidTr="00326E3C">
        <w:tc>
          <w:tcPr>
            <w:cnfStyle w:val="001000000000" w:firstRow="0" w:lastRow="0" w:firstColumn="1" w:lastColumn="0" w:oddVBand="0" w:evenVBand="0" w:oddHBand="0" w:evenHBand="0" w:firstRowFirstColumn="0" w:firstRowLastColumn="0" w:lastRowFirstColumn="0" w:lastRowLastColumn="0"/>
            <w:tcW w:w="945" w:type="pct"/>
            <w:noWrap/>
          </w:tcPr>
          <w:p w14:paraId="0F6F907F" w14:textId="77777777" w:rsidR="00326E3C" w:rsidRPr="0011454A" w:rsidRDefault="00326E3C">
            <w:pPr>
              <w:jc w:val="both"/>
              <w:rPr>
                <w:rFonts w:ascii="Arial" w:hAnsi="Arial" w:cs="Arial"/>
                <w:b w:val="0"/>
                <w:sz w:val="20"/>
                <w:szCs w:val="16"/>
              </w:rPr>
            </w:pPr>
          </w:p>
        </w:tc>
        <w:tc>
          <w:tcPr>
            <w:tcW w:w="1352" w:type="pct"/>
          </w:tcPr>
          <w:p w14:paraId="46071787"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b/>
                <w:i w:val="0"/>
                <w:sz w:val="20"/>
                <w:szCs w:val="16"/>
              </w:rPr>
            </w:pPr>
            <w:r w:rsidRPr="0011454A">
              <w:rPr>
                <w:rFonts w:ascii="Arial" w:eastAsia="Times New Roman" w:hAnsi="Arial" w:cs="Arial"/>
                <w:color w:val="000000"/>
                <w:sz w:val="20"/>
                <w:szCs w:val="16"/>
              </w:rPr>
              <w:t>Missing Cases</w:t>
            </w:r>
          </w:p>
        </w:tc>
        <w:tc>
          <w:tcPr>
            <w:tcW w:w="1352" w:type="pct"/>
          </w:tcPr>
          <w:p w14:paraId="191E6326"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i w:val="0"/>
                <w:sz w:val="20"/>
                <w:szCs w:val="16"/>
              </w:rPr>
            </w:pPr>
            <w:r w:rsidRPr="0011454A">
              <w:rPr>
                <w:rStyle w:val="SubtleEmphasis1"/>
                <w:rFonts w:ascii="Arial" w:hAnsi="Arial" w:cs="Arial"/>
                <w:i w:val="0"/>
                <w:sz w:val="20"/>
                <w:szCs w:val="16"/>
              </w:rPr>
              <w:t>0</w:t>
            </w:r>
          </w:p>
        </w:tc>
        <w:tc>
          <w:tcPr>
            <w:tcW w:w="1352" w:type="pct"/>
          </w:tcPr>
          <w:p w14:paraId="3DCE58C2"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i w:val="0"/>
                <w:sz w:val="20"/>
                <w:szCs w:val="16"/>
              </w:rPr>
            </w:pPr>
            <w:r w:rsidRPr="0011454A">
              <w:rPr>
                <w:rStyle w:val="SubtleEmphasis1"/>
                <w:rFonts w:ascii="Arial" w:hAnsi="Arial" w:cs="Arial"/>
                <w:i w:val="0"/>
                <w:sz w:val="20"/>
                <w:szCs w:val="16"/>
              </w:rPr>
              <w:t>0</w:t>
            </w:r>
          </w:p>
        </w:tc>
      </w:tr>
      <w:tr w:rsidR="00326E3C" w:rsidRPr="00216F5A" w14:paraId="188D4405" w14:textId="77777777" w:rsidTr="00326E3C">
        <w:tc>
          <w:tcPr>
            <w:cnfStyle w:val="001000000000" w:firstRow="0" w:lastRow="0" w:firstColumn="1" w:lastColumn="0" w:oddVBand="0" w:evenVBand="0" w:oddHBand="0" w:evenHBand="0" w:firstRowFirstColumn="0" w:firstRowLastColumn="0" w:lastRowFirstColumn="0" w:lastRowLastColumn="0"/>
            <w:tcW w:w="945" w:type="pct"/>
            <w:noWrap/>
          </w:tcPr>
          <w:p w14:paraId="39C6B88B" w14:textId="77777777" w:rsidR="00326E3C" w:rsidRPr="0011454A" w:rsidRDefault="00326E3C">
            <w:pPr>
              <w:jc w:val="both"/>
              <w:rPr>
                <w:rFonts w:ascii="Arial" w:eastAsia="Times New Roman" w:hAnsi="Arial" w:cs="Arial"/>
                <w:color w:val="000000"/>
                <w:sz w:val="20"/>
                <w:szCs w:val="16"/>
              </w:rPr>
            </w:pPr>
          </w:p>
        </w:tc>
        <w:tc>
          <w:tcPr>
            <w:tcW w:w="1352" w:type="pct"/>
          </w:tcPr>
          <w:p w14:paraId="17A28F7B"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Total</w:t>
            </w:r>
          </w:p>
        </w:tc>
        <w:tc>
          <w:tcPr>
            <w:tcW w:w="1352" w:type="pct"/>
          </w:tcPr>
          <w:p w14:paraId="52671323"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i w:val="0"/>
                <w:sz w:val="20"/>
                <w:szCs w:val="16"/>
              </w:rPr>
            </w:pPr>
            <w:r w:rsidRPr="0011454A">
              <w:rPr>
                <w:rStyle w:val="SubtleEmphasis1"/>
                <w:rFonts w:ascii="Arial" w:hAnsi="Arial" w:cs="Arial"/>
                <w:i w:val="0"/>
                <w:sz w:val="20"/>
                <w:szCs w:val="16"/>
              </w:rPr>
              <w:t>0</w:t>
            </w:r>
          </w:p>
        </w:tc>
        <w:tc>
          <w:tcPr>
            <w:tcW w:w="1352" w:type="pct"/>
          </w:tcPr>
          <w:p w14:paraId="5755FB0F"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i w:val="0"/>
                <w:sz w:val="20"/>
                <w:szCs w:val="16"/>
              </w:rPr>
            </w:pPr>
            <w:r w:rsidRPr="0011454A">
              <w:rPr>
                <w:rStyle w:val="SubtleEmphasis1"/>
                <w:rFonts w:ascii="Arial" w:hAnsi="Arial" w:cs="Arial"/>
                <w:i w:val="0"/>
                <w:sz w:val="20"/>
                <w:szCs w:val="16"/>
              </w:rPr>
              <w:t>0</w:t>
            </w:r>
          </w:p>
        </w:tc>
      </w:tr>
      <w:tr w:rsidR="00326E3C" w:rsidRPr="00216F5A" w14:paraId="26C553D9" w14:textId="77777777" w:rsidTr="00326E3C">
        <w:tc>
          <w:tcPr>
            <w:cnfStyle w:val="001000000000" w:firstRow="0" w:lastRow="0" w:firstColumn="1" w:lastColumn="0" w:oddVBand="0" w:evenVBand="0" w:oddHBand="0" w:evenHBand="0" w:firstRowFirstColumn="0" w:firstRowLastColumn="0" w:lastRowFirstColumn="0" w:lastRowLastColumn="0"/>
            <w:tcW w:w="945" w:type="pct"/>
            <w:noWrap/>
          </w:tcPr>
          <w:p w14:paraId="7E7737EC" w14:textId="77777777" w:rsidR="00326E3C" w:rsidRPr="0011454A" w:rsidRDefault="008A7566">
            <w:pPr>
              <w:jc w:val="both"/>
              <w:rPr>
                <w:rFonts w:ascii="Arial" w:eastAsia="Times New Roman" w:hAnsi="Arial" w:cs="Arial"/>
                <w:color w:val="000000"/>
                <w:sz w:val="20"/>
                <w:szCs w:val="16"/>
              </w:rPr>
            </w:pPr>
            <w:r w:rsidRPr="0011454A">
              <w:rPr>
                <w:rFonts w:ascii="Arial" w:eastAsia="Times New Roman" w:hAnsi="Arial" w:cs="Arial"/>
                <w:color w:val="000000"/>
                <w:sz w:val="20"/>
                <w:szCs w:val="16"/>
              </w:rPr>
              <w:t>Unselected Cases</w:t>
            </w:r>
          </w:p>
        </w:tc>
        <w:tc>
          <w:tcPr>
            <w:tcW w:w="1352" w:type="pct"/>
          </w:tcPr>
          <w:p w14:paraId="3EA95D35" w14:textId="77777777" w:rsidR="00326E3C" w:rsidRPr="0011454A" w:rsidRDefault="00326E3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p>
        </w:tc>
        <w:tc>
          <w:tcPr>
            <w:tcW w:w="1352" w:type="pct"/>
          </w:tcPr>
          <w:p w14:paraId="0269997E"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i w:val="0"/>
                <w:sz w:val="20"/>
                <w:szCs w:val="16"/>
              </w:rPr>
            </w:pPr>
            <w:r w:rsidRPr="0011454A">
              <w:rPr>
                <w:rStyle w:val="SubtleEmphasis1"/>
                <w:rFonts w:ascii="Arial" w:hAnsi="Arial" w:cs="Arial"/>
                <w:i w:val="0"/>
                <w:sz w:val="20"/>
                <w:szCs w:val="16"/>
              </w:rPr>
              <w:t>0</w:t>
            </w:r>
          </w:p>
        </w:tc>
        <w:tc>
          <w:tcPr>
            <w:tcW w:w="1352" w:type="pct"/>
          </w:tcPr>
          <w:p w14:paraId="28322515"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i w:val="0"/>
                <w:sz w:val="20"/>
                <w:szCs w:val="16"/>
              </w:rPr>
            </w:pPr>
            <w:r w:rsidRPr="0011454A">
              <w:rPr>
                <w:rStyle w:val="SubtleEmphasis1"/>
                <w:rFonts w:ascii="Arial" w:hAnsi="Arial" w:cs="Arial"/>
                <w:i w:val="0"/>
                <w:sz w:val="20"/>
                <w:szCs w:val="16"/>
              </w:rPr>
              <w:t>0</w:t>
            </w:r>
          </w:p>
        </w:tc>
      </w:tr>
      <w:tr w:rsidR="00326E3C" w:rsidRPr="00216F5A" w14:paraId="7124780C" w14:textId="77777777" w:rsidTr="00326E3C">
        <w:tc>
          <w:tcPr>
            <w:cnfStyle w:val="001000000000" w:firstRow="0" w:lastRow="0" w:firstColumn="1" w:lastColumn="0" w:oddVBand="0" w:evenVBand="0" w:oddHBand="0" w:evenHBand="0" w:firstRowFirstColumn="0" w:firstRowLastColumn="0" w:lastRowFirstColumn="0" w:lastRowLastColumn="0"/>
            <w:tcW w:w="945" w:type="pct"/>
            <w:tcBorders>
              <w:top w:val="single" w:sz="4" w:space="0" w:color="7F7F7F"/>
            </w:tcBorders>
            <w:noWrap/>
          </w:tcPr>
          <w:p w14:paraId="7B2E85AB" w14:textId="77777777" w:rsidR="00326E3C" w:rsidRPr="0011454A" w:rsidRDefault="008A7566">
            <w:pPr>
              <w:jc w:val="both"/>
              <w:rPr>
                <w:rFonts w:ascii="Arial" w:eastAsia="Times New Roman" w:hAnsi="Arial" w:cs="Arial"/>
                <w:b w:val="0"/>
                <w:bCs w:val="0"/>
                <w:color w:val="000000"/>
                <w:sz w:val="20"/>
                <w:szCs w:val="16"/>
              </w:rPr>
            </w:pPr>
            <w:r w:rsidRPr="0011454A">
              <w:rPr>
                <w:rFonts w:ascii="Arial" w:eastAsia="Times New Roman" w:hAnsi="Arial" w:cs="Arial"/>
                <w:color w:val="000000"/>
                <w:sz w:val="20"/>
                <w:szCs w:val="16"/>
              </w:rPr>
              <w:t>Total</w:t>
            </w:r>
          </w:p>
        </w:tc>
        <w:tc>
          <w:tcPr>
            <w:tcW w:w="1352" w:type="pct"/>
            <w:tcBorders>
              <w:top w:val="single" w:sz="4" w:space="0" w:color="7F7F7F"/>
            </w:tcBorders>
          </w:tcPr>
          <w:p w14:paraId="42CAE928" w14:textId="77777777" w:rsidR="00326E3C" w:rsidRPr="0011454A" w:rsidRDefault="00326E3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16"/>
              </w:rPr>
            </w:pPr>
          </w:p>
        </w:tc>
        <w:tc>
          <w:tcPr>
            <w:tcW w:w="1352" w:type="pct"/>
            <w:tcBorders>
              <w:top w:val="single" w:sz="4" w:space="0" w:color="7F7F7F"/>
            </w:tcBorders>
          </w:tcPr>
          <w:p w14:paraId="7D5F7D11"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b/>
                <w:bCs/>
                <w:i w:val="0"/>
                <w:sz w:val="20"/>
                <w:szCs w:val="16"/>
              </w:rPr>
            </w:pPr>
            <w:r w:rsidRPr="0011454A">
              <w:rPr>
                <w:rStyle w:val="SubtleEmphasis1"/>
                <w:rFonts w:ascii="Arial" w:hAnsi="Arial" w:cs="Arial"/>
                <w:b/>
                <w:bCs/>
                <w:i w:val="0"/>
                <w:sz w:val="20"/>
                <w:szCs w:val="16"/>
              </w:rPr>
              <w:t>100</w:t>
            </w:r>
          </w:p>
        </w:tc>
        <w:tc>
          <w:tcPr>
            <w:tcW w:w="1352" w:type="pct"/>
            <w:tcBorders>
              <w:top w:val="single" w:sz="4" w:space="0" w:color="7F7F7F"/>
            </w:tcBorders>
          </w:tcPr>
          <w:p w14:paraId="534DF7B3"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b/>
                <w:bCs/>
                <w:i w:val="0"/>
                <w:sz w:val="20"/>
                <w:szCs w:val="16"/>
              </w:rPr>
            </w:pPr>
            <w:r w:rsidRPr="0011454A">
              <w:rPr>
                <w:rStyle w:val="SubtleEmphasis1"/>
                <w:rFonts w:ascii="Arial" w:hAnsi="Arial" w:cs="Arial"/>
                <w:b/>
                <w:bCs/>
                <w:i w:val="0"/>
                <w:sz w:val="20"/>
                <w:szCs w:val="16"/>
              </w:rPr>
              <w:t>100.00</w:t>
            </w:r>
          </w:p>
        </w:tc>
      </w:tr>
    </w:tbl>
    <w:p w14:paraId="1F1E6563" w14:textId="77777777" w:rsidR="00326E3C" w:rsidRPr="00216F5A" w:rsidRDefault="00326E3C">
      <w:pPr>
        <w:jc w:val="both"/>
        <w:rPr>
          <w:rFonts w:ascii="Arial" w:eastAsia="Times New Roman" w:hAnsi="Arial" w:cs="Arial"/>
          <w:sz w:val="20"/>
          <w:szCs w:val="20"/>
        </w:rPr>
      </w:pPr>
    </w:p>
    <w:p w14:paraId="6C2458B6" w14:textId="77777777" w:rsidR="00326E3C" w:rsidRPr="00216F5A" w:rsidRDefault="008A7566">
      <w:pPr>
        <w:jc w:val="both"/>
        <w:rPr>
          <w:rFonts w:ascii="Arial" w:hAnsi="Arial" w:cs="Arial"/>
          <w:sz w:val="20"/>
        </w:rPr>
      </w:pPr>
      <w:bookmarkStart w:id="9" w:name="_Toc11398002"/>
      <w:r w:rsidRPr="00216F5A">
        <w:rPr>
          <w:rFonts w:ascii="Arial" w:hAnsi="Arial" w:cs="Arial"/>
          <w:sz w:val="20"/>
        </w:rPr>
        <w:t xml:space="preserve">This table provides a summary of the processing and the breakdown of cases that were selected or unselected for the analysis. Notice that </w:t>
      </w:r>
      <w:r w:rsidRPr="00216F5A">
        <w:rPr>
          <w:rStyle w:val="Strong"/>
          <w:rFonts w:ascii="Arial" w:hAnsi="Arial" w:cs="Arial"/>
          <w:b w:val="0"/>
          <w:color w:val="0E101A"/>
          <w:sz w:val="20"/>
        </w:rPr>
        <w:t>100 cases</w:t>
      </w:r>
      <w:r w:rsidRPr="00216F5A">
        <w:rPr>
          <w:rFonts w:ascii="Arial" w:hAnsi="Arial" w:cs="Arial"/>
          <w:sz w:val="20"/>
        </w:rPr>
        <w:t xml:space="preserve"> were selected and included in the analysis, with </w:t>
      </w:r>
      <w:r w:rsidRPr="00216F5A">
        <w:rPr>
          <w:rStyle w:val="Strong"/>
          <w:rFonts w:ascii="Arial" w:hAnsi="Arial" w:cs="Arial"/>
          <w:b w:val="0"/>
          <w:color w:val="0E101A"/>
          <w:sz w:val="20"/>
        </w:rPr>
        <w:t>0 missing cases</w:t>
      </w:r>
      <w:r w:rsidRPr="00216F5A">
        <w:rPr>
          <w:rFonts w:ascii="Arial" w:hAnsi="Arial" w:cs="Arial"/>
          <w:sz w:val="20"/>
        </w:rPr>
        <w:t xml:space="preserve">. Besides, there were </w:t>
      </w:r>
      <w:r w:rsidRPr="00216F5A">
        <w:rPr>
          <w:rStyle w:val="Strong"/>
          <w:rFonts w:ascii="Arial" w:hAnsi="Arial" w:cs="Arial"/>
          <w:b w:val="0"/>
          <w:color w:val="0E101A"/>
          <w:sz w:val="20"/>
        </w:rPr>
        <w:t>0 unselected cases</w:t>
      </w:r>
      <w:r w:rsidRPr="00216F5A">
        <w:rPr>
          <w:rFonts w:ascii="Arial" w:hAnsi="Arial" w:cs="Arial"/>
          <w:sz w:val="20"/>
        </w:rPr>
        <w:t xml:space="preserve">, resulting in a </w:t>
      </w:r>
      <w:r w:rsidRPr="00216F5A">
        <w:rPr>
          <w:rStyle w:val="Strong"/>
          <w:rFonts w:ascii="Arial" w:hAnsi="Arial" w:cs="Arial"/>
          <w:b w:val="0"/>
          <w:color w:val="0E101A"/>
          <w:sz w:val="20"/>
        </w:rPr>
        <w:t>total of 100 cases</w:t>
      </w:r>
      <w:r w:rsidRPr="00216F5A">
        <w:rPr>
          <w:rFonts w:ascii="Arial" w:hAnsi="Arial" w:cs="Arial"/>
          <w:sz w:val="20"/>
        </w:rPr>
        <w:t>.</w:t>
      </w:r>
    </w:p>
    <w:p w14:paraId="496C1E7A" w14:textId="6DAED233" w:rsidR="00326E3C" w:rsidRPr="0011454A" w:rsidRDefault="008A7566">
      <w:pPr>
        <w:jc w:val="both"/>
        <w:rPr>
          <w:rFonts w:ascii="Arial" w:hAnsi="Arial" w:cs="Arial"/>
          <w:b/>
          <w:sz w:val="20"/>
          <w:szCs w:val="20"/>
        </w:rPr>
      </w:pPr>
      <w:r w:rsidRPr="0011454A">
        <w:rPr>
          <w:rFonts w:ascii="Arial" w:hAnsi="Arial" w:cs="Arial"/>
          <w:b/>
          <w:sz w:val="20"/>
          <w:szCs w:val="20"/>
        </w:rPr>
        <w:t>Table 2 Dependent Variable Encoding</w:t>
      </w:r>
      <w:bookmarkEnd w:id="9"/>
    </w:p>
    <w:tbl>
      <w:tblPr>
        <w:tblStyle w:val="PlainTable21"/>
        <w:tblW w:w="1968" w:type="pct"/>
        <w:tblLook w:val="04A0" w:firstRow="1" w:lastRow="0" w:firstColumn="1" w:lastColumn="0" w:noHBand="0" w:noVBand="1"/>
      </w:tblPr>
      <w:tblGrid>
        <w:gridCol w:w="1473"/>
        <w:gridCol w:w="2308"/>
      </w:tblGrid>
      <w:tr w:rsidR="00326E3C" w:rsidRPr="0011454A" w14:paraId="6E6C30CE" w14:textId="77777777" w:rsidTr="00326E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6" w:type="pct"/>
            <w:noWrap/>
          </w:tcPr>
          <w:p w14:paraId="53D9F893" w14:textId="77777777" w:rsidR="00326E3C" w:rsidRPr="0011454A" w:rsidRDefault="008A7566">
            <w:pPr>
              <w:jc w:val="both"/>
              <w:rPr>
                <w:rFonts w:ascii="Arial" w:hAnsi="Arial" w:cs="Arial"/>
                <w:b w:val="0"/>
                <w:bCs w:val="0"/>
                <w:sz w:val="20"/>
                <w:szCs w:val="20"/>
              </w:rPr>
            </w:pPr>
            <w:r w:rsidRPr="0011454A">
              <w:rPr>
                <w:rFonts w:ascii="Arial" w:hAnsi="Arial" w:cs="Arial"/>
                <w:b w:val="0"/>
                <w:sz w:val="20"/>
                <w:szCs w:val="20"/>
              </w:rPr>
              <w:t>Original Value</w:t>
            </w:r>
          </w:p>
        </w:tc>
        <w:tc>
          <w:tcPr>
            <w:tcW w:w="3054" w:type="pct"/>
          </w:tcPr>
          <w:p w14:paraId="6C21F977" w14:textId="77777777" w:rsidR="00326E3C" w:rsidRPr="0011454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1454A">
              <w:rPr>
                <w:rFonts w:ascii="Arial" w:hAnsi="Arial" w:cs="Arial"/>
                <w:b w:val="0"/>
                <w:sz w:val="20"/>
                <w:szCs w:val="20"/>
              </w:rPr>
              <w:t>Internal Value</w:t>
            </w:r>
          </w:p>
        </w:tc>
      </w:tr>
      <w:tr w:rsidR="00326E3C" w:rsidRPr="0011454A" w14:paraId="2C448C2F" w14:textId="77777777" w:rsidTr="00326E3C">
        <w:tc>
          <w:tcPr>
            <w:cnfStyle w:val="001000000000" w:firstRow="0" w:lastRow="0" w:firstColumn="1" w:lastColumn="0" w:oddVBand="0" w:evenVBand="0" w:oddHBand="0" w:evenHBand="0" w:firstRowFirstColumn="0" w:firstRowLastColumn="0" w:lastRowFirstColumn="0" w:lastRowLastColumn="0"/>
            <w:tcW w:w="1946" w:type="pct"/>
            <w:noWrap/>
          </w:tcPr>
          <w:p w14:paraId="4799424D" w14:textId="77777777" w:rsidR="00326E3C" w:rsidRPr="0011454A" w:rsidRDefault="008A7566">
            <w:pPr>
              <w:jc w:val="both"/>
              <w:rPr>
                <w:rFonts w:ascii="Arial" w:hAnsi="Arial" w:cs="Arial"/>
                <w:sz w:val="20"/>
                <w:szCs w:val="20"/>
              </w:rPr>
            </w:pPr>
            <w:r w:rsidRPr="0011454A">
              <w:rPr>
                <w:rFonts w:ascii="Arial" w:hAnsi="Arial" w:cs="Arial"/>
                <w:sz w:val="20"/>
                <w:szCs w:val="20"/>
              </w:rPr>
              <w:t>Yes</w:t>
            </w:r>
          </w:p>
        </w:tc>
        <w:tc>
          <w:tcPr>
            <w:tcW w:w="3054" w:type="pct"/>
          </w:tcPr>
          <w:p w14:paraId="5D915A5D"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i w:val="0"/>
                <w:sz w:val="20"/>
                <w:szCs w:val="20"/>
              </w:rPr>
            </w:pPr>
            <w:r w:rsidRPr="0011454A">
              <w:rPr>
                <w:rStyle w:val="SubtleEmphasis1"/>
                <w:rFonts w:ascii="Arial" w:hAnsi="Arial" w:cs="Arial"/>
                <w:i w:val="0"/>
                <w:sz w:val="20"/>
                <w:szCs w:val="20"/>
              </w:rPr>
              <w:t>0</w:t>
            </w:r>
          </w:p>
        </w:tc>
      </w:tr>
      <w:tr w:rsidR="00326E3C" w:rsidRPr="0011454A" w14:paraId="71D9E289" w14:textId="77777777" w:rsidTr="00326E3C">
        <w:tc>
          <w:tcPr>
            <w:cnfStyle w:val="001000000000" w:firstRow="0" w:lastRow="0" w:firstColumn="1" w:lastColumn="0" w:oddVBand="0" w:evenVBand="0" w:oddHBand="0" w:evenHBand="0" w:firstRowFirstColumn="0" w:firstRowLastColumn="0" w:lastRowFirstColumn="0" w:lastRowLastColumn="0"/>
            <w:tcW w:w="1946" w:type="pct"/>
            <w:tcBorders>
              <w:top w:val="single" w:sz="4" w:space="0" w:color="7F7F7F"/>
            </w:tcBorders>
            <w:noWrap/>
          </w:tcPr>
          <w:p w14:paraId="5CC2BE37" w14:textId="77777777" w:rsidR="00326E3C" w:rsidRPr="0011454A" w:rsidRDefault="008A7566">
            <w:pPr>
              <w:jc w:val="both"/>
              <w:rPr>
                <w:rFonts w:ascii="Arial" w:hAnsi="Arial" w:cs="Arial"/>
                <w:b w:val="0"/>
                <w:bCs w:val="0"/>
                <w:sz w:val="20"/>
                <w:szCs w:val="20"/>
              </w:rPr>
            </w:pPr>
            <w:r w:rsidRPr="0011454A">
              <w:rPr>
                <w:rFonts w:ascii="Arial" w:hAnsi="Arial" w:cs="Arial"/>
                <w:b w:val="0"/>
                <w:sz w:val="20"/>
                <w:szCs w:val="20"/>
              </w:rPr>
              <w:t>No</w:t>
            </w:r>
          </w:p>
        </w:tc>
        <w:tc>
          <w:tcPr>
            <w:tcW w:w="3054" w:type="pct"/>
            <w:tcBorders>
              <w:top w:val="single" w:sz="4" w:space="0" w:color="7F7F7F"/>
            </w:tcBorders>
          </w:tcPr>
          <w:p w14:paraId="36082756"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b/>
                <w:bCs/>
                <w:i w:val="0"/>
                <w:sz w:val="20"/>
                <w:szCs w:val="20"/>
              </w:rPr>
            </w:pPr>
            <w:r w:rsidRPr="0011454A">
              <w:rPr>
                <w:rStyle w:val="SubtleEmphasis1"/>
                <w:rFonts w:ascii="Arial" w:hAnsi="Arial" w:cs="Arial"/>
                <w:bCs/>
                <w:i w:val="0"/>
                <w:sz w:val="20"/>
                <w:szCs w:val="20"/>
              </w:rPr>
              <w:t>1</w:t>
            </w:r>
          </w:p>
        </w:tc>
      </w:tr>
    </w:tbl>
    <w:p w14:paraId="4ED488DF" w14:textId="77777777" w:rsidR="00326E3C" w:rsidRDefault="00326E3C">
      <w:pPr>
        <w:jc w:val="both"/>
        <w:rPr>
          <w:rFonts w:ascii="Arial" w:hAnsi="Arial" w:cs="Arial"/>
          <w:sz w:val="20"/>
          <w:szCs w:val="20"/>
        </w:rPr>
      </w:pPr>
    </w:p>
    <w:p w14:paraId="4A93AA74" w14:textId="77777777" w:rsidR="0011454A" w:rsidRPr="0011454A" w:rsidRDefault="0011454A">
      <w:pPr>
        <w:jc w:val="both"/>
        <w:rPr>
          <w:rFonts w:ascii="Arial" w:hAnsi="Arial" w:cs="Arial"/>
          <w:sz w:val="20"/>
          <w:szCs w:val="20"/>
        </w:rPr>
      </w:pPr>
    </w:p>
    <w:tbl>
      <w:tblPr>
        <w:tblStyle w:val="PlainTable21"/>
        <w:tblW w:w="4286" w:type="pct"/>
        <w:tblLook w:val="04A0" w:firstRow="1" w:lastRow="0" w:firstColumn="1" w:lastColumn="0" w:noHBand="0" w:noVBand="1"/>
      </w:tblPr>
      <w:tblGrid>
        <w:gridCol w:w="1373"/>
        <w:gridCol w:w="1372"/>
        <w:gridCol w:w="1372"/>
        <w:gridCol w:w="1372"/>
        <w:gridCol w:w="1372"/>
        <w:gridCol w:w="1372"/>
      </w:tblGrid>
      <w:tr w:rsidR="004E0C55" w:rsidRPr="0011454A" w14:paraId="6DB56DA3" w14:textId="77777777" w:rsidTr="004E0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pct"/>
            <w:noWrap/>
          </w:tcPr>
          <w:p w14:paraId="1DFEFD02" w14:textId="77777777" w:rsidR="004E0C55" w:rsidRPr="0011454A" w:rsidRDefault="004E0C55">
            <w:pPr>
              <w:jc w:val="both"/>
              <w:rPr>
                <w:rFonts w:ascii="Arial" w:hAnsi="Arial" w:cs="Arial"/>
                <w:b w:val="0"/>
                <w:bCs w:val="0"/>
                <w:sz w:val="20"/>
                <w:szCs w:val="20"/>
              </w:rPr>
            </w:pPr>
            <w:r w:rsidRPr="0011454A">
              <w:rPr>
                <w:rFonts w:ascii="Arial" w:hAnsi="Arial" w:cs="Arial"/>
                <w:b w:val="0"/>
                <w:sz w:val="20"/>
                <w:szCs w:val="20"/>
              </w:rPr>
              <w:t>Step 0</w:t>
            </w:r>
          </w:p>
        </w:tc>
        <w:tc>
          <w:tcPr>
            <w:tcW w:w="833" w:type="pct"/>
          </w:tcPr>
          <w:p w14:paraId="5A3CF989" w14:textId="77777777"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1454A">
              <w:rPr>
                <w:rFonts w:ascii="Arial" w:hAnsi="Arial" w:cs="Arial"/>
                <w:b w:val="0"/>
                <w:sz w:val="20"/>
                <w:szCs w:val="20"/>
              </w:rPr>
              <w:t>B</w:t>
            </w:r>
          </w:p>
        </w:tc>
        <w:tc>
          <w:tcPr>
            <w:tcW w:w="833" w:type="pct"/>
          </w:tcPr>
          <w:p w14:paraId="703DE55E" w14:textId="77777777"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gramStart"/>
            <w:r w:rsidRPr="0011454A">
              <w:rPr>
                <w:rFonts w:ascii="Arial" w:hAnsi="Arial" w:cs="Arial"/>
                <w:b w:val="0"/>
                <w:sz w:val="20"/>
                <w:szCs w:val="20"/>
              </w:rPr>
              <w:t>S.E</w:t>
            </w:r>
            <w:proofErr w:type="gramEnd"/>
          </w:p>
        </w:tc>
        <w:tc>
          <w:tcPr>
            <w:tcW w:w="833" w:type="pct"/>
          </w:tcPr>
          <w:p w14:paraId="119536DF" w14:textId="77777777"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1454A">
              <w:rPr>
                <w:rFonts w:ascii="Arial" w:hAnsi="Arial" w:cs="Arial"/>
                <w:b w:val="0"/>
                <w:sz w:val="20"/>
                <w:szCs w:val="20"/>
              </w:rPr>
              <w:t>Df</w:t>
            </w:r>
          </w:p>
        </w:tc>
        <w:tc>
          <w:tcPr>
            <w:tcW w:w="833" w:type="pct"/>
          </w:tcPr>
          <w:p w14:paraId="2466B5E5" w14:textId="77777777"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1454A">
              <w:rPr>
                <w:rFonts w:ascii="Arial" w:hAnsi="Arial" w:cs="Arial"/>
                <w:b w:val="0"/>
                <w:sz w:val="20"/>
                <w:szCs w:val="20"/>
              </w:rPr>
              <w:t>Sig</w:t>
            </w:r>
          </w:p>
        </w:tc>
        <w:tc>
          <w:tcPr>
            <w:tcW w:w="833" w:type="pct"/>
          </w:tcPr>
          <w:p w14:paraId="135CE477" w14:textId="77777777"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1454A">
              <w:rPr>
                <w:rFonts w:ascii="Arial" w:hAnsi="Arial" w:cs="Arial"/>
                <w:b w:val="0"/>
                <w:sz w:val="20"/>
                <w:szCs w:val="20"/>
              </w:rPr>
              <w:t>Exp(B)</w:t>
            </w:r>
          </w:p>
        </w:tc>
      </w:tr>
      <w:tr w:rsidR="004E0C55" w:rsidRPr="00216F5A" w14:paraId="61A5360B" w14:textId="77777777" w:rsidTr="004E0C55">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7F7F7F"/>
            </w:tcBorders>
            <w:noWrap/>
          </w:tcPr>
          <w:p w14:paraId="643C0032" w14:textId="77777777" w:rsidR="004E0C55" w:rsidRPr="0011454A" w:rsidRDefault="004E0C55">
            <w:pPr>
              <w:jc w:val="both"/>
              <w:rPr>
                <w:rFonts w:ascii="Arial" w:hAnsi="Arial" w:cs="Arial"/>
                <w:b w:val="0"/>
                <w:bCs w:val="0"/>
                <w:sz w:val="20"/>
              </w:rPr>
            </w:pPr>
            <w:r w:rsidRPr="0011454A">
              <w:rPr>
                <w:rFonts w:ascii="Arial" w:hAnsi="Arial" w:cs="Arial"/>
                <w:b w:val="0"/>
                <w:sz w:val="20"/>
              </w:rPr>
              <w:t>Constant</w:t>
            </w:r>
          </w:p>
        </w:tc>
        <w:tc>
          <w:tcPr>
            <w:tcW w:w="833" w:type="pct"/>
            <w:tcBorders>
              <w:top w:val="single" w:sz="4" w:space="0" w:color="7F7F7F"/>
            </w:tcBorders>
          </w:tcPr>
          <w:p w14:paraId="6CE07346"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b/>
                <w:bCs/>
                <w:i w:val="0"/>
                <w:sz w:val="20"/>
              </w:rPr>
            </w:pPr>
            <w:r w:rsidRPr="0011454A">
              <w:rPr>
                <w:rStyle w:val="SubtleEmphasis1"/>
                <w:rFonts w:ascii="Arial" w:hAnsi="Arial" w:cs="Arial"/>
                <w:bCs/>
                <w:i w:val="0"/>
                <w:sz w:val="20"/>
              </w:rPr>
              <w:t>-3.178</w:t>
            </w:r>
          </w:p>
        </w:tc>
        <w:tc>
          <w:tcPr>
            <w:tcW w:w="833" w:type="pct"/>
            <w:tcBorders>
              <w:top w:val="single" w:sz="4" w:space="0" w:color="7F7F7F"/>
            </w:tcBorders>
          </w:tcPr>
          <w:p w14:paraId="79B340F5"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11454A">
              <w:rPr>
                <w:rFonts w:ascii="Arial" w:hAnsi="Arial" w:cs="Arial"/>
                <w:bCs/>
                <w:sz w:val="20"/>
              </w:rPr>
              <w:t>0.510</w:t>
            </w:r>
          </w:p>
        </w:tc>
        <w:tc>
          <w:tcPr>
            <w:tcW w:w="833" w:type="pct"/>
            <w:tcBorders>
              <w:top w:val="single" w:sz="4" w:space="0" w:color="7F7F7F"/>
            </w:tcBorders>
          </w:tcPr>
          <w:p w14:paraId="6CCFF302"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11454A">
              <w:rPr>
                <w:rFonts w:ascii="Arial" w:hAnsi="Arial" w:cs="Arial"/>
                <w:bCs/>
                <w:sz w:val="20"/>
              </w:rPr>
              <w:t>1</w:t>
            </w:r>
          </w:p>
        </w:tc>
        <w:tc>
          <w:tcPr>
            <w:tcW w:w="833" w:type="pct"/>
            <w:tcBorders>
              <w:top w:val="single" w:sz="4" w:space="0" w:color="7F7F7F"/>
            </w:tcBorders>
          </w:tcPr>
          <w:p w14:paraId="00AA853F"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11454A">
              <w:rPr>
                <w:rFonts w:ascii="Arial" w:hAnsi="Arial" w:cs="Arial"/>
                <w:bCs/>
                <w:sz w:val="20"/>
              </w:rPr>
              <w:t>0.000</w:t>
            </w:r>
          </w:p>
        </w:tc>
        <w:tc>
          <w:tcPr>
            <w:tcW w:w="833" w:type="pct"/>
            <w:tcBorders>
              <w:top w:val="single" w:sz="4" w:space="0" w:color="7F7F7F"/>
            </w:tcBorders>
          </w:tcPr>
          <w:p w14:paraId="28C67C8F"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11454A">
              <w:rPr>
                <w:rFonts w:ascii="Arial" w:hAnsi="Arial" w:cs="Arial"/>
                <w:bCs/>
                <w:sz w:val="20"/>
              </w:rPr>
              <w:t>0.042</w:t>
            </w:r>
          </w:p>
        </w:tc>
      </w:tr>
    </w:tbl>
    <w:p w14:paraId="1A171CE7" w14:textId="77777777" w:rsidR="00326E3C" w:rsidRPr="00216F5A" w:rsidRDefault="00326E3C">
      <w:pPr>
        <w:pStyle w:val="FootnoteText"/>
        <w:jc w:val="both"/>
        <w:rPr>
          <w:rFonts w:ascii="Arial" w:hAnsi="Arial" w:cs="Arial"/>
        </w:rPr>
      </w:pPr>
    </w:p>
    <w:p w14:paraId="03BC7E12" w14:textId="77777777" w:rsidR="00326E3C" w:rsidRPr="00216F5A" w:rsidRDefault="008A7566">
      <w:pPr>
        <w:jc w:val="both"/>
        <w:rPr>
          <w:rStyle w:val="Strong"/>
          <w:rFonts w:ascii="Arial" w:hAnsi="Arial" w:cs="Arial"/>
          <w:color w:val="0E101A"/>
          <w:sz w:val="20"/>
          <w:szCs w:val="20"/>
        </w:rPr>
      </w:pPr>
      <w:bookmarkStart w:id="10" w:name="_Toc11398003"/>
      <w:r w:rsidRPr="00216F5A">
        <w:rPr>
          <w:rFonts w:ascii="Arial" w:hAnsi="Arial" w:cs="Arial"/>
          <w:sz w:val="20"/>
          <w:szCs w:val="20"/>
        </w:rPr>
        <w:t>This table displays that the model has 1 degree of freedom (df) because there is only one predictor variable present. The</w:t>
      </w:r>
      <w:r w:rsidRPr="00216F5A">
        <w:rPr>
          <w:rStyle w:val="Strong"/>
          <w:rFonts w:ascii="Arial" w:hAnsi="Arial" w:cs="Arial"/>
          <w:color w:val="0E101A"/>
          <w:sz w:val="20"/>
          <w:szCs w:val="20"/>
        </w:rPr>
        <w:t xml:space="preserve"> </w:t>
      </w:r>
      <w:r w:rsidRPr="00216F5A">
        <w:rPr>
          <w:rFonts w:ascii="Arial" w:hAnsi="Arial" w:cs="Arial"/>
          <w:sz w:val="20"/>
          <w:szCs w:val="20"/>
        </w:rPr>
        <w:t>Exp(B)</w:t>
      </w:r>
      <w:r w:rsidRPr="00216F5A">
        <w:rPr>
          <w:rStyle w:val="Strong"/>
          <w:rFonts w:ascii="Arial" w:hAnsi="Arial" w:cs="Arial"/>
          <w:color w:val="0E101A"/>
          <w:sz w:val="20"/>
          <w:szCs w:val="20"/>
        </w:rPr>
        <w:t xml:space="preserve"> </w:t>
      </w:r>
      <w:r w:rsidRPr="00216F5A">
        <w:rPr>
          <w:rFonts w:ascii="Arial" w:hAnsi="Arial" w:cs="Arial"/>
          <w:sz w:val="20"/>
          <w:szCs w:val="20"/>
        </w:rPr>
        <w:t>value of 0.042</w:t>
      </w:r>
      <w:r w:rsidRPr="00216F5A">
        <w:rPr>
          <w:rStyle w:val="Strong"/>
          <w:rFonts w:ascii="Arial" w:hAnsi="Arial" w:cs="Arial"/>
          <w:color w:val="0E101A"/>
          <w:sz w:val="20"/>
          <w:szCs w:val="20"/>
        </w:rPr>
        <w:t xml:space="preserve"> </w:t>
      </w:r>
      <w:r w:rsidRPr="00216F5A">
        <w:rPr>
          <w:rFonts w:ascii="Arial" w:hAnsi="Arial" w:cs="Arial"/>
          <w:sz w:val="20"/>
          <w:szCs w:val="20"/>
        </w:rPr>
        <w:t xml:space="preserve">denotes the exponentiation of the B coefficient, which is the odds ratio for </w:t>
      </w:r>
      <w:r w:rsidRPr="00216F5A">
        <w:rPr>
          <w:rFonts w:ascii="Arial" w:hAnsi="Arial" w:cs="Arial"/>
          <w:sz w:val="20"/>
          <w:szCs w:val="20"/>
        </w:rPr>
        <w:lastRenderedPageBreak/>
        <w:t xml:space="preserve">the constant. The </w:t>
      </w:r>
      <w:r w:rsidRPr="00216F5A">
        <w:rPr>
          <w:rStyle w:val="Strong"/>
          <w:rFonts w:ascii="Arial" w:hAnsi="Arial" w:cs="Arial"/>
          <w:b w:val="0"/>
          <w:color w:val="0E101A"/>
          <w:sz w:val="20"/>
          <w:szCs w:val="20"/>
        </w:rPr>
        <w:t>intercept (B)</w:t>
      </w:r>
      <w:r w:rsidRPr="00216F5A">
        <w:rPr>
          <w:rFonts w:ascii="Arial" w:hAnsi="Arial" w:cs="Arial"/>
          <w:sz w:val="20"/>
          <w:szCs w:val="20"/>
        </w:rPr>
        <w:t xml:space="preserve"> is </w:t>
      </w:r>
      <w:r w:rsidRPr="00216F5A">
        <w:rPr>
          <w:rStyle w:val="Strong"/>
          <w:rFonts w:ascii="Arial" w:hAnsi="Arial" w:cs="Arial"/>
          <w:b w:val="0"/>
          <w:color w:val="0E101A"/>
          <w:sz w:val="20"/>
          <w:szCs w:val="20"/>
        </w:rPr>
        <w:t>-3.178</w:t>
      </w:r>
      <w:r w:rsidRPr="00216F5A">
        <w:rPr>
          <w:rFonts w:ascii="Arial" w:hAnsi="Arial" w:cs="Arial"/>
          <w:b/>
          <w:sz w:val="20"/>
          <w:szCs w:val="20"/>
        </w:rPr>
        <w:t>,</w:t>
      </w:r>
      <w:r w:rsidRPr="00216F5A">
        <w:rPr>
          <w:rFonts w:ascii="Arial" w:hAnsi="Arial" w:cs="Arial"/>
          <w:sz w:val="20"/>
          <w:szCs w:val="20"/>
        </w:rPr>
        <w:t xml:space="preserve"> and the </w:t>
      </w:r>
      <w:r w:rsidRPr="00216F5A">
        <w:rPr>
          <w:rStyle w:val="Strong"/>
          <w:rFonts w:ascii="Arial" w:hAnsi="Arial" w:cs="Arial"/>
          <w:b w:val="0"/>
          <w:color w:val="0E101A"/>
          <w:sz w:val="20"/>
          <w:szCs w:val="20"/>
        </w:rPr>
        <w:t>significance value (Sig.)</w:t>
      </w:r>
      <w:r w:rsidRPr="00216F5A">
        <w:rPr>
          <w:rStyle w:val="Strong"/>
          <w:rFonts w:ascii="Arial" w:hAnsi="Arial" w:cs="Arial"/>
          <w:color w:val="0E101A"/>
          <w:sz w:val="20"/>
          <w:szCs w:val="20"/>
        </w:rPr>
        <w:t xml:space="preserve"> </w:t>
      </w:r>
      <w:r w:rsidRPr="00216F5A">
        <w:rPr>
          <w:rFonts w:ascii="Arial" w:hAnsi="Arial" w:cs="Arial"/>
          <w:sz w:val="20"/>
          <w:szCs w:val="20"/>
        </w:rPr>
        <w:t xml:space="preserve">is </w:t>
      </w:r>
      <w:r w:rsidRPr="00216F5A">
        <w:rPr>
          <w:rStyle w:val="Strong"/>
          <w:rFonts w:ascii="Arial" w:hAnsi="Arial" w:cs="Arial"/>
          <w:b w:val="0"/>
          <w:color w:val="0E101A"/>
          <w:sz w:val="20"/>
          <w:szCs w:val="20"/>
        </w:rPr>
        <w:t>0.000</w:t>
      </w:r>
      <w:r w:rsidRPr="00216F5A">
        <w:rPr>
          <w:rFonts w:ascii="Arial" w:hAnsi="Arial" w:cs="Arial"/>
          <w:sz w:val="20"/>
          <w:szCs w:val="20"/>
        </w:rPr>
        <w:t xml:space="preserve">, below the </w:t>
      </w:r>
      <w:r w:rsidRPr="00216F5A">
        <w:rPr>
          <w:rStyle w:val="Strong"/>
          <w:rFonts w:ascii="Arial" w:hAnsi="Arial" w:cs="Arial"/>
          <w:b w:val="0"/>
          <w:color w:val="0E101A"/>
          <w:sz w:val="20"/>
          <w:szCs w:val="20"/>
        </w:rPr>
        <w:t>p-value threshold of 0.05</w:t>
      </w:r>
      <w:r w:rsidRPr="00216F5A">
        <w:rPr>
          <w:rFonts w:ascii="Arial" w:hAnsi="Arial" w:cs="Arial"/>
          <w:sz w:val="20"/>
          <w:szCs w:val="20"/>
        </w:rPr>
        <w:t xml:space="preserve">, showing statistical significance. The </w:t>
      </w:r>
      <w:r w:rsidRPr="00216F5A">
        <w:rPr>
          <w:rStyle w:val="Strong"/>
          <w:rFonts w:ascii="Arial" w:hAnsi="Arial" w:cs="Arial"/>
          <w:b w:val="0"/>
          <w:color w:val="0E101A"/>
          <w:sz w:val="20"/>
          <w:szCs w:val="20"/>
        </w:rPr>
        <w:t>standard error (S.E.)</w:t>
      </w:r>
      <w:r w:rsidRPr="00216F5A">
        <w:rPr>
          <w:rFonts w:ascii="Arial" w:hAnsi="Arial" w:cs="Arial"/>
          <w:sz w:val="20"/>
          <w:szCs w:val="20"/>
        </w:rPr>
        <w:t xml:space="preserve"> is </w:t>
      </w:r>
      <w:r w:rsidRPr="00216F5A">
        <w:rPr>
          <w:rStyle w:val="Strong"/>
          <w:rFonts w:ascii="Arial" w:hAnsi="Arial" w:cs="Arial"/>
          <w:b w:val="0"/>
          <w:color w:val="0E101A"/>
          <w:sz w:val="20"/>
          <w:szCs w:val="20"/>
        </w:rPr>
        <w:t>0.510</w:t>
      </w:r>
    </w:p>
    <w:p w14:paraId="713D3C32" w14:textId="5B2B7D45" w:rsidR="00326E3C" w:rsidRPr="0011454A" w:rsidRDefault="008A7566">
      <w:pPr>
        <w:jc w:val="both"/>
        <w:rPr>
          <w:rFonts w:ascii="Arial" w:eastAsia="Times New Roman" w:hAnsi="Arial" w:cs="Arial"/>
          <w:b/>
          <w:sz w:val="20"/>
          <w:szCs w:val="16"/>
        </w:rPr>
      </w:pPr>
      <w:r w:rsidRPr="0011454A">
        <w:rPr>
          <w:rFonts w:ascii="Arial" w:hAnsi="Arial" w:cs="Arial"/>
          <w:b/>
          <w:sz w:val="20"/>
          <w:szCs w:val="16"/>
        </w:rPr>
        <w:t>Table 3 Omnibus Tests of Model Coefficients</w:t>
      </w:r>
      <w:bookmarkEnd w:id="10"/>
    </w:p>
    <w:tbl>
      <w:tblPr>
        <w:tblStyle w:val="PlainTable21"/>
        <w:tblpPr w:leftFromText="180" w:rightFromText="180" w:vertAnchor="text" w:tblpY="1"/>
        <w:tblOverlap w:val="never"/>
        <w:tblW w:w="5000" w:type="pct"/>
        <w:tblLayout w:type="fixed"/>
        <w:tblLook w:val="04A0" w:firstRow="1" w:lastRow="0" w:firstColumn="1" w:lastColumn="0" w:noHBand="0" w:noVBand="1"/>
      </w:tblPr>
      <w:tblGrid>
        <w:gridCol w:w="1275"/>
        <w:gridCol w:w="1737"/>
        <w:gridCol w:w="1737"/>
        <w:gridCol w:w="2428"/>
        <w:gridCol w:w="2428"/>
      </w:tblGrid>
      <w:tr w:rsidR="00326E3C" w:rsidRPr="00216F5A" w14:paraId="636764BC" w14:textId="77777777" w:rsidTr="00326E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 w:type="pct"/>
            <w:noWrap/>
          </w:tcPr>
          <w:p w14:paraId="553B4B31" w14:textId="77777777" w:rsidR="00326E3C" w:rsidRPr="00216F5A" w:rsidRDefault="00326E3C">
            <w:pPr>
              <w:jc w:val="both"/>
              <w:rPr>
                <w:rFonts w:ascii="Arial" w:hAnsi="Arial" w:cs="Arial"/>
                <w:b w:val="0"/>
                <w:bCs w:val="0"/>
                <w:sz w:val="16"/>
                <w:szCs w:val="16"/>
              </w:rPr>
            </w:pPr>
          </w:p>
        </w:tc>
        <w:tc>
          <w:tcPr>
            <w:tcW w:w="904" w:type="pct"/>
          </w:tcPr>
          <w:p w14:paraId="5EC0688C" w14:textId="77777777" w:rsidR="00326E3C" w:rsidRPr="00216F5A" w:rsidRDefault="00326E3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p>
        </w:tc>
        <w:tc>
          <w:tcPr>
            <w:tcW w:w="904" w:type="pct"/>
          </w:tcPr>
          <w:p w14:paraId="1677A338" w14:textId="77777777" w:rsidR="00326E3C" w:rsidRPr="00216F5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216F5A">
              <w:rPr>
                <w:rFonts w:ascii="Arial" w:hAnsi="Arial" w:cs="Arial"/>
                <w:b w:val="0"/>
                <w:sz w:val="16"/>
                <w:szCs w:val="16"/>
              </w:rPr>
              <w:t>Chi-square</w:t>
            </w:r>
          </w:p>
        </w:tc>
        <w:tc>
          <w:tcPr>
            <w:tcW w:w="1264" w:type="pct"/>
          </w:tcPr>
          <w:p w14:paraId="06BD6574" w14:textId="77777777" w:rsidR="00326E3C" w:rsidRPr="00216F5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216F5A">
              <w:rPr>
                <w:rFonts w:ascii="Arial" w:hAnsi="Arial" w:cs="Arial"/>
                <w:b w:val="0"/>
                <w:sz w:val="16"/>
                <w:szCs w:val="16"/>
              </w:rPr>
              <w:t>df</w:t>
            </w:r>
          </w:p>
        </w:tc>
        <w:tc>
          <w:tcPr>
            <w:tcW w:w="1264" w:type="pct"/>
          </w:tcPr>
          <w:p w14:paraId="2AE9B8E8" w14:textId="77777777" w:rsidR="00326E3C" w:rsidRPr="00216F5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216F5A">
              <w:rPr>
                <w:rFonts w:ascii="Arial" w:eastAsia="Times New Roman" w:hAnsi="Arial" w:cs="Arial"/>
                <w:b w:val="0"/>
                <w:color w:val="000000"/>
                <w:sz w:val="16"/>
                <w:szCs w:val="16"/>
              </w:rPr>
              <w:t>Sig</w:t>
            </w:r>
          </w:p>
        </w:tc>
      </w:tr>
      <w:tr w:rsidR="00326E3C" w:rsidRPr="00216F5A" w14:paraId="78367D4E" w14:textId="77777777" w:rsidTr="00326E3C">
        <w:tc>
          <w:tcPr>
            <w:cnfStyle w:val="001000000000" w:firstRow="0" w:lastRow="0" w:firstColumn="1" w:lastColumn="0" w:oddVBand="0" w:evenVBand="0" w:oddHBand="0" w:evenHBand="0" w:firstRowFirstColumn="0" w:firstRowLastColumn="0" w:lastRowFirstColumn="0" w:lastRowLastColumn="0"/>
            <w:tcW w:w="664" w:type="pct"/>
            <w:noWrap/>
          </w:tcPr>
          <w:p w14:paraId="109072F1" w14:textId="77777777" w:rsidR="00326E3C" w:rsidRPr="00216F5A" w:rsidRDefault="008A7566">
            <w:pPr>
              <w:jc w:val="both"/>
              <w:rPr>
                <w:rFonts w:ascii="Arial" w:hAnsi="Arial" w:cs="Arial"/>
                <w:sz w:val="16"/>
                <w:szCs w:val="16"/>
              </w:rPr>
            </w:pPr>
            <w:r w:rsidRPr="00216F5A">
              <w:rPr>
                <w:rFonts w:ascii="Arial" w:hAnsi="Arial" w:cs="Arial"/>
                <w:sz w:val="16"/>
                <w:szCs w:val="16"/>
              </w:rPr>
              <w:t>Step 1</w:t>
            </w:r>
          </w:p>
        </w:tc>
        <w:tc>
          <w:tcPr>
            <w:tcW w:w="904" w:type="pct"/>
          </w:tcPr>
          <w:p w14:paraId="10963795"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216F5A">
              <w:rPr>
                <w:rFonts w:ascii="Arial" w:eastAsia="Times New Roman" w:hAnsi="Arial" w:cs="Arial"/>
                <w:color w:val="000000"/>
                <w:sz w:val="16"/>
                <w:szCs w:val="16"/>
              </w:rPr>
              <w:t>Step</w:t>
            </w:r>
          </w:p>
        </w:tc>
        <w:tc>
          <w:tcPr>
            <w:tcW w:w="904" w:type="pct"/>
          </w:tcPr>
          <w:p w14:paraId="6DDF1329"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216F5A">
              <w:rPr>
                <w:rFonts w:ascii="Arial" w:eastAsia="Times New Roman" w:hAnsi="Arial" w:cs="Arial"/>
                <w:color w:val="000000"/>
                <w:sz w:val="16"/>
                <w:szCs w:val="16"/>
              </w:rPr>
              <w:t>4.953</w:t>
            </w:r>
          </w:p>
        </w:tc>
        <w:tc>
          <w:tcPr>
            <w:tcW w:w="1264" w:type="pct"/>
          </w:tcPr>
          <w:p w14:paraId="21EF0967"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216F5A">
              <w:rPr>
                <w:rFonts w:ascii="Arial" w:eastAsia="Times New Roman" w:hAnsi="Arial" w:cs="Arial"/>
                <w:color w:val="000000"/>
                <w:sz w:val="16"/>
                <w:szCs w:val="16"/>
              </w:rPr>
              <w:t>3</w:t>
            </w:r>
          </w:p>
        </w:tc>
        <w:tc>
          <w:tcPr>
            <w:tcW w:w="1264" w:type="pct"/>
          </w:tcPr>
          <w:p w14:paraId="6A48717B"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216F5A">
              <w:rPr>
                <w:rFonts w:ascii="Arial" w:eastAsia="Times New Roman" w:hAnsi="Arial" w:cs="Arial"/>
                <w:color w:val="000000"/>
                <w:sz w:val="16"/>
                <w:szCs w:val="16"/>
              </w:rPr>
              <w:t>0.075</w:t>
            </w:r>
          </w:p>
        </w:tc>
      </w:tr>
      <w:tr w:rsidR="00326E3C" w:rsidRPr="00216F5A" w14:paraId="17E7ABB8" w14:textId="77777777" w:rsidTr="00326E3C">
        <w:tc>
          <w:tcPr>
            <w:cnfStyle w:val="001000000000" w:firstRow="0" w:lastRow="0" w:firstColumn="1" w:lastColumn="0" w:oddVBand="0" w:evenVBand="0" w:oddHBand="0" w:evenHBand="0" w:firstRowFirstColumn="0" w:firstRowLastColumn="0" w:lastRowFirstColumn="0" w:lastRowLastColumn="0"/>
            <w:tcW w:w="664" w:type="pct"/>
            <w:noWrap/>
          </w:tcPr>
          <w:p w14:paraId="5D7222AE" w14:textId="77777777" w:rsidR="00326E3C" w:rsidRPr="00216F5A" w:rsidRDefault="008A7566">
            <w:pPr>
              <w:jc w:val="both"/>
              <w:rPr>
                <w:rFonts w:ascii="Arial" w:hAnsi="Arial" w:cs="Arial"/>
                <w:sz w:val="16"/>
                <w:szCs w:val="16"/>
              </w:rPr>
            </w:pPr>
            <w:r w:rsidRPr="00216F5A">
              <w:rPr>
                <w:rFonts w:ascii="Arial" w:hAnsi="Arial" w:cs="Arial"/>
                <w:sz w:val="16"/>
                <w:szCs w:val="16"/>
              </w:rPr>
              <w:t>1</w:t>
            </w:r>
          </w:p>
        </w:tc>
        <w:tc>
          <w:tcPr>
            <w:tcW w:w="904" w:type="pct"/>
          </w:tcPr>
          <w:p w14:paraId="7EA94519"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216F5A">
              <w:rPr>
                <w:rFonts w:ascii="Arial" w:eastAsia="Times New Roman" w:hAnsi="Arial" w:cs="Arial"/>
                <w:color w:val="000000"/>
                <w:sz w:val="16"/>
                <w:szCs w:val="16"/>
              </w:rPr>
              <w:t>Block</w:t>
            </w:r>
          </w:p>
        </w:tc>
        <w:tc>
          <w:tcPr>
            <w:tcW w:w="904" w:type="pct"/>
          </w:tcPr>
          <w:p w14:paraId="3ECCD2C2"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i w:val="0"/>
                <w:sz w:val="16"/>
                <w:szCs w:val="16"/>
              </w:rPr>
            </w:pPr>
            <w:r w:rsidRPr="00216F5A">
              <w:rPr>
                <w:rFonts w:ascii="Arial" w:eastAsia="Times New Roman" w:hAnsi="Arial" w:cs="Arial"/>
                <w:color w:val="000000"/>
                <w:sz w:val="16"/>
                <w:szCs w:val="16"/>
              </w:rPr>
              <w:t>4.953</w:t>
            </w:r>
          </w:p>
        </w:tc>
        <w:tc>
          <w:tcPr>
            <w:tcW w:w="1264" w:type="pct"/>
          </w:tcPr>
          <w:p w14:paraId="52BE2DEC"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6F5A">
              <w:rPr>
                <w:rFonts w:ascii="Arial" w:eastAsia="Times New Roman" w:hAnsi="Arial" w:cs="Arial"/>
                <w:color w:val="000000"/>
                <w:sz w:val="16"/>
                <w:szCs w:val="16"/>
              </w:rPr>
              <w:t>3</w:t>
            </w:r>
          </w:p>
        </w:tc>
        <w:tc>
          <w:tcPr>
            <w:tcW w:w="1264" w:type="pct"/>
          </w:tcPr>
          <w:p w14:paraId="64F4A195"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6F5A">
              <w:rPr>
                <w:rFonts w:ascii="Arial" w:eastAsia="Times New Roman" w:hAnsi="Arial" w:cs="Arial"/>
                <w:color w:val="000000"/>
                <w:sz w:val="16"/>
                <w:szCs w:val="16"/>
              </w:rPr>
              <w:t>0.075</w:t>
            </w:r>
          </w:p>
        </w:tc>
      </w:tr>
      <w:tr w:rsidR="00326E3C" w:rsidRPr="00216F5A" w14:paraId="7E069BE0" w14:textId="77777777" w:rsidTr="00326E3C">
        <w:tc>
          <w:tcPr>
            <w:cnfStyle w:val="001000000000" w:firstRow="0" w:lastRow="0" w:firstColumn="1" w:lastColumn="0" w:oddVBand="0" w:evenVBand="0" w:oddHBand="0" w:evenHBand="0" w:firstRowFirstColumn="0" w:firstRowLastColumn="0" w:lastRowFirstColumn="0" w:lastRowLastColumn="0"/>
            <w:tcW w:w="664" w:type="pct"/>
            <w:tcBorders>
              <w:top w:val="single" w:sz="4" w:space="0" w:color="7F7F7F"/>
            </w:tcBorders>
            <w:noWrap/>
          </w:tcPr>
          <w:p w14:paraId="2DB37C79" w14:textId="77777777" w:rsidR="00326E3C" w:rsidRPr="00216F5A" w:rsidRDefault="00326E3C">
            <w:pPr>
              <w:jc w:val="both"/>
              <w:rPr>
                <w:rFonts w:ascii="Arial" w:hAnsi="Arial" w:cs="Arial"/>
                <w:b w:val="0"/>
                <w:bCs w:val="0"/>
                <w:sz w:val="16"/>
                <w:szCs w:val="16"/>
              </w:rPr>
            </w:pPr>
          </w:p>
        </w:tc>
        <w:tc>
          <w:tcPr>
            <w:tcW w:w="904" w:type="pct"/>
            <w:tcBorders>
              <w:top w:val="single" w:sz="4" w:space="0" w:color="7F7F7F"/>
            </w:tcBorders>
          </w:tcPr>
          <w:p w14:paraId="59BB047F"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r w:rsidRPr="00216F5A">
              <w:rPr>
                <w:rFonts w:ascii="Arial" w:eastAsia="Times New Roman" w:hAnsi="Arial" w:cs="Arial"/>
                <w:bCs/>
                <w:color w:val="000000"/>
                <w:sz w:val="16"/>
                <w:szCs w:val="16"/>
              </w:rPr>
              <w:t>Model</w:t>
            </w:r>
          </w:p>
        </w:tc>
        <w:tc>
          <w:tcPr>
            <w:tcW w:w="904" w:type="pct"/>
            <w:tcBorders>
              <w:top w:val="single" w:sz="4" w:space="0" w:color="7F7F7F"/>
            </w:tcBorders>
          </w:tcPr>
          <w:p w14:paraId="76A87478"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r w:rsidRPr="00216F5A">
              <w:rPr>
                <w:rFonts w:ascii="Arial" w:eastAsia="Times New Roman" w:hAnsi="Arial" w:cs="Arial"/>
                <w:bCs/>
                <w:color w:val="000000"/>
                <w:sz w:val="16"/>
                <w:szCs w:val="16"/>
              </w:rPr>
              <w:t>4.953</w:t>
            </w:r>
          </w:p>
        </w:tc>
        <w:tc>
          <w:tcPr>
            <w:tcW w:w="1264" w:type="pct"/>
            <w:tcBorders>
              <w:top w:val="single" w:sz="4" w:space="0" w:color="7F7F7F"/>
            </w:tcBorders>
          </w:tcPr>
          <w:p w14:paraId="378914DB"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r w:rsidRPr="00216F5A">
              <w:rPr>
                <w:rFonts w:ascii="Arial" w:eastAsia="Times New Roman" w:hAnsi="Arial" w:cs="Arial"/>
                <w:bCs/>
                <w:color w:val="000000"/>
                <w:sz w:val="16"/>
                <w:szCs w:val="16"/>
              </w:rPr>
              <w:t>3</w:t>
            </w:r>
          </w:p>
        </w:tc>
        <w:tc>
          <w:tcPr>
            <w:tcW w:w="1264" w:type="pct"/>
            <w:tcBorders>
              <w:top w:val="single" w:sz="4" w:space="0" w:color="7F7F7F"/>
            </w:tcBorders>
          </w:tcPr>
          <w:p w14:paraId="20F1F9BD"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r w:rsidRPr="00216F5A">
              <w:rPr>
                <w:rFonts w:ascii="Arial" w:eastAsia="Times New Roman" w:hAnsi="Arial" w:cs="Arial"/>
                <w:bCs/>
                <w:color w:val="000000"/>
                <w:sz w:val="16"/>
                <w:szCs w:val="16"/>
              </w:rPr>
              <w:t>0.075</w:t>
            </w:r>
          </w:p>
        </w:tc>
      </w:tr>
    </w:tbl>
    <w:p w14:paraId="5E96E6DF" w14:textId="77777777" w:rsidR="000B1A63" w:rsidRPr="00216F5A" w:rsidRDefault="000B1A63" w:rsidP="000B1A63">
      <w:pPr>
        <w:spacing w:after="0" w:line="240" w:lineRule="auto"/>
        <w:rPr>
          <w:rFonts w:ascii="Arial" w:eastAsia="Times New Roman" w:hAnsi="Arial" w:cs="Arial"/>
          <w:sz w:val="20"/>
          <w:szCs w:val="20"/>
        </w:rPr>
      </w:pPr>
      <w:bookmarkStart w:id="11" w:name="_Toc11398004"/>
      <w:r w:rsidRPr="00216F5A">
        <w:rPr>
          <w:rFonts w:ascii="Arial" w:eastAsia="Times New Roman" w:hAnsi="Arial" w:cs="Arial"/>
          <w:sz w:val="20"/>
          <w:szCs w:val="20"/>
        </w:rPr>
        <w:t>The Omnibus Tests of Model Coefficients table provides the Likelihood Ratio test result, which shows whether or not adding this block of variables significantly improves the model. A significance value (Sig.) of 0.075 indicates that the block of variables does not significantly add to the model, surpassing a p-value criteria of 0.05.</w:t>
      </w:r>
    </w:p>
    <w:p w14:paraId="5E23D4A6" w14:textId="77777777" w:rsidR="005F7814" w:rsidRPr="00216F5A" w:rsidRDefault="005F7814" w:rsidP="005F7814">
      <w:pPr>
        <w:spacing w:after="0" w:line="240" w:lineRule="auto"/>
        <w:rPr>
          <w:rFonts w:ascii="Arial" w:eastAsia="Times New Roman" w:hAnsi="Arial" w:cs="Arial"/>
          <w:sz w:val="20"/>
          <w:szCs w:val="24"/>
        </w:rPr>
      </w:pPr>
    </w:p>
    <w:p w14:paraId="1FA1C3C4" w14:textId="5B321C86" w:rsidR="00326E3C" w:rsidRPr="0011454A" w:rsidRDefault="008A7566">
      <w:pPr>
        <w:jc w:val="both"/>
        <w:rPr>
          <w:rFonts w:ascii="Arial" w:eastAsia="Times New Roman" w:hAnsi="Arial" w:cs="Arial"/>
          <w:b/>
          <w:sz w:val="20"/>
          <w:szCs w:val="16"/>
        </w:rPr>
      </w:pPr>
      <w:r w:rsidRPr="0011454A">
        <w:rPr>
          <w:rFonts w:ascii="Arial" w:hAnsi="Arial" w:cs="Arial"/>
          <w:b/>
          <w:sz w:val="20"/>
          <w:szCs w:val="16"/>
        </w:rPr>
        <w:t>Table 4 Model Summary</w:t>
      </w:r>
      <w:bookmarkEnd w:id="11"/>
    </w:p>
    <w:tbl>
      <w:tblPr>
        <w:tblStyle w:val="PlainTable21"/>
        <w:tblpPr w:leftFromText="180" w:rightFromText="180" w:vertAnchor="text" w:tblpY="1"/>
        <w:tblOverlap w:val="never"/>
        <w:tblW w:w="4404" w:type="pct"/>
        <w:tblLayout w:type="fixed"/>
        <w:tblLook w:val="04A0" w:firstRow="1" w:lastRow="0" w:firstColumn="1" w:lastColumn="0" w:noHBand="0" w:noVBand="1"/>
      </w:tblPr>
      <w:tblGrid>
        <w:gridCol w:w="1372"/>
        <w:gridCol w:w="1866"/>
        <w:gridCol w:w="2611"/>
        <w:gridCol w:w="2611"/>
      </w:tblGrid>
      <w:tr w:rsidR="00326E3C" w:rsidRPr="00216F5A" w14:paraId="45DAA31D" w14:textId="77777777" w:rsidTr="00326E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noWrap/>
          </w:tcPr>
          <w:p w14:paraId="1BDFF96B" w14:textId="77777777" w:rsidR="00326E3C" w:rsidRPr="0011454A" w:rsidRDefault="008A7566">
            <w:pPr>
              <w:jc w:val="both"/>
              <w:rPr>
                <w:rFonts w:ascii="Arial" w:hAnsi="Arial" w:cs="Arial"/>
                <w:b w:val="0"/>
                <w:bCs w:val="0"/>
                <w:sz w:val="20"/>
                <w:szCs w:val="16"/>
              </w:rPr>
            </w:pPr>
            <w:r w:rsidRPr="0011454A">
              <w:rPr>
                <w:rFonts w:ascii="Arial" w:hAnsi="Arial" w:cs="Arial"/>
                <w:b w:val="0"/>
                <w:sz w:val="20"/>
                <w:szCs w:val="16"/>
              </w:rPr>
              <w:t>Step</w:t>
            </w:r>
          </w:p>
        </w:tc>
        <w:tc>
          <w:tcPr>
            <w:tcW w:w="1103" w:type="pct"/>
          </w:tcPr>
          <w:p w14:paraId="7A702EB9" w14:textId="77777777" w:rsidR="00326E3C" w:rsidRPr="0011454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hAnsi="Arial" w:cs="Arial"/>
                <w:b w:val="0"/>
                <w:sz w:val="20"/>
                <w:szCs w:val="16"/>
              </w:rPr>
              <w:t>-2 Log likelihood</w:t>
            </w:r>
          </w:p>
        </w:tc>
        <w:tc>
          <w:tcPr>
            <w:tcW w:w="1543" w:type="pct"/>
          </w:tcPr>
          <w:p w14:paraId="3CBD5988" w14:textId="77777777" w:rsidR="00326E3C" w:rsidRPr="0011454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hAnsi="Arial" w:cs="Arial"/>
                <w:b w:val="0"/>
                <w:sz w:val="20"/>
                <w:szCs w:val="16"/>
              </w:rPr>
              <w:t>Cox &amp; Snell R Square</w:t>
            </w:r>
          </w:p>
        </w:tc>
        <w:tc>
          <w:tcPr>
            <w:tcW w:w="1543" w:type="pct"/>
          </w:tcPr>
          <w:p w14:paraId="472086A8" w14:textId="77777777" w:rsidR="00326E3C" w:rsidRPr="0011454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eastAsia="Times New Roman" w:hAnsi="Arial" w:cs="Arial"/>
                <w:b w:val="0"/>
                <w:color w:val="000000"/>
                <w:sz w:val="20"/>
                <w:szCs w:val="16"/>
              </w:rPr>
              <w:t>Nagelkerke</w:t>
            </w:r>
            <w:r w:rsidRPr="0011454A">
              <w:rPr>
                <w:rFonts w:ascii="Arial" w:eastAsia="Times New Roman" w:hAnsi="Arial" w:cs="Arial"/>
                <w:color w:val="000000"/>
                <w:sz w:val="20"/>
                <w:szCs w:val="16"/>
              </w:rPr>
              <w:t xml:space="preserve"> </w:t>
            </w:r>
            <w:r w:rsidRPr="0011454A">
              <w:rPr>
                <w:rFonts w:ascii="Arial" w:hAnsi="Arial" w:cs="Arial"/>
                <w:b w:val="0"/>
                <w:sz w:val="20"/>
                <w:szCs w:val="16"/>
              </w:rPr>
              <w:t>R Square</w:t>
            </w:r>
          </w:p>
        </w:tc>
      </w:tr>
      <w:tr w:rsidR="00326E3C" w:rsidRPr="00216F5A" w14:paraId="2D8F3AA1" w14:textId="77777777" w:rsidTr="00326E3C">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7F7F7F"/>
            </w:tcBorders>
            <w:noWrap/>
          </w:tcPr>
          <w:p w14:paraId="6FB05F55" w14:textId="77777777" w:rsidR="00326E3C" w:rsidRPr="0011454A" w:rsidRDefault="008A7566">
            <w:pPr>
              <w:jc w:val="both"/>
              <w:rPr>
                <w:rFonts w:ascii="Arial" w:hAnsi="Arial" w:cs="Arial"/>
                <w:b w:val="0"/>
                <w:bCs w:val="0"/>
                <w:sz w:val="20"/>
                <w:szCs w:val="16"/>
              </w:rPr>
            </w:pPr>
            <w:r w:rsidRPr="0011454A">
              <w:rPr>
                <w:rFonts w:ascii="Arial" w:hAnsi="Arial" w:cs="Arial"/>
                <w:b w:val="0"/>
                <w:sz w:val="20"/>
                <w:szCs w:val="16"/>
              </w:rPr>
              <w:t>1</w:t>
            </w:r>
          </w:p>
        </w:tc>
        <w:tc>
          <w:tcPr>
            <w:tcW w:w="1103" w:type="pct"/>
            <w:tcBorders>
              <w:top w:val="single" w:sz="4" w:space="0" w:color="7F7F7F"/>
            </w:tcBorders>
          </w:tcPr>
          <w:p w14:paraId="5C462AE0"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b/>
                <w:bCs/>
                <w:i w:val="0"/>
                <w:sz w:val="20"/>
                <w:szCs w:val="16"/>
              </w:rPr>
            </w:pPr>
            <w:r w:rsidRPr="0011454A">
              <w:rPr>
                <w:rFonts w:ascii="Arial" w:eastAsia="Times New Roman" w:hAnsi="Arial" w:cs="Arial"/>
                <w:bCs/>
                <w:color w:val="000000"/>
                <w:sz w:val="20"/>
                <w:szCs w:val="16"/>
              </w:rPr>
              <w:t>28.635</w:t>
            </w:r>
          </w:p>
        </w:tc>
        <w:tc>
          <w:tcPr>
            <w:tcW w:w="1543" w:type="pct"/>
            <w:tcBorders>
              <w:top w:val="single" w:sz="4" w:space="0" w:color="7F7F7F"/>
            </w:tcBorders>
          </w:tcPr>
          <w:p w14:paraId="0AE7BBE7"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16"/>
              </w:rPr>
            </w:pPr>
            <w:r w:rsidRPr="0011454A">
              <w:rPr>
                <w:rFonts w:ascii="Arial" w:eastAsia="Times New Roman" w:hAnsi="Arial" w:cs="Arial"/>
                <w:bCs/>
                <w:color w:val="000000"/>
                <w:sz w:val="20"/>
                <w:szCs w:val="16"/>
              </w:rPr>
              <w:t>0.048</w:t>
            </w:r>
          </w:p>
        </w:tc>
        <w:tc>
          <w:tcPr>
            <w:tcW w:w="1543" w:type="pct"/>
            <w:tcBorders>
              <w:top w:val="single" w:sz="4" w:space="0" w:color="7F7F7F"/>
            </w:tcBorders>
          </w:tcPr>
          <w:p w14:paraId="77204F4D"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16"/>
              </w:rPr>
            </w:pPr>
            <w:r w:rsidRPr="0011454A">
              <w:rPr>
                <w:rFonts w:ascii="Arial" w:eastAsia="Times New Roman" w:hAnsi="Arial" w:cs="Arial"/>
                <w:bCs/>
                <w:color w:val="000000"/>
                <w:sz w:val="20"/>
                <w:szCs w:val="16"/>
              </w:rPr>
              <w:t>0.169</w:t>
            </w:r>
          </w:p>
        </w:tc>
      </w:tr>
    </w:tbl>
    <w:p w14:paraId="6AC8FD7D" w14:textId="77777777" w:rsidR="00326E3C" w:rsidRPr="00216F5A" w:rsidRDefault="008A7566">
      <w:pPr>
        <w:pStyle w:val="FootnoteText"/>
        <w:jc w:val="both"/>
        <w:rPr>
          <w:rFonts w:ascii="Arial" w:hAnsi="Arial" w:cs="Arial"/>
        </w:rPr>
      </w:pPr>
      <w:r w:rsidRPr="00216F5A">
        <w:rPr>
          <w:rFonts w:ascii="Arial" w:hAnsi="Arial" w:cs="Arial"/>
        </w:rPr>
        <w:br w:type="textWrapping" w:clear="all"/>
      </w:r>
    </w:p>
    <w:p w14:paraId="3BB19DCB" w14:textId="77777777" w:rsidR="000B1A63" w:rsidRPr="00216F5A" w:rsidRDefault="000B1A63" w:rsidP="000B1A63">
      <w:pPr>
        <w:spacing w:after="0" w:line="240" w:lineRule="auto"/>
        <w:rPr>
          <w:rFonts w:ascii="Arial" w:eastAsia="Times New Roman" w:hAnsi="Arial" w:cs="Arial"/>
          <w:sz w:val="20"/>
          <w:szCs w:val="20"/>
        </w:rPr>
      </w:pPr>
      <w:bookmarkStart w:id="12" w:name="_Toc11398005"/>
      <w:r w:rsidRPr="00216F5A">
        <w:rPr>
          <w:rFonts w:ascii="Arial" w:eastAsia="Times New Roman" w:hAnsi="Arial" w:cs="Arial"/>
          <w:sz w:val="20"/>
          <w:szCs w:val="20"/>
        </w:rPr>
        <w:t>In traditional regression, the coefficient of determination (R-Square) value shows how well the model accounts for variation in the dependent variable (Y). In logistic regression, Cox &amp; Snell R Square and Nagelkerke R Square serve as pseudo-R-squared values that indicate how well the model predicts outcomes. These values are shown in the 'Model Summary' table. Based on the Cox &amp; Snell R Square value of 0.048 and the Nagelkerke R Square value of 0.169, the model explains 4.8% to 16.9% of the variation in the dependent variable (such the impact of internet fraud). A better match is indicated by a smaller -2 Log likelihood value, which is 28.635 for the model fit.</w:t>
      </w:r>
    </w:p>
    <w:p w14:paraId="27FF587A" w14:textId="77777777" w:rsidR="005F7814" w:rsidRPr="00216F5A" w:rsidRDefault="005F7814">
      <w:pPr>
        <w:jc w:val="both"/>
        <w:rPr>
          <w:rFonts w:ascii="Arial" w:hAnsi="Arial" w:cs="Arial"/>
          <w:sz w:val="16"/>
          <w:szCs w:val="16"/>
        </w:rPr>
      </w:pPr>
    </w:p>
    <w:p w14:paraId="09F21119" w14:textId="58DEF5EC" w:rsidR="00326E3C" w:rsidRPr="0011454A" w:rsidRDefault="008A7566">
      <w:pPr>
        <w:jc w:val="both"/>
        <w:rPr>
          <w:rFonts w:ascii="Arial" w:eastAsia="Times New Roman" w:hAnsi="Arial" w:cs="Arial"/>
          <w:b/>
          <w:sz w:val="20"/>
          <w:szCs w:val="16"/>
        </w:rPr>
      </w:pPr>
      <w:r w:rsidRPr="0011454A">
        <w:rPr>
          <w:rFonts w:ascii="Arial" w:hAnsi="Arial" w:cs="Arial"/>
          <w:b/>
          <w:sz w:val="20"/>
          <w:szCs w:val="16"/>
        </w:rPr>
        <w:t xml:space="preserve">Table 5 Hosmer and </w:t>
      </w:r>
      <w:proofErr w:type="spellStart"/>
      <w:r w:rsidRPr="0011454A">
        <w:rPr>
          <w:rFonts w:ascii="Arial" w:hAnsi="Arial" w:cs="Arial"/>
          <w:b/>
          <w:sz w:val="20"/>
          <w:szCs w:val="16"/>
        </w:rPr>
        <w:t>Lemeshow</w:t>
      </w:r>
      <w:proofErr w:type="spellEnd"/>
      <w:r w:rsidRPr="0011454A">
        <w:rPr>
          <w:rFonts w:ascii="Arial" w:hAnsi="Arial" w:cs="Arial"/>
          <w:b/>
          <w:sz w:val="20"/>
          <w:szCs w:val="16"/>
        </w:rPr>
        <w:t xml:space="preserve"> Test</w:t>
      </w:r>
      <w:bookmarkEnd w:id="12"/>
    </w:p>
    <w:tbl>
      <w:tblPr>
        <w:tblStyle w:val="PlainTable21"/>
        <w:tblpPr w:leftFromText="180" w:rightFromText="180" w:vertAnchor="text" w:tblpY="1"/>
        <w:tblOverlap w:val="never"/>
        <w:tblW w:w="4404" w:type="pct"/>
        <w:tblLayout w:type="fixed"/>
        <w:tblLook w:val="04A0" w:firstRow="1" w:lastRow="0" w:firstColumn="1" w:lastColumn="0" w:noHBand="0" w:noVBand="1"/>
      </w:tblPr>
      <w:tblGrid>
        <w:gridCol w:w="1372"/>
        <w:gridCol w:w="1866"/>
        <w:gridCol w:w="2611"/>
        <w:gridCol w:w="2611"/>
      </w:tblGrid>
      <w:tr w:rsidR="00326E3C" w:rsidRPr="00216F5A" w14:paraId="563CA948" w14:textId="77777777" w:rsidTr="00326E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noWrap/>
          </w:tcPr>
          <w:p w14:paraId="26869837" w14:textId="77777777" w:rsidR="00326E3C" w:rsidRPr="0011454A" w:rsidRDefault="008A7566">
            <w:pPr>
              <w:jc w:val="both"/>
              <w:rPr>
                <w:rFonts w:ascii="Arial" w:hAnsi="Arial" w:cs="Arial"/>
                <w:b w:val="0"/>
                <w:bCs w:val="0"/>
                <w:sz w:val="20"/>
                <w:szCs w:val="16"/>
              </w:rPr>
            </w:pPr>
            <w:r w:rsidRPr="0011454A">
              <w:rPr>
                <w:rFonts w:ascii="Arial" w:hAnsi="Arial" w:cs="Arial"/>
                <w:b w:val="0"/>
                <w:sz w:val="20"/>
                <w:szCs w:val="16"/>
              </w:rPr>
              <w:t>Step</w:t>
            </w:r>
          </w:p>
        </w:tc>
        <w:tc>
          <w:tcPr>
            <w:tcW w:w="1103" w:type="pct"/>
          </w:tcPr>
          <w:p w14:paraId="148A4F4C" w14:textId="77777777" w:rsidR="00326E3C" w:rsidRPr="0011454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hAnsi="Arial" w:cs="Arial"/>
                <w:b w:val="0"/>
                <w:sz w:val="20"/>
                <w:szCs w:val="16"/>
              </w:rPr>
              <w:t>Chi-square</w:t>
            </w:r>
          </w:p>
        </w:tc>
        <w:tc>
          <w:tcPr>
            <w:tcW w:w="1543" w:type="pct"/>
          </w:tcPr>
          <w:p w14:paraId="1910DDDE" w14:textId="77777777" w:rsidR="00326E3C" w:rsidRPr="0011454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hAnsi="Arial" w:cs="Arial"/>
                <w:b w:val="0"/>
                <w:sz w:val="20"/>
                <w:szCs w:val="16"/>
              </w:rPr>
              <w:t>Df</w:t>
            </w:r>
          </w:p>
        </w:tc>
        <w:tc>
          <w:tcPr>
            <w:tcW w:w="1543" w:type="pct"/>
          </w:tcPr>
          <w:p w14:paraId="371C5D86" w14:textId="77777777" w:rsidR="00326E3C" w:rsidRPr="0011454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eastAsia="Times New Roman" w:hAnsi="Arial" w:cs="Arial"/>
                <w:b w:val="0"/>
                <w:color w:val="000000"/>
                <w:sz w:val="20"/>
                <w:szCs w:val="16"/>
              </w:rPr>
              <w:t>Sig.</w:t>
            </w:r>
          </w:p>
        </w:tc>
      </w:tr>
      <w:tr w:rsidR="00326E3C" w:rsidRPr="00216F5A" w14:paraId="7E1E48CC" w14:textId="77777777" w:rsidTr="00326E3C">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7F7F7F"/>
            </w:tcBorders>
            <w:noWrap/>
          </w:tcPr>
          <w:p w14:paraId="7037138F" w14:textId="77777777" w:rsidR="00326E3C" w:rsidRPr="0011454A" w:rsidRDefault="008A7566">
            <w:pPr>
              <w:jc w:val="both"/>
              <w:rPr>
                <w:rFonts w:ascii="Arial" w:hAnsi="Arial" w:cs="Arial"/>
                <w:b w:val="0"/>
                <w:bCs w:val="0"/>
                <w:sz w:val="20"/>
                <w:szCs w:val="16"/>
              </w:rPr>
            </w:pPr>
            <w:r w:rsidRPr="0011454A">
              <w:rPr>
                <w:rFonts w:ascii="Arial" w:hAnsi="Arial" w:cs="Arial"/>
                <w:b w:val="0"/>
                <w:sz w:val="20"/>
                <w:szCs w:val="16"/>
              </w:rPr>
              <w:t>1</w:t>
            </w:r>
          </w:p>
        </w:tc>
        <w:tc>
          <w:tcPr>
            <w:tcW w:w="1103" w:type="pct"/>
            <w:tcBorders>
              <w:top w:val="single" w:sz="4" w:space="0" w:color="7F7F7F"/>
            </w:tcBorders>
          </w:tcPr>
          <w:p w14:paraId="0BF63E14"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16"/>
              </w:rPr>
            </w:pPr>
            <w:r w:rsidRPr="0011454A">
              <w:rPr>
                <w:rFonts w:ascii="Arial" w:eastAsia="Times New Roman" w:hAnsi="Arial" w:cs="Arial"/>
                <w:bCs/>
                <w:color w:val="000000"/>
                <w:sz w:val="20"/>
                <w:szCs w:val="16"/>
              </w:rPr>
              <w:t>0.268</w:t>
            </w:r>
          </w:p>
        </w:tc>
        <w:tc>
          <w:tcPr>
            <w:tcW w:w="1543" w:type="pct"/>
            <w:tcBorders>
              <w:top w:val="single" w:sz="4" w:space="0" w:color="7F7F7F"/>
            </w:tcBorders>
          </w:tcPr>
          <w:p w14:paraId="00B832C0"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16"/>
              </w:rPr>
            </w:pPr>
            <w:r w:rsidRPr="0011454A">
              <w:rPr>
                <w:rFonts w:ascii="Arial" w:eastAsia="Times New Roman" w:hAnsi="Arial" w:cs="Arial"/>
                <w:bCs/>
                <w:color w:val="000000"/>
                <w:sz w:val="20"/>
                <w:szCs w:val="16"/>
              </w:rPr>
              <w:t>4</w:t>
            </w:r>
          </w:p>
        </w:tc>
        <w:tc>
          <w:tcPr>
            <w:tcW w:w="1543" w:type="pct"/>
            <w:tcBorders>
              <w:top w:val="single" w:sz="4" w:space="0" w:color="7F7F7F"/>
            </w:tcBorders>
          </w:tcPr>
          <w:p w14:paraId="357FAD0B"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16"/>
              </w:rPr>
            </w:pPr>
            <w:r w:rsidRPr="0011454A">
              <w:rPr>
                <w:rFonts w:ascii="Arial" w:eastAsia="Times New Roman" w:hAnsi="Arial" w:cs="Arial"/>
                <w:bCs/>
                <w:color w:val="000000"/>
                <w:sz w:val="20"/>
                <w:szCs w:val="16"/>
              </w:rPr>
              <w:t>0.992</w:t>
            </w:r>
          </w:p>
        </w:tc>
      </w:tr>
    </w:tbl>
    <w:p w14:paraId="6ADBC28D" w14:textId="77777777" w:rsidR="00326E3C" w:rsidRPr="00216F5A" w:rsidRDefault="00326E3C">
      <w:pPr>
        <w:jc w:val="both"/>
        <w:rPr>
          <w:rFonts w:ascii="Arial" w:eastAsia="Times New Roman" w:hAnsi="Arial" w:cs="Arial"/>
          <w:sz w:val="20"/>
          <w:szCs w:val="20"/>
        </w:rPr>
      </w:pPr>
    </w:p>
    <w:p w14:paraId="0BC39296" w14:textId="77777777" w:rsidR="00326E3C" w:rsidRPr="00216F5A" w:rsidRDefault="00326E3C">
      <w:pPr>
        <w:jc w:val="both"/>
        <w:rPr>
          <w:rFonts w:ascii="Arial" w:hAnsi="Arial" w:cs="Arial"/>
          <w:sz w:val="20"/>
          <w:szCs w:val="20"/>
        </w:rPr>
      </w:pPr>
      <w:bookmarkStart w:id="13" w:name="_Toc11398006"/>
    </w:p>
    <w:p w14:paraId="68DB459A" w14:textId="77777777" w:rsidR="000B1A63" w:rsidRDefault="000B1A63" w:rsidP="000B1A63">
      <w:pPr>
        <w:spacing w:after="0" w:line="240" w:lineRule="auto"/>
        <w:rPr>
          <w:rFonts w:ascii="Arial" w:eastAsia="Times New Roman" w:hAnsi="Arial" w:cs="Arial"/>
          <w:sz w:val="20"/>
          <w:szCs w:val="24"/>
        </w:rPr>
      </w:pPr>
      <w:r w:rsidRPr="00216F5A">
        <w:rPr>
          <w:rFonts w:ascii="Arial" w:eastAsia="Times New Roman" w:hAnsi="Arial" w:cs="Arial"/>
          <w:sz w:val="20"/>
          <w:szCs w:val="24"/>
        </w:rPr>
        <w:t xml:space="preserve">A logistic regression model's goodness of fit is evaluated using the Hosmer and </w:t>
      </w:r>
      <w:proofErr w:type="spellStart"/>
      <w:r w:rsidRPr="00216F5A">
        <w:rPr>
          <w:rFonts w:ascii="Arial" w:eastAsia="Times New Roman" w:hAnsi="Arial" w:cs="Arial"/>
          <w:sz w:val="20"/>
          <w:szCs w:val="24"/>
        </w:rPr>
        <w:t>Lemeshow</w:t>
      </w:r>
      <w:proofErr w:type="spellEnd"/>
      <w:r w:rsidRPr="00216F5A">
        <w:rPr>
          <w:rFonts w:ascii="Arial" w:eastAsia="Times New Roman" w:hAnsi="Arial" w:cs="Arial"/>
          <w:sz w:val="20"/>
          <w:szCs w:val="24"/>
        </w:rPr>
        <w:t xml:space="preserve"> Test, which compares the observed and predicted frequencies of the outcome variable across different groups based on projected probability. Given that the significance value (p-value) of 0.992 is higher than the conventional cutoff of 0.05, it may be concluded that there is no significant difference between the observed and expected measurements. With a chi-squared value of 0.268, there are four degrees of freedom.</w:t>
      </w:r>
    </w:p>
    <w:p w14:paraId="3F0A1F3B" w14:textId="77777777" w:rsidR="0011454A" w:rsidRPr="00216F5A" w:rsidRDefault="0011454A" w:rsidP="000B1A63">
      <w:pPr>
        <w:spacing w:after="0" w:line="240" w:lineRule="auto"/>
        <w:rPr>
          <w:rFonts w:ascii="Arial" w:eastAsia="Times New Roman" w:hAnsi="Arial" w:cs="Arial"/>
          <w:sz w:val="20"/>
          <w:szCs w:val="24"/>
        </w:rPr>
      </w:pPr>
    </w:p>
    <w:p w14:paraId="025CDEB3" w14:textId="54A5A432" w:rsidR="00326E3C" w:rsidRPr="0011454A" w:rsidRDefault="008A7566">
      <w:pPr>
        <w:jc w:val="both"/>
        <w:rPr>
          <w:rFonts w:ascii="Arial" w:hAnsi="Arial" w:cs="Arial"/>
          <w:b/>
          <w:sz w:val="20"/>
          <w:szCs w:val="16"/>
        </w:rPr>
      </w:pPr>
      <w:r w:rsidRPr="0011454A">
        <w:rPr>
          <w:rFonts w:ascii="Arial" w:hAnsi="Arial" w:cs="Arial"/>
          <w:b/>
          <w:sz w:val="20"/>
          <w:szCs w:val="16"/>
        </w:rPr>
        <w:t>Table 6 Classification Table</w:t>
      </w:r>
      <w:bookmarkEnd w:id="13"/>
    </w:p>
    <w:tbl>
      <w:tblPr>
        <w:tblStyle w:val="PlainTable21"/>
        <w:tblpPr w:leftFromText="180" w:rightFromText="180" w:vertAnchor="text" w:tblpY="1"/>
        <w:tblOverlap w:val="never"/>
        <w:tblW w:w="4404" w:type="pct"/>
        <w:tblLayout w:type="fixed"/>
        <w:tblLook w:val="04A0" w:firstRow="1" w:lastRow="0" w:firstColumn="1" w:lastColumn="0" w:noHBand="0" w:noVBand="1"/>
      </w:tblPr>
      <w:tblGrid>
        <w:gridCol w:w="2070"/>
        <w:gridCol w:w="3871"/>
        <w:gridCol w:w="2519"/>
      </w:tblGrid>
      <w:tr w:rsidR="00326E3C" w:rsidRPr="00216F5A" w14:paraId="3EC013DF" w14:textId="77777777" w:rsidTr="001145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pct"/>
            <w:noWrap/>
          </w:tcPr>
          <w:p w14:paraId="3FD81859" w14:textId="77777777" w:rsidR="00326E3C" w:rsidRPr="0011454A" w:rsidRDefault="008A7566">
            <w:pPr>
              <w:jc w:val="both"/>
              <w:rPr>
                <w:rFonts w:ascii="Arial" w:hAnsi="Arial" w:cs="Arial"/>
                <w:b w:val="0"/>
                <w:bCs w:val="0"/>
                <w:sz w:val="20"/>
                <w:szCs w:val="16"/>
              </w:rPr>
            </w:pPr>
            <w:r w:rsidRPr="0011454A">
              <w:rPr>
                <w:rFonts w:ascii="Arial" w:eastAsia="Times New Roman" w:hAnsi="Arial" w:cs="Arial"/>
                <w:sz w:val="20"/>
                <w:szCs w:val="16"/>
              </w:rPr>
              <w:t>Observed</w:t>
            </w:r>
          </w:p>
        </w:tc>
        <w:tc>
          <w:tcPr>
            <w:tcW w:w="2288" w:type="pct"/>
          </w:tcPr>
          <w:p w14:paraId="602AE553" w14:textId="77777777" w:rsidR="00326E3C" w:rsidRPr="0011454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eastAsia="Times New Roman" w:hAnsi="Arial" w:cs="Arial"/>
                <w:sz w:val="20"/>
                <w:szCs w:val="16"/>
              </w:rPr>
              <w:t>Predicted</w:t>
            </w:r>
          </w:p>
        </w:tc>
        <w:tc>
          <w:tcPr>
            <w:tcW w:w="1489" w:type="pct"/>
          </w:tcPr>
          <w:p w14:paraId="68AC8D92" w14:textId="77777777" w:rsidR="00326E3C" w:rsidRPr="0011454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eastAsia="Times New Roman" w:hAnsi="Arial" w:cs="Arial"/>
                <w:sz w:val="20"/>
                <w:szCs w:val="16"/>
              </w:rPr>
              <w:t>Percentage Correct</w:t>
            </w:r>
          </w:p>
        </w:tc>
      </w:tr>
      <w:tr w:rsidR="00326E3C" w:rsidRPr="00216F5A" w14:paraId="0E3A2B2D" w14:textId="77777777" w:rsidTr="0011454A">
        <w:tc>
          <w:tcPr>
            <w:cnfStyle w:val="001000000000" w:firstRow="0" w:lastRow="0" w:firstColumn="1" w:lastColumn="0" w:oddVBand="0" w:evenVBand="0" w:oddHBand="0" w:evenHBand="0" w:firstRowFirstColumn="0" w:firstRowLastColumn="0" w:lastRowFirstColumn="0" w:lastRowLastColumn="0"/>
            <w:tcW w:w="1223" w:type="pct"/>
            <w:noWrap/>
          </w:tcPr>
          <w:p w14:paraId="69C73930" w14:textId="77777777" w:rsidR="00326E3C" w:rsidRPr="0011454A" w:rsidRDefault="00326E3C">
            <w:pPr>
              <w:jc w:val="both"/>
              <w:rPr>
                <w:rFonts w:ascii="Arial" w:hAnsi="Arial" w:cs="Arial"/>
                <w:b w:val="0"/>
                <w:sz w:val="20"/>
                <w:szCs w:val="16"/>
              </w:rPr>
            </w:pPr>
          </w:p>
        </w:tc>
        <w:tc>
          <w:tcPr>
            <w:tcW w:w="2288"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450"/>
            </w:tblGrid>
            <w:tr w:rsidR="00326E3C" w:rsidRPr="0011454A" w14:paraId="15318D94" w14:textId="77777777">
              <w:trPr>
                <w:tblCellSpacing w:w="15" w:type="dxa"/>
              </w:trPr>
              <w:tc>
                <w:tcPr>
                  <w:tcW w:w="3390" w:type="dxa"/>
                  <w:vAlign w:val="center"/>
                </w:tcPr>
                <w:p w14:paraId="1AE9C4DA" w14:textId="77777777" w:rsidR="00326E3C" w:rsidRPr="0011454A" w:rsidRDefault="008A7566" w:rsidP="00607040">
                  <w:pPr>
                    <w:framePr w:hSpace="180" w:wrap="around" w:vAnchor="text" w:hAnchor="text" w:y="1"/>
                    <w:suppressOverlap/>
                    <w:jc w:val="both"/>
                    <w:rPr>
                      <w:rFonts w:ascii="Arial" w:eastAsia="Times New Roman" w:hAnsi="Arial" w:cs="Arial"/>
                      <w:sz w:val="20"/>
                      <w:szCs w:val="16"/>
                    </w:rPr>
                  </w:pPr>
                  <w:r w:rsidRPr="0011454A">
                    <w:rPr>
                      <w:rFonts w:ascii="Arial" w:eastAsia="Times New Roman" w:hAnsi="Arial" w:cs="Arial"/>
                      <w:sz w:val="20"/>
                      <w:szCs w:val="16"/>
                    </w:rPr>
                    <w:t>Does it affect your academic performance</w:t>
                  </w:r>
                </w:p>
              </w:tc>
            </w:tr>
          </w:tbl>
          <w:p w14:paraId="29112AF4" w14:textId="77777777" w:rsidR="00326E3C" w:rsidRPr="0011454A" w:rsidRDefault="00326E3C">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16"/>
              </w:rPr>
            </w:pPr>
          </w:p>
        </w:tc>
        <w:tc>
          <w:tcPr>
            <w:tcW w:w="1489" w:type="pct"/>
          </w:tcPr>
          <w:p w14:paraId="12A9915C" w14:textId="77777777" w:rsidR="00326E3C" w:rsidRPr="0011454A" w:rsidRDefault="00326E3C">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16"/>
              </w:rPr>
            </w:pPr>
          </w:p>
        </w:tc>
      </w:tr>
      <w:tr w:rsidR="00326E3C" w:rsidRPr="00216F5A" w14:paraId="551A5ABE" w14:textId="77777777" w:rsidTr="0011454A">
        <w:tc>
          <w:tcPr>
            <w:cnfStyle w:val="001000000000" w:firstRow="0" w:lastRow="0" w:firstColumn="1" w:lastColumn="0" w:oddVBand="0" w:evenVBand="0" w:oddHBand="0" w:evenHBand="0" w:firstRowFirstColumn="0" w:firstRowLastColumn="0" w:lastRowFirstColumn="0" w:lastRowLastColumn="0"/>
            <w:tcW w:w="1223" w:type="pct"/>
            <w:noWrap/>
          </w:tcPr>
          <w:p w14:paraId="68970C07" w14:textId="77777777" w:rsidR="00326E3C" w:rsidRPr="0011454A" w:rsidRDefault="00326E3C">
            <w:pPr>
              <w:jc w:val="both"/>
              <w:rPr>
                <w:rFonts w:ascii="Arial" w:hAnsi="Arial" w:cs="Arial"/>
                <w:b w:val="0"/>
                <w:sz w:val="20"/>
                <w:szCs w:val="16"/>
              </w:rPr>
            </w:pPr>
          </w:p>
        </w:tc>
        <w:tc>
          <w:tcPr>
            <w:tcW w:w="2288" w:type="pct"/>
          </w:tcPr>
          <w:p w14:paraId="05B5489B"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16"/>
              </w:rPr>
            </w:pPr>
            <w:r w:rsidRPr="0011454A">
              <w:rPr>
                <w:rFonts w:ascii="Arial" w:eastAsia="Times New Roman" w:hAnsi="Arial" w:cs="Arial"/>
                <w:sz w:val="20"/>
                <w:szCs w:val="16"/>
              </w:rPr>
              <w:t>Yes</w:t>
            </w:r>
          </w:p>
        </w:tc>
        <w:tc>
          <w:tcPr>
            <w:tcW w:w="1489" w:type="pct"/>
          </w:tcPr>
          <w:p w14:paraId="16AF108B"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16"/>
              </w:rPr>
            </w:pPr>
            <w:r w:rsidRPr="0011454A">
              <w:rPr>
                <w:rFonts w:ascii="Arial" w:hAnsi="Arial" w:cs="Arial"/>
                <w:b/>
                <w:sz w:val="20"/>
                <w:szCs w:val="16"/>
              </w:rPr>
              <w:t>No</w:t>
            </w:r>
          </w:p>
        </w:tc>
      </w:tr>
      <w:tr w:rsidR="00326E3C" w:rsidRPr="00216F5A" w14:paraId="7D203060" w14:textId="77777777" w:rsidTr="0011454A">
        <w:tc>
          <w:tcPr>
            <w:cnfStyle w:val="001000000000" w:firstRow="0" w:lastRow="0" w:firstColumn="1" w:lastColumn="0" w:oddVBand="0" w:evenVBand="0" w:oddHBand="0" w:evenHBand="0" w:firstRowFirstColumn="0" w:firstRowLastColumn="0" w:lastRowFirstColumn="0" w:lastRowLastColumn="0"/>
            <w:tcW w:w="1223" w:type="pct"/>
            <w:noWrap/>
          </w:tcPr>
          <w:p w14:paraId="6F181857" w14:textId="77777777" w:rsidR="00326E3C" w:rsidRPr="0011454A" w:rsidRDefault="008A7566">
            <w:pPr>
              <w:jc w:val="both"/>
              <w:rPr>
                <w:rFonts w:ascii="Arial" w:hAnsi="Arial" w:cs="Arial"/>
                <w:b w:val="0"/>
                <w:sz w:val="20"/>
                <w:szCs w:val="16"/>
              </w:rPr>
            </w:pPr>
            <w:r w:rsidRPr="0011454A">
              <w:rPr>
                <w:rFonts w:ascii="Arial" w:hAnsi="Arial" w:cs="Arial"/>
                <w:sz w:val="20"/>
                <w:szCs w:val="16"/>
              </w:rPr>
              <w:t>Step 1</w:t>
            </w:r>
          </w:p>
        </w:tc>
        <w:tc>
          <w:tcPr>
            <w:tcW w:w="2288" w:type="pct"/>
          </w:tcPr>
          <w:p w14:paraId="0A6AC256" w14:textId="77777777" w:rsidR="00326E3C" w:rsidRPr="0011454A" w:rsidRDefault="00326E3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16"/>
              </w:rPr>
            </w:pPr>
          </w:p>
        </w:tc>
        <w:tc>
          <w:tcPr>
            <w:tcW w:w="1489" w:type="pct"/>
          </w:tcPr>
          <w:p w14:paraId="3CAE131E" w14:textId="77777777" w:rsidR="00326E3C" w:rsidRPr="0011454A" w:rsidRDefault="00326E3C">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16"/>
              </w:rPr>
            </w:pPr>
          </w:p>
        </w:tc>
      </w:tr>
      <w:tr w:rsidR="00326E3C" w:rsidRPr="00216F5A" w14:paraId="6EE7563E" w14:textId="77777777" w:rsidTr="0011454A">
        <w:tc>
          <w:tcPr>
            <w:cnfStyle w:val="001000000000" w:firstRow="0" w:lastRow="0" w:firstColumn="1" w:lastColumn="0" w:oddVBand="0" w:evenVBand="0" w:oddHBand="0" w:evenHBand="0" w:firstRowFirstColumn="0" w:firstRowLastColumn="0" w:lastRowFirstColumn="0" w:lastRowLastColumn="0"/>
            <w:tcW w:w="1223" w:type="pct"/>
            <w:noWrap/>
          </w:tcPr>
          <w:p w14:paraId="56ECC1D8" w14:textId="77777777" w:rsidR="00326E3C" w:rsidRPr="0011454A" w:rsidRDefault="008A7566">
            <w:pPr>
              <w:jc w:val="both"/>
              <w:rPr>
                <w:rFonts w:ascii="Arial" w:hAnsi="Arial" w:cs="Arial"/>
                <w:b w:val="0"/>
                <w:sz w:val="20"/>
                <w:szCs w:val="16"/>
              </w:rPr>
            </w:pPr>
            <w:r w:rsidRPr="0011454A">
              <w:rPr>
                <w:rFonts w:ascii="Arial" w:hAnsi="Arial" w:cs="Arial"/>
                <w:sz w:val="20"/>
                <w:szCs w:val="16"/>
              </w:rPr>
              <w:t>Yes</w:t>
            </w:r>
          </w:p>
        </w:tc>
        <w:tc>
          <w:tcPr>
            <w:tcW w:w="2288" w:type="pct"/>
          </w:tcPr>
          <w:p w14:paraId="53D555C2"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16"/>
              </w:rPr>
            </w:pPr>
            <w:r w:rsidRPr="0011454A">
              <w:rPr>
                <w:rFonts w:ascii="Arial" w:eastAsia="Times New Roman" w:hAnsi="Arial" w:cs="Arial"/>
                <w:sz w:val="20"/>
                <w:szCs w:val="16"/>
              </w:rPr>
              <w:t>96</w:t>
            </w:r>
          </w:p>
        </w:tc>
        <w:tc>
          <w:tcPr>
            <w:tcW w:w="1489" w:type="pct"/>
          </w:tcPr>
          <w:p w14:paraId="3A47C899"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16"/>
              </w:rPr>
            </w:pPr>
            <w:r w:rsidRPr="0011454A">
              <w:rPr>
                <w:rFonts w:ascii="Arial" w:hAnsi="Arial" w:cs="Arial"/>
                <w:b/>
                <w:sz w:val="20"/>
                <w:szCs w:val="16"/>
              </w:rPr>
              <w:t>0</w:t>
            </w:r>
          </w:p>
        </w:tc>
      </w:tr>
      <w:tr w:rsidR="00326E3C" w:rsidRPr="00216F5A" w14:paraId="360CE1AB" w14:textId="77777777" w:rsidTr="0011454A">
        <w:tc>
          <w:tcPr>
            <w:cnfStyle w:val="001000000000" w:firstRow="0" w:lastRow="0" w:firstColumn="1" w:lastColumn="0" w:oddVBand="0" w:evenVBand="0" w:oddHBand="0" w:evenHBand="0" w:firstRowFirstColumn="0" w:firstRowLastColumn="0" w:lastRowFirstColumn="0" w:lastRowLastColumn="0"/>
            <w:tcW w:w="1223" w:type="pct"/>
            <w:noWrap/>
          </w:tcPr>
          <w:p w14:paraId="3BE47F5C" w14:textId="77777777" w:rsidR="00326E3C" w:rsidRPr="0011454A" w:rsidRDefault="008A7566">
            <w:pPr>
              <w:jc w:val="both"/>
              <w:rPr>
                <w:rFonts w:ascii="Arial" w:hAnsi="Arial" w:cs="Arial"/>
                <w:b w:val="0"/>
                <w:sz w:val="20"/>
                <w:szCs w:val="16"/>
              </w:rPr>
            </w:pPr>
            <w:r w:rsidRPr="0011454A">
              <w:rPr>
                <w:rFonts w:ascii="Arial" w:hAnsi="Arial" w:cs="Arial"/>
                <w:sz w:val="20"/>
                <w:szCs w:val="16"/>
              </w:rPr>
              <w:lastRenderedPageBreak/>
              <w:t>No</w:t>
            </w:r>
          </w:p>
        </w:tc>
        <w:tc>
          <w:tcPr>
            <w:tcW w:w="2288" w:type="pct"/>
          </w:tcPr>
          <w:p w14:paraId="47F6C98F"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16"/>
              </w:rPr>
            </w:pPr>
            <w:r w:rsidRPr="0011454A">
              <w:rPr>
                <w:rFonts w:ascii="Arial" w:eastAsia="Times New Roman" w:hAnsi="Arial" w:cs="Arial"/>
                <w:sz w:val="20"/>
                <w:szCs w:val="16"/>
              </w:rPr>
              <w:t>4</w:t>
            </w:r>
          </w:p>
        </w:tc>
        <w:tc>
          <w:tcPr>
            <w:tcW w:w="1489" w:type="pct"/>
          </w:tcPr>
          <w:p w14:paraId="619F4452"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16"/>
              </w:rPr>
            </w:pPr>
            <w:r w:rsidRPr="0011454A">
              <w:rPr>
                <w:rFonts w:ascii="Arial" w:hAnsi="Arial" w:cs="Arial"/>
                <w:b/>
                <w:sz w:val="20"/>
                <w:szCs w:val="16"/>
              </w:rPr>
              <w:t>0</w:t>
            </w:r>
          </w:p>
        </w:tc>
      </w:tr>
      <w:tr w:rsidR="00326E3C" w:rsidRPr="00216F5A" w14:paraId="4062DB96" w14:textId="77777777" w:rsidTr="0011454A">
        <w:tc>
          <w:tcPr>
            <w:cnfStyle w:val="001000000000" w:firstRow="0" w:lastRow="0" w:firstColumn="1" w:lastColumn="0" w:oddVBand="0" w:evenVBand="0" w:oddHBand="0" w:evenHBand="0" w:firstRowFirstColumn="0" w:firstRowLastColumn="0" w:lastRowFirstColumn="0" w:lastRowLastColumn="0"/>
            <w:tcW w:w="1223" w:type="pct"/>
            <w:tcBorders>
              <w:top w:val="single" w:sz="4" w:space="0" w:color="7F7F7F"/>
            </w:tcBorders>
            <w:noWrap/>
          </w:tcPr>
          <w:p w14:paraId="273A3BD5" w14:textId="77777777" w:rsidR="00326E3C" w:rsidRPr="0011454A" w:rsidRDefault="008A7566">
            <w:pPr>
              <w:jc w:val="both"/>
              <w:rPr>
                <w:rFonts w:ascii="Arial" w:hAnsi="Arial" w:cs="Arial"/>
                <w:b w:val="0"/>
                <w:bCs w:val="0"/>
                <w:sz w:val="20"/>
                <w:szCs w:val="16"/>
              </w:rPr>
            </w:pPr>
            <w:r w:rsidRPr="0011454A">
              <w:rPr>
                <w:rFonts w:ascii="Arial" w:hAnsi="Arial" w:cs="Arial"/>
                <w:b w:val="0"/>
                <w:sz w:val="20"/>
                <w:szCs w:val="16"/>
              </w:rPr>
              <w:t>Overall Percentage</w:t>
            </w:r>
          </w:p>
        </w:tc>
        <w:tc>
          <w:tcPr>
            <w:tcW w:w="2288" w:type="pct"/>
            <w:tcBorders>
              <w:top w:val="single" w:sz="4" w:space="0" w:color="7F7F7F"/>
            </w:tcBorders>
          </w:tcPr>
          <w:p w14:paraId="001624A3" w14:textId="77777777" w:rsidR="00326E3C" w:rsidRPr="0011454A" w:rsidRDefault="00326E3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16"/>
              </w:rPr>
            </w:pPr>
          </w:p>
        </w:tc>
        <w:tc>
          <w:tcPr>
            <w:tcW w:w="1489" w:type="pct"/>
            <w:tcBorders>
              <w:top w:val="single" w:sz="4" w:space="0" w:color="7F7F7F"/>
            </w:tcBorders>
          </w:tcPr>
          <w:p w14:paraId="6C8834EA"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16"/>
              </w:rPr>
            </w:pPr>
            <w:r w:rsidRPr="0011454A">
              <w:rPr>
                <w:rFonts w:ascii="Arial" w:hAnsi="Arial" w:cs="Arial"/>
                <w:bCs/>
                <w:sz w:val="20"/>
                <w:szCs w:val="16"/>
              </w:rPr>
              <w:t>96.0%</w:t>
            </w:r>
          </w:p>
        </w:tc>
      </w:tr>
    </w:tbl>
    <w:p w14:paraId="2B8EE43B" w14:textId="77777777" w:rsidR="00326E3C" w:rsidRPr="00216F5A" w:rsidRDefault="00326E3C">
      <w:pPr>
        <w:jc w:val="both"/>
        <w:rPr>
          <w:rFonts w:ascii="Arial" w:hAnsi="Arial" w:cs="Arial"/>
          <w:sz w:val="20"/>
          <w:szCs w:val="20"/>
        </w:rPr>
      </w:pPr>
    </w:p>
    <w:p w14:paraId="23D68400" w14:textId="77777777" w:rsidR="00326E3C" w:rsidRPr="00216F5A" w:rsidRDefault="00326E3C">
      <w:pPr>
        <w:jc w:val="both"/>
        <w:rPr>
          <w:rFonts w:ascii="Arial" w:hAnsi="Arial" w:cs="Arial"/>
          <w:sz w:val="20"/>
          <w:szCs w:val="20"/>
        </w:rPr>
      </w:pPr>
    </w:p>
    <w:p w14:paraId="7792C24C" w14:textId="77777777" w:rsidR="00326E3C" w:rsidRPr="00216F5A" w:rsidRDefault="00326E3C">
      <w:pPr>
        <w:jc w:val="both"/>
        <w:rPr>
          <w:rFonts w:ascii="Arial" w:eastAsia="Times New Roman" w:hAnsi="Arial" w:cs="Arial"/>
          <w:sz w:val="20"/>
          <w:szCs w:val="20"/>
        </w:rPr>
      </w:pPr>
    </w:p>
    <w:p w14:paraId="5434D6B1" w14:textId="77777777" w:rsidR="00326E3C" w:rsidRPr="00216F5A" w:rsidRDefault="00326E3C">
      <w:pPr>
        <w:jc w:val="both"/>
        <w:rPr>
          <w:rFonts w:ascii="Arial" w:hAnsi="Arial" w:cs="Arial"/>
          <w:sz w:val="20"/>
          <w:szCs w:val="20"/>
        </w:rPr>
      </w:pPr>
      <w:bookmarkStart w:id="14" w:name="_Toc11398007"/>
    </w:p>
    <w:p w14:paraId="0A1D3286" w14:textId="77777777" w:rsidR="00326E3C" w:rsidRPr="00216F5A" w:rsidRDefault="00326E3C">
      <w:pPr>
        <w:jc w:val="both"/>
        <w:rPr>
          <w:rFonts w:ascii="Arial" w:hAnsi="Arial" w:cs="Arial"/>
          <w:sz w:val="20"/>
          <w:szCs w:val="20"/>
        </w:rPr>
      </w:pPr>
    </w:p>
    <w:p w14:paraId="1D27F993" w14:textId="77777777" w:rsidR="00326E3C" w:rsidRPr="00216F5A" w:rsidRDefault="00326E3C">
      <w:pPr>
        <w:jc w:val="both"/>
        <w:rPr>
          <w:rFonts w:ascii="Arial" w:hAnsi="Arial" w:cs="Arial"/>
          <w:sz w:val="20"/>
          <w:szCs w:val="20"/>
        </w:rPr>
      </w:pPr>
    </w:p>
    <w:p w14:paraId="219E4D67" w14:textId="77777777" w:rsidR="00326E3C" w:rsidRPr="00216F5A" w:rsidRDefault="00326E3C">
      <w:pPr>
        <w:jc w:val="both"/>
        <w:rPr>
          <w:rFonts w:ascii="Arial" w:hAnsi="Arial" w:cs="Arial"/>
          <w:sz w:val="20"/>
          <w:szCs w:val="20"/>
        </w:rPr>
      </w:pPr>
    </w:p>
    <w:p w14:paraId="510C2974" w14:textId="77777777" w:rsidR="00326E3C" w:rsidRPr="00216F5A" w:rsidRDefault="008A7566">
      <w:pPr>
        <w:jc w:val="both"/>
        <w:rPr>
          <w:rFonts w:ascii="Arial" w:hAnsi="Arial" w:cs="Arial"/>
          <w:sz w:val="20"/>
          <w:szCs w:val="20"/>
        </w:rPr>
      </w:pPr>
      <w:r w:rsidRPr="00216F5A">
        <w:rPr>
          <w:rFonts w:ascii="Arial" w:hAnsi="Arial" w:cs="Arial"/>
          <w:sz w:val="20"/>
          <w:szCs w:val="20"/>
        </w:rPr>
        <w:t>The table above shows an overall classification accuracy of 96.0%, indicating that the model correctly predicted the outcome for 96% of cases. This high percentage suggests that the model is effective in predicting whether academic performance is affected. However, the model failed to correctly predict any instances of 'No' for the outcome variable</w:t>
      </w:r>
    </w:p>
    <w:p w14:paraId="5A9F3A74" w14:textId="16BEC4B4" w:rsidR="00326E3C" w:rsidRPr="0011454A" w:rsidRDefault="008A7566">
      <w:pPr>
        <w:jc w:val="both"/>
        <w:rPr>
          <w:rFonts w:ascii="Arial" w:hAnsi="Arial" w:cs="Arial"/>
          <w:b/>
          <w:sz w:val="20"/>
          <w:szCs w:val="16"/>
        </w:rPr>
      </w:pPr>
      <w:r w:rsidRPr="0011454A">
        <w:rPr>
          <w:rFonts w:ascii="Arial" w:hAnsi="Arial" w:cs="Arial"/>
          <w:b/>
          <w:sz w:val="20"/>
          <w:szCs w:val="16"/>
        </w:rPr>
        <w:t>Table 7 Variables in the Equation</w:t>
      </w:r>
      <w:bookmarkEnd w:id="14"/>
    </w:p>
    <w:tbl>
      <w:tblPr>
        <w:tblStyle w:val="PlainTable21"/>
        <w:tblpPr w:leftFromText="180" w:rightFromText="180" w:vertAnchor="text" w:tblpY="1"/>
        <w:tblOverlap w:val="never"/>
        <w:tblW w:w="4966" w:type="pct"/>
        <w:tblLayout w:type="fixed"/>
        <w:tblLook w:val="04A0" w:firstRow="1" w:lastRow="0" w:firstColumn="1" w:lastColumn="0" w:noHBand="0" w:noVBand="1"/>
      </w:tblPr>
      <w:tblGrid>
        <w:gridCol w:w="1235"/>
        <w:gridCol w:w="928"/>
        <w:gridCol w:w="989"/>
        <w:gridCol w:w="449"/>
        <w:gridCol w:w="721"/>
        <w:gridCol w:w="990"/>
        <w:gridCol w:w="271"/>
        <w:gridCol w:w="1622"/>
        <w:gridCol w:w="2335"/>
      </w:tblGrid>
      <w:tr w:rsidR="004E0C55" w:rsidRPr="00216F5A" w14:paraId="01A452A4" w14:textId="77777777" w:rsidTr="002730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pct"/>
            <w:noWrap/>
          </w:tcPr>
          <w:p w14:paraId="299262E3" w14:textId="77777777" w:rsidR="004E0C55" w:rsidRPr="0011454A" w:rsidRDefault="004E0C55">
            <w:pPr>
              <w:jc w:val="both"/>
              <w:rPr>
                <w:rFonts w:ascii="Arial" w:hAnsi="Arial" w:cs="Arial"/>
                <w:b w:val="0"/>
                <w:bCs w:val="0"/>
                <w:sz w:val="20"/>
                <w:szCs w:val="16"/>
              </w:rPr>
            </w:pPr>
            <w:r w:rsidRPr="0011454A">
              <w:rPr>
                <w:rFonts w:ascii="Arial" w:hAnsi="Arial" w:cs="Arial"/>
                <w:b w:val="0"/>
                <w:sz w:val="20"/>
                <w:szCs w:val="16"/>
              </w:rPr>
              <w:t>Step</w:t>
            </w:r>
          </w:p>
        </w:tc>
        <w:tc>
          <w:tcPr>
            <w:tcW w:w="486" w:type="pct"/>
          </w:tcPr>
          <w:p w14:paraId="6FE863C5" w14:textId="77777777"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hAnsi="Arial" w:cs="Arial"/>
                <w:b w:val="0"/>
                <w:sz w:val="20"/>
                <w:szCs w:val="16"/>
              </w:rPr>
              <w:t>B</w:t>
            </w:r>
          </w:p>
        </w:tc>
        <w:tc>
          <w:tcPr>
            <w:tcW w:w="518" w:type="pct"/>
          </w:tcPr>
          <w:p w14:paraId="41487D71" w14:textId="77777777"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hAnsi="Arial" w:cs="Arial"/>
                <w:b w:val="0"/>
                <w:sz w:val="20"/>
                <w:szCs w:val="16"/>
              </w:rPr>
              <w:t>S.E.</w:t>
            </w:r>
          </w:p>
        </w:tc>
        <w:tc>
          <w:tcPr>
            <w:tcW w:w="235" w:type="pct"/>
          </w:tcPr>
          <w:p w14:paraId="15014214" w14:textId="77777777"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16"/>
              </w:rPr>
            </w:pPr>
            <w:r w:rsidRPr="0011454A">
              <w:rPr>
                <w:rFonts w:ascii="Arial" w:eastAsia="Times New Roman" w:hAnsi="Arial" w:cs="Arial"/>
                <w:b w:val="0"/>
                <w:color w:val="000000"/>
                <w:sz w:val="20"/>
                <w:szCs w:val="16"/>
              </w:rPr>
              <w:t>df</w:t>
            </w:r>
          </w:p>
        </w:tc>
        <w:tc>
          <w:tcPr>
            <w:tcW w:w="378" w:type="pct"/>
          </w:tcPr>
          <w:p w14:paraId="6C50AD90" w14:textId="77777777"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16"/>
              </w:rPr>
            </w:pPr>
            <w:r w:rsidRPr="0011454A">
              <w:rPr>
                <w:rFonts w:ascii="Arial" w:eastAsia="Times New Roman" w:hAnsi="Arial" w:cs="Arial"/>
                <w:b w:val="0"/>
                <w:color w:val="000000"/>
                <w:sz w:val="20"/>
                <w:szCs w:val="16"/>
              </w:rPr>
              <w:t>sig</w:t>
            </w:r>
          </w:p>
        </w:tc>
        <w:tc>
          <w:tcPr>
            <w:tcW w:w="661" w:type="pct"/>
            <w:gridSpan w:val="2"/>
          </w:tcPr>
          <w:p w14:paraId="6E1F6545" w14:textId="77777777"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16"/>
              </w:rPr>
            </w:pPr>
            <w:r w:rsidRPr="0011454A">
              <w:rPr>
                <w:rFonts w:ascii="Arial" w:eastAsia="Times New Roman" w:hAnsi="Arial" w:cs="Arial"/>
                <w:b w:val="0"/>
                <w:color w:val="000000"/>
                <w:sz w:val="20"/>
                <w:szCs w:val="16"/>
              </w:rPr>
              <w:t>Exp(B)</w:t>
            </w:r>
          </w:p>
        </w:tc>
        <w:tc>
          <w:tcPr>
            <w:tcW w:w="850" w:type="pct"/>
          </w:tcPr>
          <w:p w14:paraId="457D00ED" w14:textId="77777777"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16"/>
              </w:rPr>
            </w:pPr>
            <w:r w:rsidRPr="0011454A">
              <w:rPr>
                <w:rFonts w:ascii="Arial" w:eastAsia="Times New Roman" w:hAnsi="Arial" w:cs="Arial"/>
                <w:b w:val="0"/>
                <w:color w:val="000000"/>
                <w:sz w:val="20"/>
                <w:szCs w:val="16"/>
              </w:rPr>
              <w:t xml:space="preserve">95.0% C.I. for Exp(B) </w:t>
            </w:r>
            <w:proofErr w:type="gramStart"/>
            <w:r w:rsidRPr="0011454A">
              <w:rPr>
                <w:rFonts w:ascii="Arial" w:eastAsia="Times New Roman" w:hAnsi="Arial" w:cs="Arial"/>
                <w:b w:val="0"/>
                <w:color w:val="000000"/>
                <w:sz w:val="20"/>
                <w:szCs w:val="16"/>
              </w:rPr>
              <w:t>( Lower</w:t>
            </w:r>
            <w:proofErr w:type="gramEnd"/>
            <w:r w:rsidRPr="0011454A">
              <w:rPr>
                <w:rFonts w:ascii="Arial" w:eastAsia="Times New Roman" w:hAnsi="Arial" w:cs="Arial"/>
                <w:b w:val="0"/>
                <w:color w:val="000000"/>
                <w:sz w:val="20"/>
                <w:szCs w:val="16"/>
              </w:rPr>
              <w:t>)</w:t>
            </w:r>
          </w:p>
        </w:tc>
        <w:tc>
          <w:tcPr>
            <w:tcW w:w="1224" w:type="pct"/>
          </w:tcPr>
          <w:p w14:paraId="67995D7C" w14:textId="77777777"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16"/>
              </w:rPr>
            </w:pPr>
            <w:r w:rsidRPr="0011454A">
              <w:rPr>
                <w:rFonts w:ascii="Arial" w:eastAsia="Times New Roman" w:hAnsi="Arial" w:cs="Arial"/>
                <w:b w:val="0"/>
                <w:color w:val="000000"/>
                <w:sz w:val="20"/>
                <w:szCs w:val="16"/>
              </w:rPr>
              <w:t>95.0% C.I. for Exp(B</w:t>
            </w:r>
            <w:proofErr w:type="gramStart"/>
            <w:r w:rsidRPr="0011454A">
              <w:rPr>
                <w:rFonts w:ascii="Arial" w:eastAsia="Times New Roman" w:hAnsi="Arial" w:cs="Arial"/>
                <w:b w:val="0"/>
                <w:color w:val="000000"/>
                <w:sz w:val="20"/>
                <w:szCs w:val="16"/>
              </w:rPr>
              <w:t>)( Upper</w:t>
            </w:r>
            <w:proofErr w:type="gramEnd"/>
            <w:r w:rsidRPr="0011454A">
              <w:rPr>
                <w:rFonts w:ascii="Arial" w:eastAsia="Times New Roman" w:hAnsi="Arial" w:cs="Arial"/>
                <w:b w:val="0"/>
                <w:color w:val="000000"/>
                <w:sz w:val="20"/>
                <w:szCs w:val="16"/>
              </w:rPr>
              <w:t>)</w:t>
            </w:r>
          </w:p>
        </w:tc>
      </w:tr>
      <w:tr w:rsidR="004E0C55" w:rsidRPr="00216F5A" w14:paraId="4E72359A" w14:textId="77777777" w:rsidTr="002730FF">
        <w:tc>
          <w:tcPr>
            <w:cnfStyle w:val="001000000000" w:firstRow="0" w:lastRow="0" w:firstColumn="1" w:lastColumn="0" w:oddVBand="0" w:evenVBand="0" w:oddHBand="0" w:evenHBand="0" w:firstRowFirstColumn="0" w:firstRowLastColumn="0" w:lastRowFirstColumn="0" w:lastRowLastColumn="0"/>
            <w:tcW w:w="647" w:type="pct"/>
            <w:noWrap/>
          </w:tcPr>
          <w:p w14:paraId="180302F8" w14:textId="77777777" w:rsidR="004E0C55" w:rsidRPr="0011454A" w:rsidRDefault="004E0C55">
            <w:pPr>
              <w:jc w:val="both"/>
              <w:rPr>
                <w:rFonts w:ascii="Arial" w:hAnsi="Arial" w:cs="Arial"/>
                <w:sz w:val="20"/>
                <w:szCs w:val="16"/>
              </w:rPr>
            </w:pPr>
            <w:r w:rsidRPr="0011454A">
              <w:rPr>
                <w:rFonts w:ascii="Arial" w:hAnsi="Arial" w:cs="Arial"/>
                <w:sz w:val="20"/>
                <w:szCs w:val="16"/>
              </w:rPr>
              <w:t>Age</w:t>
            </w:r>
          </w:p>
        </w:tc>
        <w:tc>
          <w:tcPr>
            <w:tcW w:w="486" w:type="pct"/>
          </w:tcPr>
          <w:p w14:paraId="4695B012"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16"/>
              </w:rPr>
            </w:pPr>
            <w:r w:rsidRPr="0011454A">
              <w:rPr>
                <w:rFonts w:ascii="Arial" w:hAnsi="Arial" w:cs="Arial"/>
                <w:sz w:val="20"/>
                <w:szCs w:val="16"/>
              </w:rPr>
              <w:t>-18.074</w:t>
            </w:r>
          </w:p>
        </w:tc>
        <w:tc>
          <w:tcPr>
            <w:tcW w:w="518" w:type="pct"/>
          </w:tcPr>
          <w:p w14:paraId="77908EEB"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16"/>
              </w:rPr>
            </w:pPr>
            <w:r w:rsidRPr="0011454A">
              <w:rPr>
                <w:rFonts w:ascii="Arial" w:hAnsi="Arial" w:cs="Arial"/>
                <w:sz w:val="20"/>
                <w:szCs w:val="16"/>
              </w:rPr>
              <w:t>5.553E3</w:t>
            </w:r>
          </w:p>
        </w:tc>
        <w:tc>
          <w:tcPr>
            <w:tcW w:w="235" w:type="pct"/>
          </w:tcPr>
          <w:p w14:paraId="7FC7D6F0"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1</w:t>
            </w:r>
          </w:p>
        </w:tc>
        <w:tc>
          <w:tcPr>
            <w:tcW w:w="378" w:type="pct"/>
          </w:tcPr>
          <w:p w14:paraId="308DA1E9"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0.997</w:t>
            </w:r>
          </w:p>
        </w:tc>
        <w:tc>
          <w:tcPr>
            <w:tcW w:w="519" w:type="pct"/>
          </w:tcPr>
          <w:p w14:paraId="448930B3"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0.00</w:t>
            </w:r>
          </w:p>
        </w:tc>
        <w:tc>
          <w:tcPr>
            <w:tcW w:w="992" w:type="pct"/>
            <w:gridSpan w:val="2"/>
          </w:tcPr>
          <w:p w14:paraId="5E1E20B0" w14:textId="77777777" w:rsidR="004E0C55" w:rsidRPr="0011454A" w:rsidRDefault="004E0C55">
            <w:pPr>
              <w:ind w:firstLine="7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0.000</w:t>
            </w:r>
          </w:p>
        </w:tc>
        <w:tc>
          <w:tcPr>
            <w:tcW w:w="1224" w:type="pct"/>
          </w:tcPr>
          <w:p w14:paraId="44D8DBBA" w14:textId="77777777" w:rsidR="004E0C55" w:rsidRPr="0011454A" w:rsidRDefault="004E0C55">
            <w:pPr>
              <w:ind w:firstLine="7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w:t>
            </w:r>
          </w:p>
        </w:tc>
      </w:tr>
      <w:tr w:rsidR="004E0C55" w:rsidRPr="00216F5A" w14:paraId="7AAB8C9D" w14:textId="77777777" w:rsidTr="002730FF">
        <w:tc>
          <w:tcPr>
            <w:cnfStyle w:val="001000000000" w:firstRow="0" w:lastRow="0" w:firstColumn="1" w:lastColumn="0" w:oddVBand="0" w:evenVBand="0" w:oddHBand="0" w:evenHBand="0" w:firstRowFirstColumn="0" w:firstRowLastColumn="0" w:lastRowFirstColumn="0" w:lastRowLastColumn="0"/>
            <w:tcW w:w="647" w:type="pct"/>
            <w:noWrap/>
          </w:tcPr>
          <w:p w14:paraId="0E7F3648" w14:textId="77777777" w:rsidR="004E0C55" w:rsidRPr="0011454A" w:rsidRDefault="004E0C55">
            <w:pPr>
              <w:jc w:val="both"/>
              <w:rPr>
                <w:rFonts w:ascii="Arial" w:hAnsi="Arial" w:cs="Arial"/>
                <w:sz w:val="20"/>
                <w:szCs w:val="16"/>
              </w:rPr>
            </w:pPr>
            <w:r w:rsidRPr="0011454A">
              <w:rPr>
                <w:rFonts w:ascii="Arial" w:hAnsi="Arial" w:cs="Arial"/>
                <w:sz w:val="20"/>
                <w:szCs w:val="16"/>
              </w:rPr>
              <w:t>Gender</w:t>
            </w:r>
          </w:p>
        </w:tc>
        <w:tc>
          <w:tcPr>
            <w:tcW w:w="486" w:type="pct"/>
          </w:tcPr>
          <w:p w14:paraId="415219C2"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16"/>
              </w:rPr>
            </w:pPr>
            <w:r w:rsidRPr="0011454A">
              <w:rPr>
                <w:rFonts w:ascii="Arial" w:hAnsi="Arial" w:cs="Arial"/>
                <w:sz w:val="20"/>
                <w:szCs w:val="16"/>
              </w:rPr>
              <w:t>16.722</w:t>
            </w:r>
          </w:p>
        </w:tc>
        <w:tc>
          <w:tcPr>
            <w:tcW w:w="518" w:type="pct"/>
          </w:tcPr>
          <w:p w14:paraId="05B30AC3"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16"/>
              </w:rPr>
            </w:pPr>
            <w:r w:rsidRPr="0011454A">
              <w:rPr>
                <w:rFonts w:ascii="Arial" w:hAnsi="Arial" w:cs="Arial"/>
                <w:sz w:val="20"/>
                <w:szCs w:val="16"/>
              </w:rPr>
              <w:t>1.018E4</w:t>
            </w:r>
          </w:p>
        </w:tc>
        <w:tc>
          <w:tcPr>
            <w:tcW w:w="235" w:type="pct"/>
          </w:tcPr>
          <w:p w14:paraId="40B081CE"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1</w:t>
            </w:r>
          </w:p>
        </w:tc>
        <w:tc>
          <w:tcPr>
            <w:tcW w:w="378" w:type="pct"/>
          </w:tcPr>
          <w:p w14:paraId="4E7080B2"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0.999</w:t>
            </w:r>
          </w:p>
        </w:tc>
        <w:tc>
          <w:tcPr>
            <w:tcW w:w="519" w:type="pct"/>
          </w:tcPr>
          <w:p w14:paraId="4D0603BB"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1.829E7</w:t>
            </w:r>
          </w:p>
        </w:tc>
        <w:tc>
          <w:tcPr>
            <w:tcW w:w="992" w:type="pct"/>
            <w:gridSpan w:val="2"/>
          </w:tcPr>
          <w:p w14:paraId="7AC9F951" w14:textId="77777777" w:rsidR="004E0C55" w:rsidRPr="0011454A" w:rsidRDefault="004E0C55">
            <w:pPr>
              <w:ind w:firstLine="7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0.000</w:t>
            </w:r>
          </w:p>
        </w:tc>
        <w:tc>
          <w:tcPr>
            <w:tcW w:w="1224" w:type="pct"/>
          </w:tcPr>
          <w:p w14:paraId="316E9735" w14:textId="77777777" w:rsidR="004E0C55" w:rsidRPr="0011454A" w:rsidRDefault="004E0C55">
            <w:pPr>
              <w:ind w:firstLine="7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w:t>
            </w:r>
          </w:p>
        </w:tc>
      </w:tr>
      <w:tr w:rsidR="004E0C55" w:rsidRPr="00216F5A" w14:paraId="0BB59E2D" w14:textId="77777777" w:rsidTr="002730FF">
        <w:tc>
          <w:tcPr>
            <w:cnfStyle w:val="001000000000" w:firstRow="0" w:lastRow="0" w:firstColumn="1" w:lastColumn="0" w:oddVBand="0" w:evenVBand="0" w:oddHBand="0" w:evenHBand="0" w:firstRowFirstColumn="0" w:firstRowLastColumn="0" w:lastRowFirstColumn="0" w:lastRowLastColumn="0"/>
            <w:tcW w:w="647" w:type="pct"/>
            <w:noWrap/>
          </w:tcPr>
          <w:p w14:paraId="223E645D" w14:textId="77777777" w:rsidR="004E0C55" w:rsidRPr="0011454A" w:rsidRDefault="004E0C55">
            <w:pPr>
              <w:jc w:val="both"/>
              <w:rPr>
                <w:rFonts w:ascii="Arial" w:hAnsi="Arial" w:cs="Arial"/>
                <w:sz w:val="20"/>
                <w:szCs w:val="16"/>
              </w:rPr>
            </w:pPr>
            <w:r w:rsidRPr="0011454A">
              <w:rPr>
                <w:rFonts w:ascii="Arial" w:hAnsi="Arial" w:cs="Arial"/>
                <w:sz w:val="20"/>
                <w:szCs w:val="16"/>
              </w:rPr>
              <w:t>Income</w:t>
            </w:r>
          </w:p>
        </w:tc>
        <w:tc>
          <w:tcPr>
            <w:tcW w:w="486" w:type="pct"/>
          </w:tcPr>
          <w:p w14:paraId="4E9D0B0B"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16"/>
              </w:rPr>
            </w:pPr>
            <w:r w:rsidRPr="0011454A">
              <w:rPr>
                <w:rFonts w:ascii="Arial" w:hAnsi="Arial" w:cs="Arial"/>
                <w:sz w:val="20"/>
                <w:szCs w:val="16"/>
              </w:rPr>
              <w:t>-0.305</w:t>
            </w:r>
          </w:p>
        </w:tc>
        <w:tc>
          <w:tcPr>
            <w:tcW w:w="518" w:type="pct"/>
          </w:tcPr>
          <w:p w14:paraId="79BD74DE"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16"/>
              </w:rPr>
            </w:pPr>
            <w:r w:rsidRPr="0011454A">
              <w:rPr>
                <w:rFonts w:ascii="Arial" w:hAnsi="Arial" w:cs="Arial"/>
                <w:sz w:val="20"/>
                <w:szCs w:val="16"/>
              </w:rPr>
              <w:t>1.032</w:t>
            </w:r>
          </w:p>
        </w:tc>
        <w:tc>
          <w:tcPr>
            <w:tcW w:w="235" w:type="pct"/>
          </w:tcPr>
          <w:p w14:paraId="74395A9D"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1</w:t>
            </w:r>
          </w:p>
        </w:tc>
        <w:tc>
          <w:tcPr>
            <w:tcW w:w="378" w:type="pct"/>
          </w:tcPr>
          <w:p w14:paraId="57561D83"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0.768</w:t>
            </w:r>
          </w:p>
        </w:tc>
        <w:tc>
          <w:tcPr>
            <w:tcW w:w="519" w:type="pct"/>
          </w:tcPr>
          <w:p w14:paraId="1DB71AC3"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0.737</w:t>
            </w:r>
          </w:p>
        </w:tc>
        <w:tc>
          <w:tcPr>
            <w:tcW w:w="992" w:type="pct"/>
            <w:gridSpan w:val="2"/>
          </w:tcPr>
          <w:p w14:paraId="148A5B19" w14:textId="77777777" w:rsidR="004E0C55" w:rsidRPr="0011454A" w:rsidRDefault="004E0C55">
            <w:pPr>
              <w:ind w:firstLine="7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0.098</w:t>
            </w:r>
          </w:p>
        </w:tc>
        <w:tc>
          <w:tcPr>
            <w:tcW w:w="1224" w:type="pct"/>
          </w:tcPr>
          <w:p w14:paraId="1AD580A9" w14:textId="77777777" w:rsidR="004E0C55" w:rsidRPr="0011454A" w:rsidRDefault="004E0C55">
            <w:pPr>
              <w:ind w:firstLine="7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5.576</w:t>
            </w:r>
          </w:p>
        </w:tc>
      </w:tr>
      <w:tr w:rsidR="004E0C55" w:rsidRPr="00216F5A" w14:paraId="1BFE818D" w14:textId="77777777" w:rsidTr="002730FF">
        <w:tc>
          <w:tcPr>
            <w:cnfStyle w:val="001000000000" w:firstRow="0" w:lastRow="0" w:firstColumn="1" w:lastColumn="0" w:oddVBand="0" w:evenVBand="0" w:oddHBand="0" w:evenHBand="0" w:firstRowFirstColumn="0" w:firstRowLastColumn="0" w:lastRowFirstColumn="0" w:lastRowLastColumn="0"/>
            <w:tcW w:w="647" w:type="pct"/>
            <w:noWrap/>
          </w:tcPr>
          <w:p w14:paraId="5181E276" w14:textId="77777777" w:rsidR="004E0C55" w:rsidRPr="0011454A" w:rsidRDefault="004E0C55">
            <w:pPr>
              <w:jc w:val="both"/>
              <w:rPr>
                <w:rFonts w:ascii="Arial" w:hAnsi="Arial" w:cs="Arial"/>
                <w:sz w:val="20"/>
                <w:szCs w:val="16"/>
              </w:rPr>
            </w:pPr>
            <w:r w:rsidRPr="0011454A">
              <w:rPr>
                <w:rFonts w:ascii="Arial" w:hAnsi="Arial" w:cs="Arial"/>
                <w:sz w:val="20"/>
                <w:szCs w:val="16"/>
              </w:rPr>
              <w:t>Reasons</w:t>
            </w:r>
          </w:p>
        </w:tc>
        <w:tc>
          <w:tcPr>
            <w:tcW w:w="486" w:type="pct"/>
          </w:tcPr>
          <w:p w14:paraId="7ED9B8F5"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16"/>
              </w:rPr>
            </w:pPr>
            <w:r w:rsidRPr="0011454A">
              <w:rPr>
                <w:rFonts w:ascii="Arial" w:hAnsi="Arial" w:cs="Arial"/>
                <w:sz w:val="20"/>
                <w:szCs w:val="16"/>
              </w:rPr>
              <w:t>-0.436</w:t>
            </w:r>
          </w:p>
        </w:tc>
        <w:tc>
          <w:tcPr>
            <w:tcW w:w="518" w:type="pct"/>
          </w:tcPr>
          <w:p w14:paraId="01998505"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16"/>
              </w:rPr>
            </w:pPr>
            <w:r w:rsidRPr="0011454A">
              <w:rPr>
                <w:rFonts w:ascii="Arial" w:hAnsi="Arial" w:cs="Arial"/>
                <w:sz w:val="20"/>
                <w:szCs w:val="16"/>
              </w:rPr>
              <w:t>0.912</w:t>
            </w:r>
          </w:p>
        </w:tc>
        <w:tc>
          <w:tcPr>
            <w:tcW w:w="235" w:type="pct"/>
          </w:tcPr>
          <w:p w14:paraId="7990C796"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1</w:t>
            </w:r>
          </w:p>
        </w:tc>
        <w:tc>
          <w:tcPr>
            <w:tcW w:w="378" w:type="pct"/>
          </w:tcPr>
          <w:p w14:paraId="4245BD3B"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0.633</w:t>
            </w:r>
          </w:p>
        </w:tc>
        <w:tc>
          <w:tcPr>
            <w:tcW w:w="519" w:type="pct"/>
          </w:tcPr>
          <w:p w14:paraId="0879497E"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0.647</w:t>
            </w:r>
          </w:p>
        </w:tc>
        <w:tc>
          <w:tcPr>
            <w:tcW w:w="992" w:type="pct"/>
            <w:gridSpan w:val="2"/>
          </w:tcPr>
          <w:p w14:paraId="30051E12" w14:textId="77777777" w:rsidR="004E0C55" w:rsidRPr="0011454A" w:rsidRDefault="004E0C55">
            <w:pPr>
              <w:ind w:firstLine="7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0.108</w:t>
            </w:r>
          </w:p>
        </w:tc>
        <w:tc>
          <w:tcPr>
            <w:tcW w:w="1224" w:type="pct"/>
          </w:tcPr>
          <w:p w14:paraId="4F5F7453" w14:textId="77777777" w:rsidR="004E0C55" w:rsidRPr="0011454A" w:rsidRDefault="004E0C55">
            <w:pPr>
              <w:ind w:firstLine="7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3.866</w:t>
            </w:r>
          </w:p>
        </w:tc>
      </w:tr>
      <w:tr w:rsidR="004E0C55" w:rsidRPr="00216F5A" w14:paraId="402A51C8" w14:textId="77777777" w:rsidTr="002730FF">
        <w:tc>
          <w:tcPr>
            <w:cnfStyle w:val="001000000000" w:firstRow="0" w:lastRow="0" w:firstColumn="1" w:lastColumn="0" w:oddVBand="0" w:evenVBand="0" w:oddHBand="0" w:evenHBand="0" w:firstRowFirstColumn="0" w:firstRowLastColumn="0" w:lastRowFirstColumn="0" w:lastRowLastColumn="0"/>
            <w:tcW w:w="647" w:type="pct"/>
            <w:tcBorders>
              <w:top w:val="single" w:sz="4" w:space="0" w:color="7F7F7F"/>
            </w:tcBorders>
            <w:noWrap/>
          </w:tcPr>
          <w:p w14:paraId="0DBCB932" w14:textId="77777777" w:rsidR="004E0C55" w:rsidRPr="0011454A" w:rsidRDefault="004E0C55">
            <w:pPr>
              <w:jc w:val="both"/>
              <w:rPr>
                <w:rFonts w:ascii="Arial" w:hAnsi="Arial" w:cs="Arial"/>
                <w:b w:val="0"/>
                <w:bCs w:val="0"/>
                <w:sz w:val="20"/>
                <w:szCs w:val="16"/>
              </w:rPr>
            </w:pPr>
            <w:r w:rsidRPr="0011454A">
              <w:rPr>
                <w:rFonts w:ascii="Arial" w:hAnsi="Arial" w:cs="Arial"/>
                <w:b w:val="0"/>
                <w:sz w:val="20"/>
                <w:szCs w:val="16"/>
              </w:rPr>
              <w:t>Constant</w:t>
            </w:r>
          </w:p>
        </w:tc>
        <w:tc>
          <w:tcPr>
            <w:tcW w:w="486" w:type="pct"/>
            <w:tcBorders>
              <w:top w:val="single" w:sz="4" w:space="0" w:color="7F7F7F"/>
            </w:tcBorders>
          </w:tcPr>
          <w:p w14:paraId="1C1964C5"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16"/>
              </w:rPr>
            </w:pPr>
            <w:r w:rsidRPr="0011454A">
              <w:rPr>
                <w:rFonts w:ascii="Arial" w:hAnsi="Arial" w:cs="Arial"/>
                <w:bCs/>
                <w:sz w:val="20"/>
                <w:szCs w:val="16"/>
              </w:rPr>
              <w:t>0.141</w:t>
            </w:r>
          </w:p>
        </w:tc>
        <w:tc>
          <w:tcPr>
            <w:tcW w:w="518" w:type="pct"/>
            <w:tcBorders>
              <w:top w:val="single" w:sz="4" w:space="0" w:color="7F7F7F"/>
            </w:tcBorders>
          </w:tcPr>
          <w:p w14:paraId="153B967C"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16"/>
              </w:rPr>
            </w:pPr>
            <w:r w:rsidRPr="0011454A">
              <w:rPr>
                <w:rFonts w:ascii="Arial" w:hAnsi="Arial" w:cs="Arial"/>
                <w:bCs/>
                <w:sz w:val="20"/>
                <w:szCs w:val="16"/>
              </w:rPr>
              <w:t>1.160E4</w:t>
            </w:r>
          </w:p>
        </w:tc>
        <w:tc>
          <w:tcPr>
            <w:tcW w:w="235" w:type="pct"/>
            <w:tcBorders>
              <w:top w:val="single" w:sz="4" w:space="0" w:color="7F7F7F"/>
            </w:tcBorders>
          </w:tcPr>
          <w:p w14:paraId="2A08E060"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16"/>
              </w:rPr>
            </w:pPr>
            <w:r w:rsidRPr="0011454A">
              <w:rPr>
                <w:rFonts w:ascii="Arial" w:eastAsia="Times New Roman" w:hAnsi="Arial" w:cs="Arial"/>
                <w:bCs/>
                <w:color w:val="000000"/>
                <w:sz w:val="20"/>
                <w:szCs w:val="16"/>
              </w:rPr>
              <w:t>1</w:t>
            </w:r>
          </w:p>
        </w:tc>
        <w:tc>
          <w:tcPr>
            <w:tcW w:w="378" w:type="pct"/>
            <w:tcBorders>
              <w:top w:val="single" w:sz="4" w:space="0" w:color="7F7F7F"/>
            </w:tcBorders>
          </w:tcPr>
          <w:p w14:paraId="319487BC"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16"/>
              </w:rPr>
            </w:pPr>
            <w:r w:rsidRPr="0011454A">
              <w:rPr>
                <w:rFonts w:ascii="Arial" w:eastAsia="Times New Roman" w:hAnsi="Arial" w:cs="Arial"/>
                <w:bCs/>
                <w:color w:val="000000"/>
                <w:sz w:val="20"/>
                <w:szCs w:val="16"/>
              </w:rPr>
              <w:t>1.000</w:t>
            </w:r>
          </w:p>
        </w:tc>
        <w:tc>
          <w:tcPr>
            <w:tcW w:w="519" w:type="pct"/>
            <w:tcBorders>
              <w:top w:val="single" w:sz="4" w:space="0" w:color="7F7F7F"/>
            </w:tcBorders>
          </w:tcPr>
          <w:p w14:paraId="2A280E5D"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16"/>
              </w:rPr>
            </w:pPr>
            <w:r w:rsidRPr="0011454A">
              <w:rPr>
                <w:rFonts w:ascii="Arial" w:eastAsia="Times New Roman" w:hAnsi="Arial" w:cs="Arial"/>
                <w:bCs/>
                <w:color w:val="000000"/>
                <w:sz w:val="20"/>
                <w:szCs w:val="16"/>
              </w:rPr>
              <w:t>0.868</w:t>
            </w:r>
          </w:p>
        </w:tc>
        <w:tc>
          <w:tcPr>
            <w:tcW w:w="992" w:type="pct"/>
            <w:gridSpan w:val="2"/>
            <w:tcBorders>
              <w:top w:val="single" w:sz="4" w:space="0" w:color="7F7F7F"/>
            </w:tcBorders>
          </w:tcPr>
          <w:p w14:paraId="5DBBE22C" w14:textId="77777777" w:rsidR="004E0C55" w:rsidRPr="0011454A" w:rsidRDefault="004E0C55">
            <w:pPr>
              <w:ind w:firstLine="7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16"/>
              </w:rPr>
            </w:pPr>
          </w:p>
        </w:tc>
        <w:tc>
          <w:tcPr>
            <w:tcW w:w="1224" w:type="pct"/>
            <w:tcBorders>
              <w:top w:val="single" w:sz="4" w:space="0" w:color="7F7F7F"/>
            </w:tcBorders>
          </w:tcPr>
          <w:p w14:paraId="0BE08A67" w14:textId="77777777" w:rsidR="004E0C55" w:rsidRPr="0011454A" w:rsidRDefault="004E0C55">
            <w:pPr>
              <w:ind w:firstLine="7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16"/>
              </w:rPr>
            </w:pPr>
          </w:p>
        </w:tc>
      </w:tr>
    </w:tbl>
    <w:p w14:paraId="3290409F" w14:textId="77777777" w:rsidR="00326E3C" w:rsidRPr="00216F5A" w:rsidRDefault="00326E3C">
      <w:pPr>
        <w:jc w:val="both"/>
        <w:rPr>
          <w:rFonts w:ascii="Arial" w:eastAsia="Times New Roman" w:hAnsi="Arial" w:cs="Arial"/>
          <w:bCs/>
          <w:sz w:val="20"/>
          <w:szCs w:val="20"/>
        </w:rPr>
      </w:pPr>
      <w:bookmarkStart w:id="15" w:name="_Toc12955880"/>
    </w:p>
    <w:p w14:paraId="630BDADE" w14:textId="77777777" w:rsidR="00326E3C" w:rsidRPr="00216F5A" w:rsidRDefault="008A7566">
      <w:pPr>
        <w:jc w:val="both"/>
        <w:rPr>
          <w:rFonts w:ascii="Arial" w:eastAsia="Times New Roman" w:hAnsi="Arial" w:cs="Arial"/>
          <w:sz w:val="20"/>
          <w:szCs w:val="20"/>
        </w:rPr>
      </w:pPr>
      <w:r w:rsidRPr="00216F5A">
        <w:rPr>
          <w:rFonts w:ascii="Arial" w:eastAsia="Times New Roman" w:hAnsi="Arial" w:cs="Arial"/>
          <w:bCs/>
          <w:sz w:val="20"/>
          <w:szCs w:val="20"/>
        </w:rPr>
        <w:t>Interpretation:</w:t>
      </w:r>
    </w:p>
    <w:p w14:paraId="58D85EF3" w14:textId="77777777" w:rsidR="00AF1FAE" w:rsidRPr="00216F5A" w:rsidRDefault="005F7814" w:rsidP="00AF1FAE">
      <w:pPr>
        <w:spacing w:after="0" w:line="240" w:lineRule="auto"/>
        <w:rPr>
          <w:rFonts w:ascii="Arial" w:eastAsia="Times New Roman" w:hAnsi="Arial" w:cs="Arial"/>
          <w:sz w:val="24"/>
          <w:szCs w:val="24"/>
        </w:rPr>
      </w:pPr>
      <w:r w:rsidRPr="00216F5A">
        <w:rPr>
          <w:rFonts w:ascii="Arial" w:eastAsia="Times New Roman" w:hAnsi="Arial" w:cs="Arial"/>
          <w:sz w:val="20"/>
          <w:szCs w:val="24"/>
        </w:rPr>
        <w:t>The model's variable coefficients are shown in the B column. Gender, Age, Income, and Reasons have the following coefficients: 16.722, -18.074, -0.305, and -0.436, in that order. The standard error of the coefficient is denoted by S.E. Age, Gender, Income, and Reasons have respective sig. values of.997,.999,.768, and.633. None of the predictors are statistically significant at this level, as all values are higher than the significance level of 0.05.</w:t>
      </w:r>
      <w:r w:rsidR="00AF1FAE" w:rsidRPr="00216F5A">
        <w:rPr>
          <w:rFonts w:ascii="Arial" w:hAnsi="Arial" w:cs="Arial"/>
        </w:rPr>
        <w:t xml:space="preserve"> </w:t>
      </w:r>
      <w:r w:rsidR="00AF1FAE" w:rsidRPr="00216F5A">
        <w:rPr>
          <w:rFonts w:ascii="Arial" w:eastAsia="Times New Roman" w:hAnsi="Arial" w:cs="Arial"/>
          <w:sz w:val="20"/>
          <w:szCs w:val="24"/>
        </w:rPr>
        <w:t>Each variable has a degree of freedom (df) of 1 since each coefficient has a single predictor variable.</w:t>
      </w:r>
    </w:p>
    <w:p w14:paraId="7FBF641E" w14:textId="77777777" w:rsidR="00326E3C" w:rsidRPr="00216F5A" w:rsidRDefault="008A7566" w:rsidP="00AF1FAE">
      <w:pPr>
        <w:spacing w:after="0" w:line="240" w:lineRule="auto"/>
        <w:rPr>
          <w:rFonts w:ascii="Arial" w:eastAsia="Times New Roman" w:hAnsi="Arial" w:cs="Arial"/>
          <w:sz w:val="20"/>
          <w:szCs w:val="20"/>
        </w:rPr>
      </w:pPr>
      <w:r w:rsidRPr="00216F5A">
        <w:rPr>
          <w:rFonts w:ascii="Arial" w:eastAsia="Times New Roman" w:hAnsi="Arial" w:cs="Arial"/>
          <w:sz w:val="20"/>
          <w:szCs w:val="20"/>
        </w:rPr>
        <w:t>Exp(B) represents the odds ratio. For Gender, Age, Income, and Reasons, the odds ratios are extremely high for Gender (1.829E7), indicating a substantial positive impact, while the others are less than one, suggesting that increases in Age, Income, and Reasons are associated with a decrease in the odds of higher GPA.</w:t>
      </w:r>
    </w:p>
    <w:p w14:paraId="6C70DCEA" w14:textId="77777777" w:rsidR="00326E3C" w:rsidRPr="00216F5A" w:rsidRDefault="008A7566">
      <w:pPr>
        <w:jc w:val="both"/>
        <w:rPr>
          <w:rFonts w:ascii="Arial" w:eastAsia="Times New Roman" w:hAnsi="Arial" w:cs="Arial"/>
          <w:sz w:val="20"/>
          <w:szCs w:val="20"/>
        </w:rPr>
      </w:pPr>
      <w:r w:rsidRPr="00216F5A">
        <w:rPr>
          <w:rFonts w:ascii="Arial" w:eastAsia="Times New Roman" w:hAnsi="Arial" w:cs="Arial"/>
          <w:sz w:val="20"/>
          <w:szCs w:val="20"/>
        </w:rPr>
        <w:t>The model can be expressed as:</w:t>
      </w:r>
      <m:oMath>
        <m:r>
          <w:rPr>
            <w:rFonts w:ascii="Cambria Math" w:eastAsia="Times New Roman" w:hAnsi="Cambria Math" w:cs="Arial"/>
            <w:sz w:val="20"/>
            <w:szCs w:val="20"/>
          </w:rPr>
          <m:t>Y=Constant+Reasnos+Gender+Age</m:t>
        </m:r>
      </m:oMath>
      <w:r w:rsidRPr="00216F5A">
        <w:rPr>
          <w:rFonts w:ascii="Arial" w:eastAsia="Times New Roman" w:hAnsi="Arial" w:cs="Arial"/>
          <w:sz w:val="20"/>
          <w:szCs w:val="20"/>
        </w:rPr>
        <w:t>.</w:t>
      </w:r>
    </w:p>
    <w:p w14:paraId="40D7ED53" w14:textId="77777777" w:rsidR="00326E3C" w:rsidRPr="00216F5A" w:rsidRDefault="008A7566">
      <w:pPr>
        <w:jc w:val="both"/>
        <w:rPr>
          <w:rFonts w:ascii="Arial" w:eastAsia="Times New Roman" w:hAnsi="Arial" w:cs="Arial"/>
          <w:sz w:val="20"/>
          <w:szCs w:val="20"/>
        </w:rPr>
      </w:pPr>
      <w:r w:rsidRPr="00216F5A">
        <w:rPr>
          <w:rFonts w:ascii="Arial" w:eastAsia="Times New Roman" w:hAnsi="Arial" w:cs="Arial"/>
          <w:sz w:val="20"/>
          <w:szCs w:val="20"/>
        </w:rPr>
        <w:t xml:space="preserve">By substitution: </w:t>
      </w:r>
      <m:oMath>
        <m:r>
          <w:rPr>
            <w:rFonts w:ascii="Cambria Math" w:eastAsia="Times New Roman" w:hAnsi="Cambria Math" w:cs="Arial"/>
            <w:sz w:val="20"/>
            <w:szCs w:val="20"/>
          </w:rPr>
          <m:t>Y=-0.141+16.722 Gender-18.074 Age-0.436 Reasons</m:t>
        </m:r>
      </m:oMath>
      <w:r w:rsidRPr="00216F5A">
        <w:rPr>
          <w:rFonts w:ascii="Arial" w:eastAsia="Times New Roman" w:hAnsi="Arial" w:cs="Arial"/>
          <w:sz w:val="20"/>
          <w:szCs w:val="20"/>
        </w:rPr>
        <w:t>. This indicates that, as Age, Income, or Reasons increase, the likelihood of achieving a higher GPA decreases, reflecting a negative association with these variables.</w:t>
      </w:r>
    </w:p>
    <w:bookmarkEnd w:id="15"/>
    <w:p w14:paraId="36B86DC8" w14:textId="77777777" w:rsidR="00886061" w:rsidRDefault="00886061">
      <w:pPr>
        <w:jc w:val="both"/>
        <w:rPr>
          <w:rFonts w:ascii="Arial" w:eastAsia="Times New Roman" w:hAnsi="Arial" w:cs="Arial"/>
          <w:b/>
          <w:sz w:val="20"/>
          <w:szCs w:val="20"/>
        </w:rPr>
      </w:pPr>
    </w:p>
    <w:p w14:paraId="5C586952" w14:textId="77777777" w:rsidR="00886061" w:rsidRDefault="00886061">
      <w:pPr>
        <w:jc w:val="both"/>
        <w:rPr>
          <w:rFonts w:ascii="Arial" w:eastAsia="Times New Roman" w:hAnsi="Arial" w:cs="Arial"/>
          <w:b/>
          <w:sz w:val="20"/>
          <w:szCs w:val="20"/>
        </w:rPr>
      </w:pPr>
    </w:p>
    <w:p w14:paraId="46CD5C8F" w14:textId="77777777" w:rsidR="00886061" w:rsidRDefault="00886061">
      <w:pPr>
        <w:jc w:val="both"/>
        <w:rPr>
          <w:rFonts w:ascii="Arial" w:eastAsia="Times New Roman" w:hAnsi="Arial" w:cs="Arial"/>
          <w:b/>
          <w:sz w:val="20"/>
          <w:szCs w:val="20"/>
        </w:rPr>
      </w:pPr>
    </w:p>
    <w:p w14:paraId="4F64B7C2" w14:textId="77777777" w:rsidR="00326E3C" w:rsidRPr="00216F5A" w:rsidRDefault="008A7566">
      <w:pPr>
        <w:jc w:val="both"/>
        <w:rPr>
          <w:rFonts w:ascii="Arial" w:eastAsia="Times New Roman" w:hAnsi="Arial" w:cs="Arial"/>
          <w:b/>
          <w:sz w:val="20"/>
          <w:szCs w:val="20"/>
        </w:rPr>
      </w:pPr>
      <w:r w:rsidRPr="00216F5A">
        <w:rPr>
          <w:rFonts w:ascii="Arial" w:eastAsia="Times New Roman" w:hAnsi="Arial" w:cs="Arial"/>
          <w:b/>
          <w:sz w:val="20"/>
          <w:szCs w:val="20"/>
        </w:rPr>
        <w:lastRenderedPageBreak/>
        <w:t xml:space="preserve">5. </w:t>
      </w:r>
      <w:r w:rsidR="00216F5A" w:rsidRPr="00216F5A">
        <w:rPr>
          <w:rFonts w:ascii="Arial" w:eastAsia="Times New Roman" w:hAnsi="Arial" w:cs="Arial"/>
          <w:b/>
          <w:szCs w:val="20"/>
        </w:rPr>
        <w:t>SUMMARY</w:t>
      </w:r>
    </w:p>
    <w:p w14:paraId="65EA7733" w14:textId="77777777" w:rsidR="000C2CC6" w:rsidRPr="00216F5A" w:rsidRDefault="008A7566" w:rsidP="000C2CC6">
      <w:pPr>
        <w:spacing w:after="0" w:line="240" w:lineRule="auto"/>
        <w:rPr>
          <w:rFonts w:ascii="Arial" w:eastAsia="Times New Roman" w:hAnsi="Arial" w:cs="Arial"/>
          <w:sz w:val="20"/>
          <w:szCs w:val="20"/>
        </w:rPr>
      </w:pPr>
      <w:bookmarkStart w:id="16" w:name="_Toc12955883"/>
      <w:r w:rsidRPr="00216F5A">
        <w:rPr>
          <w:rFonts w:ascii="Arial" w:hAnsi="Arial" w:cs="Arial"/>
          <w:sz w:val="20"/>
          <w:szCs w:val="20"/>
        </w:rPr>
        <w:t>This study aimed to dissect the preponderance of Internet fraud, known as '</w:t>
      </w:r>
      <w:proofErr w:type="spellStart"/>
      <w:r w:rsidRPr="00216F5A">
        <w:rPr>
          <w:rFonts w:ascii="Arial" w:hAnsi="Arial" w:cs="Arial"/>
          <w:sz w:val="20"/>
          <w:szCs w:val="20"/>
        </w:rPr>
        <w:t>sakawa</w:t>
      </w:r>
      <w:proofErr w:type="spellEnd"/>
      <w:r w:rsidRPr="00216F5A">
        <w:rPr>
          <w:rFonts w:ascii="Arial" w:hAnsi="Arial" w:cs="Arial"/>
          <w:sz w:val="20"/>
          <w:szCs w:val="20"/>
        </w:rPr>
        <w:t xml:space="preserve">', in Ghana, to explore its various forms and underlying motivations as well as its economic impact. Employing a qualitative approach, the study also delved into the initiatives undertaken by Ghanaian security agencies to combat Internet fraud through legal prosecution and law enforcement. The focus was on the influence of Internet fraud on the development and peace of the Upper East region of Ghana. From the investigation, three (3) key discoveries can be outlined in the overhead discussion. The research brought to the fore that Internet fraud is a fast-achieving foundation in Ghana in general, and the Upper East in particular which confirms a previous study by IC3 (2010); Oduro-Frimpong (2011). Reports confirm internet fraud in the Upper East, mainly involving youth. Online dating is the most common form of fraud, followed by general merchandise. It is arguable why most youths turn to Internet fraud as work. It was uncovered that, the bases for such engagement are intrinsic and extrinsic. </w:t>
      </w:r>
      <w:r w:rsidR="000C2CC6" w:rsidRPr="00216F5A">
        <w:rPr>
          <w:rFonts w:ascii="Arial" w:eastAsia="Times New Roman" w:hAnsi="Arial" w:cs="Arial"/>
          <w:sz w:val="20"/>
          <w:szCs w:val="20"/>
        </w:rPr>
        <w:t>The urge to make quick money, unemployment, pressure from peers, and a lack of supervision by parents were all mentioned by scammers as reasons why computer fraud occurs in the Upper East.</w:t>
      </w:r>
    </w:p>
    <w:p w14:paraId="6EEBC4AE" w14:textId="77777777" w:rsidR="004521E8" w:rsidRPr="00216F5A" w:rsidRDefault="008A7566" w:rsidP="004521E8">
      <w:pPr>
        <w:spacing w:after="0" w:line="240" w:lineRule="auto"/>
        <w:rPr>
          <w:rFonts w:ascii="Arial" w:eastAsia="Times New Roman" w:hAnsi="Arial" w:cs="Arial"/>
          <w:sz w:val="20"/>
          <w:szCs w:val="20"/>
        </w:rPr>
      </w:pPr>
      <w:r w:rsidRPr="00216F5A">
        <w:rPr>
          <w:rFonts w:ascii="Arial" w:hAnsi="Arial" w:cs="Arial"/>
          <w:sz w:val="20"/>
          <w:szCs w:val="20"/>
        </w:rPr>
        <w:t xml:space="preserve">The impact of Internet fraud includes both negative and positive implications across economic, social, structural, physical, and moral aspects. It diminishes human capital, decreases educational interest, and hinders the ability of skilled individuals to contribute to economic opportunities. </w:t>
      </w:r>
      <w:r w:rsidR="004521E8" w:rsidRPr="00216F5A">
        <w:rPr>
          <w:rFonts w:ascii="Arial" w:eastAsia="Times New Roman" w:hAnsi="Arial" w:cs="Arial"/>
          <w:sz w:val="20"/>
          <w:szCs w:val="20"/>
        </w:rPr>
        <w:t>Agencies are also devoid of the specific expertise needed to deal with the issue.</w:t>
      </w:r>
    </w:p>
    <w:p w14:paraId="65E5294A" w14:textId="77777777" w:rsidR="00326E3C" w:rsidRPr="00216F5A" w:rsidRDefault="00326E3C">
      <w:pPr>
        <w:jc w:val="both"/>
        <w:rPr>
          <w:rFonts w:ascii="Arial" w:hAnsi="Arial" w:cs="Arial"/>
          <w:sz w:val="20"/>
          <w:szCs w:val="20"/>
        </w:rPr>
      </w:pPr>
    </w:p>
    <w:p w14:paraId="236DF33F" w14:textId="77777777" w:rsidR="00326E3C" w:rsidRPr="00216F5A" w:rsidRDefault="008A7566">
      <w:pPr>
        <w:jc w:val="both"/>
        <w:rPr>
          <w:rFonts w:ascii="Arial" w:eastAsia="Times New Roman" w:hAnsi="Arial" w:cs="Arial"/>
          <w:b/>
          <w:sz w:val="20"/>
          <w:szCs w:val="20"/>
        </w:rPr>
      </w:pPr>
      <w:r w:rsidRPr="00216F5A">
        <w:rPr>
          <w:rFonts w:ascii="Arial" w:eastAsia="Times New Roman" w:hAnsi="Arial" w:cs="Arial"/>
          <w:b/>
          <w:sz w:val="20"/>
          <w:szCs w:val="20"/>
        </w:rPr>
        <w:t>5.1 Conclusions</w:t>
      </w:r>
      <w:bookmarkEnd w:id="16"/>
      <w:r w:rsidRPr="00216F5A">
        <w:rPr>
          <w:rFonts w:ascii="Arial" w:eastAsia="Times New Roman" w:hAnsi="Arial" w:cs="Arial"/>
          <w:b/>
          <w:sz w:val="20"/>
          <w:szCs w:val="20"/>
        </w:rPr>
        <w:t xml:space="preserve"> </w:t>
      </w:r>
    </w:p>
    <w:p w14:paraId="4C1978ED" w14:textId="77777777" w:rsidR="00326E3C" w:rsidRPr="00216F5A" w:rsidRDefault="008A7566">
      <w:pPr>
        <w:jc w:val="both"/>
        <w:rPr>
          <w:rFonts w:ascii="Arial" w:hAnsi="Arial" w:cs="Arial"/>
          <w:sz w:val="20"/>
          <w:szCs w:val="20"/>
        </w:rPr>
      </w:pPr>
      <w:bookmarkStart w:id="17" w:name="_Toc12955884"/>
      <w:r w:rsidRPr="00216F5A">
        <w:rPr>
          <w:rFonts w:ascii="Arial" w:hAnsi="Arial" w:cs="Arial"/>
          <w:sz w:val="20"/>
          <w:szCs w:val="20"/>
        </w:rPr>
        <w:t>The study's findings revealed that internet fraud is prevalent in both developing and developed countries, including Ghana. Perpetrators often use online dating and social media to defraud individuals, and they employ various tactics such as making diverse demands, stealing identities, and using fake business documents. Additionally, the study highlighted that both external and internal factors, including greed, desire for quick wealth, unemployment, lack of parental care, peer pressure, and a desire for revenge, contribute to the involvement of individuals, particularly young people, in internet fraud in Ghana.</w:t>
      </w:r>
    </w:p>
    <w:p w14:paraId="0840E90E" w14:textId="77777777" w:rsidR="00326E3C" w:rsidRPr="00216F5A" w:rsidRDefault="008A7566">
      <w:pPr>
        <w:jc w:val="both"/>
        <w:rPr>
          <w:rFonts w:ascii="Arial" w:eastAsia="Times New Roman" w:hAnsi="Arial" w:cs="Arial"/>
          <w:b/>
          <w:sz w:val="20"/>
          <w:szCs w:val="20"/>
        </w:rPr>
      </w:pPr>
      <w:r w:rsidRPr="00216F5A">
        <w:rPr>
          <w:rFonts w:ascii="Arial" w:eastAsia="Times New Roman" w:hAnsi="Arial" w:cs="Arial"/>
          <w:b/>
          <w:sz w:val="20"/>
          <w:szCs w:val="20"/>
        </w:rPr>
        <w:t>5.2 Recommendations</w:t>
      </w:r>
      <w:bookmarkEnd w:id="17"/>
      <w:r w:rsidRPr="00216F5A">
        <w:rPr>
          <w:rFonts w:ascii="Arial" w:eastAsia="Times New Roman" w:hAnsi="Arial" w:cs="Arial"/>
          <w:b/>
          <w:sz w:val="20"/>
          <w:szCs w:val="20"/>
        </w:rPr>
        <w:t xml:space="preserve"> </w:t>
      </w:r>
    </w:p>
    <w:p w14:paraId="3D39601B" w14:textId="77777777" w:rsidR="00326E3C" w:rsidRPr="00216F5A" w:rsidRDefault="008A7566">
      <w:pPr>
        <w:spacing w:after="0" w:line="240" w:lineRule="auto"/>
        <w:jc w:val="both"/>
        <w:rPr>
          <w:rFonts w:ascii="Arial" w:eastAsia="Times New Roman" w:hAnsi="Arial" w:cs="Arial"/>
          <w:color w:val="0E101A"/>
          <w:sz w:val="20"/>
          <w:szCs w:val="20"/>
        </w:rPr>
      </w:pPr>
      <w:r w:rsidRPr="00216F5A">
        <w:rPr>
          <w:rFonts w:ascii="Arial" w:eastAsia="Times New Roman" w:hAnsi="Arial" w:cs="Arial"/>
          <w:color w:val="0E101A"/>
          <w:sz w:val="20"/>
          <w:szCs w:val="20"/>
        </w:rPr>
        <w:t>After careful consideration of the findings, the following recommendations are made;</w:t>
      </w:r>
    </w:p>
    <w:p w14:paraId="5D28B11E" w14:textId="77777777" w:rsidR="00326E3C" w:rsidRPr="00216F5A" w:rsidRDefault="008A7566">
      <w:pPr>
        <w:numPr>
          <w:ilvl w:val="0"/>
          <w:numId w:val="1"/>
        </w:numPr>
        <w:spacing w:after="0" w:line="240" w:lineRule="auto"/>
        <w:jc w:val="both"/>
        <w:rPr>
          <w:rFonts w:ascii="Arial" w:eastAsia="Times New Roman" w:hAnsi="Arial" w:cs="Arial"/>
          <w:color w:val="0E101A"/>
          <w:sz w:val="20"/>
          <w:szCs w:val="20"/>
        </w:rPr>
      </w:pPr>
      <w:r w:rsidRPr="00216F5A">
        <w:rPr>
          <w:rFonts w:ascii="Arial" w:eastAsia="Times New Roman" w:hAnsi="Arial" w:cs="Arial"/>
          <w:color w:val="0E101A"/>
          <w:sz w:val="20"/>
          <w:szCs w:val="20"/>
        </w:rPr>
        <w:t xml:space="preserve">The first is to identify the real crisis as a country. Internet fraud cannot be eliminated so as long technology continues to advance. However, its negative use can be reduced when good efforts and policies are put in place. </w:t>
      </w:r>
    </w:p>
    <w:p w14:paraId="7D1FA669" w14:textId="77777777" w:rsidR="00326E3C" w:rsidRPr="00216F5A" w:rsidRDefault="008A7566">
      <w:pPr>
        <w:numPr>
          <w:ilvl w:val="0"/>
          <w:numId w:val="1"/>
        </w:numPr>
        <w:spacing w:after="0" w:line="240" w:lineRule="auto"/>
        <w:jc w:val="both"/>
        <w:rPr>
          <w:rFonts w:ascii="Arial" w:eastAsia="Times New Roman" w:hAnsi="Arial" w:cs="Arial"/>
          <w:color w:val="0E101A"/>
          <w:sz w:val="20"/>
          <w:szCs w:val="20"/>
        </w:rPr>
      </w:pPr>
      <w:r w:rsidRPr="00216F5A">
        <w:rPr>
          <w:rFonts w:ascii="Arial" w:eastAsia="Times New Roman" w:hAnsi="Arial" w:cs="Arial"/>
          <w:color w:val="0E101A"/>
          <w:sz w:val="20"/>
          <w:szCs w:val="20"/>
        </w:rPr>
        <w:t>The intellect and skills possessed by fraudsters could be redirected towards reputable professions, benefiting the nation. The internet has greatly facilitated successful trade transactions. It would be beneficial to establish training programs aimed at guiding young individuals in utilizing their intelligence on the internet for more promising career opportunities. This could help them evolve into successful business innovators.</w:t>
      </w:r>
    </w:p>
    <w:p w14:paraId="423FF42B" w14:textId="77777777" w:rsidR="00326E3C" w:rsidRPr="00216F5A" w:rsidRDefault="008A7566">
      <w:pPr>
        <w:numPr>
          <w:ilvl w:val="0"/>
          <w:numId w:val="1"/>
        </w:numPr>
        <w:spacing w:after="0" w:line="240" w:lineRule="auto"/>
        <w:jc w:val="both"/>
        <w:rPr>
          <w:rFonts w:ascii="Arial" w:eastAsia="Times New Roman" w:hAnsi="Arial" w:cs="Arial"/>
          <w:color w:val="0E101A"/>
          <w:sz w:val="20"/>
          <w:szCs w:val="20"/>
        </w:rPr>
      </w:pPr>
      <w:r w:rsidRPr="00216F5A">
        <w:rPr>
          <w:rFonts w:ascii="Arial" w:eastAsia="Times New Roman" w:hAnsi="Arial" w:cs="Arial"/>
          <w:color w:val="0E101A"/>
          <w:sz w:val="20"/>
          <w:szCs w:val="20"/>
        </w:rPr>
        <w:t>Integrity and moral values should be taught in schools to help reduce the growing number. Public awareness crusades on Internet fraud will help sensitize Ghanaians to cooperate with authorities in fighting fraud</w:t>
      </w:r>
      <w:r w:rsidRPr="00216F5A">
        <w:rPr>
          <w:rFonts w:ascii="Arial" w:eastAsia="Times New Roman" w:hAnsi="Arial" w:cs="Arial"/>
          <w:sz w:val="20"/>
          <w:szCs w:val="20"/>
        </w:rPr>
        <w:t>.</w:t>
      </w:r>
    </w:p>
    <w:p w14:paraId="2A86F05C" w14:textId="77777777" w:rsidR="00326E3C" w:rsidRPr="00216F5A" w:rsidRDefault="008A7566">
      <w:pPr>
        <w:numPr>
          <w:ilvl w:val="0"/>
          <w:numId w:val="1"/>
        </w:numPr>
        <w:spacing w:after="0" w:line="240" w:lineRule="auto"/>
        <w:jc w:val="both"/>
        <w:rPr>
          <w:rFonts w:ascii="Arial" w:eastAsia="Times New Roman" w:hAnsi="Arial" w:cs="Arial"/>
          <w:color w:val="0E101A"/>
          <w:sz w:val="20"/>
          <w:szCs w:val="20"/>
        </w:rPr>
      </w:pPr>
      <w:r w:rsidRPr="00216F5A">
        <w:rPr>
          <w:rFonts w:ascii="Arial" w:eastAsia="Times New Roman" w:hAnsi="Arial" w:cs="Arial"/>
          <w:sz w:val="20"/>
          <w:szCs w:val="20"/>
        </w:rPr>
        <w:t>Effective firewalls and robust security measures should be employed to curtail some of the fraudulent internet usage as presented by (Sakara, Alhassan and Alhassan, 2017).</w:t>
      </w:r>
    </w:p>
    <w:p w14:paraId="15BFD1FD" w14:textId="77777777" w:rsidR="00326E3C" w:rsidRPr="00216F5A" w:rsidRDefault="00326E3C">
      <w:pPr>
        <w:spacing w:after="0" w:line="240" w:lineRule="auto"/>
        <w:ind w:left="720"/>
        <w:jc w:val="both"/>
        <w:rPr>
          <w:rFonts w:ascii="Arial" w:eastAsia="Times New Roman" w:hAnsi="Arial" w:cs="Arial"/>
          <w:color w:val="0E101A"/>
          <w:sz w:val="24"/>
          <w:szCs w:val="24"/>
        </w:rPr>
      </w:pPr>
    </w:p>
    <w:p w14:paraId="7AE7A535" w14:textId="77777777" w:rsidR="00886061" w:rsidRDefault="00886061">
      <w:pPr>
        <w:jc w:val="both"/>
        <w:rPr>
          <w:rFonts w:ascii="Arial" w:eastAsia="Times New Roman" w:hAnsi="Arial" w:cs="Arial"/>
          <w:b/>
          <w:sz w:val="20"/>
          <w:szCs w:val="20"/>
        </w:rPr>
      </w:pPr>
    </w:p>
    <w:p w14:paraId="23B9DB57" w14:textId="77777777" w:rsidR="00886061" w:rsidRDefault="00886061">
      <w:pPr>
        <w:jc w:val="both"/>
        <w:rPr>
          <w:rFonts w:ascii="Arial" w:eastAsia="Times New Roman" w:hAnsi="Arial" w:cs="Arial"/>
          <w:b/>
          <w:sz w:val="20"/>
          <w:szCs w:val="20"/>
        </w:rPr>
      </w:pPr>
    </w:p>
    <w:p w14:paraId="2C206077" w14:textId="77777777" w:rsidR="00886061" w:rsidRDefault="00886061">
      <w:pPr>
        <w:jc w:val="both"/>
        <w:rPr>
          <w:rFonts w:ascii="Arial" w:eastAsia="Times New Roman" w:hAnsi="Arial" w:cs="Arial"/>
          <w:b/>
          <w:sz w:val="20"/>
          <w:szCs w:val="20"/>
        </w:rPr>
      </w:pPr>
    </w:p>
    <w:p w14:paraId="7121701F" w14:textId="77777777" w:rsidR="00886061" w:rsidRDefault="00886061">
      <w:pPr>
        <w:jc w:val="both"/>
        <w:rPr>
          <w:rFonts w:ascii="Arial" w:eastAsia="Times New Roman" w:hAnsi="Arial" w:cs="Arial"/>
          <w:b/>
          <w:sz w:val="20"/>
          <w:szCs w:val="20"/>
        </w:rPr>
      </w:pPr>
    </w:p>
    <w:p w14:paraId="2AD74CA0" w14:textId="77777777" w:rsidR="00886061" w:rsidRDefault="00886061">
      <w:pPr>
        <w:jc w:val="both"/>
        <w:rPr>
          <w:rFonts w:ascii="Arial" w:eastAsia="Times New Roman" w:hAnsi="Arial" w:cs="Arial"/>
          <w:b/>
          <w:sz w:val="20"/>
          <w:szCs w:val="20"/>
        </w:rPr>
      </w:pPr>
    </w:p>
    <w:p w14:paraId="20A3573D" w14:textId="77777777" w:rsidR="00326E3C" w:rsidRPr="002730FF" w:rsidRDefault="002730FF">
      <w:pPr>
        <w:jc w:val="both"/>
        <w:rPr>
          <w:rFonts w:ascii="Arial" w:hAnsi="Arial" w:cs="Arial"/>
          <w:b/>
          <w:sz w:val="20"/>
          <w:szCs w:val="18"/>
        </w:rPr>
      </w:pPr>
      <w:r w:rsidRPr="002730FF">
        <w:rPr>
          <w:rFonts w:ascii="Arial" w:eastAsia="Times New Roman" w:hAnsi="Arial" w:cs="Arial"/>
          <w:b/>
          <w:sz w:val="20"/>
          <w:szCs w:val="20"/>
        </w:rPr>
        <w:lastRenderedPageBreak/>
        <w:t>REFERENCE</w:t>
      </w:r>
      <w:bookmarkEnd w:id="0"/>
      <w:r w:rsidRPr="002730FF">
        <w:rPr>
          <w:rFonts w:ascii="Arial" w:hAnsi="Arial" w:cs="Arial"/>
          <w:b/>
          <w:sz w:val="20"/>
          <w:szCs w:val="18"/>
        </w:rPr>
        <w:t>S</w:t>
      </w:r>
    </w:p>
    <w:p w14:paraId="35569315" w14:textId="77777777" w:rsidR="0059266F" w:rsidRPr="002730FF" w:rsidRDefault="00222C0A" w:rsidP="0059266F">
      <w:pPr>
        <w:rPr>
          <w:rFonts w:ascii="Arial" w:hAnsi="Arial" w:cs="Arial"/>
          <w:sz w:val="20"/>
          <w:szCs w:val="20"/>
        </w:rPr>
      </w:pPr>
      <w:r w:rsidRPr="002730FF">
        <w:rPr>
          <w:rFonts w:ascii="Arial" w:hAnsi="Arial" w:cs="Arial"/>
          <w:sz w:val="20"/>
          <w:szCs w:val="20"/>
        </w:rPr>
        <w:t xml:space="preserve">Internet World Stats. (2016). </w:t>
      </w:r>
      <w:r w:rsidRPr="002730FF">
        <w:rPr>
          <w:rStyle w:val="Emphasis"/>
          <w:rFonts w:ascii="Arial" w:hAnsi="Arial" w:cs="Arial"/>
          <w:sz w:val="20"/>
          <w:szCs w:val="20"/>
        </w:rPr>
        <w:t>World Internet users and 2016 population stats</w:t>
      </w:r>
      <w:r w:rsidRPr="002730FF">
        <w:rPr>
          <w:rFonts w:ascii="Arial" w:hAnsi="Arial" w:cs="Arial"/>
          <w:sz w:val="20"/>
          <w:szCs w:val="20"/>
        </w:rPr>
        <w:t xml:space="preserve">. </w:t>
      </w:r>
      <w:hyperlink r:id="rId9" w:history="1">
        <w:r w:rsidRPr="002730FF">
          <w:rPr>
            <w:rStyle w:val="Hyperlink"/>
            <w:rFonts w:ascii="Arial" w:hAnsi="Arial" w:cs="Arial"/>
            <w:sz w:val="20"/>
            <w:szCs w:val="20"/>
          </w:rPr>
          <w:t>http://www.internetworldstats.com/stats.htm</w:t>
        </w:r>
      </w:hyperlink>
    </w:p>
    <w:p w14:paraId="555550E3" w14:textId="77777777" w:rsidR="0059266F" w:rsidRPr="002730FF" w:rsidRDefault="00222C0A" w:rsidP="0059266F">
      <w:pPr>
        <w:rPr>
          <w:rFonts w:ascii="Arial" w:hAnsi="Arial" w:cs="Arial"/>
          <w:sz w:val="20"/>
          <w:szCs w:val="20"/>
        </w:rPr>
      </w:pPr>
      <w:r w:rsidRPr="002730FF">
        <w:rPr>
          <w:rFonts w:ascii="Arial" w:hAnsi="Arial" w:cs="Arial"/>
          <w:sz w:val="20"/>
          <w:szCs w:val="20"/>
        </w:rPr>
        <w:t>Croal, H.  (2007</w:t>
      </w:r>
      <w:proofErr w:type="gramStart"/>
      <w:r w:rsidRPr="002730FF">
        <w:rPr>
          <w:rFonts w:ascii="Arial" w:hAnsi="Arial" w:cs="Arial"/>
          <w:sz w:val="20"/>
          <w:szCs w:val="20"/>
        </w:rPr>
        <w:t>).Victims</w:t>
      </w:r>
      <w:proofErr w:type="gramEnd"/>
      <w:r w:rsidRPr="002730FF">
        <w:rPr>
          <w:rFonts w:ascii="Arial" w:hAnsi="Arial" w:cs="Arial"/>
          <w:sz w:val="20"/>
          <w:szCs w:val="20"/>
        </w:rPr>
        <w:t xml:space="preserve"> of white collar and corporate crime.  In:  Davies P,</w:t>
      </w:r>
    </w:p>
    <w:p w14:paraId="450D0083" w14:textId="77777777" w:rsidR="002374A7" w:rsidRPr="002730FF" w:rsidRDefault="00222C0A" w:rsidP="002374A7">
      <w:pPr>
        <w:rPr>
          <w:rFonts w:ascii="Arial" w:hAnsi="Arial" w:cs="Arial"/>
          <w:sz w:val="20"/>
          <w:szCs w:val="20"/>
        </w:rPr>
      </w:pPr>
      <w:r w:rsidRPr="002730FF">
        <w:rPr>
          <w:rFonts w:ascii="Arial" w:hAnsi="Arial" w:cs="Arial"/>
          <w:sz w:val="20"/>
          <w:szCs w:val="20"/>
        </w:rPr>
        <w:t>Doig, A. (2006). Fraud Cullompton: Willan. Electronic Communication Act 775.  (2008</w:t>
      </w:r>
      <w:proofErr w:type="gramStart"/>
      <w:r w:rsidRPr="002730FF">
        <w:rPr>
          <w:rFonts w:ascii="Arial" w:hAnsi="Arial" w:cs="Arial"/>
          <w:sz w:val="20"/>
          <w:szCs w:val="20"/>
        </w:rPr>
        <w:t>)  Retrieved</w:t>
      </w:r>
      <w:proofErr w:type="gramEnd"/>
      <w:r w:rsidRPr="002730FF">
        <w:rPr>
          <w:rFonts w:ascii="Arial" w:hAnsi="Arial" w:cs="Arial"/>
          <w:sz w:val="20"/>
          <w:szCs w:val="20"/>
        </w:rPr>
        <w:t xml:space="preserve"> from http://www.moc. gov.gh/sites/default/files/.../Electronicpercent20Communications percent20Act-775.</w:t>
      </w:r>
    </w:p>
    <w:p w14:paraId="1ED97895" w14:textId="77777777" w:rsidR="002374A7" w:rsidRPr="002730FF" w:rsidRDefault="002374A7" w:rsidP="002374A7">
      <w:pPr>
        <w:rPr>
          <w:rFonts w:ascii="Arial" w:hAnsi="Arial" w:cs="Arial"/>
          <w:sz w:val="20"/>
          <w:szCs w:val="20"/>
        </w:rPr>
      </w:pPr>
      <w:proofErr w:type="gramStart"/>
      <w:r w:rsidRPr="002730FF">
        <w:rPr>
          <w:rFonts w:ascii="Arial" w:hAnsi="Arial" w:cs="Arial"/>
          <w:sz w:val="20"/>
          <w:szCs w:val="16"/>
        </w:rPr>
        <w:t>Cohen,  L.E.</w:t>
      </w:r>
      <w:proofErr w:type="gramEnd"/>
      <w:r w:rsidRPr="002730FF">
        <w:rPr>
          <w:rFonts w:ascii="Arial" w:hAnsi="Arial" w:cs="Arial"/>
          <w:sz w:val="20"/>
          <w:szCs w:val="16"/>
        </w:rPr>
        <w:t>,  &amp;Felson,  M.,  (1979),  social  changes  and  crime  rate  trends:  A Routine Activity Approach. America Sociology Review. Vol 44. Pp.588-608.</w:t>
      </w:r>
    </w:p>
    <w:p w14:paraId="17F3C18D" w14:textId="77777777" w:rsidR="002374A7" w:rsidRPr="002730FF" w:rsidRDefault="002374A7" w:rsidP="002374A7">
      <w:pPr>
        <w:pStyle w:val="NoSpacing"/>
        <w:rPr>
          <w:rFonts w:ascii="Arial" w:hAnsi="Arial" w:cs="Arial"/>
          <w:sz w:val="20"/>
          <w:szCs w:val="16"/>
        </w:rPr>
      </w:pPr>
      <w:r w:rsidRPr="002730FF">
        <w:rPr>
          <w:rFonts w:ascii="Arial" w:hAnsi="Arial" w:cs="Arial"/>
          <w:sz w:val="20"/>
          <w:szCs w:val="16"/>
        </w:rPr>
        <w:t xml:space="preserve">Pratt, T. C., </w:t>
      </w:r>
      <w:proofErr w:type="spellStart"/>
      <w:r w:rsidRPr="002730FF">
        <w:rPr>
          <w:rFonts w:ascii="Arial" w:hAnsi="Arial" w:cs="Arial"/>
          <w:sz w:val="20"/>
          <w:szCs w:val="16"/>
        </w:rPr>
        <w:t>Holtfreter</w:t>
      </w:r>
      <w:proofErr w:type="spellEnd"/>
      <w:r w:rsidRPr="002730FF">
        <w:rPr>
          <w:rFonts w:ascii="Arial" w:hAnsi="Arial" w:cs="Arial"/>
          <w:sz w:val="20"/>
          <w:szCs w:val="16"/>
        </w:rPr>
        <w:t xml:space="preserve">, K., &amp; Reisig, M. D. (2012). </w:t>
      </w:r>
      <w:r w:rsidRPr="002730FF">
        <w:rPr>
          <w:rStyle w:val="Emphasis"/>
          <w:rFonts w:ascii="Arial" w:hAnsi="Arial" w:cs="Arial"/>
          <w:sz w:val="20"/>
          <w:szCs w:val="16"/>
        </w:rPr>
        <w:t>Routine online activity and internet fraud targeting: Extending the generality of routine activity theory</w:t>
      </w:r>
      <w:r w:rsidRPr="002730FF">
        <w:rPr>
          <w:rFonts w:ascii="Arial" w:hAnsi="Arial" w:cs="Arial"/>
          <w:sz w:val="20"/>
          <w:szCs w:val="16"/>
        </w:rPr>
        <w:t xml:space="preserve">. </w:t>
      </w:r>
      <w:r w:rsidRPr="002730FF">
        <w:rPr>
          <w:rStyle w:val="Emphasis"/>
          <w:rFonts w:ascii="Arial" w:hAnsi="Arial" w:cs="Arial"/>
          <w:sz w:val="20"/>
          <w:szCs w:val="16"/>
        </w:rPr>
        <w:t>Journal of Research in Crime and Delinquency</w:t>
      </w:r>
      <w:r w:rsidRPr="002730FF">
        <w:rPr>
          <w:rFonts w:ascii="Arial" w:hAnsi="Arial" w:cs="Arial"/>
          <w:sz w:val="20"/>
          <w:szCs w:val="16"/>
        </w:rPr>
        <w:t>, 47(3), 267-296.</w:t>
      </w:r>
    </w:p>
    <w:p w14:paraId="7D54F464" w14:textId="77777777" w:rsidR="002374A7" w:rsidRPr="002730FF" w:rsidRDefault="002374A7" w:rsidP="002374A7">
      <w:pPr>
        <w:pStyle w:val="NoSpacing"/>
        <w:rPr>
          <w:rStyle w:val="Hyperlink"/>
          <w:rFonts w:ascii="Arial" w:hAnsi="Arial" w:cs="Arial"/>
          <w:sz w:val="20"/>
          <w:szCs w:val="16"/>
        </w:rPr>
      </w:pPr>
    </w:p>
    <w:p w14:paraId="3F30AD0B" w14:textId="77777777" w:rsidR="0059266F" w:rsidRPr="002730FF" w:rsidRDefault="00222C0A" w:rsidP="0059266F">
      <w:pPr>
        <w:rPr>
          <w:rFonts w:ascii="Arial" w:hAnsi="Arial" w:cs="Arial"/>
          <w:sz w:val="14"/>
          <w:szCs w:val="20"/>
        </w:rPr>
      </w:pPr>
      <w:r w:rsidRPr="002730FF">
        <w:rPr>
          <w:rFonts w:ascii="Arial" w:hAnsi="Arial" w:cs="Arial"/>
          <w:sz w:val="20"/>
        </w:rPr>
        <w:t xml:space="preserve">Bennette, J. (1991). </w:t>
      </w:r>
      <w:r w:rsidRPr="002730FF">
        <w:rPr>
          <w:rStyle w:val="Emphasis"/>
          <w:rFonts w:ascii="Arial" w:hAnsi="Arial" w:cs="Arial"/>
          <w:sz w:val="20"/>
        </w:rPr>
        <w:t>The conditions of crime: An analysis of contributing factors</w:t>
      </w:r>
      <w:r w:rsidRPr="002730FF">
        <w:rPr>
          <w:rFonts w:ascii="Arial" w:hAnsi="Arial" w:cs="Arial"/>
          <w:sz w:val="20"/>
        </w:rPr>
        <w:t xml:space="preserve">. </w:t>
      </w:r>
      <w:r w:rsidRPr="002730FF">
        <w:rPr>
          <w:rStyle w:val="Emphasis"/>
          <w:rFonts w:ascii="Arial" w:hAnsi="Arial" w:cs="Arial"/>
          <w:sz w:val="20"/>
        </w:rPr>
        <w:t>Journal of Criminology</w:t>
      </w:r>
      <w:r w:rsidRPr="002730FF">
        <w:rPr>
          <w:rFonts w:ascii="Arial" w:hAnsi="Arial" w:cs="Arial"/>
          <w:sz w:val="20"/>
        </w:rPr>
        <w:t>, 29(2), 123-135.</w:t>
      </w:r>
    </w:p>
    <w:p w14:paraId="496B5DA1" w14:textId="77777777" w:rsidR="0059266F" w:rsidRPr="002730FF" w:rsidRDefault="00222C0A" w:rsidP="0059266F">
      <w:pPr>
        <w:rPr>
          <w:rFonts w:ascii="Arial" w:hAnsi="Arial" w:cs="Arial"/>
          <w:sz w:val="14"/>
          <w:szCs w:val="20"/>
        </w:rPr>
      </w:pPr>
      <w:r w:rsidRPr="002730FF">
        <w:rPr>
          <w:rFonts w:ascii="Arial" w:hAnsi="Arial" w:cs="Arial"/>
          <w:sz w:val="20"/>
          <w:szCs w:val="20"/>
        </w:rPr>
        <w:t>Broadhurst, R., &amp; Chou, R., (2009). Cybercrime and online safety in Cyberspace. International handbook of criminology. 153-165</w:t>
      </w:r>
    </w:p>
    <w:p w14:paraId="36F3D323" w14:textId="77777777" w:rsidR="0059266F" w:rsidRPr="002730FF" w:rsidRDefault="00222C0A" w:rsidP="0059266F">
      <w:pPr>
        <w:rPr>
          <w:rFonts w:ascii="Arial" w:hAnsi="Arial" w:cs="Arial"/>
          <w:sz w:val="14"/>
          <w:szCs w:val="20"/>
        </w:rPr>
      </w:pPr>
      <w:r w:rsidRPr="002730FF">
        <w:rPr>
          <w:rFonts w:ascii="Arial" w:hAnsi="Arial" w:cs="Arial"/>
          <w:sz w:val="20"/>
          <w:szCs w:val="20"/>
        </w:rPr>
        <w:t xml:space="preserve">Nalla, M. (2014). </w:t>
      </w:r>
      <w:r w:rsidRPr="002730FF">
        <w:rPr>
          <w:rStyle w:val="Emphasis"/>
          <w:rFonts w:ascii="Arial" w:hAnsi="Arial" w:cs="Arial"/>
          <w:sz w:val="20"/>
          <w:szCs w:val="20"/>
        </w:rPr>
        <w:t>Cybercrime and security: An analysis of current trends</w:t>
      </w:r>
      <w:r w:rsidRPr="002730FF">
        <w:rPr>
          <w:rFonts w:ascii="Arial" w:hAnsi="Arial" w:cs="Arial"/>
          <w:sz w:val="20"/>
          <w:szCs w:val="20"/>
        </w:rPr>
        <w:t xml:space="preserve">. </w:t>
      </w:r>
      <w:r w:rsidRPr="002730FF">
        <w:rPr>
          <w:rStyle w:val="Emphasis"/>
          <w:rFonts w:ascii="Arial" w:hAnsi="Arial" w:cs="Arial"/>
          <w:sz w:val="20"/>
          <w:szCs w:val="20"/>
        </w:rPr>
        <w:t>Journal of Cybersecurity Research</w:t>
      </w:r>
      <w:r w:rsidR="003E2238" w:rsidRPr="002730FF">
        <w:rPr>
          <w:rFonts w:ascii="Arial" w:hAnsi="Arial" w:cs="Arial"/>
          <w:sz w:val="20"/>
          <w:szCs w:val="20"/>
        </w:rPr>
        <w:t>, 1(1), 1-15.</w:t>
      </w:r>
    </w:p>
    <w:p w14:paraId="42F7C3E6" w14:textId="77777777" w:rsidR="00222C0A" w:rsidRPr="002730FF" w:rsidRDefault="00222C0A" w:rsidP="0059266F">
      <w:pPr>
        <w:rPr>
          <w:rFonts w:ascii="Arial" w:hAnsi="Arial" w:cs="Arial"/>
          <w:sz w:val="20"/>
          <w:szCs w:val="20"/>
        </w:rPr>
      </w:pPr>
      <w:r w:rsidRPr="002730FF">
        <w:rPr>
          <w:rFonts w:ascii="Arial" w:hAnsi="Arial" w:cs="Arial"/>
          <w:sz w:val="20"/>
          <w:szCs w:val="20"/>
        </w:rPr>
        <w:t>Burell J., (2008). Research Article Problematic Empowerment: West African Internet Scams as Strategic Misrepresentation.  Information Technology and Africa Development. Vol 4 (4</w:t>
      </w:r>
      <w:proofErr w:type="gramStart"/>
      <w:r w:rsidRPr="002730FF">
        <w:rPr>
          <w:rFonts w:ascii="Arial" w:hAnsi="Arial" w:cs="Arial"/>
          <w:sz w:val="20"/>
          <w:szCs w:val="20"/>
        </w:rPr>
        <w:t>).Pp.</w:t>
      </w:r>
      <w:proofErr w:type="gramEnd"/>
      <w:r w:rsidRPr="002730FF">
        <w:rPr>
          <w:rFonts w:ascii="Arial" w:hAnsi="Arial" w:cs="Arial"/>
          <w:sz w:val="20"/>
          <w:szCs w:val="20"/>
        </w:rPr>
        <w:t>15-30.</w:t>
      </w:r>
    </w:p>
    <w:p w14:paraId="362334C2" w14:textId="77777777" w:rsidR="003E2238" w:rsidRPr="002730FF" w:rsidRDefault="00222C0A" w:rsidP="0059266F">
      <w:pPr>
        <w:rPr>
          <w:rStyle w:val="Hyperlink"/>
          <w:rFonts w:ascii="Arial" w:hAnsi="Arial" w:cs="Arial"/>
          <w:sz w:val="20"/>
          <w:szCs w:val="20"/>
        </w:rPr>
      </w:pPr>
      <w:r w:rsidRPr="002730FF">
        <w:rPr>
          <w:rFonts w:ascii="Arial" w:hAnsi="Arial" w:cs="Arial"/>
          <w:sz w:val="20"/>
          <w:szCs w:val="20"/>
        </w:rPr>
        <w:t xml:space="preserve">Rantala, R. (2004). </w:t>
      </w:r>
      <w:r w:rsidRPr="002730FF">
        <w:rPr>
          <w:rStyle w:val="Emphasis"/>
          <w:rFonts w:ascii="Arial" w:hAnsi="Arial" w:cs="Arial"/>
          <w:sz w:val="20"/>
          <w:szCs w:val="20"/>
        </w:rPr>
        <w:t>Cybercrime: The role of the Internet in crime</w:t>
      </w:r>
      <w:r w:rsidRPr="002730FF">
        <w:rPr>
          <w:rFonts w:ascii="Arial" w:hAnsi="Arial" w:cs="Arial"/>
          <w:sz w:val="20"/>
          <w:szCs w:val="20"/>
        </w:rPr>
        <w:t xml:space="preserve">. </w:t>
      </w:r>
      <w:r w:rsidRPr="002730FF">
        <w:rPr>
          <w:rStyle w:val="Emphasis"/>
          <w:rFonts w:ascii="Arial" w:hAnsi="Arial" w:cs="Arial"/>
          <w:sz w:val="20"/>
          <w:szCs w:val="20"/>
        </w:rPr>
        <w:t>European Journal of Crime, Criminal Law and Criminal Justice</w:t>
      </w:r>
      <w:r w:rsidRPr="002730FF">
        <w:rPr>
          <w:rFonts w:ascii="Arial" w:hAnsi="Arial" w:cs="Arial"/>
          <w:sz w:val="20"/>
          <w:szCs w:val="20"/>
        </w:rPr>
        <w:t>, 12(2), 109-125.</w:t>
      </w:r>
    </w:p>
    <w:p w14:paraId="7FABC705" w14:textId="77777777" w:rsidR="00222C0A" w:rsidRPr="002730FF" w:rsidRDefault="00222C0A" w:rsidP="0059266F">
      <w:pPr>
        <w:rPr>
          <w:rStyle w:val="Hyperlink"/>
          <w:rFonts w:ascii="Arial" w:hAnsi="Arial" w:cs="Arial"/>
          <w:sz w:val="20"/>
          <w:szCs w:val="20"/>
        </w:rPr>
      </w:pPr>
      <w:r w:rsidRPr="002730FF">
        <w:rPr>
          <w:rFonts w:ascii="Arial" w:hAnsi="Arial" w:cs="Arial"/>
          <w:sz w:val="20"/>
          <w:szCs w:val="20"/>
        </w:rPr>
        <w:t xml:space="preserve">National White Collar Crime Center. (2008). </w:t>
      </w:r>
      <w:r w:rsidRPr="002730FF">
        <w:rPr>
          <w:rStyle w:val="Emphasis"/>
          <w:rFonts w:ascii="Arial" w:hAnsi="Arial" w:cs="Arial"/>
          <w:sz w:val="20"/>
          <w:szCs w:val="20"/>
        </w:rPr>
        <w:t>2007 Internet crime complaint center report</w:t>
      </w:r>
      <w:r w:rsidRPr="002730FF">
        <w:rPr>
          <w:rFonts w:ascii="Arial" w:hAnsi="Arial" w:cs="Arial"/>
          <w:sz w:val="20"/>
          <w:szCs w:val="20"/>
        </w:rPr>
        <w:t xml:space="preserve">. </w:t>
      </w:r>
      <w:hyperlink r:id="rId10" w:history="1">
        <w:r w:rsidRPr="002730FF">
          <w:rPr>
            <w:rStyle w:val="Hyperlink"/>
            <w:rFonts w:ascii="Arial" w:hAnsi="Arial" w:cs="Arial"/>
            <w:sz w:val="20"/>
            <w:szCs w:val="20"/>
          </w:rPr>
          <w:t>https://www.nw3c.org/images/IC3/IC3Report2007.pdf</w:t>
        </w:r>
      </w:hyperlink>
    </w:p>
    <w:p w14:paraId="7BFF1521" w14:textId="77777777" w:rsidR="005B4F00" w:rsidRPr="002730FF" w:rsidRDefault="005B4F00" w:rsidP="0059266F">
      <w:pPr>
        <w:rPr>
          <w:rStyle w:val="Hyperlink"/>
          <w:rFonts w:ascii="Arial" w:hAnsi="Arial" w:cs="Arial"/>
          <w:sz w:val="20"/>
          <w:szCs w:val="16"/>
        </w:rPr>
      </w:pPr>
      <w:r w:rsidRPr="002730FF">
        <w:rPr>
          <w:rFonts w:ascii="Arial" w:hAnsi="Arial" w:cs="Arial"/>
          <w:sz w:val="20"/>
          <w:szCs w:val="16"/>
        </w:rPr>
        <w:t xml:space="preserve">National White Collar Crime Center. (2003). </w:t>
      </w:r>
      <w:r w:rsidRPr="002730FF">
        <w:rPr>
          <w:rStyle w:val="Emphasis"/>
          <w:rFonts w:ascii="Arial" w:hAnsi="Arial" w:cs="Arial"/>
          <w:sz w:val="20"/>
          <w:szCs w:val="16"/>
        </w:rPr>
        <w:t>IFCC 2002 Internet fraud report</w:t>
      </w:r>
      <w:r w:rsidRPr="002730FF">
        <w:rPr>
          <w:rFonts w:ascii="Arial" w:hAnsi="Arial" w:cs="Arial"/>
          <w:sz w:val="20"/>
          <w:szCs w:val="16"/>
        </w:rPr>
        <w:t xml:space="preserve"> (NCJ Number 200481). Office of Justice Programs.</w:t>
      </w:r>
    </w:p>
    <w:p w14:paraId="03DA9F2F" w14:textId="77777777" w:rsidR="0059266F" w:rsidRPr="002730FF" w:rsidRDefault="00572D46" w:rsidP="0059266F">
      <w:pPr>
        <w:rPr>
          <w:rFonts w:ascii="Arial" w:hAnsi="Arial" w:cs="Arial"/>
          <w:sz w:val="20"/>
          <w:szCs w:val="20"/>
        </w:rPr>
      </w:pPr>
      <w:r w:rsidRPr="002730FF">
        <w:rPr>
          <w:rFonts w:ascii="Arial" w:hAnsi="Arial" w:cs="Arial"/>
          <w:sz w:val="20"/>
          <w:szCs w:val="20"/>
        </w:rPr>
        <w:t xml:space="preserve">Internet Crime Complaint Center. (2010). </w:t>
      </w:r>
      <w:r w:rsidRPr="002730FF">
        <w:rPr>
          <w:rStyle w:val="Emphasis"/>
          <w:rFonts w:ascii="Arial" w:hAnsi="Arial" w:cs="Arial"/>
          <w:sz w:val="20"/>
          <w:szCs w:val="20"/>
        </w:rPr>
        <w:t>Internet Crime Complaint Center 2009 annual report</w:t>
      </w:r>
      <w:r w:rsidRPr="002730FF">
        <w:rPr>
          <w:rFonts w:ascii="Arial" w:hAnsi="Arial" w:cs="Arial"/>
          <w:sz w:val="20"/>
          <w:szCs w:val="20"/>
        </w:rPr>
        <w:t>.</w:t>
      </w:r>
    </w:p>
    <w:p w14:paraId="75197BDA" w14:textId="77777777" w:rsidR="00222C0A" w:rsidRPr="002730FF" w:rsidRDefault="00222C0A" w:rsidP="0059266F">
      <w:pPr>
        <w:rPr>
          <w:rFonts w:ascii="Arial" w:hAnsi="Arial" w:cs="Arial"/>
          <w:sz w:val="20"/>
          <w:szCs w:val="20"/>
        </w:rPr>
      </w:pPr>
      <w:r w:rsidRPr="002730FF">
        <w:rPr>
          <w:rFonts w:ascii="Arial" w:hAnsi="Arial" w:cs="Arial"/>
          <w:sz w:val="20"/>
          <w:szCs w:val="20"/>
        </w:rPr>
        <w:t xml:space="preserve">Jegede, A. E. (2014). </w:t>
      </w:r>
      <w:r w:rsidRPr="002730FF">
        <w:rPr>
          <w:rStyle w:val="Emphasis"/>
          <w:rFonts w:ascii="Arial" w:hAnsi="Arial" w:cs="Arial"/>
          <w:sz w:val="20"/>
          <w:szCs w:val="20"/>
        </w:rPr>
        <w:t>The impact of cybercrime on Nigeria’s national security and development</w:t>
      </w:r>
      <w:r w:rsidRPr="002730FF">
        <w:rPr>
          <w:rFonts w:ascii="Arial" w:hAnsi="Arial" w:cs="Arial"/>
          <w:sz w:val="20"/>
          <w:szCs w:val="20"/>
        </w:rPr>
        <w:t xml:space="preserve">. </w:t>
      </w:r>
      <w:r w:rsidRPr="002730FF">
        <w:rPr>
          <w:rStyle w:val="Emphasis"/>
          <w:rFonts w:ascii="Arial" w:hAnsi="Arial" w:cs="Arial"/>
          <w:sz w:val="20"/>
          <w:szCs w:val="20"/>
        </w:rPr>
        <w:t>African Journal of Criminology and Justice Studies</w:t>
      </w:r>
      <w:r w:rsidRPr="002730FF">
        <w:rPr>
          <w:rFonts w:ascii="Arial" w:hAnsi="Arial" w:cs="Arial"/>
          <w:sz w:val="20"/>
          <w:szCs w:val="20"/>
        </w:rPr>
        <w:t>, 8(1), 1-16</w:t>
      </w:r>
    </w:p>
    <w:p w14:paraId="6DB159B9" w14:textId="77777777" w:rsidR="0059266F" w:rsidRPr="002730FF" w:rsidRDefault="00222C0A" w:rsidP="0059266F">
      <w:pPr>
        <w:rPr>
          <w:rFonts w:ascii="Arial" w:hAnsi="Arial" w:cs="Arial"/>
          <w:sz w:val="20"/>
          <w:szCs w:val="20"/>
        </w:rPr>
      </w:pPr>
      <w:r w:rsidRPr="002730FF">
        <w:rPr>
          <w:rFonts w:ascii="Arial" w:hAnsi="Arial" w:cs="Arial"/>
          <w:sz w:val="20"/>
          <w:szCs w:val="20"/>
        </w:rPr>
        <w:t xml:space="preserve">Kunz, M. M., &amp; Wilson, S. (2002). </w:t>
      </w:r>
      <w:r w:rsidRPr="002730FF">
        <w:rPr>
          <w:rStyle w:val="Emphasis"/>
          <w:rFonts w:ascii="Arial" w:hAnsi="Arial" w:cs="Arial"/>
          <w:sz w:val="20"/>
          <w:szCs w:val="20"/>
        </w:rPr>
        <w:t>Cybercrime: The new crime wave</w:t>
      </w:r>
      <w:r w:rsidRPr="002730FF">
        <w:rPr>
          <w:rFonts w:ascii="Arial" w:hAnsi="Arial" w:cs="Arial"/>
          <w:sz w:val="20"/>
          <w:szCs w:val="20"/>
        </w:rPr>
        <w:t xml:space="preserve">. </w:t>
      </w:r>
      <w:r w:rsidRPr="002730FF">
        <w:rPr>
          <w:rStyle w:val="Emphasis"/>
          <w:rFonts w:ascii="Arial" w:hAnsi="Arial" w:cs="Arial"/>
          <w:sz w:val="20"/>
          <w:szCs w:val="20"/>
        </w:rPr>
        <w:t>Criminal Justice Studies</w:t>
      </w:r>
      <w:r w:rsidRPr="002730FF">
        <w:rPr>
          <w:rFonts w:ascii="Arial" w:hAnsi="Arial" w:cs="Arial"/>
          <w:sz w:val="20"/>
          <w:szCs w:val="20"/>
        </w:rPr>
        <w:t>, 15(2), 175-188.</w:t>
      </w:r>
    </w:p>
    <w:p w14:paraId="47CBEE0A" w14:textId="77777777" w:rsidR="00222C0A" w:rsidRPr="002730FF" w:rsidRDefault="00222C0A" w:rsidP="0059266F">
      <w:pPr>
        <w:rPr>
          <w:rFonts w:ascii="Arial" w:hAnsi="Arial" w:cs="Arial"/>
          <w:sz w:val="20"/>
          <w:szCs w:val="20"/>
        </w:rPr>
      </w:pPr>
      <w:r w:rsidRPr="002730FF">
        <w:rPr>
          <w:rFonts w:ascii="Arial" w:hAnsi="Arial" w:cs="Arial"/>
          <w:sz w:val="20"/>
          <w:szCs w:val="20"/>
        </w:rPr>
        <w:t xml:space="preserve">Shinder, D. (2000). </w:t>
      </w:r>
      <w:r w:rsidRPr="002730FF">
        <w:rPr>
          <w:rStyle w:val="Emphasis"/>
          <w:rFonts w:ascii="Arial" w:hAnsi="Arial" w:cs="Arial"/>
          <w:sz w:val="20"/>
          <w:szCs w:val="20"/>
        </w:rPr>
        <w:t>Cybercrime: How to protect yourself from the biggest threat to your business and personal finances</w:t>
      </w:r>
      <w:r w:rsidRPr="002730FF">
        <w:rPr>
          <w:rFonts w:ascii="Arial" w:hAnsi="Arial" w:cs="Arial"/>
          <w:sz w:val="20"/>
          <w:szCs w:val="20"/>
        </w:rPr>
        <w:t>. Syngress Publishing.</w:t>
      </w:r>
    </w:p>
    <w:p w14:paraId="7577DBC2" w14:textId="77777777" w:rsidR="00222C0A" w:rsidRPr="002730FF" w:rsidRDefault="00222C0A" w:rsidP="0059266F">
      <w:pPr>
        <w:rPr>
          <w:rFonts w:ascii="Arial" w:hAnsi="Arial" w:cs="Arial"/>
          <w:sz w:val="20"/>
          <w:szCs w:val="20"/>
        </w:rPr>
      </w:pPr>
      <w:r w:rsidRPr="002730FF">
        <w:rPr>
          <w:rFonts w:ascii="Arial" w:hAnsi="Arial" w:cs="Arial"/>
          <w:sz w:val="20"/>
          <w:szCs w:val="20"/>
        </w:rPr>
        <w:t xml:space="preserve">Ghosh, A. (2013). </w:t>
      </w:r>
      <w:proofErr w:type="spellStart"/>
      <w:r w:rsidRPr="002730FF">
        <w:rPr>
          <w:rStyle w:val="Emphasis"/>
          <w:rFonts w:ascii="Arial" w:hAnsi="Arial" w:cs="Arial"/>
          <w:sz w:val="20"/>
          <w:szCs w:val="20"/>
        </w:rPr>
        <w:t>Cyber crime</w:t>
      </w:r>
      <w:proofErr w:type="spellEnd"/>
      <w:r w:rsidRPr="002730FF">
        <w:rPr>
          <w:rStyle w:val="Emphasis"/>
          <w:rFonts w:ascii="Arial" w:hAnsi="Arial" w:cs="Arial"/>
          <w:sz w:val="20"/>
          <w:szCs w:val="20"/>
        </w:rPr>
        <w:t xml:space="preserve"> and the law: A comprehensive study</w:t>
      </w:r>
      <w:r w:rsidRPr="002730FF">
        <w:rPr>
          <w:rFonts w:ascii="Arial" w:hAnsi="Arial" w:cs="Arial"/>
          <w:sz w:val="20"/>
          <w:szCs w:val="20"/>
        </w:rPr>
        <w:t xml:space="preserve">. </w:t>
      </w:r>
      <w:r w:rsidRPr="002730FF">
        <w:rPr>
          <w:rStyle w:val="Emphasis"/>
          <w:rFonts w:ascii="Arial" w:hAnsi="Arial" w:cs="Arial"/>
          <w:sz w:val="20"/>
          <w:szCs w:val="20"/>
        </w:rPr>
        <w:t>Journal of Information Technology &amp; Politics</w:t>
      </w:r>
      <w:r w:rsidRPr="002730FF">
        <w:rPr>
          <w:rFonts w:ascii="Arial" w:hAnsi="Arial" w:cs="Arial"/>
          <w:sz w:val="20"/>
          <w:szCs w:val="20"/>
        </w:rPr>
        <w:t>, 10(4), 405-420.</w:t>
      </w:r>
    </w:p>
    <w:p w14:paraId="1236916C" w14:textId="77777777" w:rsidR="00222C0A" w:rsidRPr="002730FF" w:rsidRDefault="00222C0A" w:rsidP="0059266F">
      <w:pPr>
        <w:rPr>
          <w:rFonts w:ascii="Arial" w:hAnsi="Arial" w:cs="Arial"/>
          <w:sz w:val="20"/>
          <w:szCs w:val="20"/>
        </w:rPr>
      </w:pPr>
      <w:r w:rsidRPr="002730FF">
        <w:rPr>
          <w:rFonts w:ascii="Arial" w:hAnsi="Arial" w:cs="Arial"/>
          <w:sz w:val="20"/>
          <w:szCs w:val="20"/>
        </w:rPr>
        <w:t xml:space="preserve">Warner, J. (2011). </w:t>
      </w:r>
      <w:r w:rsidRPr="002730FF">
        <w:rPr>
          <w:rStyle w:val="Emphasis"/>
          <w:rFonts w:ascii="Arial" w:hAnsi="Arial" w:cs="Arial"/>
          <w:sz w:val="20"/>
          <w:szCs w:val="20"/>
        </w:rPr>
        <w:t>Understanding cybercrime in Ghana: A view from below</w:t>
      </w:r>
      <w:r w:rsidRPr="002730FF">
        <w:rPr>
          <w:rFonts w:ascii="Arial" w:hAnsi="Arial" w:cs="Arial"/>
          <w:sz w:val="20"/>
          <w:szCs w:val="20"/>
        </w:rPr>
        <w:t>. International Journal of Cyber Criminology, 5(1), 736-749</w:t>
      </w:r>
    </w:p>
    <w:p w14:paraId="52759E18" w14:textId="77777777" w:rsidR="00222C0A" w:rsidRPr="002730FF" w:rsidRDefault="00222C0A" w:rsidP="0059266F">
      <w:pPr>
        <w:rPr>
          <w:rFonts w:ascii="Arial" w:hAnsi="Arial" w:cs="Arial"/>
          <w:sz w:val="20"/>
          <w:szCs w:val="20"/>
        </w:rPr>
      </w:pPr>
      <w:r w:rsidRPr="002730FF">
        <w:rPr>
          <w:rFonts w:ascii="Arial" w:hAnsi="Arial" w:cs="Arial"/>
          <w:sz w:val="20"/>
          <w:szCs w:val="20"/>
        </w:rPr>
        <w:t xml:space="preserve">Oduro-Frimpong, J. (2014). </w:t>
      </w:r>
      <w:proofErr w:type="spellStart"/>
      <w:r w:rsidRPr="002730FF">
        <w:rPr>
          <w:rStyle w:val="Emphasis"/>
          <w:rFonts w:ascii="Arial" w:hAnsi="Arial" w:cs="Arial"/>
          <w:sz w:val="20"/>
          <w:szCs w:val="20"/>
        </w:rPr>
        <w:t>Sakawa</w:t>
      </w:r>
      <w:proofErr w:type="spellEnd"/>
      <w:r w:rsidRPr="002730FF">
        <w:rPr>
          <w:rStyle w:val="Emphasis"/>
          <w:rFonts w:ascii="Arial" w:hAnsi="Arial" w:cs="Arial"/>
          <w:sz w:val="20"/>
          <w:szCs w:val="20"/>
        </w:rPr>
        <w:t xml:space="preserve"> rituals and </w:t>
      </w:r>
      <w:proofErr w:type="spellStart"/>
      <w:r w:rsidRPr="002730FF">
        <w:rPr>
          <w:rStyle w:val="Emphasis"/>
          <w:rFonts w:ascii="Arial" w:hAnsi="Arial" w:cs="Arial"/>
          <w:sz w:val="20"/>
          <w:szCs w:val="20"/>
        </w:rPr>
        <w:t>cyberfraud</w:t>
      </w:r>
      <w:proofErr w:type="spellEnd"/>
      <w:r w:rsidRPr="002730FF">
        <w:rPr>
          <w:rStyle w:val="Emphasis"/>
          <w:rFonts w:ascii="Arial" w:hAnsi="Arial" w:cs="Arial"/>
          <w:sz w:val="20"/>
          <w:szCs w:val="20"/>
        </w:rPr>
        <w:t xml:space="preserve"> in Ghanaian popular culture</w:t>
      </w:r>
      <w:r w:rsidRPr="002730FF">
        <w:rPr>
          <w:rFonts w:ascii="Arial" w:hAnsi="Arial" w:cs="Arial"/>
          <w:sz w:val="20"/>
          <w:szCs w:val="20"/>
        </w:rPr>
        <w:t>. International Journal of Cultural Studies, 17(5), 445-464.</w:t>
      </w:r>
    </w:p>
    <w:p w14:paraId="053EF1F6" w14:textId="77777777" w:rsidR="0059266F" w:rsidRPr="002730FF" w:rsidRDefault="00222C0A" w:rsidP="0059266F">
      <w:pPr>
        <w:rPr>
          <w:rFonts w:ascii="Arial" w:hAnsi="Arial" w:cs="Arial"/>
          <w:sz w:val="20"/>
          <w:szCs w:val="20"/>
        </w:rPr>
      </w:pPr>
      <w:proofErr w:type="spellStart"/>
      <w:r w:rsidRPr="002730FF">
        <w:rPr>
          <w:rFonts w:ascii="Arial" w:hAnsi="Arial" w:cs="Arial"/>
          <w:sz w:val="20"/>
          <w:szCs w:val="20"/>
        </w:rPr>
        <w:lastRenderedPageBreak/>
        <w:t>Obosu</w:t>
      </w:r>
      <w:proofErr w:type="spellEnd"/>
      <w:r w:rsidRPr="002730FF">
        <w:rPr>
          <w:rFonts w:ascii="Arial" w:hAnsi="Arial" w:cs="Arial"/>
          <w:sz w:val="20"/>
          <w:szCs w:val="20"/>
        </w:rPr>
        <w:t xml:space="preserve">, G. (2009). </w:t>
      </w:r>
      <w:r w:rsidRPr="002730FF">
        <w:rPr>
          <w:rStyle w:val="Emphasis"/>
          <w:rFonts w:ascii="Arial" w:hAnsi="Arial" w:cs="Arial"/>
          <w:sz w:val="20"/>
          <w:szCs w:val="20"/>
        </w:rPr>
        <w:t>Cybercrime in Ghana: Causes, impacts, and solutions</w:t>
      </w:r>
      <w:r w:rsidRPr="002730FF">
        <w:rPr>
          <w:rFonts w:ascii="Arial" w:hAnsi="Arial" w:cs="Arial"/>
          <w:sz w:val="20"/>
          <w:szCs w:val="20"/>
        </w:rPr>
        <w:t xml:space="preserve">. </w:t>
      </w:r>
      <w:r w:rsidRPr="002730FF">
        <w:rPr>
          <w:rStyle w:val="Emphasis"/>
          <w:rFonts w:ascii="Arial" w:hAnsi="Arial" w:cs="Arial"/>
          <w:sz w:val="20"/>
          <w:szCs w:val="20"/>
        </w:rPr>
        <w:t>Ghana Journal of Development Studies</w:t>
      </w:r>
      <w:r w:rsidRPr="002730FF">
        <w:rPr>
          <w:rFonts w:ascii="Arial" w:hAnsi="Arial" w:cs="Arial"/>
          <w:sz w:val="20"/>
          <w:szCs w:val="20"/>
        </w:rPr>
        <w:t>, 6(1), 45-60.</w:t>
      </w:r>
    </w:p>
    <w:p w14:paraId="5AD52BC7" w14:textId="77777777" w:rsidR="0047697F" w:rsidRPr="002730FF" w:rsidRDefault="0047697F" w:rsidP="0059266F">
      <w:pPr>
        <w:rPr>
          <w:rFonts w:ascii="Arial" w:hAnsi="Arial" w:cs="Arial"/>
          <w:sz w:val="20"/>
          <w:szCs w:val="20"/>
        </w:rPr>
      </w:pPr>
      <w:r w:rsidRPr="002730FF">
        <w:rPr>
          <w:rFonts w:ascii="Arial" w:hAnsi="Arial" w:cs="Arial"/>
          <w:sz w:val="20"/>
          <w:szCs w:val="20"/>
        </w:rPr>
        <w:t>Button, M., Lewis C., &amp;Tapley, J.  (2009</w:t>
      </w:r>
      <w:proofErr w:type="gramStart"/>
      <w:r w:rsidRPr="002730FF">
        <w:rPr>
          <w:rFonts w:ascii="Arial" w:hAnsi="Arial" w:cs="Arial"/>
          <w:sz w:val="20"/>
          <w:szCs w:val="20"/>
        </w:rPr>
        <w:t>).Fraud</w:t>
      </w:r>
      <w:proofErr w:type="gramEnd"/>
      <w:r w:rsidRPr="002730FF">
        <w:rPr>
          <w:rFonts w:ascii="Arial" w:hAnsi="Arial" w:cs="Arial"/>
          <w:sz w:val="20"/>
          <w:szCs w:val="20"/>
        </w:rPr>
        <w:t xml:space="preserve"> typologies and the victims of fraud literature review. Portsmouth: University of Portsmouth.</w:t>
      </w:r>
    </w:p>
    <w:p w14:paraId="3EFD6116" w14:textId="77777777" w:rsidR="0059266F" w:rsidRPr="002730FF" w:rsidRDefault="00222C0A" w:rsidP="0059266F">
      <w:pPr>
        <w:rPr>
          <w:rFonts w:ascii="Arial" w:hAnsi="Arial" w:cs="Arial"/>
          <w:sz w:val="20"/>
          <w:szCs w:val="20"/>
        </w:rPr>
      </w:pPr>
      <w:r w:rsidRPr="002730FF">
        <w:rPr>
          <w:rFonts w:ascii="Arial" w:hAnsi="Arial" w:cs="Arial"/>
          <w:sz w:val="20"/>
          <w:szCs w:val="20"/>
        </w:rPr>
        <w:t xml:space="preserve">Marsh, S. (2004). </w:t>
      </w:r>
      <w:r w:rsidRPr="002730FF">
        <w:rPr>
          <w:rStyle w:val="Emphasis"/>
          <w:rFonts w:ascii="Arial" w:hAnsi="Arial" w:cs="Arial"/>
          <w:sz w:val="20"/>
          <w:szCs w:val="20"/>
        </w:rPr>
        <w:t xml:space="preserve">Cybercrime: The costs of </w:t>
      </w:r>
      <w:proofErr w:type="spellStart"/>
      <w:r w:rsidRPr="002730FF">
        <w:rPr>
          <w:rStyle w:val="Emphasis"/>
          <w:rFonts w:ascii="Arial" w:hAnsi="Arial" w:cs="Arial"/>
          <w:sz w:val="20"/>
          <w:szCs w:val="20"/>
        </w:rPr>
        <w:t>cyber crime</w:t>
      </w:r>
      <w:proofErr w:type="spellEnd"/>
      <w:r w:rsidRPr="002730FF">
        <w:rPr>
          <w:rFonts w:ascii="Arial" w:hAnsi="Arial" w:cs="Arial"/>
          <w:sz w:val="20"/>
          <w:szCs w:val="20"/>
        </w:rPr>
        <w:t xml:space="preserve">. </w:t>
      </w:r>
      <w:r w:rsidRPr="002730FF">
        <w:rPr>
          <w:rStyle w:val="Emphasis"/>
          <w:rFonts w:ascii="Arial" w:hAnsi="Arial" w:cs="Arial"/>
          <w:sz w:val="20"/>
          <w:szCs w:val="20"/>
        </w:rPr>
        <w:t>Journal of Information Warfare</w:t>
      </w:r>
      <w:r w:rsidRPr="002730FF">
        <w:rPr>
          <w:rFonts w:ascii="Arial" w:hAnsi="Arial" w:cs="Arial"/>
          <w:sz w:val="20"/>
          <w:szCs w:val="20"/>
        </w:rPr>
        <w:t>, 3(3), 50-59.</w:t>
      </w:r>
    </w:p>
    <w:p w14:paraId="19826322" w14:textId="77777777" w:rsidR="0059266F" w:rsidRPr="002730FF" w:rsidRDefault="0047697F" w:rsidP="0059266F">
      <w:pPr>
        <w:rPr>
          <w:rFonts w:ascii="Arial" w:hAnsi="Arial" w:cs="Arial"/>
          <w:sz w:val="20"/>
          <w:szCs w:val="20"/>
        </w:rPr>
      </w:pPr>
      <w:r w:rsidRPr="002730FF">
        <w:rPr>
          <w:rFonts w:ascii="Arial" w:hAnsi="Arial" w:cs="Arial"/>
          <w:sz w:val="20"/>
          <w:szCs w:val="20"/>
        </w:rPr>
        <w:t>Button, M.</w:t>
      </w:r>
      <w:proofErr w:type="gramStart"/>
      <w:r w:rsidRPr="002730FF">
        <w:rPr>
          <w:rFonts w:ascii="Arial" w:hAnsi="Arial" w:cs="Arial"/>
          <w:sz w:val="20"/>
          <w:szCs w:val="20"/>
        </w:rPr>
        <w:t>,  Lewis</w:t>
      </w:r>
      <w:proofErr w:type="gramEnd"/>
      <w:r w:rsidRPr="002730FF">
        <w:rPr>
          <w:rFonts w:ascii="Arial" w:hAnsi="Arial" w:cs="Arial"/>
          <w:sz w:val="20"/>
          <w:szCs w:val="20"/>
        </w:rPr>
        <w:t>, C.,  &amp;Tapley, J. (2009).Support for the victims of fraud: An assessment  of  the  current  infrastructure  in  England  and  Wales. Portsmouth: University of Portsmouth. pp. 38</w:t>
      </w:r>
    </w:p>
    <w:p w14:paraId="3A21D689" w14:textId="77777777" w:rsidR="00222C0A" w:rsidRPr="002730FF" w:rsidRDefault="00222C0A" w:rsidP="0059266F">
      <w:pPr>
        <w:rPr>
          <w:rFonts w:ascii="Arial" w:hAnsi="Arial" w:cs="Arial"/>
          <w:sz w:val="20"/>
          <w:szCs w:val="20"/>
        </w:rPr>
      </w:pPr>
      <w:r w:rsidRPr="002730FF">
        <w:rPr>
          <w:rFonts w:ascii="Arial" w:hAnsi="Arial" w:cs="Arial"/>
          <w:sz w:val="20"/>
          <w:szCs w:val="20"/>
        </w:rPr>
        <w:t xml:space="preserve">Boateng, R., </w:t>
      </w:r>
      <w:proofErr w:type="spellStart"/>
      <w:r w:rsidRPr="002730FF">
        <w:rPr>
          <w:rFonts w:ascii="Arial" w:hAnsi="Arial" w:cs="Arial"/>
          <w:sz w:val="20"/>
          <w:szCs w:val="20"/>
        </w:rPr>
        <w:t>Longe</w:t>
      </w:r>
      <w:proofErr w:type="spellEnd"/>
      <w:r w:rsidRPr="002730FF">
        <w:rPr>
          <w:rFonts w:ascii="Arial" w:hAnsi="Arial" w:cs="Arial"/>
          <w:sz w:val="20"/>
          <w:szCs w:val="20"/>
        </w:rPr>
        <w:t xml:space="preserve">, O.B., </w:t>
      </w:r>
      <w:proofErr w:type="spellStart"/>
      <w:r w:rsidRPr="002730FF">
        <w:rPr>
          <w:rFonts w:ascii="Arial" w:hAnsi="Arial" w:cs="Arial"/>
          <w:sz w:val="20"/>
          <w:szCs w:val="20"/>
        </w:rPr>
        <w:t>Isabalija</w:t>
      </w:r>
      <w:proofErr w:type="spellEnd"/>
      <w:r w:rsidRPr="002730FF">
        <w:rPr>
          <w:rFonts w:ascii="Arial" w:hAnsi="Arial" w:cs="Arial"/>
          <w:sz w:val="20"/>
          <w:szCs w:val="20"/>
        </w:rPr>
        <w:t xml:space="preserve">, R., &amp; </w:t>
      </w:r>
      <w:proofErr w:type="spellStart"/>
      <w:r w:rsidRPr="002730FF">
        <w:rPr>
          <w:rFonts w:ascii="Arial" w:hAnsi="Arial" w:cs="Arial"/>
          <w:sz w:val="20"/>
          <w:szCs w:val="20"/>
        </w:rPr>
        <w:t>Budu</w:t>
      </w:r>
      <w:proofErr w:type="spellEnd"/>
      <w:r w:rsidRPr="002730FF">
        <w:rPr>
          <w:rFonts w:ascii="Arial" w:hAnsi="Arial" w:cs="Arial"/>
          <w:sz w:val="20"/>
          <w:szCs w:val="20"/>
        </w:rPr>
        <w:t>, J. (2011). ‘‘</w:t>
      </w:r>
      <w:proofErr w:type="spellStart"/>
      <w:r w:rsidRPr="002730FF">
        <w:rPr>
          <w:rFonts w:ascii="Arial" w:hAnsi="Arial" w:cs="Arial"/>
          <w:sz w:val="20"/>
          <w:szCs w:val="20"/>
        </w:rPr>
        <w:t>Sakawa</w:t>
      </w:r>
      <w:proofErr w:type="spellEnd"/>
      <w:r w:rsidRPr="002730FF">
        <w:rPr>
          <w:rFonts w:ascii="Arial" w:hAnsi="Arial" w:cs="Arial"/>
          <w:sz w:val="20"/>
          <w:szCs w:val="20"/>
        </w:rPr>
        <w:t>'’ - Cybercrime and criminality in Ghana.  Journal of Information Technology Impact.2 (11</w:t>
      </w:r>
      <w:proofErr w:type="gramStart"/>
      <w:r w:rsidRPr="002730FF">
        <w:rPr>
          <w:rFonts w:ascii="Arial" w:hAnsi="Arial" w:cs="Arial"/>
          <w:sz w:val="20"/>
          <w:szCs w:val="20"/>
        </w:rPr>
        <w:t>).Pp.</w:t>
      </w:r>
      <w:proofErr w:type="gramEnd"/>
      <w:r w:rsidRPr="002730FF">
        <w:rPr>
          <w:rFonts w:ascii="Arial" w:hAnsi="Arial" w:cs="Arial"/>
          <w:sz w:val="20"/>
          <w:szCs w:val="20"/>
        </w:rPr>
        <w:t>85-100.</w:t>
      </w:r>
    </w:p>
    <w:p w14:paraId="3F300EAD" w14:textId="77777777" w:rsidR="0059266F" w:rsidRPr="002730FF" w:rsidRDefault="00222C0A" w:rsidP="0059266F">
      <w:pPr>
        <w:rPr>
          <w:rFonts w:ascii="Arial" w:hAnsi="Arial" w:cs="Arial"/>
          <w:sz w:val="20"/>
          <w:szCs w:val="20"/>
        </w:rPr>
      </w:pPr>
      <w:r w:rsidRPr="002730FF">
        <w:rPr>
          <w:rFonts w:ascii="Arial" w:hAnsi="Arial" w:cs="Arial"/>
          <w:sz w:val="20"/>
          <w:szCs w:val="20"/>
        </w:rPr>
        <w:t xml:space="preserve">Burrell, R. (2008). </w:t>
      </w:r>
      <w:r w:rsidRPr="002730FF">
        <w:rPr>
          <w:rStyle w:val="Emphasis"/>
          <w:rFonts w:ascii="Arial" w:hAnsi="Arial" w:cs="Arial"/>
          <w:sz w:val="20"/>
          <w:szCs w:val="20"/>
        </w:rPr>
        <w:t>Cybercrime and the law: A critical analysis of the existing framework</w:t>
      </w:r>
      <w:r w:rsidRPr="002730FF">
        <w:rPr>
          <w:rFonts w:ascii="Arial" w:hAnsi="Arial" w:cs="Arial"/>
          <w:sz w:val="20"/>
          <w:szCs w:val="20"/>
        </w:rPr>
        <w:t xml:space="preserve">. </w:t>
      </w:r>
      <w:r w:rsidRPr="002730FF">
        <w:rPr>
          <w:rStyle w:val="Emphasis"/>
          <w:rFonts w:ascii="Arial" w:hAnsi="Arial" w:cs="Arial"/>
          <w:sz w:val="20"/>
          <w:szCs w:val="20"/>
        </w:rPr>
        <w:t>Information &amp; Communications Technology Law</w:t>
      </w:r>
      <w:r w:rsidRPr="002730FF">
        <w:rPr>
          <w:rFonts w:ascii="Arial" w:hAnsi="Arial" w:cs="Arial"/>
          <w:sz w:val="20"/>
          <w:szCs w:val="20"/>
        </w:rPr>
        <w:t xml:space="preserve">, 17(1), 1-22. </w:t>
      </w:r>
      <w:hyperlink r:id="rId11" w:history="1">
        <w:r w:rsidR="0059266F" w:rsidRPr="002730FF">
          <w:rPr>
            <w:rStyle w:val="Hyperlink"/>
            <w:rFonts w:ascii="Arial" w:hAnsi="Arial" w:cs="Arial"/>
            <w:sz w:val="20"/>
            <w:szCs w:val="20"/>
          </w:rPr>
          <w:t>https://doi.org/10.1080/13600830801904360</w:t>
        </w:r>
      </w:hyperlink>
    </w:p>
    <w:p w14:paraId="31AFD293" w14:textId="77777777" w:rsidR="0059266F" w:rsidRPr="002730FF" w:rsidRDefault="00222C0A" w:rsidP="0059266F">
      <w:pPr>
        <w:rPr>
          <w:rFonts w:ascii="Arial" w:hAnsi="Arial" w:cs="Arial"/>
          <w:sz w:val="20"/>
          <w:szCs w:val="20"/>
        </w:rPr>
      </w:pPr>
      <w:r w:rsidRPr="002730FF">
        <w:rPr>
          <w:rFonts w:ascii="Arial" w:hAnsi="Arial" w:cs="Arial"/>
          <w:sz w:val="20"/>
          <w:szCs w:val="20"/>
        </w:rPr>
        <w:t xml:space="preserve">Armstrong, A.  (2011). </w:t>
      </w:r>
      <w:proofErr w:type="spellStart"/>
      <w:r w:rsidRPr="002730FF">
        <w:rPr>
          <w:rFonts w:ascii="Arial" w:hAnsi="Arial" w:cs="Arial"/>
          <w:sz w:val="20"/>
          <w:szCs w:val="20"/>
        </w:rPr>
        <w:t>Sakawa</w:t>
      </w:r>
      <w:proofErr w:type="spellEnd"/>
      <w:r w:rsidRPr="002730FF">
        <w:rPr>
          <w:rFonts w:ascii="Arial" w:hAnsi="Arial" w:cs="Arial"/>
          <w:sz w:val="20"/>
          <w:szCs w:val="20"/>
        </w:rPr>
        <w:t xml:space="preserve"> Rumors:  Occult Internet Fraud and Ghanaian Identity.  Retrieved from:  </w:t>
      </w:r>
      <w:hyperlink r:id="rId12" w:history="1">
        <w:r w:rsidR="0059266F" w:rsidRPr="002730FF">
          <w:rPr>
            <w:rStyle w:val="Hyperlink"/>
            <w:rFonts w:ascii="Arial" w:hAnsi="Arial" w:cs="Arial"/>
            <w:sz w:val="20"/>
            <w:szCs w:val="20"/>
          </w:rPr>
          <w:t>http://www.ucl.ac.uk/anthropology/research /working-papers/082011.pdf</w:t>
        </w:r>
      </w:hyperlink>
      <w:r w:rsidRPr="002730FF">
        <w:rPr>
          <w:rFonts w:ascii="Arial" w:hAnsi="Arial" w:cs="Arial"/>
          <w:sz w:val="20"/>
          <w:szCs w:val="20"/>
        </w:rPr>
        <w:t>.</w:t>
      </w:r>
    </w:p>
    <w:p w14:paraId="412E0F12" w14:textId="77777777" w:rsidR="00222C0A" w:rsidRPr="002730FF" w:rsidRDefault="00222C0A" w:rsidP="0059266F">
      <w:pPr>
        <w:rPr>
          <w:rFonts w:ascii="Arial" w:hAnsi="Arial" w:cs="Arial"/>
          <w:sz w:val="20"/>
          <w:szCs w:val="20"/>
        </w:rPr>
      </w:pPr>
      <w:r w:rsidRPr="002730FF">
        <w:rPr>
          <w:rFonts w:ascii="Arial" w:hAnsi="Arial" w:cs="Arial"/>
          <w:sz w:val="20"/>
          <w:szCs w:val="20"/>
        </w:rPr>
        <w:t xml:space="preserve">Peduzzi, P., </w:t>
      </w:r>
      <w:proofErr w:type="spellStart"/>
      <w:r w:rsidRPr="002730FF">
        <w:rPr>
          <w:rFonts w:ascii="Arial" w:hAnsi="Arial" w:cs="Arial"/>
          <w:sz w:val="20"/>
          <w:szCs w:val="20"/>
        </w:rPr>
        <w:t>Contato</w:t>
      </w:r>
      <w:proofErr w:type="spellEnd"/>
      <w:r w:rsidRPr="002730FF">
        <w:rPr>
          <w:rFonts w:ascii="Arial" w:hAnsi="Arial" w:cs="Arial"/>
          <w:sz w:val="20"/>
          <w:szCs w:val="20"/>
        </w:rPr>
        <w:t xml:space="preserve">, M., </w:t>
      </w:r>
      <w:proofErr w:type="spellStart"/>
      <w:r w:rsidRPr="002730FF">
        <w:rPr>
          <w:rFonts w:ascii="Arial" w:hAnsi="Arial" w:cs="Arial"/>
          <w:sz w:val="20"/>
          <w:szCs w:val="20"/>
        </w:rPr>
        <w:t>Holfrod</w:t>
      </w:r>
      <w:proofErr w:type="spellEnd"/>
      <w:r w:rsidRPr="002730FF">
        <w:rPr>
          <w:rFonts w:ascii="Arial" w:hAnsi="Arial" w:cs="Arial"/>
          <w:sz w:val="20"/>
          <w:szCs w:val="20"/>
        </w:rPr>
        <w:t xml:space="preserve">, T., &amp; Feinstein, A. (1996). </w:t>
      </w:r>
      <w:r w:rsidRPr="002730FF">
        <w:rPr>
          <w:rStyle w:val="Emphasis"/>
          <w:rFonts w:ascii="Arial" w:hAnsi="Arial" w:cs="Arial"/>
          <w:sz w:val="20"/>
          <w:szCs w:val="20"/>
        </w:rPr>
        <w:t>Statistical methods for the evaluation of epidemiologic studies</w:t>
      </w:r>
      <w:r w:rsidRPr="002730FF">
        <w:rPr>
          <w:rFonts w:ascii="Arial" w:hAnsi="Arial" w:cs="Arial"/>
          <w:sz w:val="20"/>
          <w:szCs w:val="20"/>
        </w:rPr>
        <w:t xml:space="preserve">. </w:t>
      </w:r>
      <w:r w:rsidRPr="002730FF">
        <w:rPr>
          <w:rStyle w:val="Emphasis"/>
          <w:rFonts w:ascii="Arial" w:hAnsi="Arial" w:cs="Arial"/>
          <w:sz w:val="20"/>
          <w:szCs w:val="20"/>
        </w:rPr>
        <w:t>American Journal of Epidemiology</w:t>
      </w:r>
      <w:r w:rsidRPr="002730FF">
        <w:rPr>
          <w:rFonts w:ascii="Arial" w:hAnsi="Arial" w:cs="Arial"/>
          <w:sz w:val="20"/>
          <w:szCs w:val="20"/>
        </w:rPr>
        <w:t xml:space="preserve">, 144(3), 221-228. </w:t>
      </w:r>
      <w:hyperlink r:id="rId13" w:history="1">
        <w:r w:rsidRPr="002730FF">
          <w:rPr>
            <w:rStyle w:val="Hyperlink"/>
            <w:rFonts w:ascii="Arial" w:hAnsi="Arial" w:cs="Arial"/>
            <w:sz w:val="20"/>
            <w:szCs w:val="20"/>
          </w:rPr>
          <w:t>https://doi.org/10.1093/aje/144.3.221</w:t>
        </w:r>
      </w:hyperlink>
    </w:p>
    <w:p w14:paraId="1F04EBD3" w14:textId="77777777" w:rsidR="00222C0A" w:rsidRPr="002730FF" w:rsidRDefault="00222C0A" w:rsidP="0059266F">
      <w:pPr>
        <w:rPr>
          <w:rFonts w:ascii="Arial" w:hAnsi="Arial" w:cs="Arial"/>
          <w:sz w:val="20"/>
          <w:szCs w:val="20"/>
        </w:rPr>
      </w:pPr>
      <w:r w:rsidRPr="002730FF">
        <w:rPr>
          <w:rFonts w:ascii="Arial" w:hAnsi="Arial" w:cs="Arial"/>
          <w:sz w:val="20"/>
          <w:szCs w:val="20"/>
        </w:rPr>
        <w:t xml:space="preserve">Pampel, F. C. (2000). </w:t>
      </w:r>
      <w:r w:rsidRPr="002730FF">
        <w:rPr>
          <w:rStyle w:val="Emphasis"/>
          <w:rFonts w:ascii="Arial" w:hAnsi="Arial" w:cs="Arial"/>
          <w:sz w:val="20"/>
          <w:szCs w:val="20"/>
        </w:rPr>
        <w:t>Logistic regression: A primer</w:t>
      </w:r>
      <w:r w:rsidRPr="002730FF">
        <w:rPr>
          <w:rFonts w:ascii="Arial" w:hAnsi="Arial" w:cs="Arial"/>
          <w:sz w:val="20"/>
          <w:szCs w:val="20"/>
        </w:rPr>
        <w:t xml:space="preserve">. </w:t>
      </w:r>
      <w:r w:rsidRPr="002730FF">
        <w:rPr>
          <w:rStyle w:val="Emphasis"/>
          <w:rFonts w:ascii="Arial" w:hAnsi="Arial" w:cs="Arial"/>
          <w:sz w:val="20"/>
          <w:szCs w:val="20"/>
        </w:rPr>
        <w:t>Sage Publications</w:t>
      </w:r>
      <w:r w:rsidRPr="002730FF">
        <w:rPr>
          <w:rFonts w:ascii="Arial" w:hAnsi="Arial" w:cs="Arial"/>
          <w:sz w:val="20"/>
          <w:szCs w:val="20"/>
        </w:rPr>
        <w:t>.</w:t>
      </w:r>
    </w:p>
    <w:p w14:paraId="1AD7BFAB" w14:textId="77777777" w:rsidR="00222C0A" w:rsidRPr="002730FF" w:rsidRDefault="00222C0A" w:rsidP="0059266F">
      <w:pPr>
        <w:rPr>
          <w:rFonts w:ascii="Arial" w:hAnsi="Arial" w:cs="Arial"/>
          <w:sz w:val="20"/>
          <w:szCs w:val="20"/>
        </w:rPr>
      </w:pPr>
      <w:r w:rsidRPr="002730FF">
        <w:rPr>
          <w:rFonts w:ascii="Arial" w:hAnsi="Arial" w:cs="Arial"/>
          <w:sz w:val="20"/>
          <w:szCs w:val="20"/>
        </w:rPr>
        <w:t xml:space="preserve">Long, J. S. (1997). </w:t>
      </w:r>
      <w:r w:rsidRPr="002730FF">
        <w:rPr>
          <w:rStyle w:val="Emphasis"/>
          <w:rFonts w:ascii="Arial" w:hAnsi="Arial" w:cs="Arial"/>
          <w:sz w:val="20"/>
          <w:szCs w:val="20"/>
        </w:rPr>
        <w:t>Regression models for categorical and limited dependent variables</w:t>
      </w:r>
      <w:r w:rsidRPr="002730FF">
        <w:rPr>
          <w:rFonts w:ascii="Arial" w:hAnsi="Arial" w:cs="Arial"/>
          <w:sz w:val="20"/>
          <w:szCs w:val="20"/>
        </w:rPr>
        <w:t xml:space="preserve">. </w:t>
      </w:r>
      <w:r w:rsidRPr="002730FF">
        <w:rPr>
          <w:rStyle w:val="Emphasis"/>
          <w:rFonts w:ascii="Arial" w:hAnsi="Arial" w:cs="Arial"/>
          <w:sz w:val="20"/>
          <w:szCs w:val="20"/>
        </w:rPr>
        <w:t>Sage Publications</w:t>
      </w:r>
      <w:r w:rsidRPr="002730FF">
        <w:rPr>
          <w:rFonts w:ascii="Arial" w:hAnsi="Arial" w:cs="Arial"/>
          <w:sz w:val="20"/>
          <w:szCs w:val="20"/>
        </w:rPr>
        <w:t>.</w:t>
      </w:r>
    </w:p>
    <w:p w14:paraId="61E0B792" w14:textId="77777777" w:rsidR="00222C0A" w:rsidRPr="002730FF" w:rsidRDefault="00222C0A" w:rsidP="0059266F">
      <w:pPr>
        <w:rPr>
          <w:rStyle w:val="Hyperlink"/>
          <w:rFonts w:ascii="Arial" w:hAnsi="Arial" w:cs="Arial"/>
          <w:sz w:val="20"/>
          <w:szCs w:val="20"/>
        </w:rPr>
      </w:pPr>
      <w:r w:rsidRPr="002730FF">
        <w:rPr>
          <w:rFonts w:ascii="Arial" w:hAnsi="Arial" w:cs="Arial"/>
          <w:sz w:val="20"/>
          <w:szCs w:val="20"/>
        </w:rPr>
        <w:t xml:space="preserve">Rodrigues, J. (2007). </w:t>
      </w:r>
      <w:r w:rsidRPr="002730FF">
        <w:rPr>
          <w:rStyle w:val="Emphasis"/>
          <w:rFonts w:ascii="Arial" w:hAnsi="Arial" w:cs="Arial"/>
          <w:sz w:val="20"/>
          <w:szCs w:val="20"/>
        </w:rPr>
        <w:t>Cybercrime and security: A comprehensive analysis</w:t>
      </w:r>
      <w:r w:rsidRPr="002730FF">
        <w:rPr>
          <w:rFonts w:ascii="Arial" w:hAnsi="Arial" w:cs="Arial"/>
          <w:sz w:val="20"/>
          <w:szCs w:val="20"/>
        </w:rPr>
        <w:t xml:space="preserve">. </w:t>
      </w:r>
      <w:r w:rsidRPr="002730FF">
        <w:rPr>
          <w:rStyle w:val="Emphasis"/>
          <w:rFonts w:ascii="Arial" w:hAnsi="Arial" w:cs="Arial"/>
          <w:sz w:val="20"/>
          <w:szCs w:val="20"/>
        </w:rPr>
        <w:t>International Journal of Information Security</w:t>
      </w:r>
      <w:r w:rsidRPr="002730FF">
        <w:rPr>
          <w:rFonts w:ascii="Arial" w:hAnsi="Arial" w:cs="Arial"/>
          <w:sz w:val="20"/>
          <w:szCs w:val="20"/>
        </w:rPr>
        <w:t xml:space="preserve">, 6(3), 131-146. </w:t>
      </w:r>
      <w:hyperlink r:id="rId14" w:history="1">
        <w:r w:rsidRPr="002730FF">
          <w:rPr>
            <w:rStyle w:val="Hyperlink"/>
            <w:rFonts w:ascii="Arial" w:hAnsi="Arial" w:cs="Arial"/>
            <w:sz w:val="20"/>
            <w:szCs w:val="20"/>
          </w:rPr>
          <w:t>https://doi.org/10.1007/s10207-007-0036-4</w:t>
        </w:r>
      </w:hyperlink>
    </w:p>
    <w:p w14:paraId="04EF3B94" w14:textId="77777777" w:rsidR="00326E3C" w:rsidRPr="002730FF" w:rsidRDefault="00222C0A" w:rsidP="0059266F">
      <w:pPr>
        <w:spacing w:line="360" w:lineRule="auto"/>
        <w:rPr>
          <w:rFonts w:ascii="Arial" w:hAnsi="Arial" w:cs="Arial"/>
          <w:sz w:val="20"/>
          <w:szCs w:val="20"/>
        </w:rPr>
      </w:pPr>
      <w:r w:rsidRPr="002730FF">
        <w:rPr>
          <w:rFonts w:ascii="Arial" w:hAnsi="Arial" w:cs="Arial"/>
          <w:sz w:val="20"/>
          <w:szCs w:val="16"/>
        </w:rPr>
        <w:t xml:space="preserve">Sakara, S., </w:t>
      </w:r>
      <w:r w:rsidRPr="002730FF">
        <w:rPr>
          <w:rFonts w:ascii="Arial" w:hAnsi="Arial" w:cs="Arial"/>
          <w:b/>
          <w:sz w:val="20"/>
          <w:szCs w:val="16"/>
        </w:rPr>
        <w:t>Alhassan</w:t>
      </w:r>
      <w:r w:rsidRPr="002730FF">
        <w:rPr>
          <w:rFonts w:ascii="Arial" w:hAnsi="Arial" w:cs="Arial"/>
          <w:bCs/>
          <w:sz w:val="20"/>
          <w:szCs w:val="16"/>
        </w:rPr>
        <w:t>,</w:t>
      </w:r>
      <w:r w:rsidRPr="002730FF">
        <w:rPr>
          <w:rFonts w:ascii="Arial" w:hAnsi="Arial" w:cs="Arial"/>
          <w:b/>
          <w:sz w:val="20"/>
          <w:szCs w:val="16"/>
        </w:rPr>
        <w:t xml:space="preserve"> A</w:t>
      </w:r>
      <w:r w:rsidRPr="002730FF">
        <w:rPr>
          <w:rFonts w:ascii="Arial" w:hAnsi="Arial" w:cs="Arial"/>
          <w:bCs/>
          <w:sz w:val="20"/>
          <w:szCs w:val="16"/>
        </w:rPr>
        <w:t xml:space="preserve">-B. and Alhassan, S. </w:t>
      </w:r>
      <w:r w:rsidRPr="002730FF">
        <w:rPr>
          <w:rFonts w:ascii="Arial" w:hAnsi="Arial" w:cs="Arial"/>
          <w:sz w:val="20"/>
          <w:szCs w:val="16"/>
        </w:rPr>
        <w:t xml:space="preserve">(2017). A Novel Captive Portal System for Reduction of Wireless Network Security Threats in the Tamale Metropolis. </w:t>
      </w:r>
      <w:r w:rsidRPr="002730FF">
        <w:rPr>
          <w:rFonts w:ascii="Arial" w:hAnsi="Arial" w:cs="Arial"/>
          <w:i/>
          <w:iCs/>
          <w:sz w:val="20"/>
          <w:szCs w:val="16"/>
        </w:rPr>
        <w:t>International Journal of Computer Applications</w:t>
      </w:r>
      <w:r w:rsidRPr="002730FF">
        <w:rPr>
          <w:rFonts w:ascii="Arial" w:hAnsi="Arial" w:cs="Arial"/>
          <w:sz w:val="20"/>
          <w:szCs w:val="16"/>
        </w:rPr>
        <w:t>. Volume 176(5). Pg. 23-27.</w:t>
      </w:r>
    </w:p>
    <w:sectPr w:rsidR="00326E3C" w:rsidRPr="002730FF">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080" w:bottom="1440" w:left="1080" w:header="709" w:footer="709" w:gutter="47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29F9A" w14:textId="77777777" w:rsidR="00D33B90" w:rsidRDefault="00D33B90">
      <w:pPr>
        <w:spacing w:line="240" w:lineRule="auto"/>
      </w:pPr>
      <w:r>
        <w:separator/>
      </w:r>
    </w:p>
  </w:endnote>
  <w:endnote w:type="continuationSeparator" w:id="0">
    <w:p w14:paraId="7201220A" w14:textId="77777777" w:rsidR="00D33B90" w:rsidRDefault="00D33B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4C992" w14:textId="77777777" w:rsidR="00607040" w:rsidRDefault="00607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2234E" w14:textId="77777777" w:rsidR="00607040" w:rsidRDefault="00607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91DD" w14:textId="77777777" w:rsidR="00607040" w:rsidRDefault="00607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14F22" w14:textId="77777777" w:rsidR="00D33B90" w:rsidRDefault="00D33B90">
      <w:pPr>
        <w:spacing w:after="0"/>
      </w:pPr>
      <w:r>
        <w:separator/>
      </w:r>
    </w:p>
  </w:footnote>
  <w:footnote w:type="continuationSeparator" w:id="0">
    <w:p w14:paraId="66DEEEF6" w14:textId="77777777" w:rsidR="00D33B90" w:rsidRDefault="00D33B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920F4" w14:textId="2F959841" w:rsidR="00607040" w:rsidRDefault="00607040">
    <w:pPr>
      <w:pStyle w:val="Header"/>
    </w:pPr>
    <w:r>
      <w:rPr>
        <w:noProof/>
      </w:rPr>
      <w:pict w14:anchorId="3B0E5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73032" o:spid="_x0000_s2050" type="#_x0000_t136" style="position:absolute;margin-left:0;margin-top:0;width:570.1pt;height:106.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9FF8" w14:textId="476AA7DD" w:rsidR="00607040" w:rsidRDefault="00607040">
    <w:pPr>
      <w:pStyle w:val="Header"/>
    </w:pPr>
    <w:r>
      <w:rPr>
        <w:noProof/>
      </w:rPr>
      <w:pict w14:anchorId="47594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73033" o:spid="_x0000_s2051" type="#_x0000_t136" style="position:absolute;margin-left:0;margin-top:0;width:570.1pt;height:106.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14F1C" w14:textId="1294CE1F" w:rsidR="00607040" w:rsidRDefault="00607040">
    <w:pPr>
      <w:pStyle w:val="Header"/>
    </w:pPr>
    <w:r>
      <w:rPr>
        <w:noProof/>
      </w:rPr>
      <w:pict w14:anchorId="6A7B2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73031" o:spid="_x0000_s2049" type="#_x0000_t136" style="position:absolute;margin-left:0;margin-top:0;width:570.1pt;height:106.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29E"/>
    <w:rsid w:val="00070AC2"/>
    <w:rsid w:val="000942B7"/>
    <w:rsid w:val="000B1A63"/>
    <w:rsid w:val="000C2CC6"/>
    <w:rsid w:val="0011454A"/>
    <w:rsid w:val="00182AD9"/>
    <w:rsid w:val="00187FEC"/>
    <w:rsid w:val="001A4A52"/>
    <w:rsid w:val="001F3B3E"/>
    <w:rsid w:val="0020078E"/>
    <w:rsid w:val="00202AE6"/>
    <w:rsid w:val="00216F5A"/>
    <w:rsid w:val="00222C0A"/>
    <w:rsid w:val="002374A7"/>
    <w:rsid w:val="002730FF"/>
    <w:rsid w:val="00304772"/>
    <w:rsid w:val="003107A3"/>
    <w:rsid w:val="00323ABF"/>
    <w:rsid w:val="00326E3C"/>
    <w:rsid w:val="003377D0"/>
    <w:rsid w:val="003A1B8F"/>
    <w:rsid w:val="003A2C6A"/>
    <w:rsid w:val="003C7B62"/>
    <w:rsid w:val="003D4093"/>
    <w:rsid w:val="003E2238"/>
    <w:rsid w:val="003F02C7"/>
    <w:rsid w:val="003F0526"/>
    <w:rsid w:val="00431290"/>
    <w:rsid w:val="004521E8"/>
    <w:rsid w:val="00473515"/>
    <w:rsid w:val="0047697F"/>
    <w:rsid w:val="004C2023"/>
    <w:rsid w:val="004E0C55"/>
    <w:rsid w:val="004E79C8"/>
    <w:rsid w:val="00572D46"/>
    <w:rsid w:val="0059266F"/>
    <w:rsid w:val="005B4F00"/>
    <w:rsid w:val="005F7814"/>
    <w:rsid w:val="00607040"/>
    <w:rsid w:val="006102FE"/>
    <w:rsid w:val="00651643"/>
    <w:rsid w:val="00651974"/>
    <w:rsid w:val="00717C83"/>
    <w:rsid w:val="00767454"/>
    <w:rsid w:val="00782455"/>
    <w:rsid w:val="00790862"/>
    <w:rsid w:val="007D7D2A"/>
    <w:rsid w:val="008031C4"/>
    <w:rsid w:val="00886061"/>
    <w:rsid w:val="008919BB"/>
    <w:rsid w:val="008A7566"/>
    <w:rsid w:val="008B7378"/>
    <w:rsid w:val="008E571B"/>
    <w:rsid w:val="008F4C6A"/>
    <w:rsid w:val="0091236B"/>
    <w:rsid w:val="00966563"/>
    <w:rsid w:val="00A22497"/>
    <w:rsid w:val="00A37500"/>
    <w:rsid w:val="00AF1FAE"/>
    <w:rsid w:val="00B2429E"/>
    <w:rsid w:val="00B336C8"/>
    <w:rsid w:val="00B92176"/>
    <w:rsid w:val="00BA3127"/>
    <w:rsid w:val="00BC174A"/>
    <w:rsid w:val="00C11A63"/>
    <w:rsid w:val="00C5023E"/>
    <w:rsid w:val="00C6491E"/>
    <w:rsid w:val="00CA119F"/>
    <w:rsid w:val="00CE7968"/>
    <w:rsid w:val="00D249AA"/>
    <w:rsid w:val="00D33B90"/>
    <w:rsid w:val="00E214F1"/>
    <w:rsid w:val="00E439D8"/>
    <w:rsid w:val="00E54829"/>
    <w:rsid w:val="00ED50B1"/>
    <w:rsid w:val="00FB4689"/>
    <w:rsid w:val="00FF1458"/>
    <w:rsid w:val="0F2859B9"/>
    <w:rsid w:val="13E236AC"/>
    <w:rsid w:val="154A3236"/>
    <w:rsid w:val="16FF3949"/>
    <w:rsid w:val="17C25358"/>
    <w:rsid w:val="21355289"/>
    <w:rsid w:val="25D76220"/>
    <w:rsid w:val="25EE303B"/>
    <w:rsid w:val="29262E92"/>
    <w:rsid w:val="2C78098B"/>
    <w:rsid w:val="2EE610F7"/>
    <w:rsid w:val="30450989"/>
    <w:rsid w:val="32DB0401"/>
    <w:rsid w:val="3AB6680E"/>
    <w:rsid w:val="3F7B1C78"/>
    <w:rsid w:val="41C36D7F"/>
    <w:rsid w:val="457A7E8F"/>
    <w:rsid w:val="4768355F"/>
    <w:rsid w:val="48A71F8D"/>
    <w:rsid w:val="48D70C7F"/>
    <w:rsid w:val="4A5D250E"/>
    <w:rsid w:val="547C111E"/>
    <w:rsid w:val="5658281C"/>
    <w:rsid w:val="57FE76B3"/>
    <w:rsid w:val="5A6B06E5"/>
    <w:rsid w:val="65196CC6"/>
    <w:rsid w:val="6A725DDD"/>
    <w:rsid w:val="6F5F09AD"/>
    <w:rsid w:val="7A330D8F"/>
    <w:rsid w:val="7AD17DF6"/>
    <w:rsid w:val="7FD3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7CEE1AE9"/>
  <w15:docId w15:val="{96DD3166-E62D-4876-BCE7-D2D81990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240" w:line="360" w:lineRule="auto"/>
      <w:outlineLvl w:val="0"/>
    </w:pPr>
    <w:rPr>
      <w:rFonts w:ascii="Times New Roman" w:eastAsia="SimSun" w:hAnsi="Times New Roman"/>
      <w:b/>
      <w:sz w:val="24"/>
      <w:szCs w:val="32"/>
    </w:rPr>
  </w:style>
  <w:style w:type="paragraph" w:styleId="Heading2">
    <w:name w:val="heading 2"/>
    <w:basedOn w:val="Normal"/>
    <w:next w:val="Normal"/>
    <w:link w:val="Heading2Char"/>
    <w:uiPriority w:val="9"/>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pPr>
      <w:keepNext/>
      <w:keepLines/>
      <w:spacing w:before="40" w:after="0"/>
      <w:outlineLvl w:val="3"/>
    </w:pPr>
    <w:rPr>
      <w:rFonts w:ascii="Calibri Light" w:eastAsia="SimSun" w:hAnsi="Calibri Light"/>
      <w:i/>
      <w:iCs/>
      <w:color w:val="2E74B5"/>
    </w:rPr>
  </w:style>
  <w:style w:type="paragraph" w:styleId="Heading5">
    <w:name w:val="heading 5"/>
    <w:basedOn w:val="Normal"/>
    <w:next w:val="Normal"/>
    <w:link w:val="Heading5Char"/>
    <w:uiPriority w:val="9"/>
    <w:qFormat/>
    <w:pPr>
      <w:keepNext/>
      <w:keepLines/>
      <w:spacing w:before="40" w:after="0"/>
      <w:outlineLvl w:val="4"/>
    </w:pPr>
    <w:rPr>
      <w:rFonts w:ascii="Calibri Light" w:eastAsia="SimSun" w:hAnsi="Calibri Light"/>
      <w:color w:val="2E74B5"/>
    </w:rPr>
  </w:style>
  <w:style w:type="paragraph" w:styleId="Heading6">
    <w:name w:val="heading 6"/>
    <w:basedOn w:val="Normal"/>
    <w:next w:val="Normal"/>
    <w:link w:val="Heading6Char"/>
    <w:uiPriority w:val="9"/>
    <w:qFormat/>
    <w:pPr>
      <w:keepNext/>
      <w:keepLines/>
      <w:spacing w:before="40" w:after="0"/>
      <w:outlineLvl w:val="5"/>
    </w:pPr>
    <w:rPr>
      <w:rFonts w:ascii="Calibri Light" w:eastAsia="SimSu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noteText">
    <w:name w:val="footnote text"/>
    <w:basedOn w:val="Normal"/>
    <w:link w:val="FootnoteTextChar"/>
    <w:uiPriority w:val="99"/>
    <w:qFormat/>
    <w:pPr>
      <w:spacing w:after="0" w:line="240" w:lineRule="auto"/>
    </w:pPr>
    <w:rPr>
      <w:rFonts w:eastAsia="SimSun" w:cs="Times New Roman"/>
      <w:sz w:val="20"/>
      <w:szCs w:val="20"/>
    </w:rPr>
  </w:style>
  <w:style w:type="character" w:styleId="Hyperlink">
    <w:name w:val="Hyperlink"/>
    <w:basedOn w:val="DefaultParagraphFont"/>
    <w:uiPriority w:val="99"/>
    <w:qFormat/>
    <w:rPr>
      <w:color w:val="0563C1"/>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qFormat/>
    <w:rPr>
      <w:rFonts w:eastAsia="SimSun"/>
      <w:color w:val="2E74B5"/>
      <w:sz w:val="22"/>
      <w:szCs w:val="22"/>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Heading1Char">
    <w:name w:val="Heading 1 Char"/>
    <w:basedOn w:val="DefaultParagraphFont"/>
    <w:link w:val="Heading1"/>
    <w:uiPriority w:val="9"/>
    <w:qFormat/>
    <w:rPr>
      <w:rFonts w:ascii="Times New Roman" w:eastAsia="SimSun" w:hAnsi="Times New Roman" w:cs="SimSun"/>
      <w:b/>
      <w:sz w:val="24"/>
      <w:szCs w:val="32"/>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qFormat/>
    <w:rPr>
      <w:color w:val="808080"/>
    </w:rPr>
  </w:style>
  <w:style w:type="character" w:customStyle="1" w:styleId="mord">
    <w:name w:val="mord"/>
    <w:basedOn w:val="DefaultParagraphFont"/>
    <w:qFormat/>
  </w:style>
  <w:style w:type="character" w:customStyle="1" w:styleId="vlist-s">
    <w:name w:val="vlist-s"/>
    <w:basedOn w:val="DefaultParagraphFont"/>
    <w:qFormat/>
  </w:style>
  <w:style w:type="character" w:customStyle="1" w:styleId="mop">
    <w:name w:val="mop"/>
    <w:basedOn w:val="DefaultParagraphFont"/>
    <w:qFormat/>
  </w:style>
  <w:style w:type="character" w:customStyle="1" w:styleId="mrel">
    <w:name w:val="mrel"/>
    <w:basedOn w:val="DefaultParagraphFont"/>
    <w:qFormat/>
  </w:style>
  <w:style w:type="character" w:customStyle="1" w:styleId="mbin">
    <w:name w:val="mbin"/>
    <w:basedOn w:val="DefaultParagraphFont"/>
    <w:qFormat/>
  </w:style>
  <w:style w:type="character" w:customStyle="1" w:styleId="mopen">
    <w:name w:val="mopen"/>
    <w:basedOn w:val="DefaultParagraphFont"/>
    <w:qFormat/>
  </w:style>
  <w:style w:type="character" w:customStyle="1" w:styleId="mclose">
    <w:name w:val="mclose"/>
    <w:basedOn w:val="DefaultParagraphFont"/>
    <w:qFormat/>
  </w:style>
  <w:style w:type="character" w:customStyle="1" w:styleId="katex-mathml">
    <w:name w:val="katex-mathml"/>
    <w:basedOn w:val="DefaultParagraphFont"/>
    <w:qFormat/>
  </w:style>
  <w:style w:type="character" w:customStyle="1" w:styleId="Heading2Char">
    <w:name w:val="Heading 2 Char"/>
    <w:basedOn w:val="DefaultParagraphFont"/>
    <w:link w:val="Heading2"/>
    <w:uiPriority w:val="9"/>
    <w:qFormat/>
    <w:rPr>
      <w:rFonts w:ascii="Calibri Light" w:eastAsia="SimSun" w:hAnsi="Calibri Light" w:cs="SimSun"/>
      <w:color w:val="2E74B5"/>
      <w:sz w:val="26"/>
      <w:szCs w:val="26"/>
    </w:rPr>
  </w:style>
  <w:style w:type="character" w:customStyle="1" w:styleId="Heading3Char">
    <w:name w:val="Heading 3 Char"/>
    <w:basedOn w:val="DefaultParagraphFont"/>
    <w:link w:val="Heading3"/>
    <w:uiPriority w:val="9"/>
    <w:qFormat/>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qFormat/>
    <w:rPr>
      <w:rFonts w:ascii="Calibri Light" w:eastAsia="SimSun" w:hAnsi="Calibri Light" w:cs="SimSun"/>
      <w:i/>
      <w:iCs/>
      <w:color w:val="2E74B5"/>
      <w:sz w:val="22"/>
      <w:szCs w:val="22"/>
    </w:rPr>
  </w:style>
  <w:style w:type="character" w:customStyle="1" w:styleId="Heading5Char">
    <w:name w:val="Heading 5 Char"/>
    <w:basedOn w:val="DefaultParagraphFont"/>
    <w:link w:val="Heading5"/>
    <w:uiPriority w:val="9"/>
    <w:qFormat/>
    <w:rPr>
      <w:rFonts w:ascii="Calibri Light" w:eastAsia="SimSun" w:hAnsi="Calibri Light" w:cs="SimSun"/>
      <w:color w:val="2E74B5"/>
      <w:sz w:val="22"/>
      <w:szCs w:val="22"/>
    </w:rPr>
  </w:style>
  <w:style w:type="character" w:customStyle="1" w:styleId="Heading6Char">
    <w:name w:val="Heading 6 Char"/>
    <w:basedOn w:val="DefaultParagraphFont"/>
    <w:link w:val="Heading6"/>
    <w:uiPriority w:val="9"/>
    <w:qFormat/>
    <w:rPr>
      <w:rFonts w:ascii="Calibri Light" w:eastAsia="SimSun" w:hAnsi="Calibri Light" w:cs="SimSun"/>
      <w:color w:val="1F4D78"/>
      <w:sz w:val="22"/>
      <w:szCs w:val="22"/>
    </w:rPr>
  </w:style>
  <w:style w:type="paragraph" w:customStyle="1" w:styleId="Els-Affiliation">
    <w:name w:val="Els-Affiliation"/>
    <w:next w:val="Normal"/>
    <w:qFormat/>
    <w:pPr>
      <w:suppressAutoHyphens/>
      <w:spacing w:line="200" w:lineRule="exact"/>
      <w:jc w:val="center"/>
    </w:pPr>
    <w:rPr>
      <w:rFonts w:ascii="Times New Roman" w:eastAsia="SimSun" w:hAnsi="Times New Roman" w:cs="Times New Roman"/>
      <w:i/>
      <w:sz w:val="16"/>
    </w:rPr>
  </w:style>
  <w:style w:type="paragraph" w:customStyle="1" w:styleId="DecimalAligned">
    <w:name w:val="Decimal Aligned"/>
    <w:basedOn w:val="Normal"/>
    <w:uiPriority w:val="40"/>
    <w:qFormat/>
    <w:pPr>
      <w:tabs>
        <w:tab w:val="decimal" w:pos="360"/>
      </w:tabs>
      <w:spacing w:after="200" w:line="276" w:lineRule="auto"/>
    </w:pPr>
    <w:rPr>
      <w:rFonts w:eastAsia="SimSun" w:cs="Times New Roman"/>
    </w:rPr>
  </w:style>
  <w:style w:type="character" w:customStyle="1" w:styleId="FootnoteTextChar">
    <w:name w:val="Footnote Text Char"/>
    <w:basedOn w:val="DefaultParagraphFont"/>
    <w:link w:val="FootnoteText"/>
    <w:uiPriority w:val="99"/>
    <w:qFormat/>
    <w:rPr>
      <w:rFonts w:eastAsia="SimSun" w:cs="Times New Roman"/>
    </w:rPr>
  </w:style>
  <w:style w:type="character" w:customStyle="1" w:styleId="SubtleEmphasis1">
    <w:name w:val="Subtle Emphasis1"/>
    <w:basedOn w:val="DefaultParagraphFont"/>
    <w:uiPriority w:val="19"/>
    <w:qFormat/>
    <w:rPr>
      <w:i/>
      <w:iCs/>
    </w:rPr>
  </w:style>
  <w:style w:type="table" w:customStyle="1" w:styleId="ListTable7Colorful-Accent61">
    <w:name w:val="List Table 7 Colorful - Accent 61"/>
    <w:basedOn w:val="TableNormal"/>
    <w:uiPriority w:val="52"/>
    <w:qFormat/>
    <w:rPr>
      <w:color w:val="538135"/>
    </w:rPr>
    <w:tblPr/>
    <w:tblStylePr w:type="firstRow">
      <w:rPr>
        <w:rFonts w:ascii="Calibri Light" w:eastAsia="SimSun" w:hAnsi="Calibri Light" w:cs="SimSun"/>
        <w:i/>
        <w:iCs/>
        <w:sz w:val="26"/>
      </w:rPr>
      <w:tblPr/>
      <w:tcPr>
        <w:tcBorders>
          <w:bottom w:val="single" w:sz="4" w:space="0" w:color="70AD47"/>
        </w:tcBorders>
        <w:shd w:val="clear" w:color="auto" w:fill="FFFFFF"/>
      </w:tcPr>
    </w:tblStylePr>
    <w:tblStylePr w:type="lastRow">
      <w:rPr>
        <w:rFonts w:ascii="Calibri Light" w:eastAsia="SimSun" w:hAnsi="Calibri Light" w:cs="SimSu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SimSun"/>
        <w:i/>
        <w:iCs/>
        <w:sz w:val="26"/>
      </w:rPr>
      <w:tblPr/>
      <w:tcPr>
        <w:tcBorders>
          <w:right w:val="single" w:sz="4" w:space="0" w:color="70AD47"/>
        </w:tcBorders>
        <w:shd w:val="clear" w:color="auto" w:fill="FFFFFF"/>
      </w:tcPr>
    </w:tblStylePr>
    <w:tblStylePr w:type="lastCol">
      <w:rPr>
        <w:rFonts w:ascii="Calibri Light" w:eastAsia="SimSun" w:hAnsi="Calibri Light" w:cs="SimSu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uiPriority w:val="99"/>
    <w:qFormat/>
    <w:pPr>
      <w:ind w:left="720"/>
      <w:contextualSpacing/>
    </w:pPr>
  </w:style>
  <w:style w:type="character" w:customStyle="1" w:styleId="selectable-text">
    <w:name w:val="selectable-text"/>
    <w:basedOn w:val="DefaultParagraphFont"/>
    <w:qFormat/>
  </w:style>
  <w:style w:type="paragraph" w:styleId="NoSpacing">
    <w:name w:val="No Spacing"/>
    <w:uiPriority w:val="1"/>
    <w:qFormat/>
    <w:rsid w:val="002374A7"/>
    <w:rPr>
      <w:sz w:val="22"/>
      <w:szCs w:val="22"/>
    </w:rPr>
  </w:style>
  <w:style w:type="character" w:styleId="UnresolvedMention">
    <w:name w:val="Unresolved Mention"/>
    <w:basedOn w:val="DefaultParagraphFont"/>
    <w:uiPriority w:val="99"/>
    <w:semiHidden/>
    <w:unhideWhenUsed/>
    <w:rsid w:val="00323ABF"/>
    <w:rPr>
      <w:color w:val="605E5C"/>
      <w:shd w:val="clear" w:color="auto" w:fill="E1DFDD"/>
    </w:rPr>
  </w:style>
  <w:style w:type="paragraph" w:styleId="Header">
    <w:name w:val="header"/>
    <w:basedOn w:val="Normal"/>
    <w:link w:val="HeaderChar"/>
    <w:uiPriority w:val="99"/>
    <w:unhideWhenUsed/>
    <w:rsid w:val="00607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040"/>
    <w:rPr>
      <w:sz w:val="22"/>
      <w:szCs w:val="22"/>
    </w:rPr>
  </w:style>
  <w:style w:type="paragraph" w:styleId="Footer">
    <w:name w:val="footer"/>
    <w:basedOn w:val="Normal"/>
    <w:link w:val="FooterChar"/>
    <w:uiPriority w:val="99"/>
    <w:unhideWhenUsed/>
    <w:rsid w:val="00607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04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3294">
      <w:bodyDiv w:val="1"/>
      <w:marLeft w:val="0"/>
      <w:marRight w:val="0"/>
      <w:marTop w:val="0"/>
      <w:marBottom w:val="0"/>
      <w:divBdr>
        <w:top w:val="none" w:sz="0" w:space="0" w:color="auto"/>
        <w:left w:val="none" w:sz="0" w:space="0" w:color="auto"/>
        <w:bottom w:val="none" w:sz="0" w:space="0" w:color="auto"/>
        <w:right w:val="none" w:sz="0" w:space="0" w:color="auto"/>
      </w:divBdr>
    </w:div>
    <w:div w:id="172762826">
      <w:bodyDiv w:val="1"/>
      <w:marLeft w:val="0"/>
      <w:marRight w:val="0"/>
      <w:marTop w:val="0"/>
      <w:marBottom w:val="0"/>
      <w:divBdr>
        <w:top w:val="none" w:sz="0" w:space="0" w:color="auto"/>
        <w:left w:val="none" w:sz="0" w:space="0" w:color="auto"/>
        <w:bottom w:val="none" w:sz="0" w:space="0" w:color="auto"/>
        <w:right w:val="none" w:sz="0" w:space="0" w:color="auto"/>
      </w:divBdr>
    </w:div>
    <w:div w:id="229855508">
      <w:bodyDiv w:val="1"/>
      <w:marLeft w:val="0"/>
      <w:marRight w:val="0"/>
      <w:marTop w:val="0"/>
      <w:marBottom w:val="0"/>
      <w:divBdr>
        <w:top w:val="none" w:sz="0" w:space="0" w:color="auto"/>
        <w:left w:val="none" w:sz="0" w:space="0" w:color="auto"/>
        <w:bottom w:val="none" w:sz="0" w:space="0" w:color="auto"/>
        <w:right w:val="none" w:sz="0" w:space="0" w:color="auto"/>
      </w:divBdr>
    </w:div>
    <w:div w:id="281575166">
      <w:bodyDiv w:val="1"/>
      <w:marLeft w:val="0"/>
      <w:marRight w:val="0"/>
      <w:marTop w:val="0"/>
      <w:marBottom w:val="0"/>
      <w:divBdr>
        <w:top w:val="none" w:sz="0" w:space="0" w:color="auto"/>
        <w:left w:val="none" w:sz="0" w:space="0" w:color="auto"/>
        <w:bottom w:val="none" w:sz="0" w:space="0" w:color="auto"/>
        <w:right w:val="none" w:sz="0" w:space="0" w:color="auto"/>
      </w:divBdr>
    </w:div>
    <w:div w:id="383676276">
      <w:bodyDiv w:val="1"/>
      <w:marLeft w:val="0"/>
      <w:marRight w:val="0"/>
      <w:marTop w:val="0"/>
      <w:marBottom w:val="0"/>
      <w:divBdr>
        <w:top w:val="none" w:sz="0" w:space="0" w:color="auto"/>
        <w:left w:val="none" w:sz="0" w:space="0" w:color="auto"/>
        <w:bottom w:val="none" w:sz="0" w:space="0" w:color="auto"/>
        <w:right w:val="none" w:sz="0" w:space="0" w:color="auto"/>
      </w:divBdr>
    </w:div>
    <w:div w:id="398939476">
      <w:bodyDiv w:val="1"/>
      <w:marLeft w:val="0"/>
      <w:marRight w:val="0"/>
      <w:marTop w:val="0"/>
      <w:marBottom w:val="0"/>
      <w:divBdr>
        <w:top w:val="none" w:sz="0" w:space="0" w:color="auto"/>
        <w:left w:val="none" w:sz="0" w:space="0" w:color="auto"/>
        <w:bottom w:val="none" w:sz="0" w:space="0" w:color="auto"/>
        <w:right w:val="none" w:sz="0" w:space="0" w:color="auto"/>
      </w:divBdr>
    </w:div>
    <w:div w:id="402869770">
      <w:bodyDiv w:val="1"/>
      <w:marLeft w:val="0"/>
      <w:marRight w:val="0"/>
      <w:marTop w:val="0"/>
      <w:marBottom w:val="0"/>
      <w:divBdr>
        <w:top w:val="none" w:sz="0" w:space="0" w:color="auto"/>
        <w:left w:val="none" w:sz="0" w:space="0" w:color="auto"/>
        <w:bottom w:val="none" w:sz="0" w:space="0" w:color="auto"/>
        <w:right w:val="none" w:sz="0" w:space="0" w:color="auto"/>
      </w:divBdr>
    </w:div>
    <w:div w:id="479924108">
      <w:bodyDiv w:val="1"/>
      <w:marLeft w:val="0"/>
      <w:marRight w:val="0"/>
      <w:marTop w:val="0"/>
      <w:marBottom w:val="0"/>
      <w:divBdr>
        <w:top w:val="none" w:sz="0" w:space="0" w:color="auto"/>
        <w:left w:val="none" w:sz="0" w:space="0" w:color="auto"/>
        <w:bottom w:val="none" w:sz="0" w:space="0" w:color="auto"/>
        <w:right w:val="none" w:sz="0" w:space="0" w:color="auto"/>
      </w:divBdr>
    </w:div>
    <w:div w:id="578443839">
      <w:bodyDiv w:val="1"/>
      <w:marLeft w:val="0"/>
      <w:marRight w:val="0"/>
      <w:marTop w:val="0"/>
      <w:marBottom w:val="0"/>
      <w:divBdr>
        <w:top w:val="none" w:sz="0" w:space="0" w:color="auto"/>
        <w:left w:val="none" w:sz="0" w:space="0" w:color="auto"/>
        <w:bottom w:val="none" w:sz="0" w:space="0" w:color="auto"/>
        <w:right w:val="none" w:sz="0" w:space="0" w:color="auto"/>
      </w:divBdr>
    </w:div>
    <w:div w:id="584457000">
      <w:bodyDiv w:val="1"/>
      <w:marLeft w:val="0"/>
      <w:marRight w:val="0"/>
      <w:marTop w:val="0"/>
      <w:marBottom w:val="0"/>
      <w:divBdr>
        <w:top w:val="none" w:sz="0" w:space="0" w:color="auto"/>
        <w:left w:val="none" w:sz="0" w:space="0" w:color="auto"/>
        <w:bottom w:val="none" w:sz="0" w:space="0" w:color="auto"/>
        <w:right w:val="none" w:sz="0" w:space="0" w:color="auto"/>
      </w:divBdr>
    </w:div>
    <w:div w:id="630328266">
      <w:bodyDiv w:val="1"/>
      <w:marLeft w:val="0"/>
      <w:marRight w:val="0"/>
      <w:marTop w:val="0"/>
      <w:marBottom w:val="0"/>
      <w:divBdr>
        <w:top w:val="none" w:sz="0" w:space="0" w:color="auto"/>
        <w:left w:val="none" w:sz="0" w:space="0" w:color="auto"/>
        <w:bottom w:val="none" w:sz="0" w:space="0" w:color="auto"/>
        <w:right w:val="none" w:sz="0" w:space="0" w:color="auto"/>
      </w:divBdr>
    </w:div>
    <w:div w:id="646276798">
      <w:bodyDiv w:val="1"/>
      <w:marLeft w:val="0"/>
      <w:marRight w:val="0"/>
      <w:marTop w:val="0"/>
      <w:marBottom w:val="0"/>
      <w:divBdr>
        <w:top w:val="none" w:sz="0" w:space="0" w:color="auto"/>
        <w:left w:val="none" w:sz="0" w:space="0" w:color="auto"/>
        <w:bottom w:val="none" w:sz="0" w:space="0" w:color="auto"/>
        <w:right w:val="none" w:sz="0" w:space="0" w:color="auto"/>
      </w:divBdr>
    </w:div>
    <w:div w:id="691802011">
      <w:bodyDiv w:val="1"/>
      <w:marLeft w:val="0"/>
      <w:marRight w:val="0"/>
      <w:marTop w:val="0"/>
      <w:marBottom w:val="0"/>
      <w:divBdr>
        <w:top w:val="none" w:sz="0" w:space="0" w:color="auto"/>
        <w:left w:val="none" w:sz="0" w:space="0" w:color="auto"/>
        <w:bottom w:val="none" w:sz="0" w:space="0" w:color="auto"/>
        <w:right w:val="none" w:sz="0" w:space="0" w:color="auto"/>
      </w:divBdr>
    </w:div>
    <w:div w:id="694843452">
      <w:bodyDiv w:val="1"/>
      <w:marLeft w:val="0"/>
      <w:marRight w:val="0"/>
      <w:marTop w:val="0"/>
      <w:marBottom w:val="0"/>
      <w:divBdr>
        <w:top w:val="none" w:sz="0" w:space="0" w:color="auto"/>
        <w:left w:val="none" w:sz="0" w:space="0" w:color="auto"/>
        <w:bottom w:val="none" w:sz="0" w:space="0" w:color="auto"/>
        <w:right w:val="none" w:sz="0" w:space="0" w:color="auto"/>
      </w:divBdr>
    </w:div>
    <w:div w:id="771634102">
      <w:bodyDiv w:val="1"/>
      <w:marLeft w:val="0"/>
      <w:marRight w:val="0"/>
      <w:marTop w:val="0"/>
      <w:marBottom w:val="0"/>
      <w:divBdr>
        <w:top w:val="none" w:sz="0" w:space="0" w:color="auto"/>
        <w:left w:val="none" w:sz="0" w:space="0" w:color="auto"/>
        <w:bottom w:val="none" w:sz="0" w:space="0" w:color="auto"/>
        <w:right w:val="none" w:sz="0" w:space="0" w:color="auto"/>
      </w:divBdr>
    </w:div>
    <w:div w:id="778721628">
      <w:bodyDiv w:val="1"/>
      <w:marLeft w:val="0"/>
      <w:marRight w:val="0"/>
      <w:marTop w:val="0"/>
      <w:marBottom w:val="0"/>
      <w:divBdr>
        <w:top w:val="none" w:sz="0" w:space="0" w:color="auto"/>
        <w:left w:val="none" w:sz="0" w:space="0" w:color="auto"/>
        <w:bottom w:val="none" w:sz="0" w:space="0" w:color="auto"/>
        <w:right w:val="none" w:sz="0" w:space="0" w:color="auto"/>
      </w:divBdr>
    </w:div>
    <w:div w:id="930897652">
      <w:bodyDiv w:val="1"/>
      <w:marLeft w:val="0"/>
      <w:marRight w:val="0"/>
      <w:marTop w:val="0"/>
      <w:marBottom w:val="0"/>
      <w:divBdr>
        <w:top w:val="none" w:sz="0" w:space="0" w:color="auto"/>
        <w:left w:val="none" w:sz="0" w:space="0" w:color="auto"/>
        <w:bottom w:val="none" w:sz="0" w:space="0" w:color="auto"/>
        <w:right w:val="none" w:sz="0" w:space="0" w:color="auto"/>
      </w:divBdr>
    </w:div>
    <w:div w:id="939681458">
      <w:bodyDiv w:val="1"/>
      <w:marLeft w:val="0"/>
      <w:marRight w:val="0"/>
      <w:marTop w:val="0"/>
      <w:marBottom w:val="0"/>
      <w:divBdr>
        <w:top w:val="none" w:sz="0" w:space="0" w:color="auto"/>
        <w:left w:val="none" w:sz="0" w:space="0" w:color="auto"/>
        <w:bottom w:val="none" w:sz="0" w:space="0" w:color="auto"/>
        <w:right w:val="none" w:sz="0" w:space="0" w:color="auto"/>
      </w:divBdr>
    </w:div>
    <w:div w:id="1037702464">
      <w:bodyDiv w:val="1"/>
      <w:marLeft w:val="0"/>
      <w:marRight w:val="0"/>
      <w:marTop w:val="0"/>
      <w:marBottom w:val="0"/>
      <w:divBdr>
        <w:top w:val="none" w:sz="0" w:space="0" w:color="auto"/>
        <w:left w:val="none" w:sz="0" w:space="0" w:color="auto"/>
        <w:bottom w:val="none" w:sz="0" w:space="0" w:color="auto"/>
        <w:right w:val="none" w:sz="0" w:space="0" w:color="auto"/>
      </w:divBdr>
    </w:div>
    <w:div w:id="1092623884">
      <w:bodyDiv w:val="1"/>
      <w:marLeft w:val="0"/>
      <w:marRight w:val="0"/>
      <w:marTop w:val="0"/>
      <w:marBottom w:val="0"/>
      <w:divBdr>
        <w:top w:val="none" w:sz="0" w:space="0" w:color="auto"/>
        <w:left w:val="none" w:sz="0" w:space="0" w:color="auto"/>
        <w:bottom w:val="none" w:sz="0" w:space="0" w:color="auto"/>
        <w:right w:val="none" w:sz="0" w:space="0" w:color="auto"/>
      </w:divBdr>
    </w:div>
    <w:div w:id="1146700642">
      <w:bodyDiv w:val="1"/>
      <w:marLeft w:val="0"/>
      <w:marRight w:val="0"/>
      <w:marTop w:val="0"/>
      <w:marBottom w:val="0"/>
      <w:divBdr>
        <w:top w:val="none" w:sz="0" w:space="0" w:color="auto"/>
        <w:left w:val="none" w:sz="0" w:space="0" w:color="auto"/>
        <w:bottom w:val="none" w:sz="0" w:space="0" w:color="auto"/>
        <w:right w:val="none" w:sz="0" w:space="0" w:color="auto"/>
      </w:divBdr>
    </w:div>
    <w:div w:id="1262375606">
      <w:bodyDiv w:val="1"/>
      <w:marLeft w:val="0"/>
      <w:marRight w:val="0"/>
      <w:marTop w:val="0"/>
      <w:marBottom w:val="0"/>
      <w:divBdr>
        <w:top w:val="none" w:sz="0" w:space="0" w:color="auto"/>
        <w:left w:val="none" w:sz="0" w:space="0" w:color="auto"/>
        <w:bottom w:val="none" w:sz="0" w:space="0" w:color="auto"/>
        <w:right w:val="none" w:sz="0" w:space="0" w:color="auto"/>
      </w:divBdr>
    </w:div>
    <w:div w:id="1395813338">
      <w:bodyDiv w:val="1"/>
      <w:marLeft w:val="0"/>
      <w:marRight w:val="0"/>
      <w:marTop w:val="0"/>
      <w:marBottom w:val="0"/>
      <w:divBdr>
        <w:top w:val="none" w:sz="0" w:space="0" w:color="auto"/>
        <w:left w:val="none" w:sz="0" w:space="0" w:color="auto"/>
        <w:bottom w:val="none" w:sz="0" w:space="0" w:color="auto"/>
        <w:right w:val="none" w:sz="0" w:space="0" w:color="auto"/>
      </w:divBdr>
    </w:div>
    <w:div w:id="1454907146">
      <w:bodyDiv w:val="1"/>
      <w:marLeft w:val="0"/>
      <w:marRight w:val="0"/>
      <w:marTop w:val="0"/>
      <w:marBottom w:val="0"/>
      <w:divBdr>
        <w:top w:val="none" w:sz="0" w:space="0" w:color="auto"/>
        <w:left w:val="none" w:sz="0" w:space="0" w:color="auto"/>
        <w:bottom w:val="none" w:sz="0" w:space="0" w:color="auto"/>
        <w:right w:val="none" w:sz="0" w:space="0" w:color="auto"/>
      </w:divBdr>
    </w:div>
    <w:div w:id="1656303057">
      <w:bodyDiv w:val="1"/>
      <w:marLeft w:val="0"/>
      <w:marRight w:val="0"/>
      <w:marTop w:val="0"/>
      <w:marBottom w:val="0"/>
      <w:divBdr>
        <w:top w:val="none" w:sz="0" w:space="0" w:color="auto"/>
        <w:left w:val="none" w:sz="0" w:space="0" w:color="auto"/>
        <w:bottom w:val="none" w:sz="0" w:space="0" w:color="auto"/>
        <w:right w:val="none" w:sz="0" w:space="0" w:color="auto"/>
      </w:divBdr>
    </w:div>
    <w:div w:id="1663000682">
      <w:bodyDiv w:val="1"/>
      <w:marLeft w:val="0"/>
      <w:marRight w:val="0"/>
      <w:marTop w:val="0"/>
      <w:marBottom w:val="0"/>
      <w:divBdr>
        <w:top w:val="none" w:sz="0" w:space="0" w:color="auto"/>
        <w:left w:val="none" w:sz="0" w:space="0" w:color="auto"/>
        <w:bottom w:val="none" w:sz="0" w:space="0" w:color="auto"/>
        <w:right w:val="none" w:sz="0" w:space="0" w:color="auto"/>
      </w:divBdr>
    </w:div>
    <w:div w:id="1673876876">
      <w:bodyDiv w:val="1"/>
      <w:marLeft w:val="0"/>
      <w:marRight w:val="0"/>
      <w:marTop w:val="0"/>
      <w:marBottom w:val="0"/>
      <w:divBdr>
        <w:top w:val="none" w:sz="0" w:space="0" w:color="auto"/>
        <w:left w:val="none" w:sz="0" w:space="0" w:color="auto"/>
        <w:bottom w:val="none" w:sz="0" w:space="0" w:color="auto"/>
        <w:right w:val="none" w:sz="0" w:space="0" w:color="auto"/>
      </w:divBdr>
    </w:div>
    <w:div w:id="1741488964">
      <w:bodyDiv w:val="1"/>
      <w:marLeft w:val="0"/>
      <w:marRight w:val="0"/>
      <w:marTop w:val="0"/>
      <w:marBottom w:val="0"/>
      <w:divBdr>
        <w:top w:val="none" w:sz="0" w:space="0" w:color="auto"/>
        <w:left w:val="none" w:sz="0" w:space="0" w:color="auto"/>
        <w:bottom w:val="none" w:sz="0" w:space="0" w:color="auto"/>
        <w:right w:val="none" w:sz="0" w:space="0" w:color="auto"/>
      </w:divBdr>
    </w:div>
    <w:div w:id="1823963916">
      <w:bodyDiv w:val="1"/>
      <w:marLeft w:val="0"/>
      <w:marRight w:val="0"/>
      <w:marTop w:val="0"/>
      <w:marBottom w:val="0"/>
      <w:divBdr>
        <w:top w:val="none" w:sz="0" w:space="0" w:color="auto"/>
        <w:left w:val="none" w:sz="0" w:space="0" w:color="auto"/>
        <w:bottom w:val="none" w:sz="0" w:space="0" w:color="auto"/>
        <w:right w:val="none" w:sz="0" w:space="0" w:color="auto"/>
      </w:divBdr>
    </w:div>
    <w:div w:id="1880781931">
      <w:bodyDiv w:val="1"/>
      <w:marLeft w:val="0"/>
      <w:marRight w:val="0"/>
      <w:marTop w:val="0"/>
      <w:marBottom w:val="0"/>
      <w:divBdr>
        <w:top w:val="none" w:sz="0" w:space="0" w:color="auto"/>
        <w:left w:val="none" w:sz="0" w:space="0" w:color="auto"/>
        <w:bottom w:val="none" w:sz="0" w:space="0" w:color="auto"/>
        <w:right w:val="none" w:sz="0" w:space="0" w:color="auto"/>
      </w:divBdr>
    </w:div>
    <w:div w:id="2060275158">
      <w:bodyDiv w:val="1"/>
      <w:marLeft w:val="0"/>
      <w:marRight w:val="0"/>
      <w:marTop w:val="0"/>
      <w:marBottom w:val="0"/>
      <w:divBdr>
        <w:top w:val="none" w:sz="0" w:space="0" w:color="auto"/>
        <w:left w:val="none" w:sz="0" w:space="0" w:color="auto"/>
        <w:bottom w:val="none" w:sz="0" w:space="0" w:color="auto"/>
        <w:right w:val="none" w:sz="0" w:space="0" w:color="auto"/>
      </w:divBdr>
    </w:div>
    <w:div w:id="2086879232">
      <w:bodyDiv w:val="1"/>
      <w:marLeft w:val="0"/>
      <w:marRight w:val="0"/>
      <w:marTop w:val="0"/>
      <w:marBottom w:val="0"/>
      <w:divBdr>
        <w:top w:val="none" w:sz="0" w:space="0" w:color="auto"/>
        <w:left w:val="none" w:sz="0" w:space="0" w:color="auto"/>
        <w:bottom w:val="none" w:sz="0" w:space="0" w:color="auto"/>
        <w:right w:val="none" w:sz="0" w:space="0" w:color="auto"/>
      </w:divBdr>
    </w:div>
    <w:div w:id="2094469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93/aje/144.3.221"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ucl.ac.uk/anthropology/research%20/working-papers/082011.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1360083080190436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nw3c.org/images/IC3/IC3Report2007.pdf"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internetworldstats.com/stats.htm" TargetMode="External"/><Relationship Id="rId14" Type="http://schemas.openxmlformats.org/officeDocument/2006/relationships/hyperlink" Target="https://doi.org/10.1007/s10207-007-0036-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C679B7-DFCD-4F56-AC1D-B8AF4B03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5293</Words>
  <Characters>30174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1180</cp:lastModifiedBy>
  <cp:revision>6</cp:revision>
  <dcterms:created xsi:type="dcterms:W3CDTF">2025-06-22T09:21:00Z</dcterms:created>
  <dcterms:modified xsi:type="dcterms:W3CDTF">2025-07-10T06:05:00Z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A51A1352E1B448F49447F2D844A7E15D_13</vt:lpwstr>
  </property>
</Properties>
</file>