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A6CC7" w14:textId="77777777" w:rsidR="00A258C3" w:rsidRDefault="00926577" w:rsidP="00010F64">
      <w:pPr>
        <w:pStyle w:val="NoSpacing"/>
        <w:spacing w:after="120"/>
        <w:jc w:val="both"/>
        <w:rPr>
          <w:rFonts w:ascii="Times New Roman" w:hAnsi="Times New Roman" w:cs="Times New Roman"/>
          <w:b/>
          <w:bCs/>
          <w:sz w:val="24"/>
          <w:szCs w:val="24"/>
        </w:rPr>
      </w:pPr>
      <w:r>
        <w:rPr>
          <w:rFonts w:ascii="Times New Roman" w:hAnsi="Times New Roman" w:cs="Times New Roman"/>
          <w:b/>
          <w:bCs/>
          <w:i/>
          <w:iCs/>
          <w:sz w:val="24"/>
          <w:szCs w:val="24"/>
        </w:rPr>
        <w:t>In-Vitro</w:t>
      </w:r>
      <w:r>
        <w:rPr>
          <w:rFonts w:ascii="Times New Roman" w:hAnsi="Times New Roman" w:cs="Times New Roman"/>
          <w:b/>
          <w:bCs/>
          <w:sz w:val="24"/>
          <w:szCs w:val="24"/>
        </w:rPr>
        <w:t xml:space="preserve"> Antimicrobial Activity of Selected Co</w:t>
      </w:r>
      <w:r w:rsidR="00A428DF">
        <w:rPr>
          <w:rFonts w:ascii="Times New Roman" w:hAnsi="Times New Roman" w:cs="Times New Roman"/>
          <w:b/>
          <w:bCs/>
          <w:sz w:val="24"/>
          <w:szCs w:val="24"/>
        </w:rPr>
        <w:t>mmercial Antibiotics, Bromelain</w:t>
      </w:r>
      <w:r w:rsidR="00212E25">
        <w:rPr>
          <w:rFonts w:ascii="Times New Roman" w:hAnsi="Times New Roman" w:cs="Times New Roman"/>
          <w:b/>
          <w:bCs/>
          <w:sz w:val="24"/>
          <w:szCs w:val="24"/>
        </w:rPr>
        <w:t xml:space="preserve"> </w:t>
      </w:r>
      <w:r>
        <w:rPr>
          <w:rFonts w:ascii="Times New Roman" w:hAnsi="Times New Roman" w:cs="Times New Roman"/>
          <w:b/>
          <w:bCs/>
          <w:sz w:val="24"/>
          <w:szCs w:val="24"/>
        </w:rPr>
        <w:t>and Chitosan against Gut Bacteria isolated from Chicken</w:t>
      </w:r>
      <w:r w:rsidR="00A428DF">
        <w:rPr>
          <w:rFonts w:ascii="Times New Roman" w:hAnsi="Times New Roman" w:cs="Times New Roman"/>
          <w:b/>
          <w:bCs/>
          <w:sz w:val="24"/>
          <w:szCs w:val="24"/>
        </w:rPr>
        <w:t xml:space="preserve"> Kept in </w:t>
      </w:r>
      <w:proofErr w:type="spellStart"/>
      <w:r w:rsidR="00A428DF">
        <w:rPr>
          <w:rFonts w:ascii="Times New Roman" w:hAnsi="Times New Roman" w:cs="Times New Roman"/>
          <w:b/>
          <w:bCs/>
          <w:sz w:val="24"/>
          <w:szCs w:val="24"/>
        </w:rPr>
        <w:t>Juja</w:t>
      </w:r>
      <w:proofErr w:type="spellEnd"/>
      <w:r w:rsidR="00A428DF">
        <w:rPr>
          <w:rFonts w:ascii="Times New Roman" w:hAnsi="Times New Roman" w:cs="Times New Roman"/>
          <w:b/>
          <w:bCs/>
          <w:sz w:val="24"/>
          <w:szCs w:val="24"/>
        </w:rPr>
        <w:t xml:space="preserve"> Sub-County, Kenya</w:t>
      </w:r>
    </w:p>
    <w:p w14:paraId="270BE701" w14:textId="77777777" w:rsidR="00355E90" w:rsidRDefault="00355E90" w:rsidP="00010F64">
      <w:pPr>
        <w:pStyle w:val="NoSpacing"/>
        <w:spacing w:after="120"/>
        <w:jc w:val="both"/>
        <w:rPr>
          <w:rFonts w:ascii="Times New Roman" w:hAnsi="Times New Roman" w:cs="Times New Roman"/>
          <w:b/>
          <w:bCs/>
          <w:sz w:val="24"/>
          <w:szCs w:val="24"/>
        </w:rPr>
      </w:pPr>
    </w:p>
    <w:p w14:paraId="2DEAE39F" w14:textId="451CB3FA" w:rsidR="00B01FCD" w:rsidRPr="00FB3A86" w:rsidRDefault="00B7016A" w:rsidP="00010F64">
      <w:pPr>
        <w:pStyle w:val="Copyright"/>
        <w:spacing w:after="120" w:line="240" w:lineRule="auto"/>
        <w:jc w:val="both"/>
        <w:rPr>
          <w:rFonts w:ascii="Arial" w:hAnsi="Arial" w:cs="Arial"/>
        </w:rPr>
        <w:sectPr w:rsidR="00B01FCD" w:rsidRPr="00FB3A86" w:rsidSect="00D42C14">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noProof/>
        </w:rPr>
        <mc:AlternateContent>
          <mc:Choice Requires="wps">
            <w:drawing>
              <wp:inline distT="0" distB="0" distL="0" distR="0" wp14:anchorId="6AF21CA8" wp14:editId="6542564F">
                <wp:extent cx="5303520" cy="635"/>
                <wp:effectExtent l="9525" t="14605" r="11430"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F2CBA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302ED232" w14:textId="77777777" w:rsidR="00010F64" w:rsidRDefault="00010F64" w:rsidP="00010F64">
      <w:pPr>
        <w:spacing w:after="120"/>
      </w:pPr>
    </w:p>
    <w:p w14:paraId="272B0E0D" w14:textId="6DAA0FD8" w:rsidR="00B01FCD" w:rsidRDefault="00B01FCD" w:rsidP="00010F64">
      <w:pPr>
        <w:pStyle w:val="AbstHead"/>
        <w:spacing w:after="120"/>
        <w:jc w:val="both"/>
        <w:rPr>
          <w:rFonts w:ascii="Arial" w:hAnsi="Arial" w:cs="Arial"/>
        </w:rPr>
      </w:pPr>
      <w:r w:rsidRPr="00FB3A86">
        <w:rPr>
          <w:rFonts w:ascii="Arial" w:hAnsi="Arial" w:cs="Arial"/>
        </w:rPr>
        <w:t>ABSTRACT</w:t>
      </w:r>
    </w:p>
    <w:p w14:paraId="39C6C08C" w14:textId="77777777" w:rsidR="00790ADA" w:rsidRPr="00FB3A86" w:rsidRDefault="00790ADA" w:rsidP="00010F64">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69EC5A" w14:textId="77777777" w:rsidTr="001E44FE">
        <w:tc>
          <w:tcPr>
            <w:tcW w:w="9576" w:type="dxa"/>
            <w:shd w:val="clear" w:color="auto" w:fill="F2F2F2"/>
          </w:tcPr>
          <w:p w14:paraId="18D57AB3" w14:textId="77777777" w:rsidR="00926577" w:rsidRPr="00926577" w:rsidRDefault="00926577" w:rsidP="00010F64">
            <w:pPr>
              <w:spacing w:after="120"/>
              <w:jc w:val="both"/>
              <w:rPr>
                <w:rFonts w:ascii="Arial" w:hAnsi="Arial" w:cs="Arial"/>
                <w:sz w:val="22"/>
                <w:szCs w:val="24"/>
              </w:rPr>
            </w:pPr>
            <w:r w:rsidRPr="00926577">
              <w:rPr>
                <w:rFonts w:ascii="Arial" w:hAnsi="Arial" w:cs="Arial"/>
                <w:bCs/>
                <w:sz w:val="22"/>
                <w:szCs w:val="24"/>
              </w:rPr>
              <w:t xml:space="preserve">Antimicrobial resistance (AMR) is a threat to poultry industry worldwide and thus there is need for its surveillance and search for alternative drugs. A cross-sectional study was conducted in </w:t>
            </w:r>
            <w:proofErr w:type="spellStart"/>
            <w:r w:rsidRPr="00926577">
              <w:rPr>
                <w:rFonts w:ascii="Arial" w:hAnsi="Arial" w:cs="Arial"/>
                <w:bCs/>
                <w:sz w:val="22"/>
                <w:szCs w:val="24"/>
              </w:rPr>
              <w:t>Juja</w:t>
            </w:r>
            <w:proofErr w:type="spellEnd"/>
            <w:r w:rsidRPr="00926577">
              <w:rPr>
                <w:rFonts w:ascii="Arial" w:hAnsi="Arial" w:cs="Arial"/>
                <w:bCs/>
                <w:sz w:val="22"/>
                <w:szCs w:val="24"/>
              </w:rPr>
              <w:t xml:space="preserve"> Subcounty, Kenya to determine the prevalence and risk factors of gut bacteria isolated from 200 chicken kept by the local farmers. A structured questionnaire was administered to 40 chicken farmers to evaluate risk factors associated with the prevalence of the bacteria. A total of 200 cloacal swab samples were collected aseptically from mature chicken, cultured, and bacteria identified using standard bacteriological techniques. </w:t>
            </w:r>
            <w:r w:rsidRPr="00926577">
              <w:rPr>
                <w:rFonts w:ascii="Arial" w:hAnsi="Arial" w:cs="Arial"/>
                <w:bCs/>
                <w:i/>
                <w:iCs/>
                <w:sz w:val="22"/>
                <w:szCs w:val="24"/>
              </w:rPr>
              <w:t>In vitro</w:t>
            </w:r>
            <w:r w:rsidRPr="00926577">
              <w:rPr>
                <w:rFonts w:ascii="Arial" w:hAnsi="Arial" w:cs="Arial"/>
                <w:bCs/>
                <w:sz w:val="22"/>
                <w:szCs w:val="24"/>
              </w:rPr>
              <w:t xml:space="preserve"> activity of selected antibiotics against the isolated bacteria was conducted using the disc diffusion method. Similarly, the activity of bromelain </w:t>
            </w:r>
            <w:r w:rsidRPr="00926577">
              <w:rPr>
                <w:rFonts w:ascii="Arial" w:hAnsi="Arial" w:cs="Arial"/>
                <w:sz w:val="22"/>
                <w:szCs w:val="24"/>
              </w:rPr>
              <w:t>a</w:t>
            </w:r>
            <w:r w:rsidRPr="00926577">
              <w:rPr>
                <w:rFonts w:ascii="Arial" w:hAnsi="Arial" w:cs="Arial"/>
                <w:bCs/>
                <w:sz w:val="22"/>
                <w:szCs w:val="24"/>
              </w:rPr>
              <w:t xml:space="preserve">nd chitosan against six randomly selected antibiotic resistant bacteria isolates was also conducted. The overall prevalence of gut bacteria in the chicken was 92.5% (185/200). The prevalence was significantly (P&lt;0.05) associated with farmers education (higher in chickens kept by farmers with primary education (78%) than those in farmers with tertiary education (56%)), animal husbandry (higher in chicken mixed with other animals (80.9%) than those not mixed (64%)), age of chicken (higher in starters (83.3%) compared to finishers (72.2%)), and disease history (higher in chickens with a history of gut conditions (97.4%) than those without (85.6%)). The isolated gut bacteria were </w:t>
            </w:r>
            <w:r w:rsidRPr="00926577">
              <w:rPr>
                <w:rFonts w:ascii="Arial" w:hAnsi="Arial" w:cs="Arial"/>
                <w:bCs/>
                <w:i/>
                <w:sz w:val="22"/>
                <w:szCs w:val="24"/>
              </w:rPr>
              <w:t>Salmonella</w:t>
            </w:r>
            <w:r w:rsidRPr="00926577">
              <w:rPr>
                <w:rFonts w:ascii="Arial" w:hAnsi="Arial" w:cs="Arial"/>
                <w:bCs/>
                <w:sz w:val="22"/>
                <w:szCs w:val="24"/>
              </w:rPr>
              <w:t xml:space="preserve"> spp. (46.5%), </w:t>
            </w:r>
            <w:r w:rsidRPr="00926577">
              <w:rPr>
                <w:rFonts w:ascii="Arial" w:hAnsi="Arial" w:cs="Arial"/>
                <w:bCs/>
                <w:i/>
                <w:sz w:val="22"/>
                <w:szCs w:val="24"/>
              </w:rPr>
              <w:t>Escherichia coli</w:t>
            </w:r>
            <w:r w:rsidRPr="00926577">
              <w:rPr>
                <w:rFonts w:ascii="Arial" w:hAnsi="Arial" w:cs="Arial"/>
                <w:bCs/>
                <w:sz w:val="22"/>
                <w:szCs w:val="24"/>
              </w:rPr>
              <w:t xml:space="preserve"> (34%) and </w:t>
            </w:r>
            <w:r w:rsidRPr="00926577">
              <w:rPr>
                <w:rFonts w:ascii="Arial" w:hAnsi="Arial" w:cs="Arial"/>
                <w:bCs/>
                <w:i/>
                <w:sz w:val="22"/>
                <w:szCs w:val="24"/>
              </w:rPr>
              <w:t>Staphylococcus aureus</w:t>
            </w:r>
            <w:r w:rsidRPr="00926577">
              <w:rPr>
                <w:rFonts w:ascii="Arial" w:hAnsi="Arial" w:cs="Arial"/>
                <w:bCs/>
                <w:sz w:val="22"/>
                <w:szCs w:val="24"/>
              </w:rPr>
              <w:t xml:space="preserve"> (12%). </w:t>
            </w:r>
            <w:r w:rsidRPr="00926577">
              <w:rPr>
                <w:rFonts w:ascii="Arial" w:hAnsi="Arial" w:cs="Arial"/>
                <w:i/>
                <w:sz w:val="22"/>
                <w:szCs w:val="24"/>
              </w:rPr>
              <w:t>Salmonella</w:t>
            </w:r>
            <w:r w:rsidRPr="00926577">
              <w:rPr>
                <w:rFonts w:ascii="Arial" w:hAnsi="Arial" w:cs="Arial"/>
                <w:sz w:val="22"/>
                <w:szCs w:val="24"/>
              </w:rPr>
              <w:t xml:space="preserve"> spp. and </w:t>
            </w:r>
            <w:r w:rsidRPr="00926577">
              <w:rPr>
                <w:rFonts w:ascii="Arial" w:hAnsi="Arial" w:cs="Arial"/>
                <w:i/>
                <w:sz w:val="22"/>
                <w:szCs w:val="24"/>
              </w:rPr>
              <w:t>E. coli</w:t>
            </w:r>
            <w:r w:rsidRPr="00926577">
              <w:rPr>
                <w:rFonts w:ascii="Arial" w:hAnsi="Arial" w:cs="Arial"/>
                <w:sz w:val="22"/>
                <w:szCs w:val="24"/>
              </w:rPr>
              <w:t xml:space="preserve"> isolates had the high resistance against nalidixic acid (90.4%; 92.9%), and penicillin (76.2%; 85.7%), respectively. Notably, </w:t>
            </w:r>
            <w:r w:rsidRPr="00926577">
              <w:rPr>
                <w:rFonts w:ascii="Arial" w:hAnsi="Arial" w:cs="Arial"/>
                <w:i/>
                <w:sz w:val="22"/>
                <w:szCs w:val="24"/>
              </w:rPr>
              <w:t>S. aureus</w:t>
            </w:r>
            <w:r w:rsidRPr="00926577">
              <w:rPr>
                <w:rFonts w:ascii="Arial" w:hAnsi="Arial" w:cs="Arial"/>
                <w:sz w:val="22"/>
                <w:szCs w:val="24"/>
              </w:rPr>
              <w:t xml:space="preserve"> isolates were more resistant to </w:t>
            </w:r>
            <w:r w:rsidRPr="00926577">
              <w:rPr>
                <w:rFonts w:ascii="Arial" w:hAnsi="Arial" w:cs="Arial"/>
                <w:color w:val="000000" w:themeColor="text1"/>
                <w:sz w:val="22"/>
                <w:szCs w:val="24"/>
              </w:rPr>
              <w:t xml:space="preserve">penicillin (90%) </w:t>
            </w:r>
            <w:r w:rsidRPr="00926577">
              <w:rPr>
                <w:rFonts w:ascii="Arial" w:hAnsi="Arial" w:cs="Arial"/>
                <w:sz w:val="22"/>
                <w:szCs w:val="24"/>
              </w:rPr>
              <w:t xml:space="preserve">and nalidixic acid (90%). The minimum inhibitory concentration (MIC) of bromelain and chitosan for different bacteria were: </w:t>
            </w:r>
            <w:r w:rsidRPr="00926577">
              <w:rPr>
                <w:rFonts w:ascii="Arial" w:hAnsi="Arial" w:cs="Arial"/>
                <w:i/>
                <w:sz w:val="22"/>
                <w:szCs w:val="24"/>
              </w:rPr>
              <w:t>Salmonella</w:t>
            </w:r>
            <w:r w:rsidRPr="00926577">
              <w:rPr>
                <w:rFonts w:ascii="Arial" w:hAnsi="Arial" w:cs="Arial"/>
                <w:sz w:val="22"/>
                <w:szCs w:val="24"/>
              </w:rPr>
              <w:t xml:space="preserve"> spp., (125µg/ml, 250µg/ml) and </w:t>
            </w:r>
            <w:r w:rsidRPr="00926577">
              <w:rPr>
                <w:rFonts w:ascii="Arial" w:hAnsi="Arial" w:cs="Arial"/>
                <w:i/>
                <w:sz w:val="22"/>
                <w:szCs w:val="24"/>
              </w:rPr>
              <w:t>E. coli</w:t>
            </w:r>
            <w:r w:rsidRPr="00926577">
              <w:rPr>
                <w:rFonts w:ascii="Arial" w:hAnsi="Arial" w:cs="Arial"/>
                <w:sz w:val="22"/>
                <w:szCs w:val="24"/>
              </w:rPr>
              <w:t xml:space="preserve"> (125µg/ml, 500µg/ml). The MIC of chitosan against </w:t>
            </w:r>
            <w:r w:rsidRPr="00926577">
              <w:rPr>
                <w:rFonts w:ascii="Arial" w:hAnsi="Arial" w:cs="Arial"/>
                <w:i/>
                <w:sz w:val="22"/>
                <w:szCs w:val="24"/>
              </w:rPr>
              <w:t>S. aureus</w:t>
            </w:r>
            <w:r w:rsidRPr="00926577">
              <w:rPr>
                <w:rFonts w:ascii="Arial" w:hAnsi="Arial" w:cs="Arial"/>
                <w:sz w:val="22"/>
                <w:szCs w:val="24"/>
              </w:rPr>
              <w:t xml:space="preserve"> was </w:t>
            </w:r>
            <w:r w:rsidRPr="00926577">
              <w:rPr>
                <w:rFonts w:ascii="Arial" w:hAnsi="Arial" w:cs="Arial"/>
                <w:color w:val="000000" w:themeColor="text1"/>
                <w:sz w:val="22"/>
                <w:szCs w:val="24"/>
              </w:rPr>
              <w:t xml:space="preserve">250µg/ml. </w:t>
            </w:r>
            <w:r w:rsidRPr="00926577">
              <w:rPr>
                <w:rFonts w:ascii="Arial" w:hAnsi="Arial" w:cs="Arial"/>
                <w:sz w:val="22"/>
                <w:szCs w:val="24"/>
              </w:rPr>
              <w:t>These findings show that the burden of gut bacteria and AMR in the chicken in the study area was high and thus there is need to develop sustainable interventions. Both bromelain and chitosan exhibited some antimicrobial activity against antibiotic-resistant bacteria, and this highlights their potential for development as alternative antimicrobial agents.</w:t>
            </w:r>
          </w:p>
          <w:p w14:paraId="50D0F593" w14:textId="77777777" w:rsidR="00505F06" w:rsidRPr="00926577" w:rsidRDefault="00505F06" w:rsidP="00010F64">
            <w:pPr>
              <w:pStyle w:val="Body"/>
              <w:spacing w:after="120"/>
              <w:rPr>
                <w:rFonts w:ascii="Arial" w:eastAsia="Calibri" w:hAnsi="Arial" w:cs="Arial"/>
                <w:sz w:val="22"/>
                <w:szCs w:val="22"/>
              </w:rPr>
            </w:pPr>
          </w:p>
        </w:tc>
      </w:tr>
    </w:tbl>
    <w:p w14:paraId="299D44BD" w14:textId="77777777" w:rsidR="00636EB2" w:rsidRDefault="00636EB2" w:rsidP="00010F64">
      <w:pPr>
        <w:pStyle w:val="Body"/>
        <w:spacing w:after="120"/>
        <w:rPr>
          <w:rFonts w:ascii="Arial" w:hAnsi="Arial" w:cs="Arial"/>
          <w:i/>
        </w:rPr>
      </w:pPr>
    </w:p>
    <w:p w14:paraId="1162CCDF" w14:textId="77777777" w:rsidR="00505F06" w:rsidRPr="00A428DF" w:rsidRDefault="00A24E7E" w:rsidP="00010F64">
      <w:pPr>
        <w:spacing w:after="120"/>
        <w:jc w:val="both"/>
        <w:rPr>
          <w:rFonts w:ascii="Times New Roman" w:hAnsi="Times New Roman"/>
          <w:sz w:val="24"/>
          <w:szCs w:val="24"/>
        </w:rPr>
      </w:pPr>
      <w:r>
        <w:rPr>
          <w:rFonts w:ascii="Arial" w:hAnsi="Arial" w:cs="Arial"/>
          <w:i/>
        </w:rPr>
        <w:t xml:space="preserve">Keywords: </w:t>
      </w:r>
      <w:r w:rsidR="00926577" w:rsidRPr="00926577">
        <w:rPr>
          <w:rFonts w:ascii="Arial" w:hAnsi="Arial" w:cs="Arial"/>
          <w:szCs w:val="24"/>
        </w:rPr>
        <w:t>Gut bacteria, antibiotics, chitosan, bromelain, sensitive and prevalence</w:t>
      </w:r>
      <w:r w:rsidR="00926577" w:rsidRPr="00926577">
        <w:rPr>
          <w:rFonts w:ascii="Times New Roman" w:hAnsi="Times New Roman"/>
          <w:szCs w:val="24"/>
        </w:rPr>
        <w:t xml:space="preserve"> </w:t>
      </w:r>
    </w:p>
    <w:p w14:paraId="165A420F" w14:textId="77777777" w:rsidR="00790ADA" w:rsidRPr="00FB3A86" w:rsidRDefault="00902823" w:rsidP="00010F64">
      <w:pPr>
        <w:pStyle w:val="AbstHead"/>
        <w:spacing w:before="240" w:after="120"/>
        <w:jc w:val="both"/>
        <w:rPr>
          <w:rFonts w:ascii="Arial" w:hAnsi="Arial" w:cs="Arial"/>
        </w:rPr>
      </w:pPr>
      <w:r>
        <w:rPr>
          <w:rFonts w:ascii="Arial" w:hAnsi="Arial" w:cs="Arial"/>
        </w:rPr>
        <w:t xml:space="preserve">1. </w:t>
      </w:r>
      <w:r w:rsidR="00B01FCD" w:rsidRPr="00FB3A86">
        <w:rPr>
          <w:rFonts w:ascii="Arial" w:hAnsi="Arial" w:cs="Arial"/>
        </w:rPr>
        <w:t>INTRODUCTION</w:t>
      </w:r>
    </w:p>
    <w:p w14:paraId="1FA4F206" w14:textId="77777777" w:rsidR="00E00800" w:rsidRPr="00E00800" w:rsidRDefault="00E00800" w:rsidP="00010F64">
      <w:pPr>
        <w:spacing w:before="240" w:after="120"/>
        <w:jc w:val="both"/>
        <w:rPr>
          <w:rFonts w:ascii="Arial" w:hAnsi="Arial" w:cs="Arial"/>
        </w:rPr>
      </w:pPr>
      <w:r w:rsidRPr="00E00800">
        <w:rPr>
          <w:rFonts w:ascii="Arial" w:hAnsi="Arial" w:cs="Arial"/>
        </w:rPr>
        <w:t>Globally, the poultry industry is one of the fastest-growing agricultural sub-sectors catalyzed by industrialization, consumer preference and a growing population (</w:t>
      </w:r>
      <w:proofErr w:type="spellStart"/>
      <w:r w:rsidRPr="00E00800">
        <w:rPr>
          <w:rFonts w:ascii="Arial" w:hAnsi="Arial" w:cs="Arial"/>
          <w:color w:val="222222"/>
          <w:shd w:val="clear" w:color="auto" w:fill="FFFFFF"/>
        </w:rPr>
        <w:t>Goyilla</w:t>
      </w:r>
      <w:proofErr w:type="spellEnd"/>
      <w:r w:rsidRPr="00E00800">
        <w:rPr>
          <w:rFonts w:ascii="Arial" w:hAnsi="Arial" w:cs="Arial"/>
          <w:color w:val="222222"/>
          <w:shd w:val="clear" w:color="auto" w:fill="FFFFFF"/>
        </w:rPr>
        <w:t xml:space="preserve">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2024</w:t>
      </w:r>
      <w:r w:rsidRPr="00E00800">
        <w:rPr>
          <w:rFonts w:ascii="Arial" w:hAnsi="Arial" w:cs="Arial"/>
        </w:rPr>
        <w:t xml:space="preserve">). The current Kenya’s poultry population is approximately 60 million and is a major source of income and livelihoods of urban and rural </w:t>
      </w:r>
      <w:r w:rsidRPr="00E00800">
        <w:rPr>
          <w:rFonts w:ascii="Arial" w:hAnsi="Arial" w:cs="Arial"/>
          <w:color w:val="000000" w:themeColor="text1"/>
        </w:rPr>
        <w:t>dwellers (</w:t>
      </w:r>
      <w:proofErr w:type="spellStart"/>
      <w:r w:rsidRPr="00E00800">
        <w:rPr>
          <w:rFonts w:ascii="Arial" w:hAnsi="Arial" w:cs="Arial"/>
          <w:color w:val="000000" w:themeColor="text1"/>
          <w:shd w:val="clear" w:color="auto" w:fill="FFFFFF"/>
        </w:rPr>
        <w:t>Mwasi</w:t>
      </w:r>
      <w:proofErr w:type="spellEnd"/>
      <w:r w:rsidRPr="00E00800">
        <w:rPr>
          <w:rFonts w:ascii="Arial" w:hAnsi="Arial" w:cs="Arial"/>
          <w:color w:val="000000" w:themeColor="text1"/>
          <w:shd w:val="clear" w:color="auto" w:fill="FFFFFF"/>
        </w:rPr>
        <w:t>, 2020</w:t>
      </w:r>
      <w:r w:rsidRPr="00E00800">
        <w:rPr>
          <w:rFonts w:ascii="Arial" w:hAnsi="Arial" w:cs="Arial"/>
          <w:color w:val="000000" w:themeColor="text1"/>
        </w:rPr>
        <w:t>). Overall, the sector contributes 7.8% of the overall gross domestic product (</w:t>
      </w:r>
      <w:r w:rsidRPr="00E00800">
        <w:rPr>
          <w:rFonts w:ascii="Arial" w:hAnsi="Arial" w:cs="Arial"/>
          <w:color w:val="000000" w:themeColor="text1"/>
          <w:shd w:val="clear" w:color="auto" w:fill="FFFFFF"/>
        </w:rPr>
        <w:t>KNBS, 2022)</w:t>
      </w:r>
      <w:r w:rsidRPr="00E00800">
        <w:rPr>
          <w:rFonts w:ascii="Arial" w:hAnsi="Arial" w:cs="Arial"/>
          <w:color w:val="000000" w:themeColor="text1"/>
        </w:rPr>
        <w:t xml:space="preserve">. In recent </w:t>
      </w:r>
      <w:r w:rsidRPr="00E00800">
        <w:rPr>
          <w:rFonts w:ascii="Arial" w:hAnsi="Arial" w:cs="Arial"/>
        </w:rPr>
        <w:t>years, there has been rapid growth of commercial broiler production in major urban and peri-urban areas. The intensification of poultry operations in the country has been associated with poor animal husbandry and animal welfare practices which could be associated with high prevalence of bacterial diseases and high mortalities (</w:t>
      </w:r>
      <w:r w:rsidRPr="00E00800">
        <w:rPr>
          <w:rFonts w:ascii="Arial" w:hAnsi="Arial" w:cs="Arial"/>
          <w:color w:val="222222"/>
          <w:shd w:val="clear" w:color="auto" w:fill="FFFFFF"/>
        </w:rPr>
        <w:t xml:space="preserve">McDevitt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xml:space="preserve">., 2006; Wibisono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2020)</w:t>
      </w:r>
      <w:r w:rsidRPr="00E00800">
        <w:rPr>
          <w:rFonts w:ascii="Arial" w:hAnsi="Arial" w:cs="Arial"/>
        </w:rPr>
        <w:t xml:space="preserve">. </w:t>
      </w:r>
    </w:p>
    <w:p w14:paraId="15E588FA" w14:textId="77777777" w:rsidR="00E00800" w:rsidRPr="00E00800" w:rsidRDefault="00E00800" w:rsidP="00010F64">
      <w:pPr>
        <w:spacing w:after="120"/>
        <w:jc w:val="both"/>
        <w:rPr>
          <w:rFonts w:ascii="Arial" w:hAnsi="Arial" w:cs="Arial"/>
        </w:rPr>
      </w:pPr>
      <w:r w:rsidRPr="00E00800">
        <w:rPr>
          <w:rFonts w:ascii="Arial" w:hAnsi="Arial" w:cs="Arial"/>
        </w:rPr>
        <w:t xml:space="preserve">In poultry, the most prevalent pathogenic gut bacteria are </w:t>
      </w:r>
      <w:r w:rsidRPr="00E00800">
        <w:rPr>
          <w:rFonts w:ascii="Arial" w:hAnsi="Arial" w:cs="Arial"/>
          <w:i/>
        </w:rPr>
        <w:t>Salmonella</w:t>
      </w:r>
      <w:r w:rsidRPr="00E00800">
        <w:rPr>
          <w:rFonts w:ascii="Arial" w:hAnsi="Arial" w:cs="Arial"/>
        </w:rPr>
        <w:t xml:space="preserve"> spp., </w:t>
      </w:r>
      <w:r w:rsidRPr="00E00800">
        <w:rPr>
          <w:rFonts w:ascii="Arial" w:hAnsi="Arial" w:cs="Arial"/>
          <w:i/>
        </w:rPr>
        <w:t>Escherichia coli</w:t>
      </w:r>
      <w:r w:rsidRPr="00E00800">
        <w:rPr>
          <w:rFonts w:ascii="Arial" w:hAnsi="Arial" w:cs="Arial"/>
        </w:rPr>
        <w:t xml:space="preserve">, </w:t>
      </w:r>
      <w:r w:rsidRPr="00E00800">
        <w:rPr>
          <w:rFonts w:ascii="Arial" w:hAnsi="Arial" w:cs="Arial"/>
          <w:i/>
        </w:rPr>
        <w:t>Staphylococcus</w:t>
      </w:r>
      <w:r w:rsidRPr="00E00800">
        <w:rPr>
          <w:rFonts w:ascii="Arial" w:hAnsi="Arial" w:cs="Arial"/>
        </w:rPr>
        <w:t xml:space="preserve"> spp. and </w:t>
      </w:r>
      <w:r w:rsidRPr="00E00800">
        <w:rPr>
          <w:rFonts w:ascii="Arial" w:hAnsi="Arial" w:cs="Arial"/>
          <w:i/>
        </w:rPr>
        <w:t>Campylobacter</w:t>
      </w:r>
      <w:r w:rsidRPr="00E00800">
        <w:rPr>
          <w:rFonts w:ascii="Arial" w:hAnsi="Arial" w:cs="Arial"/>
        </w:rPr>
        <w:t xml:space="preserve"> spp. (</w:t>
      </w:r>
      <w:proofErr w:type="spellStart"/>
      <w:r w:rsidRPr="00E00800">
        <w:rPr>
          <w:rFonts w:ascii="Arial" w:hAnsi="Arial" w:cs="Arial"/>
        </w:rPr>
        <w:t>Hakkani</w:t>
      </w:r>
      <w:proofErr w:type="spellEnd"/>
      <w:r w:rsidRPr="00E00800">
        <w:rPr>
          <w:rFonts w:ascii="Arial" w:hAnsi="Arial" w:cs="Arial"/>
        </w:rPr>
        <w:t xml:space="preserve"> </w:t>
      </w:r>
      <w:r w:rsidRPr="00E00800">
        <w:rPr>
          <w:rFonts w:ascii="Arial" w:hAnsi="Arial" w:cs="Arial"/>
          <w:i/>
        </w:rPr>
        <w:t>et al</w:t>
      </w:r>
      <w:r w:rsidRPr="00E00800">
        <w:rPr>
          <w:rFonts w:ascii="Arial" w:hAnsi="Arial" w:cs="Arial"/>
        </w:rPr>
        <w:t xml:space="preserve">., 2016, Agu </w:t>
      </w:r>
      <w:r w:rsidRPr="00E00800">
        <w:rPr>
          <w:rFonts w:ascii="Arial" w:hAnsi="Arial" w:cs="Arial"/>
          <w:i/>
        </w:rPr>
        <w:t>et al</w:t>
      </w:r>
      <w:r w:rsidRPr="00E00800">
        <w:rPr>
          <w:rFonts w:ascii="Arial" w:hAnsi="Arial" w:cs="Arial"/>
        </w:rPr>
        <w:t xml:space="preserve">., 2024, </w:t>
      </w:r>
      <w:proofErr w:type="spellStart"/>
      <w:r w:rsidRPr="00E00800">
        <w:rPr>
          <w:rFonts w:ascii="Arial" w:hAnsi="Arial" w:cs="Arial"/>
        </w:rPr>
        <w:t>Aworh</w:t>
      </w:r>
      <w:proofErr w:type="spellEnd"/>
      <w:r w:rsidRPr="00E00800">
        <w:rPr>
          <w:rFonts w:ascii="Arial" w:hAnsi="Arial" w:cs="Arial"/>
        </w:rPr>
        <w:t xml:space="preserve"> </w:t>
      </w:r>
      <w:r w:rsidRPr="00E00800">
        <w:rPr>
          <w:rFonts w:ascii="Arial" w:hAnsi="Arial" w:cs="Arial"/>
          <w:i/>
        </w:rPr>
        <w:t>et al</w:t>
      </w:r>
      <w:r w:rsidRPr="00E00800">
        <w:rPr>
          <w:rFonts w:ascii="Arial" w:hAnsi="Arial" w:cs="Arial"/>
        </w:rPr>
        <w:t xml:space="preserve">., 2019, Mageto </w:t>
      </w:r>
      <w:r w:rsidRPr="00E00800">
        <w:rPr>
          <w:rFonts w:ascii="Arial" w:hAnsi="Arial" w:cs="Arial"/>
          <w:i/>
        </w:rPr>
        <w:t>et al</w:t>
      </w:r>
      <w:r w:rsidRPr="00E00800">
        <w:rPr>
          <w:rFonts w:ascii="Arial" w:hAnsi="Arial" w:cs="Arial"/>
        </w:rPr>
        <w:t xml:space="preserve">., 2018). In Kenya, only a few </w:t>
      </w:r>
      <w:r w:rsidRPr="00E00800">
        <w:rPr>
          <w:rFonts w:ascii="Arial" w:hAnsi="Arial" w:cs="Arial"/>
        </w:rPr>
        <w:lastRenderedPageBreak/>
        <w:t>studies have estimated the prevalences of these bacteria, with overall prevalences ranging between 16 and 58% (</w:t>
      </w:r>
      <w:r w:rsidRPr="00E00800">
        <w:rPr>
          <w:rFonts w:ascii="Arial" w:hAnsi="Arial" w:cs="Arial"/>
          <w:color w:val="222222"/>
          <w:shd w:val="clear" w:color="auto" w:fill="FFFFFF"/>
        </w:rPr>
        <w:t xml:space="preserve">Ngai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2021; Kariuki, 2019</w:t>
      </w:r>
      <w:r w:rsidRPr="00E00800">
        <w:rPr>
          <w:rFonts w:ascii="Arial" w:hAnsi="Arial" w:cs="Arial"/>
        </w:rPr>
        <w:t xml:space="preserve">). These bacteria cause salmonellosis, arthritis, enteritis and Campylobacteriosis in chicken. These bacteria are also common causes of foodborne diseases in humans </w:t>
      </w:r>
      <w:r w:rsidRPr="00E00800">
        <w:rPr>
          <w:rFonts w:ascii="Arial" w:hAnsi="Arial" w:cs="Arial"/>
          <w:color w:val="222222"/>
          <w:shd w:val="clear" w:color="auto" w:fill="FFFFFF"/>
        </w:rPr>
        <w:t xml:space="preserve">(Wibisono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2020)</w:t>
      </w:r>
      <w:r w:rsidRPr="00E00800">
        <w:rPr>
          <w:rFonts w:ascii="Arial" w:hAnsi="Arial" w:cs="Arial"/>
        </w:rPr>
        <w:t xml:space="preserve">. Farmers and animal health practitioners aggressively use antibiotics not only to manage the disease but also for growth promotion. The over-use and misuse of antibiotics has resulted to emergence and spread of antibiotic-resistant pathogens in food animals (McEwen </w:t>
      </w:r>
      <w:r w:rsidRPr="00E00800">
        <w:rPr>
          <w:rFonts w:ascii="Arial" w:hAnsi="Arial" w:cs="Arial"/>
          <w:i/>
        </w:rPr>
        <w:t>et al</w:t>
      </w:r>
      <w:r w:rsidRPr="00E00800">
        <w:rPr>
          <w:rFonts w:ascii="Arial" w:hAnsi="Arial" w:cs="Arial"/>
        </w:rPr>
        <w:t>., 2018). In Kenya, AMR in poultry farming has been on the rise, with up to 60% resistance reported in the common antibiotics used (</w:t>
      </w:r>
      <w:proofErr w:type="spellStart"/>
      <w:r w:rsidRPr="00E00800">
        <w:rPr>
          <w:rFonts w:ascii="Arial" w:hAnsi="Arial" w:cs="Arial"/>
          <w:color w:val="222222"/>
          <w:shd w:val="clear" w:color="auto" w:fill="FFFFFF"/>
        </w:rPr>
        <w:t>Ndukui</w:t>
      </w:r>
      <w:proofErr w:type="spellEnd"/>
      <w:r w:rsidRPr="00E00800">
        <w:rPr>
          <w:rFonts w:ascii="Arial" w:hAnsi="Arial" w:cs="Arial"/>
          <w:color w:val="222222"/>
          <w:shd w:val="clear" w:color="auto" w:fill="FFFFFF"/>
        </w:rPr>
        <w:t xml:space="preserve">, 2021). The main risk factors are use of multiple antibiotics and scenarios where farmers can sometimes can access </w:t>
      </w:r>
      <w:r w:rsidRPr="00E00800">
        <w:rPr>
          <w:rFonts w:ascii="Arial" w:hAnsi="Arial" w:cs="Arial"/>
        </w:rPr>
        <w:t xml:space="preserve">from </w:t>
      </w:r>
      <w:r w:rsidRPr="00E00800">
        <w:rPr>
          <w:rFonts w:ascii="Arial" w:hAnsi="Arial" w:cs="Arial"/>
          <w:color w:val="000000" w:themeColor="text1"/>
        </w:rPr>
        <w:t xml:space="preserve">veterinary drugs shops </w:t>
      </w:r>
      <w:r w:rsidRPr="00E00800">
        <w:rPr>
          <w:rFonts w:ascii="Arial" w:hAnsi="Arial" w:cs="Arial"/>
        </w:rPr>
        <w:t>without professional advice (</w:t>
      </w:r>
      <w:r w:rsidRPr="00E00800">
        <w:rPr>
          <w:rFonts w:ascii="Arial" w:hAnsi="Arial" w:cs="Arial"/>
          <w:color w:val="222222"/>
          <w:shd w:val="clear" w:color="auto" w:fill="FFFFFF"/>
        </w:rPr>
        <w:t xml:space="preserve">Kariuki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2023,</w:t>
      </w:r>
      <w:r w:rsidRPr="00E00800">
        <w:rPr>
          <w:rFonts w:ascii="Arial" w:hAnsi="Arial" w:cs="Arial"/>
        </w:rPr>
        <w:t xml:space="preserve"> </w:t>
      </w:r>
      <w:r w:rsidRPr="00E00800">
        <w:rPr>
          <w:rFonts w:ascii="Arial" w:hAnsi="Arial" w:cs="Arial"/>
          <w:color w:val="222222"/>
          <w:shd w:val="clear" w:color="auto" w:fill="FFFFFF"/>
        </w:rPr>
        <w:t xml:space="preserve">Mutua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2023)</w:t>
      </w:r>
      <w:r w:rsidRPr="00E00800">
        <w:rPr>
          <w:rFonts w:ascii="Arial" w:hAnsi="Arial" w:cs="Arial"/>
        </w:rPr>
        <w:t xml:space="preserve">. With the emergence of AMR, various actors in the sector have called for development of alternative antimicrobial drugs. </w:t>
      </w:r>
    </w:p>
    <w:p w14:paraId="21C4AC86" w14:textId="77777777" w:rsidR="00E00800" w:rsidRPr="00E00800" w:rsidRDefault="00E00800" w:rsidP="00010F64">
      <w:pPr>
        <w:spacing w:after="120"/>
        <w:jc w:val="both"/>
        <w:rPr>
          <w:rFonts w:ascii="Arial" w:hAnsi="Arial" w:cs="Arial"/>
        </w:rPr>
      </w:pPr>
      <w:r w:rsidRPr="00E00800">
        <w:rPr>
          <w:rFonts w:ascii="Arial" w:hAnsi="Arial" w:cs="Arial"/>
        </w:rPr>
        <w:t>In the current study we evaluated feasibility of using bromelain and chitosan as possible antimicrobial alternatives. Bromelain is a group of proteolytic enzymes that are obtained from pineapples (</w:t>
      </w:r>
      <w:r w:rsidRPr="00E00800">
        <w:rPr>
          <w:rFonts w:ascii="Arial" w:hAnsi="Arial" w:cs="Arial"/>
          <w:i/>
        </w:rPr>
        <w:t>Ananas comosus</w:t>
      </w:r>
      <w:r w:rsidRPr="00E00800">
        <w:rPr>
          <w:rFonts w:ascii="Arial" w:hAnsi="Arial" w:cs="Arial"/>
        </w:rPr>
        <w:t>) (</w:t>
      </w:r>
      <w:r w:rsidRPr="00E00800">
        <w:rPr>
          <w:rFonts w:ascii="Arial" w:hAnsi="Arial" w:cs="Arial"/>
          <w:color w:val="222222"/>
          <w:shd w:val="clear" w:color="auto" w:fill="FFFFFF"/>
        </w:rPr>
        <w:t xml:space="preserve">Varilla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xml:space="preserve">., 2021), </w:t>
      </w:r>
      <w:r w:rsidRPr="00E00800">
        <w:rPr>
          <w:rFonts w:ascii="Arial" w:hAnsi="Arial" w:cs="Arial"/>
        </w:rPr>
        <w:t>and have been found to possess anti-inflammatory, anti-edematous, antithrombotic, fibrinolytic activities, anti-viral and antibacterial activities (</w:t>
      </w:r>
      <w:proofErr w:type="spellStart"/>
      <w:r w:rsidRPr="00E00800">
        <w:rPr>
          <w:rFonts w:ascii="Arial" w:hAnsi="Arial" w:cs="Arial"/>
          <w:color w:val="222222"/>
          <w:shd w:val="clear" w:color="auto" w:fill="FFFFFF"/>
        </w:rPr>
        <w:t>Hikisz</w:t>
      </w:r>
      <w:proofErr w:type="spellEnd"/>
      <w:r w:rsidRPr="00E00800">
        <w:rPr>
          <w:rFonts w:ascii="Arial" w:hAnsi="Arial" w:cs="Arial"/>
          <w:color w:val="222222"/>
          <w:shd w:val="clear" w:color="auto" w:fill="FFFFFF"/>
        </w:rPr>
        <w:t xml:space="preserve"> and </w:t>
      </w:r>
      <w:proofErr w:type="spellStart"/>
      <w:r w:rsidRPr="00E00800">
        <w:rPr>
          <w:rFonts w:ascii="Arial" w:hAnsi="Arial" w:cs="Arial"/>
          <w:color w:val="222222"/>
          <w:shd w:val="clear" w:color="auto" w:fill="FFFFFF"/>
        </w:rPr>
        <w:t>Bernasinska</w:t>
      </w:r>
      <w:proofErr w:type="spellEnd"/>
      <w:r w:rsidRPr="00E00800">
        <w:rPr>
          <w:rFonts w:ascii="Arial" w:hAnsi="Arial" w:cs="Arial"/>
          <w:color w:val="222222"/>
          <w:shd w:val="clear" w:color="auto" w:fill="FFFFFF"/>
        </w:rPr>
        <w:t>, 2021)</w:t>
      </w:r>
      <w:r w:rsidRPr="00E00800">
        <w:rPr>
          <w:rFonts w:ascii="Arial" w:hAnsi="Arial" w:cs="Arial"/>
        </w:rPr>
        <w:t xml:space="preserve">. Recently, </w:t>
      </w:r>
      <w:proofErr w:type="spellStart"/>
      <w:r w:rsidRPr="00E00800">
        <w:rPr>
          <w:rFonts w:ascii="Arial" w:hAnsi="Arial" w:cs="Arial"/>
        </w:rPr>
        <w:t>nanoencapsulated</w:t>
      </w:r>
      <w:proofErr w:type="spellEnd"/>
      <w:r w:rsidRPr="00E00800">
        <w:rPr>
          <w:rFonts w:ascii="Arial" w:hAnsi="Arial" w:cs="Arial"/>
        </w:rPr>
        <w:t xml:space="preserve"> </w:t>
      </w:r>
      <w:proofErr w:type="spellStart"/>
      <w:r w:rsidRPr="00E00800">
        <w:rPr>
          <w:rFonts w:ascii="Arial" w:hAnsi="Arial" w:cs="Arial"/>
        </w:rPr>
        <w:t>bromelian</w:t>
      </w:r>
      <w:proofErr w:type="spellEnd"/>
      <w:r w:rsidRPr="00E00800">
        <w:rPr>
          <w:rFonts w:ascii="Arial" w:hAnsi="Arial" w:cs="Arial"/>
        </w:rPr>
        <w:t xml:space="preserve"> has been shown to have high anthelmintic and anticoccidial activities in domestic animals (</w:t>
      </w:r>
      <w:r w:rsidR="00B066AF" w:rsidRPr="00B066AF">
        <w:rPr>
          <w:rFonts w:ascii="Arial" w:hAnsi="Arial" w:cs="Arial"/>
        </w:rPr>
        <w:t>Dai</w:t>
      </w:r>
      <w:r w:rsidR="00B066AF">
        <w:rPr>
          <w:rFonts w:ascii="Arial" w:hAnsi="Arial" w:cs="Arial"/>
        </w:rPr>
        <w:t xml:space="preserve">ba </w:t>
      </w:r>
      <w:r w:rsidR="00B066AF" w:rsidRPr="00B066AF">
        <w:rPr>
          <w:rFonts w:ascii="Arial" w:hAnsi="Arial" w:cs="Arial"/>
          <w:i/>
        </w:rPr>
        <w:t>et al</w:t>
      </w:r>
      <w:r w:rsidR="00B066AF">
        <w:rPr>
          <w:rFonts w:ascii="Arial" w:hAnsi="Arial" w:cs="Arial"/>
        </w:rPr>
        <w:t xml:space="preserve">., </w:t>
      </w:r>
      <w:r w:rsidR="00B066AF" w:rsidRPr="00B066AF">
        <w:rPr>
          <w:rFonts w:ascii="Arial" w:hAnsi="Arial" w:cs="Arial"/>
        </w:rPr>
        <w:t>2022</w:t>
      </w:r>
      <w:r w:rsidRPr="00E00800">
        <w:rPr>
          <w:rFonts w:ascii="Arial" w:hAnsi="Arial" w:cs="Arial"/>
        </w:rPr>
        <w:t>). Earlier studies have revealed that the antibacterial properties of bromelain could be due to its ability to disrupt bacterial cell walls and prevention of bacterial adhesion and toxin production (</w:t>
      </w:r>
      <w:proofErr w:type="spellStart"/>
      <w:r w:rsidRPr="00E00800">
        <w:rPr>
          <w:rFonts w:ascii="Arial" w:hAnsi="Arial" w:cs="Arial"/>
          <w:color w:val="222222"/>
          <w:shd w:val="clear" w:color="auto" w:fill="FFFFFF"/>
        </w:rPr>
        <w:t>Hikisz</w:t>
      </w:r>
      <w:proofErr w:type="spellEnd"/>
      <w:r w:rsidRPr="00E00800">
        <w:rPr>
          <w:rFonts w:ascii="Arial" w:hAnsi="Arial" w:cs="Arial"/>
          <w:color w:val="222222"/>
          <w:shd w:val="clear" w:color="auto" w:fill="FFFFFF"/>
        </w:rPr>
        <w:t xml:space="preserve"> and </w:t>
      </w:r>
      <w:proofErr w:type="spellStart"/>
      <w:r w:rsidRPr="00E00800">
        <w:rPr>
          <w:rFonts w:ascii="Arial" w:hAnsi="Arial" w:cs="Arial"/>
          <w:color w:val="222222"/>
          <w:shd w:val="clear" w:color="auto" w:fill="FFFFFF"/>
        </w:rPr>
        <w:t>Bernasinska</w:t>
      </w:r>
      <w:proofErr w:type="spellEnd"/>
      <w:r w:rsidRPr="00E00800">
        <w:rPr>
          <w:rFonts w:ascii="Arial" w:hAnsi="Arial" w:cs="Arial"/>
          <w:color w:val="222222"/>
          <w:shd w:val="clear" w:color="auto" w:fill="FFFFFF"/>
        </w:rPr>
        <w:t>, 2021)</w:t>
      </w:r>
      <w:r w:rsidRPr="00E00800">
        <w:rPr>
          <w:rFonts w:ascii="Arial" w:hAnsi="Arial" w:cs="Arial"/>
        </w:rPr>
        <w:t xml:space="preserve">. Its use has been shown to reduce pathogenic bacterial populations in poultry while supporting gut health (Kumar </w:t>
      </w:r>
      <w:r w:rsidRPr="00E00800">
        <w:rPr>
          <w:rFonts w:ascii="Arial" w:hAnsi="Arial" w:cs="Arial"/>
          <w:i/>
        </w:rPr>
        <w:t>et al</w:t>
      </w:r>
      <w:r w:rsidRPr="00E00800">
        <w:rPr>
          <w:rFonts w:ascii="Arial" w:hAnsi="Arial" w:cs="Arial"/>
        </w:rPr>
        <w:t>., 2023). On the other hand, chitosan refers to polysaccharides obtained through the deacetylation of chitin found in the exoskeleton of insects' cuticles, such as black soldier flies. Studies have shown that chitosan has antibacterial and antifungal properties (</w:t>
      </w:r>
      <w:r w:rsidRPr="00E00800">
        <w:rPr>
          <w:rFonts w:ascii="Arial" w:hAnsi="Arial" w:cs="Arial"/>
          <w:color w:val="222222"/>
          <w:shd w:val="clear" w:color="auto" w:fill="FFFFFF"/>
        </w:rPr>
        <w:t>Lagat, 2022)</w:t>
      </w:r>
      <w:r w:rsidRPr="00E00800">
        <w:rPr>
          <w:rFonts w:ascii="Arial" w:hAnsi="Arial" w:cs="Arial"/>
        </w:rPr>
        <w:t>. A recent study (</w:t>
      </w:r>
      <w:r w:rsidRPr="00E00800">
        <w:rPr>
          <w:rFonts w:ascii="Arial" w:hAnsi="Arial" w:cs="Arial"/>
          <w:color w:val="222222"/>
          <w:shd w:val="clear" w:color="auto" w:fill="FFFFFF"/>
        </w:rPr>
        <w:t xml:space="preserve">Mahlangu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xml:space="preserve">., 2020) </w:t>
      </w:r>
      <w:r w:rsidRPr="00E00800">
        <w:rPr>
          <w:rFonts w:ascii="Arial" w:hAnsi="Arial" w:cs="Arial"/>
        </w:rPr>
        <w:t xml:space="preserve">reported that encapsulation of bromelain with chitosan had an antibacterial effect against </w:t>
      </w:r>
      <w:r w:rsidRPr="00E00800">
        <w:rPr>
          <w:rFonts w:ascii="Arial" w:hAnsi="Arial" w:cs="Arial"/>
          <w:i/>
        </w:rPr>
        <w:t>S. aureus</w:t>
      </w:r>
      <w:r w:rsidRPr="00E00800">
        <w:rPr>
          <w:rFonts w:ascii="Arial" w:hAnsi="Arial" w:cs="Arial"/>
        </w:rPr>
        <w:t xml:space="preserve"> and </w:t>
      </w:r>
      <w:r w:rsidRPr="00E00800">
        <w:rPr>
          <w:rFonts w:ascii="Arial" w:hAnsi="Arial" w:cs="Arial"/>
          <w:i/>
        </w:rPr>
        <w:t>E. coli</w:t>
      </w:r>
      <w:r w:rsidRPr="00E00800">
        <w:rPr>
          <w:rFonts w:ascii="Arial" w:hAnsi="Arial" w:cs="Arial"/>
        </w:rPr>
        <w:t xml:space="preserve"> obtained from milk of dairy goats having mastitis. In another study, </w:t>
      </w:r>
      <w:proofErr w:type="spellStart"/>
      <w:r w:rsidRPr="00E00800">
        <w:rPr>
          <w:rFonts w:ascii="Arial" w:hAnsi="Arial" w:cs="Arial"/>
          <w:color w:val="222222"/>
          <w:shd w:val="clear" w:color="auto" w:fill="FFFFFF"/>
        </w:rPr>
        <w:t>Polinarski</w:t>
      </w:r>
      <w:proofErr w:type="spellEnd"/>
      <w:r w:rsidRPr="00E00800">
        <w:rPr>
          <w:rFonts w:ascii="Arial" w:hAnsi="Arial" w:cs="Arial"/>
          <w:color w:val="222222"/>
          <w:shd w:val="clear" w:color="auto" w:fill="FFFFFF"/>
        </w:rPr>
        <w:t xml:space="preserve"> </w:t>
      </w:r>
      <w:r w:rsidRPr="00E00800">
        <w:rPr>
          <w:rFonts w:ascii="Arial" w:hAnsi="Arial" w:cs="Arial"/>
          <w:i/>
          <w:color w:val="222222"/>
          <w:shd w:val="clear" w:color="auto" w:fill="FFFFFF"/>
        </w:rPr>
        <w:t>et al</w:t>
      </w:r>
      <w:r w:rsidRPr="00E00800">
        <w:rPr>
          <w:rFonts w:ascii="Arial" w:hAnsi="Arial" w:cs="Arial"/>
          <w:color w:val="222222"/>
          <w:shd w:val="clear" w:color="auto" w:fill="FFFFFF"/>
        </w:rPr>
        <w:t>. (2021)</w:t>
      </w:r>
      <w:r w:rsidRPr="00E00800">
        <w:rPr>
          <w:rFonts w:ascii="Arial" w:hAnsi="Arial" w:cs="Arial"/>
        </w:rPr>
        <w:t xml:space="preserve"> reported that </w:t>
      </w:r>
      <w:r w:rsidRPr="00E00800">
        <w:rPr>
          <w:rFonts w:ascii="Arial" w:hAnsi="Arial" w:cs="Arial"/>
          <w:i/>
        </w:rPr>
        <w:t>Klebsiella pneumoniae</w:t>
      </w:r>
      <w:r w:rsidRPr="00E00800">
        <w:rPr>
          <w:rFonts w:ascii="Arial" w:hAnsi="Arial" w:cs="Arial"/>
        </w:rPr>
        <w:t xml:space="preserve">, </w:t>
      </w:r>
      <w:r w:rsidRPr="00E00800">
        <w:rPr>
          <w:rFonts w:ascii="Arial" w:hAnsi="Arial" w:cs="Arial"/>
          <w:i/>
        </w:rPr>
        <w:t>Neisseria gonorrhea</w:t>
      </w:r>
      <w:r w:rsidRPr="00E00800">
        <w:rPr>
          <w:rFonts w:ascii="Arial" w:hAnsi="Arial" w:cs="Arial"/>
        </w:rPr>
        <w:t xml:space="preserve">, and </w:t>
      </w:r>
      <w:r w:rsidRPr="00E00800">
        <w:rPr>
          <w:rFonts w:ascii="Arial" w:hAnsi="Arial" w:cs="Arial"/>
          <w:i/>
        </w:rPr>
        <w:t xml:space="preserve">Shigella </w:t>
      </w:r>
      <w:proofErr w:type="spellStart"/>
      <w:r w:rsidRPr="00E00800">
        <w:rPr>
          <w:rFonts w:ascii="Arial" w:hAnsi="Arial" w:cs="Arial"/>
          <w:i/>
        </w:rPr>
        <w:t>sonnei</w:t>
      </w:r>
      <w:proofErr w:type="spellEnd"/>
      <w:r w:rsidRPr="00E00800">
        <w:rPr>
          <w:rFonts w:ascii="Arial" w:hAnsi="Arial" w:cs="Arial"/>
        </w:rPr>
        <w:t xml:space="preserve"> were susceptible to the chitosan extract. However, similar studies have not been conducted on isolates from poultry. </w:t>
      </w:r>
    </w:p>
    <w:p w14:paraId="111B5205" w14:textId="6A7E7D83" w:rsidR="00790ADA" w:rsidRPr="00FB3A86" w:rsidRDefault="00E00800" w:rsidP="00010F64">
      <w:pPr>
        <w:spacing w:after="120"/>
        <w:jc w:val="both"/>
        <w:rPr>
          <w:rFonts w:ascii="Arial" w:hAnsi="Arial" w:cs="Arial"/>
        </w:rPr>
      </w:pPr>
      <w:r w:rsidRPr="00E00800">
        <w:rPr>
          <w:rFonts w:ascii="Arial" w:hAnsi="Arial" w:cs="Arial"/>
        </w:rPr>
        <w:t xml:space="preserve">The current study aimed at determining the prevalence and risk factors associated with bacterial infections in chicken kept by local farmers in </w:t>
      </w:r>
      <w:proofErr w:type="spellStart"/>
      <w:r w:rsidRPr="00E00800">
        <w:rPr>
          <w:rFonts w:ascii="Arial" w:hAnsi="Arial" w:cs="Arial"/>
        </w:rPr>
        <w:t>Juja</w:t>
      </w:r>
      <w:proofErr w:type="spellEnd"/>
      <w:r w:rsidRPr="00E00800">
        <w:rPr>
          <w:rFonts w:ascii="Arial" w:hAnsi="Arial" w:cs="Arial"/>
        </w:rPr>
        <w:t xml:space="preserve"> Sub-</w:t>
      </w:r>
      <w:r w:rsidR="00010F64">
        <w:rPr>
          <w:rFonts w:ascii="Arial" w:hAnsi="Arial" w:cs="Arial"/>
        </w:rPr>
        <w:t>C</w:t>
      </w:r>
      <w:r w:rsidRPr="00E00800">
        <w:rPr>
          <w:rFonts w:ascii="Arial" w:hAnsi="Arial" w:cs="Arial"/>
        </w:rPr>
        <w:t xml:space="preserve">ounty, Kenya. The latter has peri-urban set-up where there is increase in number of farmers keeping broiler chickens. The study also evaluated the susceptibility of the isolated bacteria to antibiotics, bromelain and chitosan extracts. </w:t>
      </w:r>
    </w:p>
    <w:p w14:paraId="60264C47" w14:textId="77777777" w:rsidR="00E00800" w:rsidRDefault="00902823" w:rsidP="00010F64">
      <w:pPr>
        <w:pStyle w:val="AbstHead"/>
        <w:spacing w:after="120"/>
        <w:jc w:val="both"/>
        <w:rPr>
          <w:rFonts w:ascii="Arial" w:hAnsi="Arial" w:cs="Arial"/>
        </w:rPr>
      </w:pPr>
      <w:r>
        <w:rPr>
          <w:rFonts w:ascii="Arial" w:hAnsi="Arial" w:cs="Arial"/>
        </w:rPr>
        <w:t>2. material and method</w:t>
      </w:r>
      <w:r w:rsidR="00212E25">
        <w:rPr>
          <w:rFonts w:ascii="Arial" w:hAnsi="Arial" w:cs="Arial"/>
        </w:rPr>
        <w:t>s</w:t>
      </w:r>
    </w:p>
    <w:p w14:paraId="38491E0E"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2.1 Study area </w:t>
      </w:r>
    </w:p>
    <w:p w14:paraId="6812C5E4" w14:textId="77777777" w:rsidR="00E00800" w:rsidRPr="00E00800" w:rsidRDefault="00E00800" w:rsidP="00010F64">
      <w:pPr>
        <w:pStyle w:val="Body"/>
        <w:spacing w:after="120"/>
        <w:rPr>
          <w:rFonts w:ascii="Arial" w:hAnsi="Arial" w:cs="Arial"/>
        </w:rPr>
      </w:pPr>
      <w:bookmarkStart w:id="1" w:name="_Toc197581361"/>
      <w:r w:rsidRPr="00E00800">
        <w:rPr>
          <w:rFonts w:ascii="Arial" w:hAnsi="Arial" w:cs="Arial"/>
        </w:rPr>
        <w:t xml:space="preserve">This study was conducted in </w:t>
      </w:r>
      <w:proofErr w:type="spellStart"/>
      <w:r w:rsidRPr="00E00800">
        <w:rPr>
          <w:rFonts w:ascii="Arial" w:hAnsi="Arial" w:cs="Arial"/>
        </w:rPr>
        <w:t>Juja</w:t>
      </w:r>
      <w:proofErr w:type="spellEnd"/>
      <w:r w:rsidRPr="00E00800">
        <w:rPr>
          <w:rFonts w:ascii="Arial" w:hAnsi="Arial" w:cs="Arial"/>
        </w:rPr>
        <w:t xml:space="preserve"> Sub-County, Kiambu County, Kenya. The sub-county has five administrative wards: </w:t>
      </w:r>
      <w:proofErr w:type="spellStart"/>
      <w:r w:rsidRPr="00E00800">
        <w:rPr>
          <w:rFonts w:ascii="Arial" w:hAnsi="Arial" w:cs="Arial"/>
        </w:rPr>
        <w:t>Juja</w:t>
      </w:r>
      <w:proofErr w:type="spellEnd"/>
      <w:r w:rsidRPr="00E00800">
        <w:rPr>
          <w:rFonts w:ascii="Arial" w:hAnsi="Arial" w:cs="Arial"/>
        </w:rPr>
        <w:t xml:space="preserve">, </w:t>
      </w:r>
      <w:proofErr w:type="spellStart"/>
      <w:r w:rsidRPr="00E00800">
        <w:rPr>
          <w:rFonts w:ascii="Arial" w:hAnsi="Arial" w:cs="Arial"/>
        </w:rPr>
        <w:t>Witeithie</w:t>
      </w:r>
      <w:proofErr w:type="spellEnd"/>
      <w:r w:rsidRPr="00E00800">
        <w:rPr>
          <w:rFonts w:ascii="Arial" w:hAnsi="Arial" w:cs="Arial"/>
        </w:rPr>
        <w:t xml:space="preserve">, </w:t>
      </w:r>
      <w:proofErr w:type="spellStart"/>
      <w:r w:rsidRPr="00E00800">
        <w:rPr>
          <w:rFonts w:ascii="Arial" w:hAnsi="Arial" w:cs="Arial"/>
        </w:rPr>
        <w:t>Kalimoni</w:t>
      </w:r>
      <w:proofErr w:type="spellEnd"/>
      <w:r w:rsidRPr="00E00800">
        <w:rPr>
          <w:rFonts w:ascii="Arial" w:hAnsi="Arial" w:cs="Arial"/>
        </w:rPr>
        <w:t xml:space="preserve">, Theta and </w:t>
      </w:r>
      <w:proofErr w:type="spellStart"/>
      <w:r w:rsidRPr="00E00800">
        <w:rPr>
          <w:rFonts w:ascii="Arial" w:hAnsi="Arial" w:cs="Arial"/>
        </w:rPr>
        <w:t>Murera</w:t>
      </w:r>
      <w:proofErr w:type="spellEnd"/>
      <w:r w:rsidRPr="00E00800">
        <w:rPr>
          <w:rFonts w:ascii="Arial" w:hAnsi="Arial" w:cs="Arial"/>
        </w:rPr>
        <w:t xml:space="preserve">. It is located about 35km from Nairobi's city. The main economic activity of residents of this peri-urban area is trade and agriculture. As of last census, </w:t>
      </w:r>
      <w:proofErr w:type="spellStart"/>
      <w:r w:rsidRPr="00E00800">
        <w:rPr>
          <w:rFonts w:ascii="Arial" w:hAnsi="Arial" w:cs="Arial"/>
        </w:rPr>
        <w:t>Juja</w:t>
      </w:r>
      <w:proofErr w:type="spellEnd"/>
      <w:r w:rsidRPr="00E00800">
        <w:rPr>
          <w:rFonts w:ascii="Arial" w:hAnsi="Arial" w:cs="Arial"/>
        </w:rPr>
        <w:t xml:space="preserve"> Sub-County has a livestock population of about 63,031 chickens, 32,000 sheep, 136,251 cattle, 17,300 pi</w:t>
      </w:r>
      <w:r w:rsidR="00197F97">
        <w:rPr>
          <w:rFonts w:ascii="Arial" w:hAnsi="Arial" w:cs="Arial"/>
        </w:rPr>
        <w:t>gs, and 12,699 goats (KNBS, 2022</w:t>
      </w:r>
      <w:r w:rsidRPr="00E00800">
        <w:rPr>
          <w:rFonts w:ascii="Arial" w:hAnsi="Arial" w:cs="Arial"/>
        </w:rPr>
        <w:t xml:space="preserve">). The study area was selected due to increased cases of poultry gut bacterial diseases reported by animal health officers (unpublished information). </w:t>
      </w:r>
    </w:p>
    <w:p w14:paraId="333EAE9F"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2.2 </w:t>
      </w:r>
      <w:r w:rsidRPr="00E00800">
        <w:rPr>
          <w:rFonts w:ascii="Arial" w:hAnsi="Arial" w:cs="Arial"/>
          <w:b/>
          <w:bCs/>
        </w:rPr>
        <w:t>Study design</w:t>
      </w:r>
      <w:bookmarkEnd w:id="1"/>
    </w:p>
    <w:p w14:paraId="06BDC7BB" w14:textId="77777777" w:rsidR="00E00800" w:rsidRPr="00E00800" w:rsidRDefault="00E00800" w:rsidP="00010F64">
      <w:pPr>
        <w:pStyle w:val="Body"/>
        <w:spacing w:after="120"/>
        <w:rPr>
          <w:rFonts w:ascii="Arial" w:hAnsi="Arial" w:cs="Arial"/>
        </w:rPr>
      </w:pPr>
      <w:bookmarkStart w:id="2" w:name="_Toc197581362"/>
      <w:r w:rsidRPr="00E00800">
        <w:rPr>
          <w:rFonts w:ascii="Arial" w:hAnsi="Arial" w:cs="Arial"/>
        </w:rPr>
        <w:t>A cross-sectional study design was adopted. A structured questionnaire was administered to poultry farmers to assess the risk factors associated with incidences of gut bacterial pathogens in chickens kept in the study area. Cloacal swabs were collected from chickens to assess the bacterial in the feces. Further, the susceptibility of the isolated bacteria to antibiotics, bromelain and chitosan was undertaken in a laboratory set-up.</w:t>
      </w:r>
    </w:p>
    <w:p w14:paraId="39A40CBA" w14:textId="77777777" w:rsidR="00E00800" w:rsidRPr="00E00800" w:rsidRDefault="00E00800" w:rsidP="00010F64">
      <w:pPr>
        <w:pStyle w:val="Body"/>
        <w:spacing w:after="120"/>
        <w:rPr>
          <w:rFonts w:ascii="Arial" w:hAnsi="Arial" w:cs="Arial"/>
        </w:rPr>
      </w:pPr>
      <w:r w:rsidRPr="00E00800">
        <w:rPr>
          <w:rFonts w:ascii="Arial" w:hAnsi="Arial" w:cs="Arial"/>
          <w:b/>
        </w:rPr>
        <w:t>2.3 Chicken Sample size determination</w:t>
      </w:r>
      <w:bookmarkEnd w:id="2"/>
    </w:p>
    <w:p w14:paraId="65891376" w14:textId="77777777" w:rsidR="00E00800" w:rsidRPr="00E00800" w:rsidRDefault="00E00800" w:rsidP="00010F64">
      <w:pPr>
        <w:pStyle w:val="Body"/>
        <w:spacing w:after="120"/>
        <w:rPr>
          <w:rFonts w:ascii="Arial" w:hAnsi="Arial" w:cs="Arial"/>
        </w:rPr>
      </w:pPr>
      <w:r w:rsidRPr="00E00800">
        <w:rPr>
          <w:rFonts w:ascii="Arial" w:hAnsi="Arial" w:cs="Arial"/>
        </w:rPr>
        <w:t xml:space="preserve">The sample population of the chicken for sampling during the study was computed using the procedure outlined by </w:t>
      </w:r>
      <w:proofErr w:type="spellStart"/>
      <w:r w:rsidRPr="00E00800">
        <w:rPr>
          <w:rFonts w:ascii="Arial" w:hAnsi="Arial" w:cs="Arial"/>
        </w:rPr>
        <w:t>Thrusfield</w:t>
      </w:r>
      <w:proofErr w:type="spellEnd"/>
      <w:r w:rsidRPr="00E00800">
        <w:rPr>
          <w:rFonts w:ascii="Arial" w:hAnsi="Arial" w:cs="Arial"/>
        </w:rPr>
        <w:t xml:space="preserve"> (2007), taking 95% as the confidence level and 5% as absolute precision. The expected prevalence for this study was 15%, a prevalence documented previously by Mageto </w:t>
      </w:r>
      <w:r w:rsidRPr="00E00800">
        <w:rPr>
          <w:rFonts w:ascii="Arial" w:hAnsi="Arial" w:cs="Arial"/>
          <w:i/>
        </w:rPr>
        <w:t>et al</w:t>
      </w:r>
      <w:r w:rsidRPr="00E00800">
        <w:rPr>
          <w:rFonts w:ascii="Arial" w:hAnsi="Arial" w:cs="Arial"/>
        </w:rPr>
        <w:t>. (2018). Therefore, using the formula, a minimum sample size of 196 chickens was obtained. A total of 200 chickens were randomly selected in the current study. The sampling frame was obtained from the local livestock production office. In total, 40 farms were selected and visited during the study. Farms which qualified to participate in the study had at least five (5) chickens.</w:t>
      </w:r>
    </w:p>
    <w:p w14:paraId="56BC722E" w14:textId="77777777" w:rsidR="00E00800" w:rsidRPr="00E00800" w:rsidRDefault="00E00800" w:rsidP="00010F64">
      <w:pPr>
        <w:pStyle w:val="Body"/>
        <w:spacing w:after="120"/>
        <w:rPr>
          <w:rFonts w:ascii="Arial" w:hAnsi="Arial" w:cs="Arial"/>
        </w:rPr>
      </w:pPr>
      <w:r w:rsidRPr="00E00800">
        <w:rPr>
          <w:rFonts w:ascii="Arial" w:hAnsi="Arial" w:cs="Arial"/>
          <w:b/>
          <w:bCs/>
        </w:rPr>
        <w:t xml:space="preserve">2.4 Sampling and microbiological examination </w:t>
      </w:r>
    </w:p>
    <w:p w14:paraId="16752029" w14:textId="77777777" w:rsidR="00E00800" w:rsidRPr="00E00800" w:rsidRDefault="00E00800" w:rsidP="00010F64">
      <w:pPr>
        <w:pStyle w:val="Body"/>
        <w:spacing w:after="120"/>
        <w:rPr>
          <w:rFonts w:ascii="Arial" w:hAnsi="Arial" w:cs="Arial"/>
        </w:rPr>
      </w:pPr>
      <w:bookmarkStart w:id="3" w:name="_Toc197581364"/>
      <w:bookmarkStart w:id="4" w:name="_Toc196740908"/>
      <w:r w:rsidRPr="00E00800">
        <w:rPr>
          <w:rFonts w:ascii="Arial" w:hAnsi="Arial" w:cs="Arial"/>
        </w:rPr>
        <w:t xml:space="preserve">Cloacal fecal swabs were collected from a restrained chicken using sterile swabs according to the standard guidelines of fecal sample collection (Papadopoulou </w:t>
      </w:r>
      <w:r w:rsidRPr="00E00800">
        <w:rPr>
          <w:rFonts w:ascii="Arial" w:hAnsi="Arial" w:cs="Arial"/>
          <w:i/>
        </w:rPr>
        <w:t>et al</w:t>
      </w:r>
      <w:r w:rsidRPr="00E00800">
        <w:rPr>
          <w:rFonts w:ascii="Arial" w:hAnsi="Arial" w:cs="Arial"/>
        </w:rPr>
        <w:t xml:space="preserve">., 1997). The swabs were placed into the plastic case, labelled accordingly and transported at 4ºC to the microbiology laboratory in JKUAT. </w:t>
      </w:r>
    </w:p>
    <w:p w14:paraId="265F8962" w14:textId="77777777" w:rsidR="00E00800" w:rsidRPr="00E00800" w:rsidRDefault="00E00800" w:rsidP="00010F64">
      <w:pPr>
        <w:pStyle w:val="Body"/>
        <w:spacing w:after="120"/>
        <w:rPr>
          <w:rFonts w:ascii="Arial" w:hAnsi="Arial" w:cs="Arial"/>
        </w:rPr>
      </w:pPr>
      <w:r w:rsidRPr="00E00800">
        <w:rPr>
          <w:rFonts w:ascii="Arial" w:hAnsi="Arial" w:cs="Arial"/>
        </w:rPr>
        <w:t xml:space="preserve">Microbiological analysis was conducted according to procedures described in CLSI (2024) guidelines. Briefly, the cloacal swabs were streaked aseptically in both blood agar (BA) and MacConkey (MAC) agar. The cultured plates were incubated aerobically for 18 hours at 37 ̊C. The cultural and colonial characteristics of the bacteria grown on the BA and MAC were </w:t>
      </w:r>
      <w:r w:rsidRPr="00E00800">
        <w:rPr>
          <w:rFonts w:ascii="Arial" w:hAnsi="Arial" w:cs="Arial"/>
        </w:rPr>
        <w:lastRenderedPageBreak/>
        <w:t>recorded. Gram staining was performed to study the morphology and staining characteristics of bacteria. Biochemical tests, such as fermentation, oxidase, catalase, methyl red, and indole tests, were performed per standard methods CLSI guidelines. The identified isolates were stored at 4ºC and later used to determine their susceptibilities to selected commercial antibiotics, chitosan and bromelain.</w:t>
      </w:r>
    </w:p>
    <w:p w14:paraId="3A2628D4" w14:textId="77777777" w:rsidR="00E00800" w:rsidRPr="00E00800" w:rsidRDefault="00E00800" w:rsidP="00010F64">
      <w:pPr>
        <w:pStyle w:val="Body"/>
        <w:spacing w:after="120"/>
        <w:rPr>
          <w:rFonts w:ascii="Arial" w:hAnsi="Arial" w:cs="Arial"/>
        </w:rPr>
      </w:pPr>
      <w:r w:rsidRPr="00E00800">
        <w:rPr>
          <w:rFonts w:ascii="Arial" w:hAnsi="Arial" w:cs="Arial"/>
          <w:b/>
          <w:bCs/>
        </w:rPr>
        <w:t>2.5 Questionnaire administration</w:t>
      </w:r>
    </w:p>
    <w:p w14:paraId="64F917A4" w14:textId="77777777" w:rsidR="00E00800" w:rsidRDefault="00E00800" w:rsidP="00010F64">
      <w:pPr>
        <w:pStyle w:val="Body"/>
        <w:spacing w:after="120"/>
        <w:rPr>
          <w:rFonts w:ascii="Arial" w:hAnsi="Arial" w:cs="Arial"/>
        </w:rPr>
      </w:pPr>
      <w:bookmarkStart w:id="5" w:name="_Toc197581367"/>
      <w:bookmarkEnd w:id="3"/>
      <w:bookmarkEnd w:id="4"/>
      <w:r w:rsidRPr="00E00800">
        <w:rPr>
          <w:rFonts w:ascii="Arial" w:hAnsi="Arial" w:cs="Arial"/>
        </w:rPr>
        <w:t xml:space="preserve">During the farm visits, a structured questionnaire was administered to the head of the household. The questionnaire had questions concerning poultry management practices and chicken-based factors such as chicken feeding, age, breed, stocking density, antibiotic use, rearing method, farmer education, biosecurity measures and status of bedding materials.  </w:t>
      </w:r>
    </w:p>
    <w:p w14:paraId="430CEB7C" w14:textId="77777777" w:rsidR="00E00800" w:rsidRPr="00E00800" w:rsidRDefault="00E00800" w:rsidP="00010F64">
      <w:pPr>
        <w:pStyle w:val="Body"/>
        <w:spacing w:after="120"/>
        <w:rPr>
          <w:rFonts w:ascii="Arial" w:hAnsi="Arial" w:cs="Arial"/>
        </w:rPr>
      </w:pPr>
    </w:p>
    <w:p w14:paraId="61B2C604" w14:textId="77777777" w:rsidR="00E00800" w:rsidRPr="00E00800" w:rsidRDefault="00E00800" w:rsidP="00010F64">
      <w:pPr>
        <w:pStyle w:val="Body"/>
        <w:spacing w:after="120"/>
        <w:rPr>
          <w:rFonts w:ascii="Arial" w:hAnsi="Arial" w:cs="Arial"/>
          <w:b/>
          <w:bCs/>
        </w:rPr>
      </w:pPr>
      <w:r w:rsidRPr="00E00800">
        <w:rPr>
          <w:rFonts w:ascii="Arial" w:hAnsi="Arial" w:cs="Arial"/>
          <w:b/>
          <w:bCs/>
        </w:rPr>
        <w:t>2.6 Extraction of chitosan from black soldier flies</w:t>
      </w:r>
      <w:bookmarkEnd w:id="5"/>
    </w:p>
    <w:p w14:paraId="22637CB8" w14:textId="77777777" w:rsidR="00E00800" w:rsidRPr="00E00800" w:rsidRDefault="00E00800" w:rsidP="00010F64">
      <w:pPr>
        <w:pStyle w:val="Body"/>
        <w:spacing w:after="120"/>
        <w:rPr>
          <w:rFonts w:ascii="Arial" w:hAnsi="Arial" w:cs="Arial"/>
        </w:rPr>
      </w:pPr>
      <w:bookmarkStart w:id="6" w:name="_Toc197581368"/>
      <w:r w:rsidRPr="00E00800">
        <w:rPr>
          <w:rFonts w:ascii="Arial" w:hAnsi="Arial" w:cs="Arial"/>
        </w:rPr>
        <w:t xml:space="preserve">Chitosan was extracted from black soldier flies (BSF) larvae following the procedure developed by Peng </w:t>
      </w:r>
      <w:r w:rsidRPr="00E00800">
        <w:rPr>
          <w:rFonts w:ascii="Arial" w:hAnsi="Arial" w:cs="Arial"/>
          <w:i/>
        </w:rPr>
        <w:t>et al</w:t>
      </w:r>
      <w:r w:rsidRPr="00E00800">
        <w:rPr>
          <w:rFonts w:ascii="Arial" w:hAnsi="Arial" w:cs="Arial"/>
        </w:rPr>
        <w:t xml:space="preserve">. (2022). Briefly, the BSF larvae were washed in distilled water and allowed to dry. The dried larvae were pulverized into a fine powder and mixed with 100ml of 4M HCL acid at 75ºC with a temperature of 1 hour. The resultant mixture was filtered and washed several times with distilled water to remove the acid. The product of filtration was soaked in 50ml of 2M Sodium hydroxide at 100ºC for 18 hours (Peng </w:t>
      </w:r>
      <w:r w:rsidRPr="00E00800">
        <w:rPr>
          <w:rFonts w:ascii="Arial" w:hAnsi="Arial" w:cs="Arial"/>
          <w:i/>
        </w:rPr>
        <w:t>et al</w:t>
      </w:r>
      <w:r w:rsidRPr="00E00800">
        <w:rPr>
          <w:rFonts w:ascii="Arial" w:hAnsi="Arial" w:cs="Arial"/>
        </w:rPr>
        <w:t>. (2022). The sample was filtered and rinsed with distilled water to remove Sodium hydroxide. The deproteinized sample was passed through a mixture of chloroform, methanol and distilled water in a 1:2:4 ratios and rinsed with distilled water to eliminate residue chemicals. The mixture was stirred continuously to convert all the chitin to chitosan. The obtained clean sample was placed in an oven heated to 600ºC and allowed to dry for 24 hours to remove any remaining moisture.</w:t>
      </w:r>
    </w:p>
    <w:p w14:paraId="5DB45C95" w14:textId="77777777" w:rsidR="00B066AF" w:rsidRDefault="00E00800" w:rsidP="00010F64">
      <w:pPr>
        <w:pStyle w:val="Body"/>
        <w:spacing w:after="120"/>
        <w:rPr>
          <w:rFonts w:ascii="Arial" w:hAnsi="Arial" w:cs="Arial"/>
          <w:b/>
          <w:bCs/>
        </w:rPr>
      </w:pPr>
      <w:r w:rsidRPr="00E00800">
        <w:rPr>
          <w:rFonts w:ascii="Arial" w:hAnsi="Arial" w:cs="Arial"/>
          <w:b/>
        </w:rPr>
        <w:t>2.7 Bromelain</w:t>
      </w:r>
      <w:bookmarkEnd w:id="6"/>
      <w:r w:rsidRPr="00E00800">
        <w:rPr>
          <w:rFonts w:ascii="Arial" w:hAnsi="Arial" w:cs="Arial"/>
          <w:b/>
        </w:rPr>
        <w:t xml:space="preserve"> extraction </w:t>
      </w:r>
      <w:bookmarkStart w:id="7" w:name="_Toc197581370"/>
    </w:p>
    <w:p w14:paraId="6B50B3BE" w14:textId="77777777" w:rsidR="00E00800" w:rsidRPr="00B066AF" w:rsidRDefault="00E00800" w:rsidP="00010F64">
      <w:pPr>
        <w:pStyle w:val="Body"/>
        <w:spacing w:after="120"/>
        <w:rPr>
          <w:rFonts w:ascii="Arial" w:hAnsi="Arial" w:cs="Arial"/>
          <w:b/>
          <w:bCs/>
        </w:rPr>
      </w:pPr>
      <w:r w:rsidRPr="00E00800">
        <w:rPr>
          <w:rFonts w:ascii="Arial" w:hAnsi="Arial" w:cs="Arial"/>
        </w:rPr>
        <w:t xml:space="preserve">Pure bromelain was obtained from an ongoing project at JKUAT where bromelain was extracted following procedure describe by Daiba et al., (2023). Briefly, pineapple peels were obtained from fresh pineapples, washed with 0.1% hydrogen peroxide, and sliced into smaller pieces. The sliced peels were weighed and ground using a blender in sodium acetate buffer. The product was then filtered and centrifuged at 4,000g for 50 minutes. The resulting supernatant was collected and preserved at 4°C. Approximately 6.6 g of ammonium sulphate was systematically added to 15ml of the supernatant under freezing conditions. The mixture was continuously agitated using a magnetic stirrer for 45 minutes and then incubated for 24 hours at 4°C. Thereafter, the suspension was centrifuged at 10,000g for 10 minutes at 4°C. The resulting pellet was dissolved in 10ml of 10 mM Tris-HCl buffer. The pellet was then purified using a 10 </w:t>
      </w:r>
      <w:proofErr w:type="spellStart"/>
      <w:r w:rsidRPr="00E00800">
        <w:rPr>
          <w:rFonts w:ascii="Arial" w:hAnsi="Arial" w:cs="Arial"/>
        </w:rPr>
        <w:t>kDa</w:t>
      </w:r>
      <w:proofErr w:type="spellEnd"/>
      <w:r w:rsidRPr="00E00800">
        <w:rPr>
          <w:rFonts w:ascii="Arial" w:hAnsi="Arial" w:cs="Arial"/>
        </w:rPr>
        <w:t xml:space="preserve"> dialysis membrane, which was soaked overnight in 100 mM Tris-HCl buffer. The liquid retained inside the membrane was collected, labeled as purified bromelain, and preserved at -20°C.</w:t>
      </w:r>
    </w:p>
    <w:p w14:paraId="120C6448" w14:textId="77777777" w:rsidR="00E00800" w:rsidRPr="00E00800" w:rsidRDefault="00E00800" w:rsidP="00010F64">
      <w:pPr>
        <w:pStyle w:val="Body"/>
        <w:spacing w:after="120"/>
        <w:rPr>
          <w:rFonts w:ascii="Arial" w:hAnsi="Arial" w:cs="Arial"/>
          <w:b/>
          <w:bCs/>
        </w:rPr>
      </w:pPr>
      <w:r w:rsidRPr="00E00800">
        <w:rPr>
          <w:rFonts w:ascii="Arial" w:hAnsi="Arial" w:cs="Arial"/>
          <w:b/>
          <w:bCs/>
        </w:rPr>
        <w:t>2.8 Susceptibility of isolates to selected antibiotics, bromelain and chitosan</w:t>
      </w:r>
    </w:p>
    <w:p w14:paraId="006FD322" w14:textId="77777777" w:rsidR="00E00800" w:rsidRPr="00E00800" w:rsidRDefault="00E00800" w:rsidP="00010F64">
      <w:pPr>
        <w:pStyle w:val="Body"/>
        <w:spacing w:after="120"/>
        <w:rPr>
          <w:rFonts w:ascii="Arial" w:hAnsi="Arial" w:cs="Arial"/>
        </w:rPr>
      </w:pPr>
      <w:r w:rsidRPr="00E00800">
        <w:rPr>
          <w:rFonts w:ascii="Arial" w:hAnsi="Arial" w:cs="Arial"/>
        </w:rPr>
        <w:t xml:space="preserve">The disc diffusion method (CLSI, 2024) was used to determine the susceptibility of isolates against selected commercial antibiotics, bromelain, and 1% chitosan. The antibiotics commonly used by local farmers were evaluated. These included ciprofloxacin (30µg), tetracycline (30µg), nalidixic acid (30µg), erythromycin (30µg), penicillin (30µg), gentamycin (30µg) and sulfamethoxazole (25µg) and were sourced from </w:t>
      </w:r>
      <w:proofErr w:type="spellStart"/>
      <w:r w:rsidRPr="00E00800">
        <w:rPr>
          <w:rFonts w:ascii="Arial" w:hAnsi="Arial" w:cs="Arial"/>
        </w:rPr>
        <w:t>Oxoid</w:t>
      </w:r>
      <w:r w:rsidRPr="00E00800">
        <w:rPr>
          <w:rFonts w:ascii="Arial" w:hAnsi="Arial" w:cs="Arial"/>
          <w:vertAlign w:val="superscript"/>
        </w:rPr>
        <w:t>TM</w:t>
      </w:r>
      <w:proofErr w:type="spellEnd"/>
      <w:r w:rsidRPr="00E00800">
        <w:rPr>
          <w:rFonts w:ascii="Arial" w:hAnsi="Arial" w:cs="Arial"/>
        </w:rPr>
        <w:t xml:space="preserve">. (Oxoid Limited, United Kingdom). This study used </w:t>
      </w:r>
      <w:r w:rsidRPr="00E00800">
        <w:rPr>
          <w:rFonts w:ascii="Arial" w:hAnsi="Arial" w:cs="Arial"/>
          <w:i/>
        </w:rPr>
        <w:t>S. aureus</w:t>
      </w:r>
      <w:r w:rsidRPr="00E00800">
        <w:rPr>
          <w:rFonts w:ascii="Arial" w:hAnsi="Arial" w:cs="Arial"/>
        </w:rPr>
        <w:t xml:space="preserve"> ATCC 25923 and </w:t>
      </w:r>
      <w:r w:rsidRPr="00E00800">
        <w:rPr>
          <w:rFonts w:ascii="Arial" w:hAnsi="Arial" w:cs="Arial"/>
          <w:i/>
        </w:rPr>
        <w:t>E. coli</w:t>
      </w:r>
      <w:r w:rsidRPr="00E00800">
        <w:rPr>
          <w:rFonts w:ascii="Arial" w:hAnsi="Arial" w:cs="Arial"/>
        </w:rPr>
        <w:t xml:space="preserve"> ATCC 25922 strains as control strains. Briefly, a fresh culture was suspended in sterile saline (0.5 McFarland turbidity). The prepared suspensions were inoculated to the Mueller Hinton agar plate. The discs were positioned onto the inoculated plates and incubated at 37ºC for 18 hours. The results of zones of inhibition were measured using Vernier caliper and interpretation was undertaken as per the clinical and laboratory standards institute guidelines (CLSI, 2024).</w:t>
      </w:r>
    </w:p>
    <w:p w14:paraId="5D0382EF" w14:textId="77777777" w:rsidR="00E00800" w:rsidRPr="00E00800" w:rsidRDefault="00E00800" w:rsidP="00010F64">
      <w:pPr>
        <w:pStyle w:val="Body"/>
        <w:spacing w:after="120"/>
        <w:rPr>
          <w:rFonts w:ascii="Arial" w:hAnsi="Arial" w:cs="Arial"/>
        </w:rPr>
      </w:pPr>
      <w:r w:rsidRPr="00E00800">
        <w:rPr>
          <w:rFonts w:ascii="Arial" w:hAnsi="Arial" w:cs="Arial"/>
        </w:rPr>
        <w:t xml:space="preserve">For the bromelain and chitosan, 2 representative bacterial isolates (resistant to penicillin and nalidixic acid) for each bacterial species were randomly selected for susceptibility testing. The activity of the extracts against the isolates was undertaken using the disc diffusion method (CLSI, 2024). Briefly, sterile disc papers were dipped in different concentrations of commercial bromelain and 1% chitosan, placed onto the inoculated plates, and incubated at 37ºC for 18-24 hours (Mahlangu </w:t>
      </w:r>
      <w:r w:rsidRPr="00E00800">
        <w:rPr>
          <w:rFonts w:ascii="Arial" w:hAnsi="Arial" w:cs="Arial"/>
          <w:i/>
        </w:rPr>
        <w:t>et al</w:t>
      </w:r>
      <w:r w:rsidRPr="00E00800">
        <w:rPr>
          <w:rFonts w:ascii="Arial" w:hAnsi="Arial" w:cs="Arial"/>
        </w:rPr>
        <w:t>., 2020). The results of zones of inhibition were interpreted as described above (CLSI, 2024).</w:t>
      </w:r>
    </w:p>
    <w:p w14:paraId="6AC304E2" w14:textId="77777777" w:rsidR="00E00800" w:rsidRPr="00B066AF" w:rsidRDefault="00E00800" w:rsidP="00010F64">
      <w:pPr>
        <w:pStyle w:val="Body"/>
        <w:spacing w:after="120"/>
        <w:rPr>
          <w:rFonts w:ascii="Arial" w:hAnsi="Arial" w:cs="Arial"/>
          <w:b/>
          <w:bCs/>
        </w:rPr>
      </w:pPr>
      <w:r w:rsidRPr="00E00800">
        <w:rPr>
          <w:rFonts w:ascii="Arial" w:hAnsi="Arial" w:cs="Arial"/>
          <w:b/>
          <w:bCs/>
        </w:rPr>
        <w:t>2.8 Data analysis</w:t>
      </w:r>
      <w:bookmarkEnd w:id="7"/>
    </w:p>
    <w:p w14:paraId="569F3348" w14:textId="77777777" w:rsidR="00790ADA" w:rsidRPr="00FB3A86" w:rsidRDefault="00E00800" w:rsidP="00010F64">
      <w:pPr>
        <w:pStyle w:val="Body"/>
        <w:spacing w:after="120"/>
        <w:rPr>
          <w:rFonts w:ascii="Arial" w:hAnsi="Arial" w:cs="Arial"/>
        </w:rPr>
      </w:pPr>
      <w:r w:rsidRPr="00E00800">
        <w:rPr>
          <w:rFonts w:ascii="Arial" w:hAnsi="Arial" w:cs="Arial"/>
        </w:rPr>
        <w:t xml:space="preserve">Data was entered into Microsoft Excel vs 20 (Microsoft, USA) and thereafter exported to Statistical Package for Social Sciences (SPSS vs 2020) (IBM corporation, USA) for analysis. Descriptive statistics were performed and presented in form of charts, graphs, and tables. Analysis of variance (ANOVA) and logistic regression test was used to determine the relationship between risk factors and the isolation of gut bacteria in chicken kept in the </w:t>
      </w:r>
      <w:proofErr w:type="spellStart"/>
      <w:r w:rsidRPr="00E00800">
        <w:rPr>
          <w:rFonts w:ascii="Arial" w:hAnsi="Arial" w:cs="Arial"/>
        </w:rPr>
        <w:t>Juja</w:t>
      </w:r>
      <w:proofErr w:type="spellEnd"/>
      <w:r w:rsidRPr="00E00800">
        <w:rPr>
          <w:rFonts w:ascii="Arial" w:hAnsi="Arial" w:cs="Arial"/>
        </w:rPr>
        <w:t xml:space="preserve"> sub-county. The significance level was set at (p&lt;0.05).</w:t>
      </w:r>
    </w:p>
    <w:p w14:paraId="347F418D" w14:textId="77777777" w:rsidR="00790ADA" w:rsidRPr="00FB3A86" w:rsidRDefault="00000F8F" w:rsidP="00010F64">
      <w:pPr>
        <w:pStyle w:val="Head1"/>
        <w:spacing w:after="120"/>
        <w:jc w:val="both"/>
        <w:rPr>
          <w:rFonts w:ascii="Arial" w:hAnsi="Arial" w:cs="Arial"/>
        </w:rPr>
      </w:pPr>
      <w:r>
        <w:rPr>
          <w:rFonts w:ascii="Arial" w:hAnsi="Arial" w:cs="Arial"/>
        </w:rPr>
        <w:lastRenderedPageBreak/>
        <w:t>3</w:t>
      </w:r>
      <w:r w:rsidR="00902823">
        <w:rPr>
          <w:rFonts w:ascii="Arial" w:hAnsi="Arial" w:cs="Arial"/>
        </w:rPr>
        <w:t xml:space="preserve">. </w:t>
      </w:r>
      <w:r w:rsidR="00A428DF">
        <w:rPr>
          <w:rFonts w:ascii="Arial" w:hAnsi="Arial" w:cs="Arial"/>
        </w:rPr>
        <w:t>results</w:t>
      </w:r>
    </w:p>
    <w:p w14:paraId="11028362"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3.1 Prevalence of bacteria isolates from cloacal swabs of chicken in </w:t>
      </w:r>
      <w:proofErr w:type="spellStart"/>
      <w:r w:rsidRPr="00E00800">
        <w:rPr>
          <w:rFonts w:ascii="Arial" w:hAnsi="Arial" w:cs="Arial"/>
          <w:b/>
        </w:rPr>
        <w:t>Juja</w:t>
      </w:r>
      <w:proofErr w:type="spellEnd"/>
      <w:r w:rsidRPr="00E00800">
        <w:rPr>
          <w:rFonts w:ascii="Arial" w:hAnsi="Arial" w:cs="Arial"/>
          <w:b/>
        </w:rPr>
        <w:t xml:space="preserve"> Subcounty</w:t>
      </w:r>
    </w:p>
    <w:p w14:paraId="2877132E" w14:textId="77777777" w:rsidR="00E00800" w:rsidRDefault="00E00800" w:rsidP="00010F64">
      <w:pPr>
        <w:pStyle w:val="Body"/>
        <w:spacing w:after="120"/>
        <w:rPr>
          <w:rFonts w:ascii="Arial" w:hAnsi="Arial" w:cs="Arial"/>
        </w:rPr>
      </w:pPr>
      <w:r w:rsidRPr="00E00800">
        <w:rPr>
          <w:rFonts w:ascii="Arial" w:hAnsi="Arial" w:cs="Arial"/>
        </w:rPr>
        <w:t xml:space="preserve">Overall, of the 200 cloacal swab samples collected and culture, 92.5% (185/200) samples were positive for growth. </w:t>
      </w:r>
      <w:r w:rsidRPr="00E00800">
        <w:rPr>
          <w:rFonts w:ascii="Arial" w:hAnsi="Arial" w:cs="Arial"/>
          <w:i/>
        </w:rPr>
        <w:t>Salmonella</w:t>
      </w:r>
      <w:r w:rsidRPr="00E00800">
        <w:rPr>
          <w:rFonts w:ascii="Arial" w:hAnsi="Arial" w:cs="Arial"/>
        </w:rPr>
        <w:t xml:space="preserve"> spp. were the most prevalent (46.5%) pathogen, followed by </w:t>
      </w:r>
      <w:r w:rsidRPr="00E00800">
        <w:rPr>
          <w:rFonts w:ascii="Arial" w:hAnsi="Arial" w:cs="Arial"/>
          <w:i/>
        </w:rPr>
        <w:t>E. coli</w:t>
      </w:r>
      <w:r w:rsidRPr="00E00800">
        <w:rPr>
          <w:rFonts w:ascii="Arial" w:hAnsi="Arial" w:cs="Arial"/>
        </w:rPr>
        <w:t xml:space="preserve"> (34.0%) and </w:t>
      </w:r>
      <w:r w:rsidRPr="00E00800">
        <w:rPr>
          <w:rFonts w:ascii="Arial" w:hAnsi="Arial" w:cs="Arial"/>
          <w:i/>
        </w:rPr>
        <w:t xml:space="preserve">S. aureus </w:t>
      </w:r>
      <w:r w:rsidRPr="00E00800">
        <w:rPr>
          <w:rFonts w:ascii="Arial" w:hAnsi="Arial" w:cs="Arial"/>
        </w:rPr>
        <w:t xml:space="preserve">(12.0%) (Table 1). A higher proportion (62.5%) of </w:t>
      </w:r>
      <w:r w:rsidRPr="00E00800">
        <w:rPr>
          <w:rFonts w:ascii="Arial" w:hAnsi="Arial" w:cs="Arial"/>
          <w:i/>
        </w:rPr>
        <w:t>Salmonella</w:t>
      </w:r>
      <w:r w:rsidRPr="00E00800">
        <w:rPr>
          <w:rFonts w:ascii="Arial" w:hAnsi="Arial" w:cs="Arial"/>
        </w:rPr>
        <w:t xml:space="preserve"> species were isolated in chicken from Theta Ward, while the least (37.5%) were isolated in those from </w:t>
      </w:r>
      <w:proofErr w:type="spellStart"/>
      <w:r w:rsidRPr="00E00800">
        <w:rPr>
          <w:rFonts w:ascii="Arial" w:hAnsi="Arial" w:cs="Arial"/>
        </w:rPr>
        <w:t>Juja</w:t>
      </w:r>
      <w:proofErr w:type="spellEnd"/>
      <w:r w:rsidRPr="00E00800">
        <w:rPr>
          <w:rFonts w:ascii="Arial" w:hAnsi="Arial" w:cs="Arial"/>
        </w:rPr>
        <w:t xml:space="preserve"> Ward. On the other hand, </w:t>
      </w:r>
      <w:r w:rsidRPr="00E00800">
        <w:rPr>
          <w:rFonts w:ascii="Arial" w:hAnsi="Arial" w:cs="Arial"/>
          <w:i/>
        </w:rPr>
        <w:t>E. coli</w:t>
      </w:r>
      <w:r w:rsidRPr="00E00800">
        <w:rPr>
          <w:rFonts w:ascii="Arial" w:hAnsi="Arial" w:cs="Arial"/>
        </w:rPr>
        <w:t xml:space="preserve"> species were the predominant (55.0%) pathogen in chicken from </w:t>
      </w:r>
      <w:proofErr w:type="spellStart"/>
      <w:r w:rsidRPr="00E00800">
        <w:rPr>
          <w:rFonts w:ascii="Arial" w:hAnsi="Arial" w:cs="Arial"/>
        </w:rPr>
        <w:t>Witeithie</w:t>
      </w:r>
      <w:proofErr w:type="spellEnd"/>
      <w:r w:rsidRPr="00E00800">
        <w:rPr>
          <w:rFonts w:ascii="Arial" w:hAnsi="Arial" w:cs="Arial"/>
        </w:rPr>
        <w:t xml:space="preserve"> Ward. </w:t>
      </w:r>
      <w:r w:rsidRPr="00E00800">
        <w:rPr>
          <w:rFonts w:ascii="Arial" w:hAnsi="Arial" w:cs="Arial"/>
          <w:i/>
        </w:rPr>
        <w:t>Staphylococcus aureus</w:t>
      </w:r>
      <w:r w:rsidRPr="00E00800">
        <w:rPr>
          <w:rFonts w:ascii="Arial" w:hAnsi="Arial" w:cs="Arial"/>
        </w:rPr>
        <w:t xml:space="preserve"> was the least isolated pathogen among chicken reared in Theta and </w:t>
      </w:r>
      <w:proofErr w:type="spellStart"/>
      <w:r w:rsidRPr="00E00800">
        <w:rPr>
          <w:rFonts w:ascii="Arial" w:hAnsi="Arial" w:cs="Arial"/>
        </w:rPr>
        <w:t>Witeithie</w:t>
      </w:r>
      <w:proofErr w:type="spellEnd"/>
      <w:r w:rsidRPr="00E00800">
        <w:rPr>
          <w:rFonts w:ascii="Arial" w:hAnsi="Arial" w:cs="Arial"/>
        </w:rPr>
        <w:t xml:space="preserve"> wards at 5% and 0%, respectively. </w:t>
      </w:r>
    </w:p>
    <w:p w14:paraId="7B27979C" w14:textId="77777777" w:rsidR="00B066AF" w:rsidRPr="00E00800" w:rsidRDefault="00B066AF" w:rsidP="00010F64">
      <w:pPr>
        <w:pStyle w:val="Body"/>
        <w:spacing w:after="120"/>
        <w:rPr>
          <w:rFonts w:ascii="Arial" w:hAnsi="Arial" w:cs="Arial"/>
        </w:rPr>
      </w:pPr>
    </w:p>
    <w:p w14:paraId="38F03BF3" w14:textId="77777777" w:rsidR="00E00800" w:rsidRPr="00E00800" w:rsidRDefault="00E00800" w:rsidP="00010F64">
      <w:pPr>
        <w:pStyle w:val="Body"/>
        <w:spacing w:after="120"/>
        <w:rPr>
          <w:rFonts w:ascii="Arial" w:hAnsi="Arial" w:cs="Arial"/>
          <w:b/>
        </w:rPr>
      </w:pPr>
      <w:r w:rsidRPr="00E00800">
        <w:rPr>
          <w:rFonts w:ascii="Arial" w:hAnsi="Arial" w:cs="Arial"/>
          <w:b/>
        </w:rPr>
        <w:t>Table 1</w:t>
      </w:r>
      <w:r w:rsidRPr="00E00800">
        <w:rPr>
          <w:rFonts w:ascii="Arial" w:hAnsi="Arial" w:cs="Arial"/>
        </w:rPr>
        <w:t xml:space="preserve">: Prevalence of gut bacteria isolated from chicken reared in </w:t>
      </w:r>
      <w:proofErr w:type="spellStart"/>
      <w:r w:rsidRPr="00E00800">
        <w:rPr>
          <w:rFonts w:ascii="Arial" w:hAnsi="Arial" w:cs="Arial"/>
        </w:rPr>
        <w:t>Juja</w:t>
      </w:r>
      <w:proofErr w:type="spellEnd"/>
      <w:r w:rsidRPr="00E00800">
        <w:rPr>
          <w:rFonts w:ascii="Arial" w:hAnsi="Arial" w:cs="Arial"/>
        </w:rPr>
        <w:t xml:space="preserve"> Subcounty (40 chicken were sampled from each of the five wards)</w:t>
      </w:r>
    </w:p>
    <w:tbl>
      <w:tblPr>
        <w:tblW w:w="9535" w:type="dxa"/>
        <w:tblLook w:val="04A0" w:firstRow="1" w:lastRow="0" w:firstColumn="1" w:lastColumn="0" w:noHBand="0" w:noVBand="1"/>
      </w:tblPr>
      <w:tblGrid>
        <w:gridCol w:w="1615"/>
        <w:gridCol w:w="1260"/>
        <w:gridCol w:w="1350"/>
        <w:gridCol w:w="1260"/>
        <w:gridCol w:w="1350"/>
        <w:gridCol w:w="1350"/>
        <w:gridCol w:w="1350"/>
      </w:tblGrid>
      <w:tr w:rsidR="00E00800" w:rsidRPr="00E00800" w14:paraId="3732E7AF" w14:textId="77777777" w:rsidTr="00E00800">
        <w:tc>
          <w:tcPr>
            <w:tcW w:w="1615" w:type="dxa"/>
            <w:vMerge w:val="restart"/>
            <w:tcBorders>
              <w:top w:val="single" w:sz="4" w:space="0" w:color="auto"/>
              <w:left w:val="nil"/>
              <w:bottom w:val="single" w:sz="4" w:space="0" w:color="auto"/>
              <w:right w:val="nil"/>
            </w:tcBorders>
            <w:hideMark/>
          </w:tcPr>
          <w:p w14:paraId="7338B1EA"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Isolate</w:t>
            </w:r>
          </w:p>
        </w:tc>
        <w:tc>
          <w:tcPr>
            <w:tcW w:w="6570" w:type="dxa"/>
            <w:gridSpan w:val="5"/>
            <w:tcBorders>
              <w:top w:val="single" w:sz="4" w:space="0" w:color="auto"/>
              <w:left w:val="nil"/>
              <w:bottom w:val="single" w:sz="4" w:space="0" w:color="auto"/>
              <w:right w:val="nil"/>
            </w:tcBorders>
            <w:hideMark/>
          </w:tcPr>
          <w:p w14:paraId="610E59A3"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                                                        Study wards</w:t>
            </w:r>
          </w:p>
        </w:tc>
        <w:tc>
          <w:tcPr>
            <w:tcW w:w="1350" w:type="dxa"/>
            <w:tcBorders>
              <w:top w:val="single" w:sz="4" w:space="0" w:color="auto"/>
              <w:left w:val="nil"/>
              <w:bottom w:val="single" w:sz="4" w:space="0" w:color="auto"/>
              <w:right w:val="nil"/>
            </w:tcBorders>
            <w:hideMark/>
          </w:tcPr>
          <w:p w14:paraId="7E91B753"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Total </w:t>
            </w:r>
          </w:p>
        </w:tc>
      </w:tr>
      <w:tr w:rsidR="00E00800" w:rsidRPr="00E00800" w14:paraId="5F9FEE68" w14:textId="77777777" w:rsidTr="00E00800">
        <w:trPr>
          <w:trHeight w:val="710"/>
        </w:trPr>
        <w:tc>
          <w:tcPr>
            <w:tcW w:w="0" w:type="auto"/>
            <w:vMerge/>
            <w:tcBorders>
              <w:top w:val="single" w:sz="4" w:space="0" w:color="auto"/>
              <w:left w:val="nil"/>
              <w:bottom w:val="single" w:sz="4" w:space="0" w:color="auto"/>
              <w:right w:val="nil"/>
            </w:tcBorders>
            <w:vAlign w:val="center"/>
            <w:hideMark/>
          </w:tcPr>
          <w:p w14:paraId="36EEFA38" w14:textId="77777777" w:rsidR="00E00800" w:rsidRPr="00E00800" w:rsidRDefault="00E00800" w:rsidP="00010F64">
            <w:pPr>
              <w:pStyle w:val="Body"/>
              <w:spacing w:after="120"/>
              <w:rPr>
                <w:rFonts w:ascii="Arial" w:hAnsi="Arial" w:cs="Arial"/>
                <w:b/>
                <w:bCs/>
                <w:lang w:val="en-GB"/>
              </w:rPr>
            </w:pPr>
          </w:p>
        </w:tc>
        <w:tc>
          <w:tcPr>
            <w:tcW w:w="1260" w:type="dxa"/>
            <w:tcBorders>
              <w:top w:val="single" w:sz="4" w:space="0" w:color="auto"/>
              <w:left w:val="nil"/>
              <w:bottom w:val="single" w:sz="4" w:space="0" w:color="auto"/>
              <w:right w:val="nil"/>
            </w:tcBorders>
            <w:hideMark/>
          </w:tcPr>
          <w:p w14:paraId="0902016D" w14:textId="77777777" w:rsidR="00E00800" w:rsidRPr="00E00800" w:rsidRDefault="00E00800" w:rsidP="00010F64">
            <w:pPr>
              <w:pStyle w:val="Body"/>
              <w:spacing w:after="120"/>
              <w:rPr>
                <w:rFonts w:ascii="Arial" w:hAnsi="Arial" w:cs="Arial"/>
                <w:b/>
                <w:bCs/>
                <w:lang w:val="en-GB"/>
              </w:rPr>
            </w:pPr>
            <w:proofErr w:type="spellStart"/>
            <w:r w:rsidRPr="00E00800">
              <w:rPr>
                <w:rFonts w:ascii="Arial" w:hAnsi="Arial" w:cs="Arial"/>
                <w:b/>
                <w:bCs/>
                <w:lang w:val="en-GB"/>
              </w:rPr>
              <w:t>Juja</w:t>
            </w:r>
            <w:proofErr w:type="spellEnd"/>
            <w:r w:rsidRPr="00E00800">
              <w:rPr>
                <w:rFonts w:ascii="Arial" w:hAnsi="Arial" w:cs="Arial"/>
                <w:b/>
                <w:bCs/>
                <w:lang w:val="en-GB"/>
              </w:rPr>
              <w:t xml:space="preserve"> n (%)</w:t>
            </w:r>
          </w:p>
        </w:tc>
        <w:tc>
          <w:tcPr>
            <w:tcW w:w="1350" w:type="dxa"/>
            <w:tcBorders>
              <w:top w:val="single" w:sz="4" w:space="0" w:color="auto"/>
              <w:left w:val="nil"/>
              <w:bottom w:val="single" w:sz="4" w:space="0" w:color="auto"/>
              <w:right w:val="nil"/>
            </w:tcBorders>
            <w:hideMark/>
          </w:tcPr>
          <w:p w14:paraId="2CFD663A" w14:textId="77777777" w:rsidR="00E00800" w:rsidRPr="00E00800" w:rsidRDefault="00E00800" w:rsidP="00010F64">
            <w:pPr>
              <w:pStyle w:val="Body"/>
              <w:spacing w:after="120"/>
              <w:rPr>
                <w:rFonts w:ascii="Arial" w:hAnsi="Arial" w:cs="Arial"/>
                <w:b/>
                <w:bCs/>
                <w:lang w:val="en-GB"/>
              </w:rPr>
            </w:pPr>
            <w:proofErr w:type="spellStart"/>
            <w:r w:rsidRPr="00E00800">
              <w:rPr>
                <w:rFonts w:ascii="Arial" w:hAnsi="Arial" w:cs="Arial"/>
                <w:b/>
                <w:bCs/>
                <w:lang w:val="en-GB"/>
              </w:rPr>
              <w:t>Kalimoni</w:t>
            </w:r>
            <w:proofErr w:type="spellEnd"/>
            <w:r w:rsidRPr="00E00800">
              <w:rPr>
                <w:rFonts w:ascii="Arial" w:hAnsi="Arial" w:cs="Arial"/>
                <w:b/>
                <w:bCs/>
                <w:lang w:val="en-GB"/>
              </w:rPr>
              <w:t xml:space="preserve"> n (%)</w:t>
            </w:r>
          </w:p>
        </w:tc>
        <w:tc>
          <w:tcPr>
            <w:tcW w:w="1260" w:type="dxa"/>
            <w:tcBorders>
              <w:top w:val="single" w:sz="4" w:space="0" w:color="auto"/>
              <w:left w:val="nil"/>
              <w:bottom w:val="single" w:sz="4" w:space="0" w:color="auto"/>
              <w:right w:val="nil"/>
            </w:tcBorders>
            <w:hideMark/>
          </w:tcPr>
          <w:p w14:paraId="10477852" w14:textId="77777777" w:rsidR="00E00800" w:rsidRPr="00E00800" w:rsidRDefault="00E00800" w:rsidP="00010F64">
            <w:pPr>
              <w:pStyle w:val="Body"/>
              <w:spacing w:after="120"/>
              <w:rPr>
                <w:rFonts w:ascii="Arial" w:hAnsi="Arial" w:cs="Arial"/>
                <w:b/>
                <w:bCs/>
                <w:lang w:val="en-GB"/>
              </w:rPr>
            </w:pPr>
            <w:proofErr w:type="spellStart"/>
            <w:r w:rsidRPr="00E00800">
              <w:rPr>
                <w:rFonts w:ascii="Arial" w:hAnsi="Arial" w:cs="Arial"/>
                <w:b/>
                <w:bCs/>
                <w:lang w:val="en-GB"/>
              </w:rPr>
              <w:t>Murera</w:t>
            </w:r>
            <w:proofErr w:type="spellEnd"/>
            <w:r w:rsidRPr="00E00800">
              <w:rPr>
                <w:rFonts w:ascii="Arial" w:hAnsi="Arial" w:cs="Arial"/>
                <w:b/>
                <w:bCs/>
                <w:lang w:val="en-GB"/>
              </w:rPr>
              <w:t xml:space="preserve"> (n%)</w:t>
            </w:r>
          </w:p>
        </w:tc>
        <w:tc>
          <w:tcPr>
            <w:tcW w:w="1350" w:type="dxa"/>
            <w:tcBorders>
              <w:top w:val="single" w:sz="4" w:space="0" w:color="auto"/>
              <w:left w:val="nil"/>
              <w:bottom w:val="single" w:sz="4" w:space="0" w:color="auto"/>
              <w:right w:val="nil"/>
            </w:tcBorders>
            <w:hideMark/>
          </w:tcPr>
          <w:p w14:paraId="20DF8C93" w14:textId="77777777" w:rsidR="00E00800" w:rsidRPr="00E00800" w:rsidRDefault="00E00800" w:rsidP="00010F64">
            <w:pPr>
              <w:pStyle w:val="Body"/>
              <w:spacing w:after="120"/>
              <w:rPr>
                <w:rFonts w:ascii="Arial" w:hAnsi="Arial" w:cs="Arial"/>
                <w:b/>
                <w:bCs/>
                <w:lang w:val="en-GB"/>
              </w:rPr>
            </w:pPr>
            <w:proofErr w:type="spellStart"/>
            <w:r w:rsidRPr="00E00800">
              <w:rPr>
                <w:rFonts w:ascii="Arial" w:hAnsi="Arial" w:cs="Arial"/>
                <w:b/>
                <w:bCs/>
                <w:lang w:val="en-GB"/>
              </w:rPr>
              <w:t>Witeithie</w:t>
            </w:r>
            <w:proofErr w:type="spellEnd"/>
            <w:r w:rsidRPr="00E00800">
              <w:rPr>
                <w:rFonts w:ascii="Arial" w:hAnsi="Arial" w:cs="Arial"/>
                <w:b/>
                <w:bCs/>
                <w:lang w:val="en-GB"/>
              </w:rPr>
              <w:t xml:space="preserve"> (n%)</w:t>
            </w:r>
          </w:p>
        </w:tc>
        <w:tc>
          <w:tcPr>
            <w:tcW w:w="1350" w:type="dxa"/>
            <w:tcBorders>
              <w:top w:val="single" w:sz="4" w:space="0" w:color="auto"/>
              <w:left w:val="nil"/>
              <w:bottom w:val="single" w:sz="4" w:space="0" w:color="auto"/>
              <w:right w:val="nil"/>
            </w:tcBorders>
            <w:hideMark/>
          </w:tcPr>
          <w:p w14:paraId="3B20B261"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Theta (n%)</w:t>
            </w:r>
          </w:p>
        </w:tc>
        <w:tc>
          <w:tcPr>
            <w:tcW w:w="1350" w:type="dxa"/>
            <w:tcBorders>
              <w:top w:val="single" w:sz="4" w:space="0" w:color="auto"/>
              <w:left w:val="nil"/>
              <w:bottom w:val="single" w:sz="4" w:space="0" w:color="auto"/>
              <w:right w:val="nil"/>
            </w:tcBorders>
            <w:hideMark/>
          </w:tcPr>
          <w:p w14:paraId="7067F7F2" w14:textId="77777777" w:rsidR="00E00800" w:rsidRPr="00E00800" w:rsidRDefault="00E00800" w:rsidP="00010F64">
            <w:pPr>
              <w:pStyle w:val="Body"/>
              <w:spacing w:after="120"/>
              <w:rPr>
                <w:rFonts w:ascii="Arial" w:hAnsi="Arial" w:cs="Arial"/>
                <w:b/>
                <w:bCs/>
                <w:lang w:val="en-GB"/>
              </w:rPr>
            </w:pPr>
            <w:r w:rsidRPr="00E00800">
              <w:rPr>
                <w:rFonts w:ascii="Arial" w:hAnsi="Arial" w:cs="Arial"/>
                <w:b/>
                <w:bCs/>
                <w:lang w:val="en-GB"/>
              </w:rPr>
              <w:t xml:space="preserve">n (%) </w:t>
            </w:r>
          </w:p>
        </w:tc>
      </w:tr>
      <w:tr w:rsidR="00E00800" w:rsidRPr="00E00800" w14:paraId="69DE55CF" w14:textId="77777777" w:rsidTr="00E00800">
        <w:trPr>
          <w:trHeight w:val="440"/>
        </w:trPr>
        <w:tc>
          <w:tcPr>
            <w:tcW w:w="1615" w:type="dxa"/>
            <w:tcBorders>
              <w:top w:val="single" w:sz="4" w:space="0" w:color="auto"/>
              <w:left w:val="nil"/>
              <w:bottom w:val="nil"/>
              <w:right w:val="nil"/>
            </w:tcBorders>
            <w:hideMark/>
          </w:tcPr>
          <w:p w14:paraId="1589F06A" w14:textId="77777777" w:rsidR="00E00800" w:rsidRPr="00E00800" w:rsidRDefault="00E00800" w:rsidP="00010F64">
            <w:pPr>
              <w:pStyle w:val="Body"/>
              <w:spacing w:after="120"/>
              <w:rPr>
                <w:rFonts w:ascii="Arial" w:hAnsi="Arial" w:cs="Arial"/>
                <w:bCs/>
                <w:lang w:val="en-GB"/>
              </w:rPr>
            </w:pPr>
            <w:r w:rsidRPr="00E00800">
              <w:rPr>
                <w:rFonts w:ascii="Arial" w:hAnsi="Arial" w:cs="Arial"/>
                <w:bCs/>
                <w:i/>
                <w:iCs/>
                <w:lang w:val="en-GB"/>
              </w:rPr>
              <w:t>Salmonella</w:t>
            </w:r>
            <w:r w:rsidRPr="00E00800">
              <w:rPr>
                <w:rFonts w:ascii="Arial" w:hAnsi="Arial" w:cs="Arial"/>
                <w:bCs/>
                <w:lang w:val="en-GB"/>
              </w:rPr>
              <w:t xml:space="preserve"> spp.</w:t>
            </w:r>
          </w:p>
        </w:tc>
        <w:tc>
          <w:tcPr>
            <w:tcW w:w="1260" w:type="dxa"/>
            <w:tcBorders>
              <w:top w:val="single" w:sz="4" w:space="0" w:color="auto"/>
              <w:left w:val="nil"/>
              <w:bottom w:val="nil"/>
              <w:right w:val="nil"/>
            </w:tcBorders>
            <w:hideMark/>
          </w:tcPr>
          <w:p w14:paraId="67D8C3CF" w14:textId="77777777" w:rsidR="00E00800" w:rsidRPr="00E00800" w:rsidRDefault="00E00800" w:rsidP="00010F64">
            <w:pPr>
              <w:pStyle w:val="Body"/>
              <w:spacing w:after="120"/>
              <w:rPr>
                <w:rFonts w:ascii="Arial" w:hAnsi="Arial" w:cs="Arial"/>
                <w:bCs/>
                <w:lang w:val="en-GB"/>
              </w:rPr>
            </w:pPr>
            <w:r w:rsidRPr="00E00800">
              <w:rPr>
                <w:rFonts w:ascii="Arial" w:hAnsi="Arial" w:cs="Arial"/>
              </w:rPr>
              <w:t>15 (37.5)</w:t>
            </w:r>
          </w:p>
        </w:tc>
        <w:tc>
          <w:tcPr>
            <w:tcW w:w="1350" w:type="dxa"/>
            <w:tcBorders>
              <w:top w:val="single" w:sz="4" w:space="0" w:color="auto"/>
              <w:left w:val="nil"/>
              <w:bottom w:val="nil"/>
              <w:right w:val="nil"/>
            </w:tcBorders>
            <w:hideMark/>
          </w:tcPr>
          <w:p w14:paraId="01DCC9F9" w14:textId="77777777" w:rsidR="00E00800" w:rsidRPr="00E00800" w:rsidRDefault="00E00800" w:rsidP="00010F64">
            <w:pPr>
              <w:pStyle w:val="Body"/>
              <w:spacing w:after="120"/>
              <w:rPr>
                <w:rFonts w:ascii="Arial" w:hAnsi="Arial" w:cs="Arial"/>
                <w:bCs/>
                <w:lang w:val="en-GB"/>
              </w:rPr>
            </w:pPr>
            <w:r w:rsidRPr="00E00800">
              <w:rPr>
                <w:rFonts w:ascii="Arial" w:hAnsi="Arial" w:cs="Arial"/>
              </w:rPr>
              <w:t>16 (40.0)</w:t>
            </w:r>
          </w:p>
        </w:tc>
        <w:tc>
          <w:tcPr>
            <w:tcW w:w="1260" w:type="dxa"/>
            <w:tcBorders>
              <w:top w:val="single" w:sz="4" w:space="0" w:color="auto"/>
              <w:left w:val="nil"/>
              <w:bottom w:val="nil"/>
              <w:right w:val="nil"/>
            </w:tcBorders>
            <w:hideMark/>
          </w:tcPr>
          <w:p w14:paraId="0E3D0CE8" w14:textId="77777777" w:rsidR="00E00800" w:rsidRPr="00E00800" w:rsidRDefault="00E00800" w:rsidP="00010F64">
            <w:pPr>
              <w:pStyle w:val="Body"/>
              <w:spacing w:after="120"/>
              <w:rPr>
                <w:rFonts w:ascii="Arial" w:hAnsi="Arial" w:cs="Arial"/>
                <w:bCs/>
                <w:lang w:val="en-GB"/>
              </w:rPr>
            </w:pPr>
            <w:r w:rsidRPr="00E00800">
              <w:rPr>
                <w:rFonts w:ascii="Arial" w:hAnsi="Arial" w:cs="Arial"/>
              </w:rPr>
              <w:t>17 (42.5)</w:t>
            </w:r>
          </w:p>
        </w:tc>
        <w:tc>
          <w:tcPr>
            <w:tcW w:w="1350" w:type="dxa"/>
            <w:tcBorders>
              <w:top w:val="single" w:sz="4" w:space="0" w:color="auto"/>
              <w:left w:val="nil"/>
              <w:bottom w:val="nil"/>
              <w:right w:val="nil"/>
            </w:tcBorders>
            <w:hideMark/>
          </w:tcPr>
          <w:p w14:paraId="5724E3A5" w14:textId="77777777" w:rsidR="00E00800" w:rsidRPr="00E00800" w:rsidRDefault="00E00800" w:rsidP="00010F64">
            <w:pPr>
              <w:pStyle w:val="Body"/>
              <w:spacing w:after="120"/>
              <w:rPr>
                <w:rFonts w:ascii="Arial" w:hAnsi="Arial" w:cs="Arial"/>
                <w:bCs/>
                <w:lang w:val="en-GB"/>
              </w:rPr>
            </w:pPr>
            <w:r w:rsidRPr="00E00800">
              <w:rPr>
                <w:rFonts w:ascii="Arial" w:hAnsi="Arial" w:cs="Arial"/>
              </w:rPr>
              <w:t>20 (50.0)</w:t>
            </w:r>
          </w:p>
        </w:tc>
        <w:tc>
          <w:tcPr>
            <w:tcW w:w="1350" w:type="dxa"/>
            <w:tcBorders>
              <w:top w:val="single" w:sz="4" w:space="0" w:color="auto"/>
              <w:left w:val="nil"/>
              <w:bottom w:val="nil"/>
              <w:right w:val="nil"/>
            </w:tcBorders>
            <w:hideMark/>
          </w:tcPr>
          <w:p w14:paraId="3D3E06BC" w14:textId="77777777" w:rsidR="00E00800" w:rsidRPr="00E00800" w:rsidRDefault="00E00800" w:rsidP="00010F64">
            <w:pPr>
              <w:pStyle w:val="Body"/>
              <w:spacing w:after="120"/>
              <w:rPr>
                <w:rFonts w:ascii="Arial" w:hAnsi="Arial" w:cs="Arial"/>
                <w:bCs/>
                <w:lang w:val="en-GB"/>
              </w:rPr>
            </w:pPr>
            <w:r w:rsidRPr="00E00800">
              <w:rPr>
                <w:rFonts w:ascii="Arial" w:hAnsi="Arial" w:cs="Arial"/>
              </w:rPr>
              <w:t>25 (62.5)</w:t>
            </w:r>
          </w:p>
        </w:tc>
        <w:tc>
          <w:tcPr>
            <w:tcW w:w="1350" w:type="dxa"/>
            <w:tcBorders>
              <w:top w:val="single" w:sz="4" w:space="0" w:color="auto"/>
              <w:left w:val="nil"/>
              <w:bottom w:val="nil"/>
              <w:right w:val="nil"/>
            </w:tcBorders>
            <w:hideMark/>
          </w:tcPr>
          <w:p w14:paraId="0F953351"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93 (46.5)</w:t>
            </w:r>
          </w:p>
        </w:tc>
      </w:tr>
      <w:tr w:rsidR="00E00800" w:rsidRPr="00E00800" w14:paraId="7C8918BC" w14:textId="77777777" w:rsidTr="00E00800">
        <w:trPr>
          <w:trHeight w:val="449"/>
        </w:trPr>
        <w:tc>
          <w:tcPr>
            <w:tcW w:w="1615" w:type="dxa"/>
            <w:hideMark/>
          </w:tcPr>
          <w:p w14:paraId="118EC68F" w14:textId="77777777" w:rsidR="00E00800" w:rsidRPr="00E00800" w:rsidRDefault="00E00800" w:rsidP="00010F64">
            <w:pPr>
              <w:pStyle w:val="Body"/>
              <w:spacing w:after="120"/>
              <w:rPr>
                <w:rFonts w:ascii="Arial" w:hAnsi="Arial" w:cs="Arial"/>
                <w:bCs/>
                <w:i/>
                <w:lang w:val="en-GB"/>
              </w:rPr>
            </w:pPr>
            <w:r w:rsidRPr="00E00800">
              <w:rPr>
                <w:rFonts w:ascii="Arial" w:hAnsi="Arial" w:cs="Arial"/>
                <w:bCs/>
                <w:i/>
                <w:lang w:val="en-GB"/>
              </w:rPr>
              <w:t>E. coli</w:t>
            </w:r>
          </w:p>
        </w:tc>
        <w:tc>
          <w:tcPr>
            <w:tcW w:w="1260" w:type="dxa"/>
            <w:hideMark/>
          </w:tcPr>
          <w:p w14:paraId="2D64260E" w14:textId="77777777" w:rsidR="00E00800" w:rsidRPr="00E00800" w:rsidRDefault="00E00800" w:rsidP="00010F64">
            <w:pPr>
              <w:pStyle w:val="Body"/>
              <w:spacing w:after="120"/>
              <w:rPr>
                <w:rFonts w:ascii="Arial" w:hAnsi="Arial" w:cs="Arial"/>
                <w:bCs/>
                <w:lang w:val="en-GB"/>
              </w:rPr>
            </w:pPr>
            <w:r w:rsidRPr="00E00800">
              <w:rPr>
                <w:rFonts w:ascii="Arial" w:hAnsi="Arial" w:cs="Arial"/>
              </w:rPr>
              <w:t>16 (40.0)</w:t>
            </w:r>
          </w:p>
        </w:tc>
        <w:tc>
          <w:tcPr>
            <w:tcW w:w="1350" w:type="dxa"/>
            <w:hideMark/>
          </w:tcPr>
          <w:p w14:paraId="7614B336"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260" w:type="dxa"/>
            <w:hideMark/>
          </w:tcPr>
          <w:p w14:paraId="132C0D70" w14:textId="77777777" w:rsidR="00E00800" w:rsidRPr="00E00800" w:rsidRDefault="00E00800" w:rsidP="00010F64">
            <w:pPr>
              <w:pStyle w:val="Body"/>
              <w:spacing w:after="120"/>
              <w:rPr>
                <w:rFonts w:ascii="Arial" w:hAnsi="Arial" w:cs="Arial"/>
                <w:bCs/>
                <w:lang w:val="en-GB"/>
              </w:rPr>
            </w:pPr>
            <w:r w:rsidRPr="00E00800">
              <w:rPr>
                <w:rFonts w:ascii="Arial" w:hAnsi="Arial" w:cs="Arial"/>
              </w:rPr>
              <w:t>14 (35.0)</w:t>
            </w:r>
          </w:p>
        </w:tc>
        <w:tc>
          <w:tcPr>
            <w:tcW w:w="1350" w:type="dxa"/>
            <w:hideMark/>
          </w:tcPr>
          <w:p w14:paraId="1C0C4E0B" w14:textId="77777777" w:rsidR="00E00800" w:rsidRPr="00E00800" w:rsidRDefault="00E00800" w:rsidP="00010F64">
            <w:pPr>
              <w:pStyle w:val="Body"/>
              <w:spacing w:after="120"/>
              <w:rPr>
                <w:rFonts w:ascii="Arial" w:hAnsi="Arial" w:cs="Arial"/>
                <w:bCs/>
                <w:lang w:val="en-GB"/>
              </w:rPr>
            </w:pPr>
            <w:r w:rsidRPr="00E00800">
              <w:rPr>
                <w:rFonts w:ascii="Arial" w:hAnsi="Arial" w:cs="Arial"/>
              </w:rPr>
              <w:t>22 (55.0)</w:t>
            </w:r>
          </w:p>
        </w:tc>
        <w:tc>
          <w:tcPr>
            <w:tcW w:w="1350" w:type="dxa"/>
            <w:hideMark/>
          </w:tcPr>
          <w:p w14:paraId="1F1AB2FF"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350" w:type="dxa"/>
            <w:hideMark/>
          </w:tcPr>
          <w:p w14:paraId="5E51A08D"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68 (34.0)</w:t>
            </w:r>
          </w:p>
        </w:tc>
      </w:tr>
      <w:tr w:rsidR="00E00800" w:rsidRPr="00E00800" w14:paraId="5E7A20CB" w14:textId="77777777" w:rsidTr="00E00800">
        <w:tc>
          <w:tcPr>
            <w:tcW w:w="1615" w:type="dxa"/>
            <w:tcBorders>
              <w:top w:val="nil"/>
              <w:left w:val="nil"/>
              <w:bottom w:val="single" w:sz="4" w:space="0" w:color="auto"/>
              <w:right w:val="nil"/>
            </w:tcBorders>
            <w:hideMark/>
          </w:tcPr>
          <w:p w14:paraId="3286EA7F" w14:textId="77777777" w:rsidR="00E00800" w:rsidRPr="00E00800" w:rsidRDefault="00E00800" w:rsidP="00010F64">
            <w:pPr>
              <w:pStyle w:val="Body"/>
              <w:spacing w:after="120"/>
              <w:rPr>
                <w:rFonts w:ascii="Arial" w:hAnsi="Arial" w:cs="Arial"/>
                <w:bCs/>
                <w:i/>
                <w:lang w:val="en-GB"/>
              </w:rPr>
            </w:pPr>
            <w:r w:rsidRPr="00E00800">
              <w:rPr>
                <w:rFonts w:ascii="Arial" w:hAnsi="Arial" w:cs="Arial"/>
                <w:bCs/>
                <w:i/>
                <w:lang w:val="en-GB"/>
              </w:rPr>
              <w:t>S. aureus</w:t>
            </w:r>
          </w:p>
        </w:tc>
        <w:tc>
          <w:tcPr>
            <w:tcW w:w="1260" w:type="dxa"/>
            <w:tcBorders>
              <w:top w:val="nil"/>
              <w:left w:val="nil"/>
              <w:bottom w:val="single" w:sz="4" w:space="0" w:color="auto"/>
              <w:right w:val="nil"/>
            </w:tcBorders>
            <w:hideMark/>
          </w:tcPr>
          <w:p w14:paraId="7CDEC9E6" w14:textId="77777777" w:rsidR="00E00800" w:rsidRPr="00E00800" w:rsidRDefault="00E00800" w:rsidP="00010F64">
            <w:pPr>
              <w:pStyle w:val="Body"/>
              <w:spacing w:after="120"/>
              <w:rPr>
                <w:rFonts w:ascii="Arial" w:hAnsi="Arial" w:cs="Arial"/>
                <w:bCs/>
                <w:lang w:val="en-GB"/>
              </w:rPr>
            </w:pPr>
            <w:r w:rsidRPr="00E00800">
              <w:rPr>
                <w:rFonts w:ascii="Arial" w:hAnsi="Arial" w:cs="Arial"/>
              </w:rPr>
              <w:t>8 (20.0)</w:t>
            </w:r>
          </w:p>
        </w:tc>
        <w:tc>
          <w:tcPr>
            <w:tcW w:w="1350" w:type="dxa"/>
            <w:tcBorders>
              <w:top w:val="nil"/>
              <w:left w:val="nil"/>
              <w:bottom w:val="single" w:sz="4" w:space="0" w:color="auto"/>
              <w:right w:val="nil"/>
            </w:tcBorders>
            <w:hideMark/>
          </w:tcPr>
          <w:p w14:paraId="09F46C80" w14:textId="77777777" w:rsidR="00E00800" w:rsidRPr="00E00800" w:rsidRDefault="00E00800" w:rsidP="00010F64">
            <w:pPr>
              <w:pStyle w:val="Body"/>
              <w:spacing w:after="120"/>
              <w:rPr>
                <w:rFonts w:ascii="Arial" w:hAnsi="Arial" w:cs="Arial"/>
                <w:bCs/>
                <w:lang w:val="en-GB"/>
              </w:rPr>
            </w:pPr>
            <w:r w:rsidRPr="00E00800">
              <w:rPr>
                <w:rFonts w:ascii="Arial" w:hAnsi="Arial" w:cs="Arial"/>
              </w:rPr>
              <w:t>9 (22.5)</w:t>
            </w:r>
          </w:p>
        </w:tc>
        <w:tc>
          <w:tcPr>
            <w:tcW w:w="1260" w:type="dxa"/>
            <w:tcBorders>
              <w:top w:val="nil"/>
              <w:left w:val="nil"/>
              <w:bottom w:val="single" w:sz="4" w:space="0" w:color="auto"/>
              <w:right w:val="nil"/>
            </w:tcBorders>
            <w:hideMark/>
          </w:tcPr>
          <w:p w14:paraId="00F32C5E" w14:textId="77777777" w:rsidR="00E00800" w:rsidRPr="00E00800" w:rsidRDefault="00E00800" w:rsidP="00010F64">
            <w:pPr>
              <w:pStyle w:val="Body"/>
              <w:spacing w:after="120"/>
              <w:rPr>
                <w:rFonts w:ascii="Arial" w:hAnsi="Arial" w:cs="Arial"/>
                <w:bCs/>
                <w:lang w:val="en-GB"/>
              </w:rPr>
            </w:pPr>
            <w:r w:rsidRPr="00E00800">
              <w:rPr>
                <w:rFonts w:ascii="Arial" w:hAnsi="Arial" w:cs="Arial"/>
              </w:rPr>
              <w:t>5 (12.5)</w:t>
            </w:r>
          </w:p>
        </w:tc>
        <w:tc>
          <w:tcPr>
            <w:tcW w:w="1350" w:type="dxa"/>
            <w:tcBorders>
              <w:top w:val="nil"/>
              <w:left w:val="nil"/>
              <w:bottom w:val="single" w:sz="4" w:space="0" w:color="auto"/>
              <w:right w:val="nil"/>
            </w:tcBorders>
            <w:hideMark/>
          </w:tcPr>
          <w:p w14:paraId="0BF9B8AA" w14:textId="77777777" w:rsidR="00E00800" w:rsidRPr="00E00800" w:rsidRDefault="00E00800" w:rsidP="00010F64">
            <w:pPr>
              <w:pStyle w:val="Body"/>
              <w:spacing w:after="120"/>
              <w:rPr>
                <w:rFonts w:ascii="Arial" w:hAnsi="Arial" w:cs="Arial"/>
                <w:bCs/>
                <w:lang w:val="en-GB"/>
              </w:rPr>
            </w:pPr>
            <w:r w:rsidRPr="00E00800">
              <w:rPr>
                <w:rFonts w:ascii="Arial" w:hAnsi="Arial" w:cs="Arial"/>
                <w:bCs/>
                <w:lang w:val="en-GB"/>
              </w:rPr>
              <w:t>0 (0)</w:t>
            </w:r>
          </w:p>
        </w:tc>
        <w:tc>
          <w:tcPr>
            <w:tcW w:w="1350" w:type="dxa"/>
            <w:tcBorders>
              <w:top w:val="nil"/>
              <w:left w:val="nil"/>
              <w:bottom w:val="single" w:sz="4" w:space="0" w:color="auto"/>
              <w:right w:val="nil"/>
            </w:tcBorders>
            <w:hideMark/>
          </w:tcPr>
          <w:p w14:paraId="062E132D" w14:textId="77777777" w:rsidR="00E00800" w:rsidRPr="00E00800" w:rsidRDefault="00E00800" w:rsidP="00010F64">
            <w:pPr>
              <w:pStyle w:val="Body"/>
              <w:spacing w:after="120"/>
              <w:rPr>
                <w:rFonts w:ascii="Arial" w:hAnsi="Arial" w:cs="Arial"/>
                <w:bCs/>
                <w:lang w:val="en-GB"/>
              </w:rPr>
            </w:pPr>
            <w:r w:rsidRPr="00E00800">
              <w:rPr>
                <w:rFonts w:ascii="Arial" w:hAnsi="Arial" w:cs="Arial"/>
              </w:rPr>
              <w:t>2 (5.0)</w:t>
            </w:r>
          </w:p>
        </w:tc>
        <w:tc>
          <w:tcPr>
            <w:tcW w:w="1350" w:type="dxa"/>
            <w:tcBorders>
              <w:top w:val="nil"/>
              <w:left w:val="nil"/>
              <w:bottom w:val="single" w:sz="4" w:space="0" w:color="auto"/>
              <w:right w:val="nil"/>
            </w:tcBorders>
            <w:hideMark/>
          </w:tcPr>
          <w:p w14:paraId="30A253EB" w14:textId="77777777" w:rsidR="00E00800" w:rsidRPr="00E00800" w:rsidRDefault="00E00800" w:rsidP="00010F64">
            <w:pPr>
              <w:pStyle w:val="Body"/>
              <w:spacing w:after="120"/>
              <w:rPr>
                <w:rFonts w:ascii="Arial" w:hAnsi="Arial" w:cs="Arial"/>
                <w:lang w:val="en-GB"/>
              </w:rPr>
            </w:pPr>
            <w:r w:rsidRPr="00E00800">
              <w:rPr>
                <w:rFonts w:ascii="Arial" w:hAnsi="Arial" w:cs="Arial"/>
                <w:lang w:val="en-GB"/>
              </w:rPr>
              <w:t>24 (12.0)</w:t>
            </w:r>
          </w:p>
        </w:tc>
      </w:tr>
    </w:tbl>
    <w:p w14:paraId="0E48F9B5" w14:textId="77777777" w:rsidR="00A428DF" w:rsidRPr="00A428DF" w:rsidRDefault="00E00800" w:rsidP="00010F64">
      <w:pPr>
        <w:pStyle w:val="Body"/>
        <w:spacing w:after="120"/>
        <w:rPr>
          <w:rFonts w:ascii="Arial" w:hAnsi="Arial" w:cs="Arial"/>
          <w:bCs/>
        </w:rPr>
      </w:pPr>
      <w:bookmarkStart w:id="8" w:name="_Toc197581378"/>
      <w:r w:rsidRPr="00E00800">
        <w:rPr>
          <w:rFonts w:ascii="Arial" w:hAnsi="Arial" w:cs="Arial"/>
          <w:b/>
          <w:bCs/>
        </w:rPr>
        <w:t>Key:</w:t>
      </w:r>
      <w:r w:rsidRPr="00E00800">
        <w:rPr>
          <w:rFonts w:ascii="Arial" w:hAnsi="Arial" w:cs="Arial"/>
          <w:bCs/>
        </w:rPr>
        <w:t xml:space="preserve"> </w:t>
      </w:r>
      <w:r w:rsidRPr="00E00800">
        <w:rPr>
          <w:rFonts w:ascii="Arial" w:hAnsi="Arial" w:cs="Arial"/>
          <w:bCs/>
          <w:i/>
        </w:rPr>
        <w:t xml:space="preserve">Salmonella </w:t>
      </w:r>
      <w:r w:rsidRPr="00E00800">
        <w:rPr>
          <w:rFonts w:ascii="Arial" w:hAnsi="Arial" w:cs="Arial"/>
          <w:bCs/>
        </w:rPr>
        <w:t xml:space="preserve">spp.: </w:t>
      </w:r>
      <w:r w:rsidRPr="00E00800">
        <w:rPr>
          <w:rFonts w:ascii="Arial" w:hAnsi="Arial" w:cs="Arial"/>
          <w:bCs/>
          <w:i/>
        </w:rPr>
        <w:t xml:space="preserve">Salmonella </w:t>
      </w:r>
      <w:r w:rsidRPr="00E00800">
        <w:rPr>
          <w:rFonts w:ascii="Arial" w:hAnsi="Arial" w:cs="Arial"/>
          <w:bCs/>
        </w:rPr>
        <w:t xml:space="preserve">species, </w:t>
      </w:r>
      <w:r w:rsidRPr="00E00800">
        <w:rPr>
          <w:rFonts w:ascii="Arial" w:hAnsi="Arial" w:cs="Arial"/>
          <w:bCs/>
          <w:i/>
        </w:rPr>
        <w:t>E. coli</w:t>
      </w:r>
      <w:r w:rsidRPr="00E00800">
        <w:rPr>
          <w:rFonts w:ascii="Arial" w:hAnsi="Arial" w:cs="Arial"/>
          <w:bCs/>
        </w:rPr>
        <w:t xml:space="preserve">: </w:t>
      </w:r>
      <w:r w:rsidRPr="00E00800">
        <w:rPr>
          <w:rFonts w:ascii="Arial" w:hAnsi="Arial" w:cs="Arial"/>
          <w:bCs/>
          <w:i/>
        </w:rPr>
        <w:t>Escherichia coli</w:t>
      </w:r>
      <w:r w:rsidRPr="00E00800">
        <w:rPr>
          <w:rFonts w:ascii="Arial" w:hAnsi="Arial" w:cs="Arial"/>
          <w:bCs/>
        </w:rPr>
        <w:t xml:space="preserve">, </w:t>
      </w:r>
      <w:r w:rsidRPr="00E00800">
        <w:rPr>
          <w:rFonts w:ascii="Arial" w:hAnsi="Arial" w:cs="Arial"/>
          <w:bCs/>
          <w:i/>
        </w:rPr>
        <w:t>S. aureus</w:t>
      </w:r>
      <w:r w:rsidRPr="00E00800">
        <w:rPr>
          <w:rFonts w:ascii="Arial" w:hAnsi="Arial" w:cs="Arial"/>
          <w:bCs/>
        </w:rPr>
        <w:t xml:space="preserve">: </w:t>
      </w:r>
      <w:r w:rsidRPr="00E00800">
        <w:rPr>
          <w:rFonts w:ascii="Arial" w:hAnsi="Arial" w:cs="Arial"/>
          <w:bCs/>
          <w:i/>
        </w:rPr>
        <w:t xml:space="preserve">Staphylococcus aureus, </w:t>
      </w:r>
      <w:r w:rsidRPr="00E00800">
        <w:rPr>
          <w:rFonts w:ascii="Arial" w:hAnsi="Arial" w:cs="Arial"/>
          <w:bCs/>
        </w:rPr>
        <w:t>(n=number of chicken positive for the given isolate)</w:t>
      </w:r>
      <w:r w:rsidR="00A428DF">
        <w:rPr>
          <w:rFonts w:ascii="Arial" w:hAnsi="Arial" w:cs="Arial"/>
          <w:bCs/>
        </w:rPr>
        <w:t>.</w:t>
      </w:r>
    </w:p>
    <w:p w14:paraId="20A04A68" w14:textId="77777777" w:rsidR="00E00800" w:rsidRPr="00E00800" w:rsidRDefault="00E00800" w:rsidP="00010F64">
      <w:pPr>
        <w:pStyle w:val="Body"/>
        <w:spacing w:after="120"/>
        <w:rPr>
          <w:rFonts w:ascii="Arial" w:hAnsi="Arial" w:cs="Arial"/>
          <w:bCs/>
          <w:i/>
        </w:rPr>
      </w:pPr>
      <w:r w:rsidRPr="00E00800">
        <w:rPr>
          <w:rFonts w:ascii="Arial" w:hAnsi="Arial" w:cs="Arial"/>
          <w:b/>
          <w:bCs/>
          <w:lang w:val="en-GB"/>
        </w:rPr>
        <w:t xml:space="preserve">3.2 Risk factors associated with gut bacterial infections among poultry reared in </w:t>
      </w:r>
      <w:proofErr w:type="spellStart"/>
      <w:r w:rsidRPr="00E00800">
        <w:rPr>
          <w:rFonts w:ascii="Arial" w:hAnsi="Arial" w:cs="Arial"/>
          <w:b/>
          <w:bCs/>
          <w:lang w:val="en-GB"/>
        </w:rPr>
        <w:t>Juja</w:t>
      </w:r>
      <w:proofErr w:type="spellEnd"/>
      <w:r w:rsidRPr="00E00800">
        <w:rPr>
          <w:rFonts w:ascii="Arial" w:hAnsi="Arial" w:cs="Arial"/>
          <w:b/>
          <w:bCs/>
          <w:lang w:val="en-GB"/>
        </w:rPr>
        <w:t xml:space="preserve"> subcounty</w:t>
      </w:r>
      <w:bookmarkEnd w:id="8"/>
    </w:p>
    <w:p w14:paraId="40532D5B" w14:textId="77777777" w:rsidR="00201897" w:rsidRDefault="00E00800" w:rsidP="00010F64">
      <w:pPr>
        <w:pStyle w:val="Body"/>
        <w:spacing w:after="120"/>
        <w:rPr>
          <w:rFonts w:ascii="Arial" w:hAnsi="Arial" w:cs="Arial"/>
        </w:rPr>
      </w:pPr>
      <w:r w:rsidRPr="00E00800">
        <w:rPr>
          <w:rFonts w:ascii="Arial" w:hAnsi="Arial" w:cs="Arial"/>
        </w:rPr>
        <w:t xml:space="preserve">The factors which were significantly (p&lt;0.05) associated with prevalence of bacterial infections in the chicken included farmer’s education level, presence of other animals, production system, litter state and biosecurity measures (Table 2). Chicken kept by farmers with non-formal and primary education had a higher prevalence (70; 78%) of gut bacteria compared those kept by farmers with tertiary education (56%). Chicken reared under free-range systems had a significantly higher prevalence (70.3%) of bacteria compared to those kept under deep liter (60%) and battery cage (53.3%) systems. Chicken kept in houses having wet litter had high prevalence (83.2%) of gut bacteria as opposed to those in dry litter conditions (64.8%). Chicken kept in dirty chicken house recorded a higher (95.9%) prevalence of gut bacteria compared to those kept in clean units (86.3%). In farms where chicken </w:t>
      </w:r>
      <w:proofErr w:type="gramStart"/>
      <w:r w:rsidRPr="00E00800">
        <w:rPr>
          <w:rFonts w:ascii="Arial" w:hAnsi="Arial" w:cs="Arial"/>
        </w:rPr>
        <w:t>were</w:t>
      </w:r>
      <w:proofErr w:type="gramEnd"/>
      <w:r w:rsidRPr="00E00800">
        <w:rPr>
          <w:rFonts w:ascii="Arial" w:hAnsi="Arial" w:cs="Arial"/>
        </w:rPr>
        <w:t xml:space="preserve"> mixed chicken with other poultry species, such as ducks, geese and turkeys, the chicken had significantly (80.4%) higher prevalence of gut </w:t>
      </w:r>
      <w:r w:rsidR="00B066AF" w:rsidRPr="00E00800">
        <w:rPr>
          <w:rFonts w:ascii="Arial" w:hAnsi="Arial" w:cs="Arial"/>
        </w:rPr>
        <w:t>bacterial</w:t>
      </w:r>
      <w:r w:rsidRPr="00E00800">
        <w:rPr>
          <w:rFonts w:ascii="Arial" w:hAnsi="Arial" w:cs="Arial"/>
        </w:rPr>
        <w:t xml:space="preserve"> infection compared to those kept separately (67.4%) (Table 2).</w:t>
      </w:r>
    </w:p>
    <w:p w14:paraId="51FFD107" w14:textId="77777777" w:rsidR="00201897" w:rsidRPr="00E00800" w:rsidRDefault="00201897" w:rsidP="00010F64">
      <w:pPr>
        <w:pStyle w:val="Body"/>
        <w:spacing w:after="120"/>
        <w:rPr>
          <w:rFonts w:ascii="Arial" w:hAnsi="Arial" w:cs="Arial"/>
        </w:rPr>
      </w:pPr>
    </w:p>
    <w:p w14:paraId="5E02D2A2" w14:textId="77777777" w:rsidR="00E00800" w:rsidRPr="00E00800" w:rsidRDefault="00E00800" w:rsidP="00010F64">
      <w:pPr>
        <w:pStyle w:val="Body"/>
        <w:spacing w:after="120"/>
        <w:rPr>
          <w:rFonts w:ascii="Arial" w:hAnsi="Arial" w:cs="Arial"/>
        </w:rPr>
      </w:pPr>
      <w:r w:rsidRPr="00E00800">
        <w:rPr>
          <w:rFonts w:ascii="Arial" w:hAnsi="Arial" w:cs="Arial"/>
          <w:b/>
        </w:rPr>
        <w:t>Table 2:</w:t>
      </w:r>
      <w:r w:rsidRPr="00E00800">
        <w:rPr>
          <w:rFonts w:ascii="Arial" w:hAnsi="Arial" w:cs="Arial"/>
        </w:rPr>
        <w:t xml:space="preserve"> </w:t>
      </w:r>
      <w:r w:rsidRPr="00E00800">
        <w:rPr>
          <w:rFonts w:ascii="Arial" w:hAnsi="Arial" w:cs="Arial"/>
          <w:b/>
        </w:rPr>
        <w:t xml:space="preserve">Management factors associated with infection of gut bacteria among chicken reared in </w:t>
      </w:r>
      <w:proofErr w:type="spellStart"/>
      <w:r w:rsidRPr="00E00800">
        <w:rPr>
          <w:rFonts w:ascii="Arial" w:hAnsi="Arial" w:cs="Arial"/>
          <w:b/>
        </w:rPr>
        <w:t>Juja</w:t>
      </w:r>
      <w:proofErr w:type="spellEnd"/>
      <w:r w:rsidRPr="00E00800">
        <w:rPr>
          <w:rFonts w:ascii="Arial" w:hAnsi="Arial" w:cs="Arial"/>
          <w:b/>
        </w:rPr>
        <w:t xml:space="preserve"> subcounty</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250"/>
        <w:gridCol w:w="1890"/>
        <w:gridCol w:w="990"/>
        <w:gridCol w:w="923"/>
      </w:tblGrid>
      <w:tr w:rsidR="00E00800" w:rsidRPr="00E00800" w14:paraId="40F3CB46" w14:textId="77777777" w:rsidTr="00201897">
        <w:trPr>
          <w:trHeight w:val="260"/>
        </w:trPr>
        <w:tc>
          <w:tcPr>
            <w:tcW w:w="3055" w:type="dxa"/>
            <w:tcBorders>
              <w:top w:val="single" w:sz="4" w:space="0" w:color="auto"/>
              <w:left w:val="single" w:sz="4" w:space="0" w:color="auto"/>
              <w:bottom w:val="single" w:sz="4" w:space="0" w:color="auto"/>
              <w:right w:val="single" w:sz="4" w:space="0" w:color="auto"/>
            </w:tcBorders>
            <w:noWrap/>
            <w:hideMark/>
          </w:tcPr>
          <w:p w14:paraId="2D576991"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Variable </w:t>
            </w:r>
          </w:p>
        </w:tc>
        <w:tc>
          <w:tcPr>
            <w:tcW w:w="2250" w:type="dxa"/>
            <w:tcBorders>
              <w:top w:val="single" w:sz="4" w:space="0" w:color="auto"/>
              <w:left w:val="single" w:sz="4" w:space="0" w:color="auto"/>
              <w:bottom w:val="single" w:sz="4" w:space="0" w:color="auto"/>
              <w:right w:val="single" w:sz="4" w:space="0" w:color="auto"/>
            </w:tcBorders>
            <w:noWrap/>
            <w:hideMark/>
          </w:tcPr>
          <w:p w14:paraId="0D79BBEA"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Observation </w:t>
            </w:r>
          </w:p>
        </w:tc>
        <w:tc>
          <w:tcPr>
            <w:tcW w:w="1890" w:type="dxa"/>
            <w:tcBorders>
              <w:top w:val="single" w:sz="4" w:space="0" w:color="auto"/>
              <w:left w:val="single" w:sz="4" w:space="0" w:color="auto"/>
              <w:bottom w:val="single" w:sz="4" w:space="0" w:color="auto"/>
              <w:right w:val="single" w:sz="4" w:space="0" w:color="auto"/>
            </w:tcBorders>
            <w:hideMark/>
          </w:tcPr>
          <w:p w14:paraId="122ACA7D" w14:textId="77777777" w:rsidR="00E00800" w:rsidRPr="00E00800" w:rsidRDefault="00E00800" w:rsidP="00010F64">
            <w:pPr>
              <w:pStyle w:val="Body"/>
              <w:spacing w:after="120"/>
              <w:rPr>
                <w:rFonts w:ascii="Arial" w:hAnsi="Arial" w:cs="Arial"/>
                <w:b/>
              </w:rPr>
            </w:pPr>
            <w:r w:rsidRPr="00E00800">
              <w:rPr>
                <w:rFonts w:ascii="Arial" w:hAnsi="Arial" w:cs="Arial"/>
                <w:b/>
              </w:rPr>
              <w:t>positive chicken (%)</w:t>
            </w:r>
          </w:p>
        </w:tc>
        <w:tc>
          <w:tcPr>
            <w:tcW w:w="990" w:type="dxa"/>
            <w:tcBorders>
              <w:top w:val="single" w:sz="4" w:space="0" w:color="auto"/>
              <w:left w:val="single" w:sz="4" w:space="0" w:color="auto"/>
              <w:bottom w:val="single" w:sz="4" w:space="0" w:color="auto"/>
              <w:right w:val="single" w:sz="4" w:space="0" w:color="auto"/>
            </w:tcBorders>
            <w:hideMark/>
          </w:tcPr>
          <w:p w14:paraId="0EA6E605" w14:textId="77777777" w:rsidR="00E00800" w:rsidRPr="00E00800" w:rsidRDefault="00E00800" w:rsidP="00010F64">
            <w:pPr>
              <w:pStyle w:val="Body"/>
              <w:spacing w:after="120"/>
              <w:rPr>
                <w:rFonts w:ascii="Arial" w:hAnsi="Arial" w:cs="Arial"/>
                <w:b/>
              </w:rPr>
            </w:pPr>
            <w:r w:rsidRPr="00E00800">
              <w:rPr>
                <w:rFonts w:ascii="Arial" w:hAnsi="Arial" w:cs="Arial"/>
                <w:b/>
              </w:rPr>
              <w:t>OR</w:t>
            </w:r>
          </w:p>
        </w:tc>
        <w:tc>
          <w:tcPr>
            <w:tcW w:w="923" w:type="dxa"/>
            <w:tcBorders>
              <w:top w:val="single" w:sz="4" w:space="0" w:color="auto"/>
              <w:left w:val="single" w:sz="4" w:space="0" w:color="auto"/>
              <w:bottom w:val="single" w:sz="4" w:space="0" w:color="auto"/>
              <w:right w:val="single" w:sz="4" w:space="0" w:color="auto"/>
            </w:tcBorders>
            <w:noWrap/>
            <w:hideMark/>
          </w:tcPr>
          <w:p w14:paraId="33D301AB" w14:textId="77777777" w:rsidR="00E00800" w:rsidRPr="00E00800" w:rsidRDefault="00E00800" w:rsidP="00010F64">
            <w:pPr>
              <w:pStyle w:val="Body"/>
              <w:spacing w:after="120"/>
              <w:rPr>
                <w:rFonts w:ascii="Arial" w:hAnsi="Arial" w:cs="Arial"/>
                <w:b/>
              </w:rPr>
            </w:pPr>
            <w:r w:rsidRPr="00E00800">
              <w:rPr>
                <w:rFonts w:ascii="Arial" w:hAnsi="Arial" w:cs="Arial"/>
                <w:b/>
              </w:rPr>
              <w:t xml:space="preserve">p-value </w:t>
            </w:r>
          </w:p>
        </w:tc>
      </w:tr>
      <w:tr w:rsidR="00E00800" w:rsidRPr="00E00800" w14:paraId="5773CE2C"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63CA0136" w14:textId="77777777" w:rsidR="00E00800" w:rsidRPr="00E00800" w:rsidRDefault="00E00800" w:rsidP="00010F64">
            <w:pPr>
              <w:pStyle w:val="Body"/>
              <w:spacing w:after="120"/>
              <w:rPr>
                <w:rFonts w:ascii="Arial" w:hAnsi="Arial" w:cs="Arial"/>
              </w:rPr>
            </w:pPr>
            <w:r w:rsidRPr="00E00800">
              <w:rPr>
                <w:rFonts w:ascii="Arial" w:hAnsi="Arial" w:cs="Arial"/>
              </w:rPr>
              <w:t xml:space="preserve">Level of education </w:t>
            </w:r>
          </w:p>
        </w:tc>
        <w:tc>
          <w:tcPr>
            <w:tcW w:w="2250" w:type="dxa"/>
            <w:tcBorders>
              <w:top w:val="single" w:sz="4" w:space="0" w:color="auto"/>
              <w:left w:val="single" w:sz="4" w:space="0" w:color="auto"/>
              <w:bottom w:val="single" w:sz="4" w:space="0" w:color="auto"/>
              <w:right w:val="single" w:sz="4" w:space="0" w:color="auto"/>
            </w:tcBorders>
            <w:noWrap/>
            <w:hideMark/>
          </w:tcPr>
          <w:p w14:paraId="579D6B14" w14:textId="77777777" w:rsidR="00E00800" w:rsidRPr="00E00800" w:rsidRDefault="00E00800" w:rsidP="00010F64">
            <w:pPr>
              <w:pStyle w:val="Body"/>
              <w:spacing w:after="120"/>
              <w:rPr>
                <w:rFonts w:ascii="Arial" w:hAnsi="Arial" w:cs="Arial"/>
              </w:rPr>
            </w:pPr>
            <w:r w:rsidRPr="00E00800">
              <w:rPr>
                <w:rFonts w:ascii="Arial" w:hAnsi="Arial" w:cs="Arial"/>
              </w:rPr>
              <w:t>Non-formal (n=85)</w:t>
            </w:r>
          </w:p>
        </w:tc>
        <w:tc>
          <w:tcPr>
            <w:tcW w:w="1890" w:type="dxa"/>
            <w:tcBorders>
              <w:top w:val="single" w:sz="4" w:space="0" w:color="auto"/>
              <w:left w:val="single" w:sz="4" w:space="0" w:color="auto"/>
              <w:bottom w:val="single" w:sz="4" w:space="0" w:color="auto"/>
              <w:right w:val="single" w:sz="4" w:space="0" w:color="auto"/>
            </w:tcBorders>
            <w:hideMark/>
          </w:tcPr>
          <w:p w14:paraId="4D21BEC6" w14:textId="77777777" w:rsidR="00E00800" w:rsidRPr="00E00800" w:rsidRDefault="00E00800" w:rsidP="00010F64">
            <w:pPr>
              <w:pStyle w:val="Body"/>
              <w:spacing w:after="120"/>
              <w:rPr>
                <w:rFonts w:ascii="Arial" w:hAnsi="Arial" w:cs="Arial"/>
              </w:rPr>
            </w:pPr>
            <w:r w:rsidRPr="00E00800">
              <w:rPr>
                <w:rFonts w:ascii="Arial" w:hAnsi="Arial" w:cs="Arial"/>
              </w:rPr>
              <w:t>60 (70.0)</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2A089F9" w14:textId="77777777" w:rsidR="00E00800" w:rsidRPr="00E00800" w:rsidRDefault="00E00800" w:rsidP="00010F64">
            <w:pPr>
              <w:pStyle w:val="Body"/>
              <w:spacing w:after="120"/>
              <w:rPr>
                <w:rFonts w:ascii="Arial" w:hAnsi="Arial" w:cs="Arial"/>
              </w:rPr>
            </w:pPr>
            <w:r w:rsidRPr="00E00800">
              <w:rPr>
                <w:rFonts w:ascii="Arial" w:hAnsi="Arial" w:cs="Arial"/>
              </w:rPr>
              <w:t>1.61</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03D9D959" w14:textId="77777777" w:rsidR="00E00800" w:rsidRPr="00E00800" w:rsidRDefault="00E00800" w:rsidP="00010F64">
            <w:pPr>
              <w:pStyle w:val="Body"/>
              <w:spacing w:after="120"/>
              <w:rPr>
                <w:rFonts w:ascii="Arial" w:hAnsi="Arial" w:cs="Arial"/>
              </w:rPr>
            </w:pPr>
            <w:r w:rsidRPr="00E00800">
              <w:rPr>
                <w:rFonts w:ascii="Arial" w:hAnsi="Arial" w:cs="Arial"/>
              </w:rPr>
              <w:t>&lt;0.001</w:t>
            </w:r>
          </w:p>
        </w:tc>
      </w:tr>
      <w:tr w:rsidR="00E00800" w:rsidRPr="00E00800" w14:paraId="54B8582C"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95996"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31AE7CAD" w14:textId="77777777" w:rsidR="00E00800" w:rsidRPr="00E00800" w:rsidRDefault="00E00800" w:rsidP="00010F64">
            <w:pPr>
              <w:pStyle w:val="Body"/>
              <w:spacing w:after="120"/>
              <w:rPr>
                <w:rFonts w:ascii="Arial" w:hAnsi="Arial" w:cs="Arial"/>
              </w:rPr>
            </w:pPr>
            <w:r w:rsidRPr="00E00800">
              <w:rPr>
                <w:rFonts w:ascii="Arial" w:hAnsi="Arial" w:cs="Arial"/>
              </w:rPr>
              <w:t>Primary (n=55)</w:t>
            </w:r>
          </w:p>
        </w:tc>
        <w:tc>
          <w:tcPr>
            <w:tcW w:w="1890" w:type="dxa"/>
            <w:tcBorders>
              <w:top w:val="single" w:sz="4" w:space="0" w:color="auto"/>
              <w:left w:val="single" w:sz="4" w:space="0" w:color="auto"/>
              <w:bottom w:val="single" w:sz="4" w:space="0" w:color="auto"/>
              <w:right w:val="single" w:sz="4" w:space="0" w:color="auto"/>
            </w:tcBorders>
            <w:hideMark/>
          </w:tcPr>
          <w:p w14:paraId="0DF1C0A2" w14:textId="77777777" w:rsidR="00E00800" w:rsidRPr="00E00800" w:rsidRDefault="00E00800" w:rsidP="00010F64">
            <w:pPr>
              <w:pStyle w:val="Body"/>
              <w:spacing w:after="120"/>
              <w:rPr>
                <w:rFonts w:ascii="Arial" w:hAnsi="Arial" w:cs="Arial"/>
              </w:rPr>
            </w:pPr>
            <w:r w:rsidRPr="00E00800">
              <w:rPr>
                <w:rFonts w:ascii="Arial" w:hAnsi="Arial" w:cs="Arial"/>
              </w:rPr>
              <w:t>43 (78.0)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7BAC8"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2245396A" w14:textId="77777777" w:rsidR="00E00800" w:rsidRPr="00E00800" w:rsidRDefault="00E00800" w:rsidP="00010F64">
            <w:pPr>
              <w:pStyle w:val="Body"/>
              <w:spacing w:after="120"/>
              <w:rPr>
                <w:rFonts w:ascii="Arial" w:hAnsi="Arial" w:cs="Arial"/>
              </w:rPr>
            </w:pPr>
          </w:p>
        </w:tc>
      </w:tr>
      <w:tr w:rsidR="00E00800" w:rsidRPr="00E00800" w14:paraId="11EF3631"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B6075"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1850457E" w14:textId="77777777" w:rsidR="00E00800" w:rsidRPr="00E00800" w:rsidRDefault="00E00800" w:rsidP="00010F64">
            <w:pPr>
              <w:pStyle w:val="Body"/>
              <w:spacing w:after="120"/>
              <w:rPr>
                <w:rFonts w:ascii="Arial" w:hAnsi="Arial" w:cs="Arial"/>
              </w:rPr>
            </w:pPr>
            <w:r w:rsidRPr="00E00800">
              <w:rPr>
                <w:rFonts w:ascii="Arial" w:hAnsi="Arial" w:cs="Arial"/>
              </w:rPr>
              <w:t>Secondary (n=35)</w:t>
            </w:r>
          </w:p>
        </w:tc>
        <w:tc>
          <w:tcPr>
            <w:tcW w:w="1890" w:type="dxa"/>
            <w:tcBorders>
              <w:top w:val="single" w:sz="4" w:space="0" w:color="auto"/>
              <w:left w:val="single" w:sz="4" w:space="0" w:color="auto"/>
              <w:bottom w:val="single" w:sz="4" w:space="0" w:color="auto"/>
              <w:right w:val="single" w:sz="4" w:space="0" w:color="auto"/>
            </w:tcBorders>
            <w:hideMark/>
          </w:tcPr>
          <w:p w14:paraId="5A86B635" w14:textId="77777777" w:rsidR="00E00800" w:rsidRPr="00E00800" w:rsidRDefault="00E00800" w:rsidP="00010F64">
            <w:pPr>
              <w:pStyle w:val="Body"/>
              <w:spacing w:after="120"/>
              <w:rPr>
                <w:rFonts w:ascii="Arial" w:hAnsi="Arial" w:cs="Arial"/>
              </w:rPr>
            </w:pPr>
            <w:r w:rsidRPr="00E00800">
              <w:rPr>
                <w:rFonts w:ascii="Arial" w:hAnsi="Arial" w:cs="Arial"/>
              </w:rPr>
              <w:t>22 (62.9)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8FB5F"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5CA06FD5" w14:textId="77777777" w:rsidR="00E00800" w:rsidRPr="00E00800" w:rsidRDefault="00E00800" w:rsidP="00010F64">
            <w:pPr>
              <w:pStyle w:val="Body"/>
              <w:spacing w:after="120"/>
              <w:rPr>
                <w:rFonts w:ascii="Arial" w:hAnsi="Arial" w:cs="Arial"/>
              </w:rPr>
            </w:pPr>
          </w:p>
        </w:tc>
      </w:tr>
      <w:tr w:rsidR="00E00800" w:rsidRPr="00E00800" w14:paraId="355E2380"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EBA4A"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673D5D1B" w14:textId="77777777" w:rsidR="00E00800" w:rsidRPr="00E00800" w:rsidRDefault="00E00800" w:rsidP="00010F64">
            <w:pPr>
              <w:pStyle w:val="Body"/>
              <w:spacing w:after="120"/>
              <w:rPr>
                <w:rFonts w:ascii="Arial" w:hAnsi="Arial" w:cs="Arial"/>
              </w:rPr>
            </w:pPr>
            <w:r w:rsidRPr="00E00800">
              <w:rPr>
                <w:rFonts w:ascii="Arial" w:hAnsi="Arial" w:cs="Arial"/>
              </w:rPr>
              <w:t>Tertiary (n=25)</w:t>
            </w:r>
          </w:p>
        </w:tc>
        <w:tc>
          <w:tcPr>
            <w:tcW w:w="1890" w:type="dxa"/>
            <w:tcBorders>
              <w:top w:val="single" w:sz="4" w:space="0" w:color="auto"/>
              <w:left w:val="single" w:sz="4" w:space="0" w:color="auto"/>
              <w:bottom w:val="single" w:sz="4" w:space="0" w:color="auto"/>
              <w:right w:val="single" w:sz="4" w:space="0" w:color="auto"/>
            </w:tcBorders>
            <w:hideMark/>
          </w:tcPr>
          <w:p w14:paraId="3829C5CD" w14:textId="77777777" w:rsidR="00E00800" w:rsidRPr="00E00800" w:rsidRDefault="00E00800" w:rsidP="00010F64">
            <w:pPr>
              <w:pStyle w:val="Body"/>
              <w:spacing w:after="120"/>
              <w:rPr>
                <w:rFonts w:ascii="Arial" w:hAnsi="Arial" w:cs="Arial"/>
              </w:rPr>
            </w:pPr>
            <w:r w:rsidRPr="00E00800">
              <w:rPr>
                <w:rFonts w:ascii="Arial" w:hAnsi="Arial" w:cs="Arial"/>
              </w:rPr>
              <w:t>14 (56.0)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62004"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5B570B6C" w14:textId="77777777" w:rsidR="00E00800" w:rsidRPr="00E00800" w:rsidRDefault="00E00800" w:rsidP="00010F64">
            <w:pPr>
              <w:pStyle w:val="Body"/>
              <w:spacing w:after="120"/>
              <w:rPr>
                <w:rFonts w:ascii="Arial" w:hAnsi="Arial" w:cs="Arial"/>
              </w:rPr>
            </w:pPr>
          </w:p>
        </w:tc>
      </w:tr>
      <w:tr w:rsidR="00E00800" w:rsidRPr="00E00800" w14:paraId="19674AD6"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7784A33D" w14:textId="77777777" w:rsidR="00E00800" w:rsidRPr="00E00800" w:rsidRDefault="00E00800" w:rsidP="00010F64">
            <w:pPr>
              <w:pStyle w:val="Body"/>
              <w:spacing w:after="120"/>
              <w:rPr>
                <w:rFonts w:ascii="Arial" w:hAnsi="Arial" w:cs="Arial"/>
              </w:rPr>
            </w:pPr>
            <w:r w:rsidRPr="00E00800">
              <w:rPr>
                <w:rFonts w:ascii="Arial" w:hAnsi="Arial" w:cs="Arial"/>
              </w:rPr>
              <w:t>Farm type</w:t>
            </w:r>
          </w:p>
        </w:tc>
        <w:tc>
          <w:tcPr>
            <w:tcW w:w="2250" w:type="dxa"/>
            <w:tcBorders>
              <w:top w:val="single" w:sz="4" w:space="0" w:color="auto"/>
              <w:left w:val="single" w:sz="4" w:space="0" w:color="auto"/>
              <w:bottom w:val="single" w:sz="4" w:space="0" w:color="auto"/>
              <w:right w:val="single" w:sz="4" w:space="0" w:color="auto"/>
            </w:tcBorders>
            <w:noWrap/>
            <w:hideMark/>
          </w:tcPr>
          <w:p w14:paraId="36774EC7" w14:textId="77777777" w:rsidR="00E00800" w:rsidRPr="00E00800" w:rsidRDefault="00E00800" w:rsidP="00010F64">
            <w:pPr>
              <w:pStyle w:val="Body"/>
              <w:spacing w:after="120"/>
              <w:rPr>
                <w:rFonts w:ascii="Arial" w:hAnsi="Arial" w:cs="Arial"/>
              </w:rPr>
            </w:pPr>
            <w:r w:rsidRPr="00E00800">
              <w:rPr>
                <w:rFonts w:ascii="Arial" w:hAnsi="Arial" w:cs="Arial"/>
              </w:rPr>
              <w:t>Small scale (n=165)</w:t>
            </w:r>
          </w:p>
        </w:tc>
        <w:tc>
          <w:tcPr>
            <w:tcW w:w="1890" w:type="dxa"/>
            <w:tcBorders>
              <w:top w:val="single" w:sz="4" w:space="0" w:color="auto"/>
              <w:left w:val="single" w:sz="4" w:space="0" w:color="auto"/>
              <w:bottom w:val="single" w:sz="4" w:space="0" w:color="auto"/>
              <w:right w:val="single" w:sz="4" w:space="0" w:color="auto"/>
            </w:tcBorders>
            <w:hideMark/>
          </w:tcPr>
          <w:p w14:paraId="1A15E643" w14:textId="77777777" w:rsidR="00E00800" w:rsidRPr="00E00800" w:rsidRDefault="00E00800" w:rsidP="00010F64">
            <w:pPr>
              <w:pStyle w:val="Body"/>
              <w:spacing w:after="120"/>
              <w:rPr>
                <w:rFonts w:ascii="Arial" w:hAnsi="Arial" w:cs="Arial"/>
              </w:rPr>
            </w:pPr>
            <w:r w:rsidRPr="00E00800">
              <w:rPr>
                <w:rFonts w:ascii="Arial" w:hAnsi="Arial" w:cs="Arial"/>
              </w:rPr>
              <w:t>155 (93.8)</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52F5422" w14:textId="77777777" w:rsidR="00E00800" w:rsidRPr="00E00800" w:rsidRDefault="00E00800" w:rsidP="00010F64">
            <w:pPr>
              <w:pStyle w:val="Body"/>
              <w:spacing w:after="120"/>
              <w:rPr>
                <w:rFonts w:ascii="Arial" w:hAnsi="Arial" w:cs="Arial"/>
              </w:rPr>
            </w:pPr>
            <w:r w:rsidRPr="00E00800">
              <w:rPr>
                <w:rFonts w:ascii="Arial" w:hAnsi="Arial" w:cs="Arial"/>
              </w:rPr>
              <w:t>6.56</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13BB743F" w14:textId="77777777" w:rsidR="00E00800" w:rsidRPr="00E00800" w:rsidRDefault="00E00800" w:rsidP="00010F64">
            <w:pPr>
              <w:pStyle w:val="Body"/>
              <w:spacing w:after="120"/>
              <w:rPr>
                <w:rFonts w:ascii="Arial" w:hAnsi="Arial" w:cs="Arial"/>
              </w:rPr>
            </w:pPr>
            <w:r w:rsidRPr="00E00800">
              <w:rPr>
                <w:rFonts w:ascii="Arial" w:hAnsi="Arial" w:cs="Arial"/>
              </w:rPr>
              <w:t>0.281</w:t>
            </w:r>
          </w:p>
        </w:tc>
      </w:tr>
      <w:tr w:rsidR="00E00800" w:rsidRPr="00E00800" w14:paraId="23B26E6D"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EC531"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0DCFAD4A" w14:textId="77777777" w:rsidR="00E00800" w:rsidRPr="00E00800" w:rsidRDefault="00E00800" w:rsidP="00010F64">
            <w:pPr>
              <w:pStyle w:val="Body"/>
              <w:spacing w:after="120"/>
              <w:rPr>
                <w:rFonts w:ascii="Arial" w:hAnsi="Arial" w:cs="Arial"/>
              </w:rPr>
            </w:pPr>
            <w:r w:rsidRPr="00E00800">
              <w:rPr>
                <w:rFonts w:ascii="Arial" w:hAnsi="Arial" w:cs="Arial"/>
              </w:rPr>
              <w:t>Large scale (n=35)</w:t>
            </w:r>
          </w:p>
        </w:tc>
        <w:tc>
          <w:tcPr>
            <w:tcW w:w="1890" w:type="dxa"/>
            <w:tcBorders>
              <w:top w:val="single" w:sz="4" w:space="0" w:color="auto"/>
              <w:left w:val="single" w:sz="4" w:space="0" w:color="auto"/>
              <w:bottom w:val="single" w:sz="4" w:space="0" w:color="auto"/>
              <w:right w:val="single" w:sz="4" w:space="0" w:color="auto"/>
            </w:tcBorders>
            <w:hideMark/>
          </w:tcPr>
          <w:p w14:paraId="7337A41B" w14:textId="77777777" w:rsidR="00E00800" w:rsidRPr="00E00800" w:rsidRDefault="00E00800" w:rsidP="00010F64">
            <w:pPr>
              <w:pStyle w:val="Body"/>
              <w:spacing w:after="120"/>
              <w:rPr>
                <w:rFonts w:ascii="Arial" w:hAnsi="Arial" w:cs="Arial"/>
              </w:rPr>
            </w:pPr>
            <w:r w:rsidRPr="00E00800">
              <w:rPr>
                <w:rFonts w:ascii="Arial" w:hAnsi="Arial" w:cs="Arial"/>
              </w:rPr>
              <w:t>30 (85.7)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F90CD"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5C82DF03" w14:textId="77777777" w:rsidR="00E00800" w:rsidRPr="00E00800" w:rsidRDefault="00E00800" w:rsidP="00010F64">
            <w:pPr>
              <w:pStyle w:val="Body"/>
              <w:spacing w:after="120"/>
              <w:rPr>
                <w:rFonts w:ascii="Arial" w:hAnsi="Arial" w:cs="Arial"/>
              </w:rPr>
            </w:pPr>
          </w:p>
        </w:tc>
      </w:tr>
      <w:tr w:rsidR="00E00800" w:rsidRPr="00E00800" w14:paraId="65D1B55A"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0F431A80" w14:textId="77777777" w:rsidR="00E00800" w:rsidRPr="00E00800" w:rsidRDefault="00E00800" w:rsidP="00010F64">
            <w:pPr>
              <w:pStyle w:val="Body"/>
              <w:spacing w:after="120"/>
              <w:rPr>
                <w:rFonts w:ascii="Arial" w:hAnsi="Arial" w:cs="Arial"/>
              </w:rPr>
            </w:pPr>
            <w:r w:rsidRPr="00E00800">
              <w:rPr>
                <w:rFonts w:ascii="Arial" w:hAnsi="Arial" w:cs="Arial"/>
              </w:rPr>
              <w:t xml:space="preserve">Presence of other animals like ducks, turkey, geese </w:t>
            </w:r>
          </w:p>
        </w:tc>
        <w:tc>
          <w:tcPr>
            <w:tcW w:w="2250" w:type="dxa"/>
            <w:tcBorders>
              <w:top w:val="single" w:sz="4" w:space="0" w:color="auto"/>
              <w:left w:val="single" w:sz="4" w:space="0" w:color="auto"/>
              <w:bottom w:val="single" w:sz="4" w:space="0" w:color="auto"/>
              <w:right w:val="single" w:sz="4" w:space="0" w:color="auto"/>
            </w:tcBorders>
            <w:noWrap/>
            <w:hideMark/>
          </w:tcPr>
          <w:p w14:paraId="1C5C5E3E" w14:textId="77777777" w:rsidR="00E00800" w:rsidRPr="00E00800" w:rsidRDefault="00E00800" w:rsidP="00010F64">
            <w:pPr>
              <w:pStyle w:val="Body"/>
              <w:spacing w:after="120"/>
              <w:rPr>
                <w:rFonts w:ascii="Arial" w:hAnsi="Arial" w:cs="Arial"/>
              </w:rPr>
            </w:pPr>
            <w:r w:rsidRPr="00E00800">
              <w:rPr>
                <w:rFonts w:ascii="Arial" w:hAnsi="Arial" w:cs="Arial"/>
              </w:rPr>
              <w:t>Yes (n=105)</w:t>
            </w:r>
          </w:p>
        </w:tc>
        <w:tc>
          <w:tcPr>
            <w:tcW w:w="1890" w:type="dxa"/>
            <w:tcBorders>
              <w:top w:val="single" w:sz="4" w:space="0" w:color="auto"/>
              <w:left w:val="single" w:sz="4" w:space="0" w:color="auto"/>
              <w:bottom w:val="single" w:sz="4" w:space="0" w:color="auto"/>
              <w:right w:val="single" w:sz="4" w:space="0" w:color="auto"/>
            </w:tcBorders>
            <w:hideMark/>
          </w:tcPr>
          <w:p w14:paraId="1E983DC7" w14:textId="77777777" w:rsidR="00E00800" w:rsidRPr="00E00800" w:rsidRDefault="00E00800" w:rsidP="00010F64">
            <w:pPr>
              <w:pStyle w:val="Body"/>
              <w:spacing w:after="120"/>
              <w:rPr>
                <w:rFonts w:ascii="Arial" w:hAnsi="Arial" w:cs="Arial"/>
              </w:rPr>
            </w:pPr>
            <w:r w:rsidRPr="00E00800">
              <w:rPr>
                <w:rFonts w:ascii="Arial" w:hAnsi="Arial" w:cs="Arial"/>
              </w:rPr>
              <w:t>85 (80.9)</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186B92F" w14:textId="77777777" w:rsidR="00E00800" w:rsidRPr="00E00800" w:rsidRDefault="00E00800" w:rsidP="00010F64">
            <w:pPr>
              <w:pStyle w:val="Body"/>
              <w:spacing w:after="120"/>
              <w:rPr>
                <w:rFonts w:ascii="Arial" w:hAnsi="Arial" w:cs="Arial"/>
              </w:rPr>
            </w:pPr>
            <w:r w:rsidRPr="00E00800">
              <w:rPr>
                <w:rFonts w:ascii="Arial" w:hAnsi="Arial" w:cs="Arial"/>
              </w:rPr>
              <w:t>1.99</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387B1B43" w14:textId="77777777" w:rsidR="00E00800" w:rsidRPr="00E00800" w:rsidRDefault="00E00800" w:rsidP="00010F64">
            <w:pPr>
              <w:pStyle w:val="Body"/>
              <w:spacing w:after="120"/>
              <w:rPr>
                <w:rFonts w:ascii="Arial" w:hAnsi="Arial" w:cs="Arial"/>
              </w:rPr>
            </w:pPr>
            <w:r w:rsidRPr="00E00800">
              <w:rPr>
                <w:rFonts w:ascii="Arial" w:hAnsi="Arial" w:cs="Arial"/>
              </w:rPr>
              <w:t>0.011</w:t>
            </w:r>
          </w:p>
        </w:tc>
      </w:tr>
      <w:tr w:rsidR="00E00800" w:rsidRPr="00E00800" w14:paraId="2F22AC38"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19A2"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2C0F30D2" w14:textId="77777777" w:rsidR="00E00800" w:rsidRPr="00E00800" w:rsidRDefault="00E00800" w:rsidP="00010F64">
            <w:pPr>
              <w:pStyle w:val="Body"/>
              <w:spacing w:after="120"/>
              <w:rPr>
                <w:rFonts w:ascii="Arial" w:hAnsi="Arial" w:cs="Arial"/>
              </w:rPr>
            </w:pPr>
            <w:r w:rsidRPr="00E00800">
              <w:rPr>
                <w:rFonts w:ascii="Arial" w:hAnsi="Arial" w:cs="Arial"/>
              </w:rPr>
              <w:t>No (n=95)</w:t>
            </w:r>
          </w:p>
        </w:tc>
        <w:tc>
          <w:tcPr>
            <w:tcW w:w="1890" w:type="dxa"/>
            <w:tcBorders>
              <w:top w:val="single" w:sz="4" w:space="0" w:color="auto"/>
              <w:left w:val="single" w:sz="4" w:space="0" w:color="auto"/>
              <w:bottom w:val="single" w:sz="4" w:space="0" w:color="auto"/>
              <w:right w:val="single" w:sz="4" w:space="0" w:color="auto"/>
            </w:tcBorders>
            <w:hideMark/>
          </w:tcPr>
          <w:p w14:paraId="5DD0C161" w14:textId="77777777" w:rsidR="00E00800" w:rsidRPr="00E00800" w:rsidRDefault="00E00800" w:rsidP="00010F64">
            <w:pPr>
              <w:pStyle w:val="Body"/>
              <w:spacing w:after="120"/>
              <w:rPr>
                <w:rFonts w:ascii="Arial" w:hAnsi="Arial" w:cs="Arial"/>
              </w:rPr>
            </w:pPr>
            <w:r w:rsidRPr="00E00800">
              <w:rPr>
                <w:rFonts w:ascii="Arial" w:hAnsi="Arial" w:cs="Arial"/>
              </w:rPr>
              <w:t>64 (67.4)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77EF4"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4AEE32E1" w14:textId="77777777" w:rsidR="00E00800" w:rsidRPr="00E00800" w:rsidRDefault="00E00800" w:rsidP="00010F64">
            <w:pPr>
              <w:pStyle w:val="Body"/>
              <w:spacing w:after="120"/>
              <w:rPr>
                <w:rFonts w:ascii="Arial" w:hAnsi="Arial" w:cs="Arial"/>
              </w:rPr>
            </w:pPr>
          </w:p>
        </w:tc>
      </w:tr>
      <w:tr w:rsidR="00E00800" w:rsidRPr="00E00800" w14:paraId="52E5BA09"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6035A8F3" w14:textId="77777777" w:rsidR="00E00800" w:rsidRPr="00E00800" w:rsidRDefault="00E00800" w:rsidP="00010F64">
            <w:pPr>
              <w:pStyle w:val="Body"/>
              <w:spacing w:after="120"/>
              <w:rPr>
                <w:rFonts w:ascii="Arial" w:hAnsi="Arial" w:cs="Arial"/>
              </w:rPr>
            </w:pPr>
            <w:r w:rsidRPr="00E00800">
              <w:rPr>
                <w:rFonts w:ascii="Arial" w:hAnsi="Arial" w:cs="Arial"/>
              </w:rPr>
              <w:t xml:space="preserve">Production system </w:t>
            </w:r>
          </w:p>
        </w:tc>
        <w:tc>
          <w:tcPr>
            <w:tcW w:w="2250" w:type="dxa"/>
            <w:tcBorders>
              <w:top w:val="single" w:sz="4" w:space="0" w:color="auto"/>
              <w:left w:val="single" w:sz="4" w:space="0" w:color="auto"/>
              <w:bottom w:val="single" w:sz="4" w:space="0" w:color="auto"/>
              <w:right w:val="single" w:sz="4" w:space="0" w:color="auto"/>
            </w:tcBorders>
            <w:noWrap/>
            <w:hideMark/>
          </w:tcPr>
          <w:p w14:paraId="059F4C7F" w14:textId="77777777" w:rsidR="00E00800" w:rsidRPr="00E00800" w:rsidRDefault="00E00800" w:rsidP="00010F64">
            <w:pPr>
              <w:pStyle w:val="Body"/>
              <w:spacing w:after="120"/>
              <w:rPr>
                <w:rFonts w:ascii="Arial" w:hAnsi="Arial" w:cs="Arial"/>
              </w:rPr>
            </w:pPr>
            <w:r w:rsidRPr="00E00800">
              <w:rPr>
                <w:rFonts w:ascii="Arial" w:hAnsi="Arial" w:cs="Arial"/>
              </w:rPr>
              <w:t>Free range (n=145)</w:t>
            </w:r>
          </w:p>
        </w:tc>
        <w:tc>
          <w:tcPr>
            <w:tcW w:w="1890" w:type="dxa"/>
            <w:tcBorders>
              <w:top w:val="single" w:sz="4" w:space="0" w:color="auto"/>
              <w:left w:val="single" w:sz="4" w:space="0" w:color="auto"/>
              <w:bottom w:val="single" w:sz="4" w:space="0" w:color="auto"/>
              <w:right w:val="single" w:sz="4" w:space="0" w:color="auto"/>
            </w:tcBorders>
            <w:hideMark/>
          </w:tcPr>
          <w:p w14:paraId="4B464BEC" w14:textId="77777777" w:rsidR="00E00800" w:rsidRPr="00E00800" w:rsidRDefault="00E00800" w:rsidP="00010F64">
            <w:pPr>
              <w:pStyle w:val="Body"/>
              <w:spacing w:after="120"/>
              <w:rPr>
                <w:rFonts w:ascii="Arial" w:hAnsi="Arial" w:cs="Arial"/>
              </w:rPr>
            </w:pPr>
            <w:r w:rsidRPr="00E00800">
              <w:rPr>
                <w:rFonts w:ascii="Arial" w:hAnsi="Arial" w:cs="Arial"/>
              </w:rPr>
              <w:t>102 (70.3)</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62DB87E1" w14:textId="77777777" w:rsidR="00E00800" w:rsidRPr="00E00800" w:rsidRDefault="00E00800" w:rsidP="00010F64">
            <w:pPr>
              <w:pStyle w:val="Body"/>
              <w:spacing w:after="120"/>
              <w:rPr>
                <w:rFonts w:ascii="Arial" w:hAnsi="Arial" w:cs="Arial"/>
              </w:rPr>
            </w:pPr>
            <w:r w:rsidRPr="00E00800">
              <w:rPr>
                <w:rFonts w:ascii="Arial" w:hAnsi="Arial" w:cs="Arial"/>
              </w:rPr>
              <w:t>9.06</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1AF8B934" w14:textId="77777777" w:rsidR="00E00800" w:rsidRPr="00E00800" w:rsidRDefault="00E00800" w:rsidP="00010F64">
            <w:pPr>
              <w:pStyle w:val="Body"/>
              <w:spacing w:after="120"/>
              <w:rPr>
                <w:rFonts w:ascii="Arial" w:hAnsi="Arial" w:cs="Arial"/>
              </w:rPr>
            </w:pPr>
            <w:r w:rsidRPr="00E00800">
              <w:rPr>
                <w:rFonts w:ascii="Arial" w:hAnsi="Arial" w:cs="Arial"/>
              </w:rPr>
              <w:t>0.016</w:t>
            </w:r>
          </w:p>
        </w:tc>
      </w:tr>
      <w:tr w:rsidR="00E00800" w:rsidRPr="00E00800" w14:paraId="49C28663"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EC34F"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013797F4" w14:textId="77777777" w:rsidR="00E00800" w:rsidRPr="00E00800" w:rsidRDefault="00E00800" w:rsidP="00010F64">
            <w:pPr>
              <w:pStyle w:val="Body"/>
              <w:spacing w:after="120"/>
              <w:rPr>
                <w:rFonts w:ascii="Arial" w:hAnsi="Arial" w:cs="Arial"/>
              </w:rPr>
            </w:pPr>
            <w:r w:rsidRPr="00E00800">
              <w:rPr>
                <w:rFonts w:ascii="Arial" w:hAnsi="Arial" w:cs="Arial"/>
              </w:rPr>
              <w:t>Deep litter (n=40)</w:t>
            </w:r>
          </w:p>
        </w:tc>
        <w:tc>
          <w:tcPr>
            <w:tcW w:w="1890" w:type="dxa"/>
            <w:tcBorders>
              <w:top w:val="single" w:sz="4" w:space="0" w:color="auto"/>
              <w:left w:val="single" w:sz="4" w:space="0" w:color="auto"/>
              <w:bottom w:val="single" w:sz="4" w:space="0" w:color="auto"/>
              <w:right w:val="single" w:sz="4" w:space="0" w:color="auto"/>
            </w:tcBorders>
            <w:hideMark/>
          </w:tcPr>
          <w:p w14:paraId="4CCD0E7B" w14:textId="77777777" w:rsidR="00E00800" w:rsidRPr="00E00800" w:rsidRDefault="00E00800" w:rsidP="00010F64">
            <w:pPr>
              <w:pStyle w:val="Body"/>
              <w:spacing w:after="120"/>
              <w:rPr>
                <w:rFonts w:ascii="Arial" w:hAnsi="Arial" w:cs="Arial"/>
              </w:rPr>
            </w:pPr>
            <w:r w:rsidRPr="00E00800">
              <w:rPr>
                <w:rFonts w:ascii="Arial" w:hAnsi="Arial" w:cs="Arial"/>
              </w:rPr>
              <w:t>24 (60.0)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17047"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3F2D592A" w14:textId="77777777" w:rsidR="00E00800" w:rsidRPr="00E00800" w:rsidRDefault="00E00800" w:rsidP="00010F64">
            <w:pPr>
              <w:pStyle w:val="Body"/>
              <w:spacing w:after="120"/>
              <w:rPr>
                <w:rFonts w:ascii="Arial" w:hAnsi="Arial" w:cs="Arial"/>
              </w:rPr>
            </w:pPr>
          </w:p>
        </w:tc>
      </w:tr>
      <w:tr w:rsidR="00E00800" w:rsidRPr="00E00800" w14:paraId="174D5E2C" w14:textId="77777777" w:rsidTr="0020189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A4D8B"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0E6DB593" w14:textId="77777777" w:rsidR="00E00800" w:rsidRPr="00E00800" w:rsidRDefault="00E00800" w:rsidP="00010F64">
            <w:pPr>
              <w:pStyle w:val="Body"/>
              <w:spacing w:after="120"/>
              <w:rPr>
                <w:rFonts w:ascii="Arial" w:hAnsi="Arial" w:cs="Arial"/>
              </w:rPr>
            </w:pPr>
            <w:r w:rsidRPr="00E00800">
              <w:rPr>
                <w:rFonts w:ascii="Arial" w:hAnsi="Arial" w:cs="Arial"/>
              </w:rPr>
              <w:t>Battery cage (n=15)</w:t>
            </w:r>
          </w:p>
        </w:tc>
        <w:tc>
          <w:tcPr>
            <w:tcW w:w="1890" w:type="dxa"/>
            <w:tcBorders>
              <w:top w:val="single" w:sz="4" w:space="0" w:color="auto"/>
              <w:left w:val="single" w:sz="4" w:space="0" w:color="auto"/>
              <w:bottom w:val="single" w:sz="4" w:space="0" w:color="auto"/>
              <w:right w:val="single" w:sz="4" w:space="0" w:color="auto"/>
            </w:tcBorders>
            <w:hideMark/>
          </w:tcPr>
          <w:p w14:paraId="21DB8758" w14:textId="77777777" w:rsidR="00E00800" w:rsidRPr="00E00800" w:rsidRDefault="00E00800" w:rsidP="00010F64">
            <w:pPr>
              <w:pStyle w:val="Body"/>
              <w:spacing w:after="120"/>
              <w:rPr>
                <w:rFonts w:ascii="Arial" w:hAnsi="Arial" w:cs="Arial"/>
              </w:rPr>
            </w:pPr>
            <w:r w:rsidRPr="00E00800">
              <w:rPr>
                <w:rFonts w:ascii="Arial" w:hAnsi="Arial" w:cs="Arial"/>
              </w:rPr>
              <w:t>8 (53.3)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4049F"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2F9236CF" w14:textId="77777777" w:rsidR="00E00800" w:rsidRPr="00E00800" w:rsidRDefault="00E00800" w:rsidP="00010F64">
            <w:pPr>
              <w:pStyle w:val="Body"/>
              <w:spacing w:after="120"/>
              <w:rPr>
                <w:rFonts w:ascii="Arial" w:hAnsi="Arial" w:cs="Arial"/>
              </w:rPr>
            </w:pPr>
          </w:p>
        </w:tc>
      </w:tr>
      <w:tr w:rsidR="00E00800" w:rsidRPr="00E00800" w14:paraId="40C91E96"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0E226F97" w14:textId="77777777" w:rsidR="00E00800" w:rsidRPr="00E00800" w:rsidRDefault="00E00800" w:rsidP="00010F64">
            <w:pPr>
              <w:pStyle w:val="Body"/>
              <w:spacing w:after="120"/>
              <w:rPr>
                <w:rFonts w:ascii="Arial" w:hAnsi="Arial" w:cs="Arial"/>
              </w:rPr>
            </w:pPr>
            <w:r w:rsidRPr="00E00800">
              <w:rPr>
                <w:rFonts w:ascii="Arial" w:hAnsi="Arial" w:cs="Arial"/>
              </w:rPr>
              <w:t xml:space="preserve">Litter state </w:t>
            </w:r>
          </w:p>
        </w:tc>
        <w:tc>
          <w:tcPr>
            <w:tcW w:w="2250" w:type="dxa"/>
            <w:tcBorders>
              <w:top w:val="single" w:sz="4" w:space="0" w:color="auto"/>
              <w:left w:val="single" w:sz="4" w:space="0" w:color="auto"/>
              <w:bottom w:val="single" w:sz="4" w:space="0" w:color="auto"/>
              <w:right w:val="single" w:sz="4" w:space="0" w:color="auto"/>
            </w:tcBorders>
            <w:noWrap/>
            <w:hideMark/>
          </w:tcPr>
          <w:p w14:paraId="5A1FB0C5" w14:textId="77777777" w:rsidR="00E00800" w:rsidRPr="00E00800" w:rsidRDefault="00E00800" w:rsidP="00010F64">
            <w:pPr>
              <w:pStyle w:val="Body"/>
              <w:spacing w:after="120"/>
              <w:rPr>
                <w:rFonts w:ascii="Arial" w:hAnsi="Arial" w:cs="Arial"/>
              </w:rPr>
            </w:pPr>
            <w:r w:rsidRPr="00E00800">
              <w:rPr>
                <w:rFonts w:ascii="Arial" w:hAnsi="Arial" w:cs="Arial"/>
              </w:rPr>
              <w:t>Humid (n=95)</w:t>
            </w:r>
          </w:p>
        </w:tc>
        <w:tc>
          <w:tcPr>
            <w:tcW w:w="1890" w:type="dxa"/>
            <w:tcBorders>
              <w:top w:val="single" w:sz="4" w:space="0" w:color="auto"/>
              <w:left w:val="single" w:sz="4" w:space="0" w:color="auto"/>
              <w:bottom w:val="single" w:sz="4" w:space="0" w:color="auto"/>
              <w:right w:val="single" w:sz="4" w:space="0" w:color="auto"/>
            </w:tcBorders>
            <w:hideMark/>
          </w:tcPr>
          <w:p w14:paraId="0CCD6942" w14:textId="77777777" w:rsidR="00E00800" w:rsidRPr="00E00800" w:rsidRDefault="00E00800" w:rsidP="00010F64">
            <w:pPr>
              <w:pStyle w:val="Body"/>
              <w:spacing w:after="120"/>
              <w:rPr>
                <w:rFonts w:ascii="Arial" w:hAnsi="Arial" w:cs="Arial"/>
              </w:rPr>
            </w:pPr>
            <w:r w:rsidRPr="00E00800">
              <w:rPr>
                <w:rFonts w:ascii="Arial" w:hAnsi="Arial" w:cs="Arial"/>
              </w:rPr>
              <w:t>79 (83.2)</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3F4BCDD6" w14:textId="77777777" w:rsidR="00E00800" w:rsidRPr="00E00800" w:rsidRDefault="00E00800" w:rsidP="00010F64">
            <w:pPr>
              <w:pStyle w:val="Body"/>
              <w:spacing w:after="120"/>
              <w:rPr>
                <w:rFonts w:ascii="Arial" w:hAnsi="Arial" w:cs="Arial"/>
              </w:rPr>
            </w:pPr>
            <w:r w:rsidRPr="00E00800">
              <w:rPr>
                <w:rFonts w:ascii="Arial" w:hAnsi="Arial" w:cs="Arial"/>
              </w:rPr>
              <w:t>2.64</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5A2461CF" w14:textId="77777777" w:rsidR="00E00800" w:rsidRPr="00E00800" w:rsidRDefault="00E00800" w:rsidP="00010F64">
            <w:pPr>
              <w:pStyle w:val="Body"/>
              <w:spacing w:after="120"/>
              <w:rPr>
                <w:rFonts w:ascii="Arial" w:hAnsi="Arial" w:cs="Arial"/>
              </w:rPr>
            </w:pPr>
            <w:r w:rsidRPr="00E00800">
              <w:rPr>
                <w:rFonts w:ascii="Arial" w:hAnsi="Arial" w:cs="Arial"/>
              </w:rPr>
              <w:t>0.001</w:t>
            </w:r>
          </w:p>
        </w:tc>
      </w:tr>
      <w:tr w:rsidR="00E00800" w:rsidRPr="00E00800" w14:paraId="39C52491"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738E7"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703F0301" w14:textId="77777777" w:rsidR="00E00800" w:rsidRPr="00E00800" w:rsidRDefault="00E00800" w:rsidP="00010F64">
            <w:pPr>
              <w:pStyle w:val="Body"/>
              <w:spacing w:after="120"/>
              <w:rPr>
                <w:rFonts w:ascii="Arial" w:hAnsi="Arial" w:cs="Arial"/>
              </w:rPr>
            </w:pPr>
            <w:r w:rsidRPr="00E00800">
              <w:rPr>
                <w:rFonts w:ascii="Arial" w:hAnsi="Arial" w:cs="Arial"/>
              </w:rPr>
              <w:t>Dry (n=105)</w:t>
            </w:r>
          </w:p>
        </w:tc>
        <w:tc>
          <w:tcPr>
            <w:tcW w:w="1890" w:type="dxa"/>
            <w:tcBorders>
              <w:top w:val="single" w:sz="4" w:space="0" w:color="auto"/>
              <w:left w:val="single" w:sz="4" w:space="0" w:color="auto"/>
              <w:bottom w:val="single" w:sz="4" w:space="0" w:color="auto"/>
              <w:right w:val="single" w:sz="4" w:space="0" w:color="auto"/>
            </w:tcBorders>
            <w:hideMark/>
          </w:tcPr>
          <w:p w14:paraId="3C633EC4" w14:textId="77777777" w:rsidR="00E00800" w:rsidRPr="00E00800" w:rsidRDefault="00E00800" w:rsidP="00010F64">
            <w:pPr>
              <w:pStyle w:val="Body"/>
              <w:spacing w:after="120"/>
              <w:rPr>
                <w:rFonts w:ascii="Arial" w:hAnsi="Arial" w:cs="Arial"/>
              </w:rPr>
            </w:pPr>
            <w:r w:rsidRPr="00E00800">
              <w:rPr>
                <w:rFonts w:ascii="Arial" w:hAnsi="Arial" w:cs="Arial"/>
              </w:rPr>
              <w:t>68 (64.8)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BB35A"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2CCC6ED8" w14:textId="77777777" w:rsidR="00E00800" w:rsidRPr="00E00800" w:rsidRDefault="00E00800" w:rsidP="00010F64">
            <w:pPr>
              <w:pStyle w:val="Body"/>
              <w:spacing w:after="120"/>
              <w:rPr>
                <w:rFonts w:ascii="Arial" w:hAnsi="Arial" w:cs="Arial"/>
              </w:rPr>
            </w:pPr>
          </w:p>
        </w:tc>
      </w:tr>
      <w:tr w:rsidR="00E00800" w:rsidRPr="00E00800" w14:paraId="083629E2"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5B18AF2F" w14:textId="77777777" w:rsidR="00E00800" w:rsidRPr="00E00800" w:rsidRDefault="00E00800" w:rsidP="00010F64">
            <w:pPr>
              <w:pStyle w:val="Body"/>
              <w:spacing w:after="120"/>
              <w:rPr>
                <w:rFonts w:ascii="Arial" w:hAnsi="Arial" w:cs="Arial"/>
              </w:rPr>
            </w:pPr>
            <w:r w:rsidRPr="00E00800">
              <w:rPr>
                <w:rFonts w:ascii="Arial" w:hAnsi="Arial" w:cs="Arial"/>
              </w:rPr>
              <w:t>Cleanliness of chicken house</w:t>
            </w:r>
          </w:p>
        </w:tc>
        <w:tc>
          <w:tcPr>
            <w:tcW w:w="2250" w:type="dxa"/>
            <w:tcBorders>
              <w:top w:val="single" w:sz="4" w:space="0" w:color="auto"/>
              <w:left w:val="single" w:sz="4" w:space="0" w:color="auto"/>
              <w:bottom w:val="single" w:sz="4" w:space="0" w:color="auto"/>
              <w:right w:val="single" w:sz="4" w:space="0" w:color="auto"/>
            </w:tcBorders>
            <w:noWrap/>
            <w:hideMark/>
          </w:tcPr>
          <w:p w14:paraId="5D05761D" w14:textId="77777777" w:rsidR="00E00800" w:rsidRPr="00E00800" w:rsidRDefault="00E00800" w:rsidP="00010F64">
            <w:pPr>
              <w:pStyle w:val="Body"/>
              <w:spacing w:after="120"/>
              <w:rPr>
                <w:rFonts w:ascii="Arial" w:hAnsi="Arial" w:cs="Arial"/>
              </w:rPr>
            </w:pPr>
            <w:r w:rsidRPr="00E00800">
              <w:rPr>
                <w:rFonts w:ascii="Arial" w:hAnsi="Arial" w:cs="Arial"/>
              </w:rPr>
              <w:t>Clean (n=102)</w:t>
            </w:r>
          </w:p>
        </w:tc>
        <w:tc>
          <w:tcPr>
            <w:tcW w:w="1890" w:type="dxa"/>
            <w:tcBorders>
              <w:top w:val="single" w:sz="4" w:space="0" w:color="auto"/>
              <w:left w:val="single" w:sz="4" w:space="0" w:color="auto"/>
              <w:bottom w:val="single" w:sz="4" w:space="0" w:color="auto"/>
              <w:right w:val="single" w:sz="4" w:space="0" w:color="auto"/>
            </w:tcBorders>
            <w:hideMark/>
          </w:tcPr>
          <w:p w14:paraId="359120C9" w14:textId="77777777" w:rsidR="00E00800" w:rsidRPr="00E00800" w:rsidRDefault="00E00800" w:rsidP="00010F64">
            <w:pPr>
              <w:pStyle w:val="Body"/>
              <w:spacing w:after="120"/>
              <w:rPr>
                <w:rFonts w:ascii="Arial" w:hAnsi="Arial" w:cs="Arial"/>
              </w:rPr>
            </w:pPr>
            <w:r w:rsidRPr="00E00800">
              <w:rPr>
                <w:rFonts w:ascii="Arial" w:hAnsi="Arial" w:cs="Arial"/>
              </w:rPr>
              <w:t>88 (86.3)</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1BA3883A" w14:textId="77777777" w:rsidR="00E00800" w:rsidRPr="00E00800" w:rsidRDefault="00E00800" w:rsidP="00010F64">
            <w:pPr>
              <w:pStyle w:val="Body"/>
              <w:spacing w:after="120"/>
              <w:rPr>
                <w:rFonts w:ascii="Arial" w:hAnsi="Arial" w:cs="Arial"/>
              </w:rPr>
            </w:pPr>
            <w:r w:rsidRPr="00E00800">
              <w:rPr>
                <w:rFonts w:ascii="Arial" w:hAnsi="Arial" w:cs="Arial"/>
              </w:rPr>
              <w:t>0.83</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6BADDE4D" w14:textId="77777777" w:rsidR="00E00800" w:rsidRPr="00E00800" w:rsidRDefault="00E00800" w:rsidP="00010F64">
            <w:pPr>
              <w:pStyle w:val="Body"/>
              <w:spacing w:after="120"/>
              <w:rPr>
                <w:rFonts w:ascii="Arial" w:hAnsi="Arial" w:cs="Arial"/>
              </w:rPr>
            </w:pPr>
            <w:r w:rsidRPr="00E00800">
              <w:rPr>
                <w:rFonts w:ascii="Arial" w:hAnsi="Arial" w:cs="Arial"/>
              </w:rPr>
              <w:t>0.001</w:t>
            </w:r>
          </w:p>
        </w:tc>
      </w:tr>
      <w:tr w:rsidR="00E00800" w:rsidRPr="00E00800" w14:paraId="3783CC56" w14:textId="77777777" w:rsidTr="00201897">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18AF6"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6D6CBA42" w14:textId="77777777" w:rsidR="00E00800" w:rsidRPr="00E00800" w:rsidRDefault="00E00800" w:rsidP="00010F64">
            <w:pPr>
              <w:pStyle w:val="Body"/>
              <w:spacing w:after="120"/>
              <w:rPr>
                <w:rFonts w:ascii="Arial" w:hAnsi="Arial" w:cs="Arial"/>
              </w:rPr>
            </w:pPr>
            <w:r w:rsidRPr="00E00800">
              <w:rPr>
                <w:rFonts w:ascii="Arial" w:hAnsi="Arial" w:cs="Arial"/>
              </w:rPr>
              <w:t>Dirty (n=98)</w:t>
            </w:r>
          </w:p>
        </w:tc>
        <w:tc>
          <w:tcPr>
            <w:tcW w:w="1890" w:type="dxa"/>
            <w:tcBorders>
              <w:top w:val="single" w:sz="4" w:space="0" w:color="auto"/>
              <w:left w:val="single" w:sz="4" w:space="0" w:color="auto"/>
              <w:bottom w:val="single" w:sz="4" w:space="0" w:color="auto"/>
              <w:right w:val="single" w:sz="4" w:space="0" w:color="auto"/>
            </w:tcBorders>
            <w:hideMark/>
          </w:tcPr>
          <w:p w14:paraId="7F326D55" w14:textId="77777777" w:rsidR="00E00800" w:rsidRPr="00E00800" w:rsidRDefault="00E00800" w:rsidP="00010F64">
            <w:pPr>
              <w:pStyle w:val="Body"/>
              <w:spacing w:after="120"/>
              <w:rPr>
                <w:rFonts w:ascii="Arial" w:hAnsi="Arial" w:cs="Arial"/>
              </w:rPr>
            </w:pPr>
            <w:r w:rsidRPr="00E00800">
              <w:rPr>
                <w:rFonts w:ascii="Arial" w:hAnsi="Arial" w:cs="Arial"/>
              </w:rPr>
              <w:t>94 (95.9)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963B8"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33935DD7" w14:textId="77777777" w:rsidR="00E00800" w:rsidRPr="00E00800" w:rsidRDefault="00E00800" w:rsidP="00010F64">
            <w:pPr>
              <w:pStyle w:val="Body"/>
              <w:spacing w:after="120"/>
              <w:rPr>
                <w:rFonts w:ascii="Arial" w:hAnsi="Arial" w:cs="Arial"/>
              </w:rPr>
            </w:pPr>
          </w:p>
        </w:tc>
      </w:tr>
      <w:tr w:rsidR="00E00800" w:rsidRPr="00E00800" w14:paraId="1083ABD6" w14:textId="77777777" w:rsidTr="00201897">
        <w:trPr>
          <w:trHeight w:val="290"/>
        </w:trPr>
        <w:tc>
          <w:tcPr>
            <w:tcW w:w="3055" w:type="dxa"/>
            <w:vMerge w:val="restart"/>
            <w:tcBorders>
              <w:top w:val="single" w:sz="4" w:space="0" w:color="auto"/>
              <w:left w:val="single" w:sz="4" w:space="0" w:color="auto"/>
              <w:bottom w:val="single" w:sz="4" w:space="0" w:color="auto"/>
              <w:right w:val="single" w:sz="4" w:space="0" w:color="auto"/>
            </w:tcBorders>
            <w:noWrap/>
            <w:vAlign w:val="center"/>
            <w:hideMark/>
          </w:tcPr>
          <w:p w14:paraId="5642C0CE" w14:textId="77777777" w:rsidR="00E00800" w:rsidRPr="00E00800" w:rsidRDefault="00E00800" w:rsidP="00010F64">
            <w:pPr>
              <w:pStyle w:val="Body"/>
              <w:spacing w:after="120"/>
              <w:rPr>
                <w:rFonts w:ascii="Arial" w:hAnsi="Arial" w:cs="Arial"/>
              </w:rPr>
            </w:pPr>
            <w:r w:rsidRPr="00E00800">
              <w:rPr>
                <w:rFonts w:ascii="Arial" w:hAnsi="Arial" w:cs="Arial"/>
              </w:rPr>
              <w:t xml:space="preserve">Disposal of dead birds </w:t>
            </w:r>
          </w:p>
        </w:tc>
        <w:tc>
          <w:tcPr>
            <w:tcW w:w="2250" w:type="dxa"/>
            <w:tcBorders>
              <w:top w:val="single" w:sz="4" w:space="0" w:color="auto"/>
              <w:left w:val="single" w:sz="4" w:space="0" w:color="auto"/>
              <w:bottom w:val="single" w:sz="4" w:space="0" w:color="auto"/>
              <w:right w:val="single" w:sz="4" w:space="0" w:color="auto"/>
            </w:tcBorders>
            <w:noWrap/>
            <w:hideMark/>
          </w:tcPr>
          <w:p w14:paraId="59EB7633" w14:textId="77777777" w:rsidR="00E00800" w:rsidRPr="00E00800" w:rsidRDefault="00E00800" w:rsidP="00010F64">
            <w:pPr>
              <w:pStyle w:val="Body"/>
              <w:spacing w:after="120"/>
              <w:rPr>
                <w:rFonts w:ascii="Arial" w:hAnsi="Arial" w:cs="Arial"/>
              </w:rPr>
            </w:pPr>
            <w:r w:rsidRPr="00E00800">
              <w:rPr>
                <w:rFonts w:ascii="Arial" w:hAnsi="Arial" w:cs="Arial"/>
              </w:rPr>
              <w:t>Burying (n=129)</w:t>
            </w:r>
          </w:p>
        </w:tc>
        <w:tc>
          <w:tcPr>
            <w:tcW w:w="1890" w:type="dxa"/>
            <w:tcBorders>
              <w:top w:val="single" w:sz="4" w:space="0" w:color="auto"/>
              <w:left w:val="single" w:sz="4" w:space="0" w:color="auto"/>
              <w:bottom w:val="single" w:sz="4" w:space="0" w:color="auto"/>
              <w:right w:val="single" w:sz="4" w:space="0" w:color="auto"/>
            </w:tcBorders>
            <w:hideMark/>
          </w:tcPr>
          <w:p w14:paraId="39227ACA" w14:textId="77777777" w:rsidR="00E00800" w:rsidRPr="00E00800" w:rsidRDefault="00E00800" w:rsidP="00010F64">
            <w:pPr>
              <w:pStyle w:val="Body"/>
              <w:spacing w:after="120"/>
              <w:rPr>
                <w:rFonts w:ascii="Arial" w:hAnsi="Arial" w:cs="Arial"/>
              </w:rPr>
            </w:pPr>
            <w:r w:rsidRPr="00E00800">
              <w:rPr>
                <w:rFonts w:ascii="Arial" w:hAnsi="Arial" w:cs="Arial"/>
              </w:rPr>
              <w:t>92 (72.1)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ACD5F50" w14:textId="77777777" w:rsidR="00E00800" w:rsidRPr="00E00800" w:rsidRDefault="00E00800" w:rsidP="00010F64">
            <w:pPr>
              <w:pStyle w:val="Body"/>
              <w:spacing w:after="120"/>
              <w:rPr>
                <w:rFonts w:ascii="Arial" w:hAnsi="Arial" w:cs="Arial"/>
              </w:rPr>
            </w:pPr>
            <w:r w:rsidRPr="00E00800">
              <w:rPr>
                <w:rFonts w:ascii="Arial" w:hAnsi="Arial" w:cs="Arial"/>
              </w:rPr>
              <w:t>0.27</w:t>
            </w:r>
          </w:p>
        </w:tc>
        <w:tc>
          <w:tcPr>
            <w:tcW w:w="923" w:type="dxa"/>
            <w:vMerge w:val="restart"/>
            <w:tcBorders>
              <w:top w:val="single" w:sz="4" w:space="0" w:color="auto"/>
              <w:left w:val="single" w:sz="4" w:space="0" w:color="auto"/>
              <w:bottom w:val="single" w:sz="4" w:space="0" w:color="auto"/>
              <w:right w:val="single" w:sz="4" w:space="0" w:color="auto"/>
            </w:tcBorders>
            <w:noWrap/>
            <w:vAlign w:val="center"/>
            <w:hideMark/>
          </w:tcPr>
          <w:p w14:paraId="33CE684A" w14:textId="77777777" w:rsidR="00E00800" w:rsidRPr="00E00800" w:rsidRDefault="00E00800" w:rsidP="00010F64">
            <w:pPr>
              <w:pStyle w:val="Body"/>
              <w:spacing w:after="120"/>
              <w:rPr>
                <w:rFonts w:ascii="Arial" w:hAnsi="Arial" w:cs="Arial"/>
              </w:rPr>
            </w:pPr>
            <w:r w:rsidRPr="00E00800">
              <w:rPr>
                <w:rFonts w:ascii="Arial" w:hAnsi="Arial" w:cs="Arial"/>
              </w:rPr>
              <w:t>0.084</w:t>
            </w:r>
          </w:p>
        </w:tc>
      </w:tr>
      <w:tr w:rsidR="00E00800" w:rsidRPr="00E00800" w14:paraId="00F247E6" w14:textId="77777777" w:rsidTr="0020189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3F920" w14:textId="77777777" w:rsidR="00E00800" w:rsidRPr="00E00800" w:rsidRDefault="00E00800" w:rsidP="00010F64">
            <w:pPr>
              <w:pStyle w:val="Body"/>
              <w:spacing w:after="120"/>
              <w:rPr>
                <w:rFonts w:ascii="Arial" w:hAnsi="Arial" w:cs="Arial"/>
              </w:rPr>
            </w:pPr>
          </w:p>
        </w:tc>
        <w:tc>
          <w:tcPr>
            <w:tcW w:w="2250" w:type="dxa"/>
            <w:tcBorders>
              <w:top w:val="single" w:sz="4" w:space="0" w:color="auto"/>
              <w:left w:val="single" w:sz="4" w:space="0" w:color="auto"/>
              <w:bottom w:val="single" w:sz="4" w:space="0" w:color="auto"/>
              <w:right w:val="single" w:sz="4" w:space="0" w:color="auto"/>
            </w:tcBorders>
            <w:noWrap/>
            <w:hideMark/>
          </w:tcPr>
          <w:p w14:paraId="645905EF" w14:textId="77777777" w:rsidR="00E00800" w:rsidRPr="00E00800" w:rsidRDefault="00E00800" w:rsidP="00010F64">
            <w:pPr>
              <w:pStyle w:val="Body"/>
              <w:spacing w:after="120"/>
              <w:rPr>
                <w:rFonts w:ascii="Arial" w:hAnsi="Arial" w:cs="Arial"/>
              </w:rPr>
            </w:pPr>
            <w:r w:rsidRPr="00E00800">
              <w:rPr>
                <w:rFonts w:ascii="Arial" w:hAnsi="Arial" w:cs="Arial"/>
              </w:rPr>
              <w:t>Throwing away to nearby bush (n=71)</w:t>
            </w:r>
          </w:p>
        </w:tc>
        <w:tc>
          <w:tcPr>
            <w:tcW w:w="1890" w:type="dxa"/>
            <w:tcBorders>
              <w:top w:val="single" w:sz="4" w:space="0" w:color="auto"/>
              <w:left w:val="single" w:sz="4" w:space="0" w:color="auto"/>
              <w:bottom w:val="single" w:sz="4" w:space="0" w:color="auto"/>
              <w:right w:val="single" w:sz="4" w:space="0" w:color="auto"/>
            </w:tcBorders>
            <w:hideMark/>
          </w:tcPr>
          <w:p w14:paraId="46457C56" w14:textId="77777777" w:rsidR="00E00800" w:rsidRPr="00E00800" w:rsidRDefault="00E00800" w:rsidP="00010F64">
            <w:pPr>
              <w:pStyle w:val="Body"/>
              <w:spacing w:after="120"/>
              <w:rPr>
                <w:rFonts w:ascii="Arial" w:hAnsi="Arial" w:cs="Arial"/>
              </w:rPr>
            </w:pPr>
            <w:r w:rsidRPr="00E00800">
              <w:rPr>
                <w:rFonts w:ascii="Arial" w:hAnsi="Arial" w:cs="Arial"/>
              </w:rPr>
              <w:t>55 (77.5)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FD943" w14:textId="77777777" w:rsidR="00E00800" w:rsidRPr="00E00800" w:rsidRDefault="00E00800" w:rsidP="00010F64">
            <w:pPr>
              <w:pStyle w:val="Body"/>
              <w:spacing w:after="120"/>
              <w:rPr>
                <w:rFonts w:ascii="Arial" w:hAnsi="Arial" w:cs="Arial"/>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44FEE05E" w14:textId="77777777" w:rsidR="00E00800" w:rsidRPr="00E00800" w:rsidRDefault="00E00800" w:rsidP="00010F64">
            <w:pPr>
              <w:pStyle w:val="Body"/>
              <w:spacing w:after="120"/>
              <w:rPr>
                <w:rFonts w:ascii="Arial" w:hAnsi="Arial" w:cs="Arial"/>
              </w:rPr>
            </w:pPr>
          </w:p>
        </w:tc>
      </w:tr>
    </w:tbl>
    <w:p w14:paraId="69BCFC8C" w14:textId="77777777" w:rsidR="00E00800" w:rsidRPr="00E00800" w:rsidRDefault="00E00800" w:rsidP="00010F64">
      <w:pPr>
        <w:pStyle w:val="Body"/>
        <w:spacing w:after="120"/>
        <w:rPr>
          <w:rFonts w:ascii="Arial" w:hAnsi="Arial" w:cs="Arial"/>
          <w:bCs/>
          <w:i/>
        </w:rPr>
      </w:pPr>
    </w:p>
    <w:p w14:paraId="12317755" w14:textId="77777777" w:rsidR="00B066AF" w:rsidRDefault="00E00800" w:rsidP="00010F64">
      <w:pPr>
        <w:pStyle w:val="Body"/>
        <w:spacing w:after="120"/>
        <w:rPr>
          <w:rFonts w:ascii="Arial" w:hAnsi="Arial" w:cs="Arial"/>
        </w:rPr>
      </w:pPr>
      <w:r w:rsidRPr="00E00800">
        <w:rPr>
          <w:rFonts w:ascii="Arial" w:hAnsi="Arial" w:cs="Arial"/>
        </w:rPr>
        <w:t>At the host level, the age of the chicken, breed, and history of gut diseases were all statistically significant (p&lt;0.05) factors associated with prevalence of isolated bacteria. Among the chicken sampled, starters had a higher prevalence of gut bacteria (83.8%) compared to growers (75.9%) and finishers (72.2%). Indigenous (</w:t>
      </w:r>
      <w:proofErr w:type="spellStart"/>
      <w:r w:rsidRPr="00E00800">
        <w:rPr>
          <w:rFonts w:ascii="Arial" w:hAnsi="Arial" w:cs="Arial"/>
          <w:i/>
          <w:iCs/>
        </w:rPr>
        <w:t>Kienyeji</w:t>
      </w:r>
      <w:proofErr w:type="spellEnd"/>
      <w:r w:rsidRPr="00E00800">
        <w:rPr>
          <w:rFonts w:ascii="Arial" w:hAnsi="Arial" w:cs="Arial"/>
        </w:rPr>
        <w:t>) chicken had a higher (82.6%) prevalence of bacterial infections compared to layers (71.4%) and broilers (66.7%). Chicken with previous gut infection had a higher prevalence (97.4%) of gut bacteria compared to those without (85.6%) any history of the diseases (Table 3).</w:t>
      </w:r>
    </w:p>
    <w:p w14:paraId="0EBBA91C" w14:textId="77777777" w:rsidR="00E00800" w:rsidRPr="00E00800" w:rsidRDefault="00E00800" w:rsidP="00010F64">
      <w:pPr>
        <w:pStyle w:val="Body"/>
        <w:spacing w:after="120"/>
        <w:rPr>
          <w:rFonts w:ascii="Arial" w:hAnsi="Arial" w:cs="Arial"/>
        </w:rPr>
      </w:pPr>
      <w:r w:rsidRPr="00E00800">
        <w:rPr>
          <w:rFonts w:ascii="Arial" w:hAnsi="Arial" w:cs="Arial"/>
        </w:rPr>
        <w:t xml:space="preserve"> </w:t>
      </w:r>
    </w:p>
    <w:p w14:paraId="5053579C" w14:textId="77777777" w:rsidR="00E00800" w:rsidRPr="00E00800" w:rsidRDefault="00E00800" w:rsidP="00010F64">
      <w:pPr>
        <w:pStyle w:val="Body"/>
        <w:spacing w:after="120"/>
        <w:rPr>
          <w:rFonts w:ascii="Arial" w:hAnsi="Arial" w:cs="Arial"/>
        </w:rPr>
      </w:pPr>
      <w:r w:rsidRPr="00E00800">
        <w:rPr>
          <w:rFonts w:ascii="Arial" w:hAnsi="Arial" w:cs="Arial"/>
          <w:b/>
        </w:rPr>
        <w:t>Table 3:</w:t>
      </w:r>
      <w:r w:rsidRPr="00E00800">
        <w:rPr>
          <w:rFonts w:ascii="Arial" w:hAnsi="Arial" w:cs="Arial"/>
        </w:rPr>
        <w:t xml:space="preserve"> </w:t>
      </w:r>
      <w:r w:rsidRPr="00E00800">
        <w:rPr>
          <w:rFonts w:ascii="Arial" w:hAnsi="Arial" w:cs="Arial"/>
          <w:b/>
        </w:rPr>
        <w:t xml:space="preserve">Bird-level factors associated with infection of gut bacteria among chicken kept in </w:t>
      </w:r>
      <w:proofErr w:type="spellStart"/>
      <w:r w:rsidRPr="00E00800">
        <w:rPr>
          <w:rFonts w:ascii="Arial" w:hAnsi="Arial" w:cs="Arial"/>
          <w:b/>
        </w:rPr>
        <w:t>Juja</w:t>
      </w:r>
      <w:proofErr w:type="spellEnd"/>
      <w:r w:rsidRPr="00E00800">
        <w:rPr>
          <w:rFonts w:ascii="Arial" w:hAnsi="Arial" w:cs="Arial"/>
          <w:b/>
        </w:rPr>
        <w:t xml:space="preserve"> subcounty</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1981"/>
        <w:gridCol w:w="1891"/>
        <w:gridCol w:w="991"/>
        <w:gridCol w:w="1441"/>
      </w:tblGrid>
      <w:tr w:rsidR="00E00800" w:rsidRPr="00E00800" w14:paraId="3DE611EC" w14:textId="77777777" w:rsidTr="00E00800">
        <w:trPr>
          <w:trHeight w:val="575"/>
        </w:trPr>
        <w:tc>
          <w:tcPr>
            <w:tcW w:w="2515" w:type="dxa"/>
            <w:tcBorders>
              <w:top w:val="single" w:sz="4" w:space="0" w:color="auto"/>
              <w:left w:val="single" w:sz="4" w:space="0" w:color="auto"/>
              <w:bottom w:val="single" w:sz="4" w:space="0" w:color="auto"/>
              <w:right w:val="single" w:sz="4" w:space="0" w:color="auto"/>
            </w:tcBorders>
            <w:hideMark/>
          </w:tcPr>
          <w:p w14:paraId="2854DD9B" w14:textId="77777777" w:rsidR="00E00800" w:rsidRPr="00E00800" w:rsidRDefault="00E00800" w:rsidP="00010F64">
            <w:pPr>
              <w:pStyle w:val="Body"/>
              <w:spacing w:after="120"/>
              <w:rPr>
                <w:rFonts w:ascii="Arial" w:hAnsi="Arial" w:cs="Arial"/>
                <w:b/>
                <w:bCs/>
              </w:rPr>
            </w:pPr>
            <w:r w:rsidRPr="00E00800">
              <w:rPr>
                <w:rFonts w:ascii="Arial" w:hAnsi="Arial" w:cs="Arial"/>
                <w:b/>
                <w:bCs/>
              </w:rPr>
              <w:t>Variable</w:t>
            </w:r>
          </w:p>
        </w:tc>
        <w:tc>
          <w:tcPr>
            <w:tcW w:w="1980" w:type="dxa"/>
            <w:tcBorders>
              <w:top w:val="single" w:sz="4" w:space="0" w:color="auto"/>
              <w:left w:val="single" w:sz="4" w:space="0" w:color="auto"/>
              <w:bottom w:val="single" w:sz="4" w:space="0" w:color="auto"/>
              <w:right w:val="single" w:sz="4" w:space="0" w:color="auto"/>
            </w:tcBorders>
            <w:hideMark/>
          </w:tcPr>
          <w:p w14:paraId="5AC6464B" w14:textId="77777777" w:rsidR="00E00800" w:rsidRPr="00E00800" w:rsidRDefault="00E00800" w:rsidP="00010F64">
            <w:pPr>
              <w:pStyle w:val="Body"/>
              <w:spacing w:after="120"/>
              <w:rPr>
                <w:rFonts w:ascii="Arial" w:hAnsi="Arial" w:cs="Arial"/>
              </w:rPr>
            </w:pPr>
            <w:r w:rsidRPr="00E00800">
              <w:rPr>
                <w:rFonts w:ascii="Arial" w:hAnsi="Arial" w:cs="Arial"/>
              </w:rPr>
              <w:t>L</w:t>
            </w:r>
            <w:r w:rsidRPr="00E00800">
              <w:rPr>
                <w:rFonts w:ascii="Arial" w:hAnsi="Arial" w:cs="Arial"/>
                <w:b/>
                <w:bCs/>
              </w:rPr>
              <w:t>evel</w:t>
            </w:r>
          </w:p>
        </w:tc>
        <w:tc>
          <w:tcPr>
            <w:tcW w:w="1890" w:type="dxa"/>
            <w:tcBorders>
              <w:top w:val="single" w:sz="4" w:space="0" w:color="auto"/>
              <w:left w:val="single" w:sz="4" w:space="0" w:color="auto"/>
              <w:bottom w:val="single" w:sz="4" w:space="0" w:color="auto"/>
              <w:right w:val="single" w:sz="4" w:space="0" w:color="auto"/>
            </w:tcBorders>
            <w:hideMark/>
          </w:tcPr>
          <w:p w14:paraId="038393ED" w14:textId="77777777" w:rsidR="00E00800" w:rsidRPr="00E00800" w:rsidRDefault="00E00800" w:rsidP="00010F64">
            <w:pPr>
              <w:pStyle w:val="Body"/>
              <w:spacing w:after="120"/>
              <w:rPr>
                <w:rFonts w:ascii="Arial" w:hAnsi="Arial" w:cs="Arial"/>
                <w:b/>
                <w:bCs/>
              </w:rPr>
            </w:pPr>
            <w:r w:rsidRPr="00E00800">
              <w:rPr>
                <w:rFonts w:ascii="Arial" w:hAnsi="Arial" w:cs="Arial"/>
                <w:b/>
                <w:bCs/>
              </w:rPr>
              <w:t xml:space="preserve">No of positive </w:t>
            </w:r>
          </w:p>
          <w:p w14:paraId="69CE950E" w14:textId="77777777" w:rsidR="00E00800" w:rsidRPr="00E00800" w:rsidRDefault="00E00800" w:rsidP="00010F64">
            <w:pPr>
              <w:pStyle w:val="Body"/>
              <w:spacing w:after="120"/>
              <w:rPr>
                <w:rFonts w:ascii="Arial" w:hAnsi="Arial" w:cs="Arial"/>
                <w:b/>
                <w:bCs/>
              </w:rPr>
            </w:pPr>
            <w:r w:rsidRPr="00E00800">
              <w:rPr>
                <w:rFonts w:ascii="Arial" w:hAnsi="Arial" w:cs="Arial"/>
                <w:b/>
                <w:bCs/>
              </w:rPr>
              <w:t>(n, %)</w:t>
            </w:r>
          </w:p>
        </w:tc>
        <w:tc>
          <w:tcPr>
            <w:tcW w:w="990" w:type="dxa"/>
            <w:tcBorders>
              <w:top w:val="single" w:sz="4" w:space="0" w:color="auto"/>
              <w:left w:val="single" w:sz="4" w:space="0" w:color="auto"/>
              <w:bottom w:val="single" w:sz="4" w:space="0" w:color="auto"/>
              <w:right w:val="single" w:sz="4" w:space="0" w:color="auto"/>
            </w:tcBorders>
            <w:hideMark/>
          </w:tcPr>
          <w:p w14:paraId="35392F80" w14:textId="77777777" w:rsidR="00E00800" w:rsidRPr="00E00800" w:rsidRDefault="00E00800" w:rsidP="00010F64">
            <w:pPr>
              <w:pStyle w:val="Body"/>
              <w:spacing w:after="120"/>
              <w:rPr>
                <w:rFonts w:ascii="Arial" w:hAnsi="Arial" w:cs="Arial"/>
                <w:b/>
                <w:bCs/>
              </w:rPr>
            </w:pPr>
            <w:r w:rsidRPr="00E00800">
              <w:rPr>
                <w:rFonts w:ascii="Arial" w:hAnsi="Arial" w:cs="Arial"/>
                <w:b/>
                <w:bCs/>
              </w:rPr>
              <w:t>Odds ratio</w:t>
            </w:r>
          </w:p>
        </w:tc>
        <w:tc>
          <w:tcPr>
            <w:tcW w:w="1440" w:type="dxa"/>
            <w:tcBorders>
              <w:top w:val="single" w:sz="4" w:space="0" w:color="auto"/>
              <w:left w:val="single" w:sz="4" w:space="0" w:color="auto"/>
              <w:bottom w:val="single" w:sz="4" w:space="0" w:color="auto"/>
              <w:right w:val="single" w:sz="4" w:space="0" w:color="auto"/>
            </w:tcBorders>
            <w:hideMark/>
          </w:tcPr>
          <w:p w14:paraId="6DE00D2D" w14:textId="77777777" w:rsidR="00E00800" w:rsidRPr="00E00800" w:rsidRDefault="00E00800" w:rsidP="00010F64">
            <w:pPr>
              <w:pStyle w:val="Body"/>
              <w:spacing w:after="120"/>
              <w:rPr>
                <w:rFonts w:ascii="Arial" w:hAnsi="Arial" w:cs="Arial"/>
                <w:b/>
                <w:bCs/>
              </w:rPr>
            </w:pPr>
            <w:r w:rsidRPr="00E00800">
              <w:rPr>
                <w:rFonts w:ascii="Arial" w:hAnsi="Arial" w:cs="Arial"/>
                <w:b/>
                <w:bCs/>
              </w:rPr>
              <w:t>p-</w:t>
            </w:r>
          </w:p>
          <w:p w14:paraId="476662B8" w14:textId="77777777" w:rsidR="00E00800" w:rsidRPr="00E00800" w:rsidRDefault="00E00800" w:rsidP="00010F64">
            <w:pPr>
              <w:pStyle w:val="Body"/>
              <w:spacing w:after="120"/>
              <w:rPr>
                <w:rFonts w:ascii="Arial" w:hAnsi="Arial" w:cs="Arial"/>
                <w:b/>
                <w:bCs/>
              </w:rPr>
            </w:pPr>
            <w:r w:rsidRPr="00E00800">
              <w:rPr>
                <w:rFonts w:ascii="Arial" w:hAnsi="Arial" w:cs="Arial"/>
                <w:b/>
                <w:bCs/>
              </w:rPr>
              <w:t>value</w:t>
            </w:r>
          </w:p>
        </w:tc>
      </w:tr>
      <w:tr w:rsidR="00E00800" w:rsidRPr="00E00800" w14:paraId="27CB7681" w14:textId="77777777" w:rsidTr="00E00800">
        <w:trPr>
          <w:trHeight w:val="233"/>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3E4A65D9" w14:textId="77777777" w:rsidR="00E00800" w:rsidRPr="00E00800" w:rsidRDefault="00E00800" w:rsidP="00010F64">
            <w:pPr>
              <w:pStyle w:val="Body"/>
              <w:spacing w:after="120"/>
              <w:rPr>
                <w:rFonts w:ascii="Arial" w:hAnsi="Arial" w:cs="Arial"/>
              </w:rPr>
            </w:pPr>
            <w:r w:rsidRPr="00E00800">
              <w:rPr>
                <w:rFonts w:ascii="Arial" w:hAnsi="Arial" w:cs="Arial"/>
              </w:rPr>
              <w:t xml:space="preserve">Age of chicken </w:t>
            </w:r>
          </w:p>
        </w:tc>
        <w:tc>
          <w:tcPr>
            <w:tcW w:w="1980" w:type="dxa"/>
            <w:tcBorders>
              <w:top w:val="single" w:sz="4" w:space="0" w:color="auto"/>
              <w:left w:val="single" w:sz="4" w:space="0" w:color="auto"/>
              <w:bottom w:val="single" w:sz="4" w:space="0" w:color="auto"/>
              <w:right w:val="single" w:sz="4" w:space="0" w:color="auto"/>
            </w:tcBorders>
            <w:hideMark/>
          </w:tcPr>
          <w:p w14:paraId="47320AE0" w14:textId="77777777" w:rsidR="00E00800" w:rsidRPr="00E00800" w:rsidRDefault="00E00800" w:rsidP="00010F64">
            <w:pPr>
              <w:pStyle w:val="Body"/>
              <w:spacing w:after="120"/>
              <w:rPr>
                <w:rFonts w:ascii="Arial" w:hAnsi="Arial" w:cs="Arial"/>
              </w:rPr>
            </w:pPr>
            <w:r w:rsidRPr="00E00800">
              <w:rPr>
                <w:rFonts w:ascii="Arial" w:hAnsi="Arial" w:cs="Arial"/>
              </w:rPr>
              <w:t xml:space="preserve"> Starter (n=31)</w:t>
            </w:r>
          </w:p>
        </w:tc>
        <w:tc>
          <w:tcPr>
            <w:tcW w:w="1890" w:type="dxa"/>
            <w:tcBorders>
              <w:top w:val="single" w:sz="4" w:space="0" w:color="auto"/>
              <w:left w:val="single" w:sz="4" w:space="0" w:color="auto"/>
              <w:bottom w:val="single" w:sz="4" w:space="0" w:color="auto"/>
              <w:right w:val="single" w:sz="4" w:space="0" w:color="auto"/>
            </w:tcBorders>
            <w:hideMark/>
          </w:tcPr>
          <w:p w14:paraId="65D8136E" w14:textId="77777777" w:rsidR="00E00800" w:rsidRPr="00E00800" w:rsidRDefault="00E00800" w:rsidP="00010F64">
            <w:pPr>
              <w:pStyle w:val="Body"/>
              <w:spacing w:after="120"/>
              <w:rPr>
                <w:rFonts w:ascii="Arial" w:hAnsi="Arial" w:cs="Arial"/>
              </w:rPr>
            </w:pPr>
            <w:r w:rsidRPr="00E00800">
              <w:rPr>
                <w:rFonts w:ascii="Arial" w:hAnsi="Arial" w:cs="Arial"/>
              </w:rPr>
              <w:t>26 (83.8)</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2D6E5DEB" w14:textId="77777777" w:rsidR="00E00800" w:rsidRPr="00E00800" w:rsidRDefault="00E00800" w:rsidP="00010F64">
            <w:pPr>
              <w:pStyle w:val="Body"/>
              <w:spacing w:after="120"/>
              <w:rPr>
                <w:rFonts w:ascii="Arial" w:hAnsi="Arial" w:cs="Arial"/>
              </w:rPr>
            </w:pPr>
            <w:r w:rsidRPr="00E00800">
              <w:rPr>
                <w:rFonts w:ascii="Arial" w:hAnsi="Arial" w:cs="Arial"/>
              </w:rPr>
              <w:t>0.53</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E15DCFB" w14:textId="77777777" w:rsidR="00E00800" w:rsidRPr="00E00800" w:rsidRDefault="00E00800" w:rsidP="00010F64">
            <w:pPr>
              <w:pStyle w:val="Body"/>
              <w:spacing w:after="120"/>
              <w:rPr>
                <w:rFonts w:ascii="Arial" w:hAnsi="Arial" w:cs="Arial"/>
              </w:rPr>
            </w:pPr>
            <w:r w:rsidRPr="00E00800">
              <w:rPr>
                <w:rFonts w:ascii="Arial" w:hAnsi="Arial" w:cs="Arial"/>
              </w:rPr>
              <w:t>0.023</w:t>
            </w:r>
          </w:p>
        </w:tc>
      </w:tr>
      <w:tr w:rsidR="00E00800" w:rsidRPr="00E00800" w14:paraId="52BBFEE5" w14:textId="77777777" w:rsidTr="00E00800">
        <w:tc>
          <w:tcPr>
            <w:tcW w:w="2515" w:type="dxa"/>
            <w:vMerge/>
            <w:tcBorders>
              <w:top w:val="single" w:sz="4" w:space="0" w:color="auto"/>
              <w:left w:val="single" w:sz="4" w:space="0" w:color="auto"/>
              <w:bottom w:val="single" w:sz="4" w:space="0" w:color="auto"/>
              <w:right w:val="single" w:sz="4" w:space="0" w:color="auto"/>
            </w:tcBorders>
            <w:vAlign w:val="center"/>
            <w:hideMark/>
          </w:tcPr>
          <w:p w14:paraId="438E0D4D"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3BA12607" w14:textId="77777777" w:rsidR="00E00800" w:rsidRPr="00E00800" w:rsidRDefault="00E00800" w:rsidP="00010F64">
            <w:pPr>
              <w:pStyle w:val="Body"/>
              <w:spacing w:after="120"/>
              <w:rPr>
                <w:rFonts w:ascii="Arial" w:hAnsi="Arial" w:cs="Arial"/>
              </w:rPr>
            </w:pPr>
            <w:r w:rsidRPr="00E00800">
              <w:rPr>
                <w:rFonts w:ascii="Arial" w:hAnsi="Arial" w:cs="Arial"/>
              </w:rPr>
              <w:t>Grower (n=79)</w:t>
            </w:r>
          </w:p>
        </w:tc>
        <w:tc>
          <w:tcPr>
            <w:tcW w:w="1890" w:type="dxa"/>
            <w:tcBorders>
              <w:top w:val="single" w:sz="4" w:space="0" w:color="auto"/>
              <w:left w:val="single" w:sz="4" w:space="0" w:color="auto"/>
              <w:bottom w:val="single" w:sz="4" w:space="0" w:color="auto"/>
              <w:right w:val="single" w:sz="4" w:space="0" w:color="auto"/>
            </w:tcBorders>
            <w:hideMark/>
          </w:tcPr>
          <w:p w14:paraId="303CB954" w14:textId="77777777" w:rsidR="00E00800" w:rsidRPr="00E00800" w:rsidRDefault="00E00800" w:rsidP="00010F64">
            <w:pPr>
              <w:pStyle w:val="Body"/>
              <w:spacing w:after="120"/>
              <w:rPr>
                <w:rFonts w:ascii="Arial" w:hAnsi="Arial" w:cs="Arial"/>
              </w:rPr>
            </w:pPr>
            <w:r w:rsidRPr="00E00800">
              <w:rPr>
                <w:rFonts w:ascii="Arial" w:hAnsi="Arial" w:cs="Arial"/>
              </w:rPr>
              <w:t>60 (75.9)</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49E9CBD"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3EFD49A" w14:textId="77777777" w:rsidR="00E00800" w:rsidRPr="00E00800" w:rsidRDefault="00E00800" w:rsidP="00010F64">
            <w:pPr>
              <w:pStyle w:val="Body"/>
              <w:spacing w:after="120"/>
              <w:rPr>
                <w:rFonts w:ascii="Arial" w:hAnsi="Arial" w:cs="Arial"/>
              </w:rPr>
            </w:pPr>
          </w:p>
        </w:tc>
      </w:tr>
      <w:tr w:rsidR="00E00800" w:rsidRPr="00E00800" w14:paraId="7209D5B7" w14:textId="77777777" w:rsidTr="00E00800">
        <w:trPr>
          <w:trHeight w:val="404"/>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112E8736"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4105EB4C" w14:textId="77777777" w:rsidR="00E00800" w:rsidRPr="00E00800" w:rsidRDefault="00E00800" w:rsidP="00010F64">
            <w:pPr>
              <w:pStyle w:val="Body"/>
              <w:spacing w:after="120"/>
              <w:rPr>
                <w:rFonts w:ascii="Arial" w:hAnsi="Arial" w:cs="Arial"/>
              </w:rPr>
            </w:pPr>
            <w:r w:rsidRPr="00E00800">
              <w:rPr>
                <w:rFonts w:ascii="Arial" w:hAnsi="Arial" w:cs="Arial"/>
              </w:rPr>
              <w:t>Finisher (n=90)</w:t>
            </w:r>
          </w:p>
        </w:tc>
        <w:tc>
          <w:tcPr>
            <w:tcW w:w="1890" w:type="dxa"/>
            <w:tcBorders>
              <w:top w:val="single" w:sz="4" w:space="0" w:color="auto"/>
              <w:left w:val="single" w:sz="4" w:space="0" w:color="auto"/>
              <w:bottom w:val="single" w:sz="4" w:space="0" w:color="auto"/>
              <w:right w:val="single" w:sz="4" w:space="0" w:color="auto"/>
            </w:tcBorders>
            <w:hideMark/>
          </w:tcPr>
          <w:p w14:paraId="1B20A3CB" w14:textId="77777777" w:rsidR="00E00800" w:rsidRPr="00E00800" w:rsidRDefault="00E00800" w:rsidP="00010F64">
            <w:pPr>
              <w:pStyle w:val="Body"/>
              <w:spacing w:after="120"/>
              <w:rPr>
                <w:rFonts w:ascii="Arial" w:hAnsi="Arial" w:cs="Arial"/>
              </w:rPr>
            </w:pPr>
            <w:r w:rsidRPr="00E00800">
              <w:rPr>
                <w:rFonts w:ascii="Arial" w:hAnsi="Arial" w:cs="Arial"/>
              </w:rPr>
              <w:t>65 (72.2)</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E386CC6"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5B1D373" w14:textId="77777777" w:rsidR="00E00800" w:rsidRPr="00E00800" w:rsidRDefault="00E00800" w:rsidP="00010F64">
            <w:pPr>
              <w:pStyle w:val="Body"/>
              <w:spacing w:after="120"/>
              <w:rPr>
                <w:rFonts w:ascii="Arial" w:hAnsi="Arial" w:cs="Arial"/>
              </w:rPr>
            </w:pPr>
          </w:p>
        </w:tc>
      </w:tr>
      <w:tr w:rsidR="00E00800" w:rsidRPr="00E00800" w14:paraId="38316F11" w14:textId="77777777" w:rsidTr="00E00800">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7E58BFBE" w14:textId="77777777" w:rsidR="00E00800" w:rsidRPr="00E00800" w:rsidRDefault="00E00800" w:rsidP="00010F64">
            <w:pPr>
              <w:pStyle w:val="Body"/>
              <w:spacing w:after="120"/>
              <w:rPr>
                <w:rFonts w:ascii="Arial" w:hAnsi="Arial" w:cs="Arial"/>
              </w:rPr>
            </w:pPr>
            <w:r w:rsidRPr="00E00800">
              <w:rPr>
                <w:rFonts w:ascii="Arial" w:hAnsi="Arial" w:cs="Arial"/>
              </w:rPr>
              <w:t>Breed of the chicken</w:t>
            </w:r>
          </w:p>
        </w:tc>
        <w:tc>
          <w:tcPr>
            <w:tcW w:w="1980" w:type="dxa"/>
            <w:tcBorders>
              <w:top w:val="single" w:sz="4" w:space="0" w:color="auto"/>
              <w:left w:val="single" w:sz="4" w:space="0" w:color="auto"/>
              <w:bottom w:val="single" w:sz="4" w:space="0" w:color="auto"/>
              <w:right w:val="single" w:sz="4" w:space="0" w:color="auto"/>
            </w:tcBorders>
            <w:hideMark/>
          </w:tcPr>
          <w:p w14:paraId="2DC0DC61" w14:textId="77777777" w:rsidR="00E00800" w:rsidRPr="00E00800" w:rsidRDefault="00E00800" w:rsidP="00010F64">
            <w:pPr>
              <w:pStyle w:val="Body"/>
              <w:spacing w:after="120"/>
              <w:rPr>
                <w:rFonts w:ascii="Arial" w:hAnsi="Arial" w:cs="Arial"/>
              </w:rPr>
            </w:pPr>
            <w:proofErr w:type="spellStart"/>
            <w:r w:rsidRPr="00E00800">
              <w:rPr>
                <w:rFonts w:ascii="Arial" w:hAnsi="Arial" w:cs="Arial"/>
              </w:rPr>
              <w:t>Kienyeji</w:t>
            </w:r>
            <w:proofErr w:type="spellEnd"/>
            <w:r w:rsidRPr="00E00800">
              <w:rPr>
                <w:rFonts w:ascii="Arial" w:hAnsi="Arial" w:cs="Arial"/>
              </w:rPr>
              <w:t xml:space="preserve"> (n=98)</w:t>
            </w:r>
          </w:p>
        </w:tc>
        <w:tc>
          <w:tcPr>
            <w:tcW w:w="1890" w:type="dxa"/>
            <w:tcBorders>
              <w:top w:val="single" w:sz="4" w:space="0" w:color="auto"/>
              <w:left w:val="single" w:sz="4" w:space="0" w:color="auto"/>
              <w:bottom w:val="single" w:sz="4" w:space="0" w:color="auto"/>
              <w:right w:val="single" w:sz="4" w:space="0" w:color="auto"/>
            </w:tcBorders>
            <w:hideMark/>
          </w:tcPr>
          <w:p w14:paraId="5AD32E8F" w14:textId="77777777" w:rsidR="00E00800" w:rsidRPr="00E00800" w:rsidRDefault="00E00800" w:rsidP="00010F64">
            <w:pPr>
              <w:pStyle w:val="Body"/>
              <w:spacing w:after="120"/>
              <w:rPr>
                <w:rFonts w:ascii="Arial" w:hAnsi="Arial" w:cs="Arial"/>
              </w:rPr>
            </w:pPr>
            <w:r w:rsidRPr="00E00800">
              <w:rPr>
                <w:rFonts w:ascii="Arial" w:hAnsi="Arial" w:cs="Arial"/>
              </w:rPr>
              <w:t>81 (82.6)</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72ADFC10" w14:textId="77777777" w:rsidR="00E00800" w:rsidRPr="00E00800" w:rsidRDefault="00E00800" w:rsidP="00010F64">
            <w:pPr>
              <w:pStyle w:val="Body"/>
              <w:spacing w:after="120"/>
              <w:rPr>
                <w:rFonts w:ascii="Arial" w:hAnsi="Arial" w:cs="Arial"/>
              </w:rPr>
            </w:pPr>
            <w:r w:rsidRPr="00E00800">
              <w:rPr>
                <w:rFonts w:ascii="Arial" w:hAnsi="Arial" w:cs="Arial"/>
              </w:rPr>
              <w:t>1.26</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7ABE308" w14:textId="77777777" w:rsidR="00E00800" w:rsidRPr="00E00800" w:rsidRDefault="00E00800" w:rsidP="00010F64">
            <w:pPr>
              <w:pStyle w:val="Body"/>
              <w:spacing w:after="120"/>
              <w:rPr>
                <w:rFonts w:ascii="Arial" w:hAnsi="Arial" w:cs="Arial"/>
              </w:rPr>
            </w:pPr>
            <w:r w:rsidRPr="00E00800">
              <w:rPr>
                <w:rFonts w:ascii="Arial" w:hAnsi="Arial" w:cs="Arial"/>
              </w:rPr>
              <w:t>0.026</w:t>
            </w:r>
          </w:p>
        </w:tc>
      </w:tr>
      <w:tr w:rsidR="00E00800" w:rsidRPr="00E00800" w14:paraId="578FEB44" w14:textId="77777777" w:rsidTr="00E00800">
        <w:trPr>
          <w:trHeight w:val="368"/>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5B7EABC0"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258FD705" w14:textId="77777777" w:rsidR="00E00800" w:rsidRPr="00E00800" w:rsidRDefault="00E00800" w:rsidP="00010F64">
            <w:pPr>
              <w:pStyle w:val="Body"/>
              <w:spacing w:after="120"/>
              <w:rPr>
                <w:rFonts w:ascii="Arial" w:hAnsi="Arial" w:cs="Arial"/>
              </w:rPr>
            </w:pPr>
            <w:r w:rsidRPr="00E00800">
              <w:rPr>
                <w:rFonts w:ascii="Arial" w:hAnsi="Arial" w:cs="Arial"/>
              </w:rPr>
              <w:t>Improved (n=62)</w:t>
            </w:r>
          </w:p>
        </w:tc>
        <w:tc>
          <w:tcPr>
            <w:tcW w:w="1890" w:type="dxa"/>
            <w:tcBorders>
              <w:top w:val="single" w:sz="4" w:space="0" w:color="auto"/>
              <w:left w:val="single" w:sz="4" w:space="0" w:color="auto"/>
              <w:bottom w:val="single" w:sz="4" w:space="0" w:color="auto"/>
              <w:right w:val="single" w:sz="4" w:space="0" w:color="auto"/>
            </w:tcBorders>
            <w:hideMark/>
          </w:tcPr>
          <w:p w14:paraId="1A388E5F" w14:textId="77777777" w:rsidR="00E00800" w:rsidRPr="00E00800" w:rsidRDefault="00E00800" w:rsidP="00010F64">
            <w:pPr>
              <w:pStyle w:val="Body"/>
              <w:spacing w:after="120"/>
              <w:rPr>
                <w:rFonts w:ascii="Arial" w:hAnsi="Arial" w:cs="Arial"/>
              </w:rPr>
            </w:pPr>
            <w:r w:rsidRPr="00E00800">
              <w:rPr>
                <w:rFonts w:ascii="Arial" w:hAnsi="Arial" w:cs="Arial"/>
              </w:rPr>
              <w:t>50 (80.1)</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6BA84CB"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C850EA7" w14:textId="77777777" w:rsidR="00E00800" w:rsidRPr="00E00800" w:rsidRDefault="00E00800" w:rsidP="00010F64">
            <w:pPr>
              <w:pStyle w:val="Body"/>
              <w:spacing w:after="120"/>
              <w:rPr>
                <w:rFonts w:ascii="Arial" w:hAnsi="Arial" w:cs="Arial"/>
              </w:rPr>
            </w:pPr>
          </w:p>
        </w:tc>
      </w:tr>
      <w:tr w:rsidR="00E00800" w:rsidRPr="00E00800" w14:paraId="3C8D23C6" w14:textId="77777777" w:rsidTr="00E00800">
        <w:trPr>
          <w:trHeight w:val="70"/>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47417E4C"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36970758" w14:textId="77777777" w:rsidR="00E00800" w:rsidRPr="00E00800" w:rsidRDefault="00E00800" w:rsidP="00010F64">
            <w:pPr>
              <w:pStyle w:val="Body"/>
              <w:spacing w:after="120"/>
              <w:rPr>
                <w:rFonts w:ascii="Arial" w:hAnsi="Arial" w:cs="Arial"/>
              </w:rPr>
            </w:pPr>
            <w:r w:rsidRPr="00E00800">
              <w:rPr>
                <w:rFonts w:ascii="Arial" w:hAnsi="Arial" w:cs="Arial"/>
              </w:rPr>
              <w:t>Layers (n=28)</w:t>
            </w:r>
          </w:p>
        </w:tc>
        <w:tc>
          <w:tcPr>
            <w:tcW w:w="1890" w:type="dxa"/>
            <w:tcBorders>
              <w:top w:val="single" w:sz="4" w:space="0" w:color="auto"/>
              <w:left w:val="single" w:sz="4" w:space="0" w:color="auto"/>
              <w:bottom w:val="single" w:sz="4" w:space="0" w:color="auto"/>
              <w:right w:val="single" w:sz="4" w:space="0" w:color="auto"/>
            </w:tcBorders>
            <w:hideMark/>
          </w:tcPr>
          <w:p w14:paraId="5B019DB9" w14:textId="77777777" w:rsidR="00E00800" w:rsidRPr="00E00800" w:rsidRDefault="00E00800" w:rsidP="00010F64">
            <w:pPr>
              <w:pStyle w:val="Body"/>
              <w:spacing w:after="120"/>
              <w:rPr>
                <w:rFonts w:ascii="Arial" w:hAnsi="Arial" w:cs="Arial"/>
              </w:rPr>
            </w:pPr>
            <w:r w:rsidRPr="00E00800">
              <w:rPr>
                <w:rFonts w:ascii="Arial" w:hAnsi="Arial" w:cs="Arial"/>
              </w:rPr>
              <w:t>21 (71.4)</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80CAB7B"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91B6F64" w14:textId="77777777" w:rsidR="00E00800" w:rsidRPr="00E00800" w:rsidRDefault="00E00800" w:rsidP="00010F64">
            <w:pPr>
              <w:pStyle w:val="Body"/>
              <w:spacing w:after="120"/>
              <w:rPr>
                <w:rFonts w:ascii="Arial" w:hAnsi="Arial" w:cs="Arial"/>
              </w:rPr>
            </w:pPr>
          </w:p>
        </w:tc>
      </w:tr>
      <w:tr w:rsidR="00E00800" w:rsidRPr="00E00800" w14:paraId="508FF253" w14:textId="77777777" w:rsidTr="00E00800">
        <w:tc>
          <w:tcPr>
            <w:tcW w:w="2515" w:type="dxa"/>
            <w:vMerge/>
            <w:tcBorders>
              <w:top w:val="single" w:sz="4" w:space="0" w:color="auto"/>
              <w:left w:val="single" w:sz="4" w:space="0" w:color="auto"/>
              <w:bottom w:val="single" w:sz="4" w:space="0" w:color="auto"/>
              <w:right w:val="single" w:sz="4" w:space="0" w:color="auto"/>
            </w:tcBorders>
            <w:vAlign w:val="center"/>
            <w:hideMark/>
          </w:tcPr>
          <w:p w14:paraId="0DA2319C"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2255D683" w14:textId="77777777" w:rsidR="00E00800" w:rsidRPr="00E00800" w:rsidRDefault="00E00800" w:rsidP="00010F64">
            <w:pPr>
              <w:pStyle w:val="Body"/>
              <w:spacing w:after="120"/>
              <w:rPr>
                <w:rFonts w:ascii="Arial" w:hAnsi="Arial" w:cs="Arial"/>
              </w:rPr>
            </w:pPr>
            <w:r w:rsidRPr="00E00800">
              <w:rPr>
                <w:rFonts w:ascii="Arial" w:hAnsi="Arial" w:cs="Arial"/>
              </w:rPr>
              <w:t>Broilers (n=12)</w:t>
            </w:r>
          </w:p>
        </w:tc>
        <w:tc>
          <w:tcPr>
            <w:tcW w:w="1890" w:type="dxa"/>
            <w:tcBorders>
              <w:top w:val="single" w:sz="4" w:space="0" w:color="auto"/>
              <w:left w:val="single" w:sz="4" w:space="0" w:color="auto"/>
              <w:bottom w:val="single" w:sz="4" w:space="0" w:color="auto"/>
              <w:right w:val="single" w:sz="4" w:space="0" w:color="auto"/>
            </w:tcBorders>
            <w:hideMark/>
          </w:tcPr>
          <w:p w14:paraId="521312D7" w14:textId="77777777" w:rsidR="00E00800" w:rsidRPr="00E00800" w:rsidRDefault="00E00800" w:rsidP="00010F64">
            <w:pPr>
              <w:pStyle w:val="Body"/>
              <w:spacing w:after="120"/>
              <w:rPr>
                <w:rFonts w:ascii="Arial" w:hAnsi="Arial" w:cs="Arial"/>
              </w:rPr>
            </w:pPr>
            <w:r w:rsidRPr="00E00800">
              <w:rPr>
                <w:rFonts w:ascii="Arial" w:hAnsi="Arial" w:cs="Arial"/>
              </w:rPr>
              <w:t>8 (66.7)</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0C6A53C"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FBDD48D" w14:textId="77777777" w:rsidR="00E00800" w:rsidRPr="00E00800" w:rsidRDefault="00E00800" w:rsidP="00010F64">
            <w:pPr>
              <w:pStyle w:val="Body"/>
              <w:spacing w:after="120"/>
              <w:rPr>
                <w:rFonts w:ascii="Arial" w:hAnsi="Arial" w:cs="Arial"/>
              </w:rPr>
            </w:pPr>
          </w:p>
        </w:tc>
      </w:tr>
      <w:tr w:rsidR="00E00800" w:rsidRPr="00E00800" w14:paraId="10A8568E" w14:textId="77777777" w:rsidTr="00E00800">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3D503078" w14:textId="77777777" w:rsidR="00E00800" w:rsidRPr="00E00800" w:rsidRDefault="00E00800" w:rsidP="00010F64">
            <w:pPr>
              <w:pStyle w:val="Body"/>
              <w:spacing w:after="120"/>
              <w:rPr>
                <w:rFonts w:ascii="Arial" w:hAnsi="Arial" w:cs="Arial"/>
              </w:rPr>
            </w:pPr>
            <w:r w:rsidRPr="00E00800">
              <w:rPr>
                <w:rFonts w:ascii="Arial" w:hAnsi="Arial" w:cs="Arial"/>
              </w:rPr>
              <w:t>Birds’ density (/m2)</w:t>
            </w:r>
          </w:p>
        </w:tc>
        <w:tc>
          <w:tcPr>
            <w:tcW w:w="1980" w:type="dxa"/>
            <w:tcBorders>
              <w:top w:val="single" w:sz="4" w:space="0" w:color="auto"/>
              <w:left w:val="single" w:sz="4" w:space="0" w:color="auto"/>
              <w:bottom w:val="single" w:sz="4" w:space="0" w:color="auto"/>
              <w:right w:val="single" w:sz="4" w:space="0" w:color="auto"/>
            </w:tcBorders>
            <w:hideMark/>
          </w:tcPr>
          <w:p w14:paraId="48604F06" w14:textId="77777777" w:rsidR="00E00800" w:rsidRPr="00E00800" w:rsidRDefault="00E00800" w:rsidP="00010F64">
            <w:pPr>
              <w:pStyle w:val="Body"/>
              <w:spacing w:after="120"/>
              <w:rPr>
                <w:rFonts w:ascii="Arial" w:hAnsi="Arial" w:cs="Arial"/>
              </w:rPr>
            </w:pPr>
            <w:r w:rsidRPr="00E00800">
              <w:rPr>
                <w:rFonts w:ascii="Arial" w:hAnsi="Arial" w:cs="Arial"/>
                <w:bCs/>
              </w:rPr>
              <w:t>1-4 birds (n=110)</w:t>
            </w:r>
          </w:p>
        </w:tc>
        <w:tc>
          <w:tcPr>
            <w:tcW w:w="1890" w:type="dxa"/>
            <w:tcBorders>
              <w:top w:val="single" w:sz="4" w:space="0" w:color="auto"/>
              <w:left w:val="single" w:sz="4" w:space="0" w:color="auto"/>
              <w:bottom w:val="single" w:sz="4" w:space="0" w:color="auto"/>
              <w:right w:val="single" w:sz="4" w:space="0" w:color="auto"/>
            </w:tcBorders>
            <w:hideMark/>
          </w:tcPr>
          <w:p w14:paraId="31C47472" w14:textId="77777777" w:rsidR="00E00800" w:rsidRPr="00E00800" w:rsidRDefault="00E00800" w:rsidP="00010F64">
            <w:pPr>
              <w:pStyle w:val="Body"/>
              <w:spacing w:after="120"/>
              <w:rPr>
                <w:rFonts w:ascii="Arial" w:hAnsi="Arial" w:cs="Arial"/>
              </w:rPr>
            </w:pPr>
            <w:r w:rsidRPr="00E00800">
              <w:rPr>
                <w:rFonts w:ascii="Arial" w:hAnsi="Arial" w:cs="Arial"/>
                <w:bCs/>
              </w:rPr>
              <w:t>70 (63.6)</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58B3F608" w14:textId="77777777" w:rsidR="00E00800" w:rsidRPr="00E00800" w:rsidRDefault="00E00800" w:rsidP="00010F64">
            <w:pPr>
              <w:pStyle w:val="Body"/>
              <w:spacing w:after="120"/>
              <w:rPr>
                <w:rFonts w:ascii="Arial" w:hAnsi="Arial" w:cs="Arial"/>
              </w:rPr>
            </w:pPr>
            <w:r w:rsidRPr="00E00800">
              <w:rPr>
                <w:rFonts w:ascii="Arial" w:hAnsi="Arial" w:cs="Arial"/>
              </w:rPr>
              <w:t>2.52</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AF268BA" w14:textId="77777777" w:rsidR="00E00800" w:rsidRPr="00E00800" w:rsidRDefault="00E00800" w:rsidP="00010F64">
            <w:pPr>
              <w:pStyle w:val="Body"/>
              <w:spacing w:after="120"/>
              <w:rPr>
                <w:rFonts w:ascii="Arial" w:hAnsi="Arial" w:cs="Arial"/>
              </w:rPr>
            </w:pPr>
            <w:r w:rsidRPr="00E00800">
              <w:rPr>
                <w:rFonts w:ascii="Arial" w:hAnsi="Arial" w:cs="Arial"/>
              </w:rPr>
              <w:t>0.152</w:t>
            </w:r>
          </w:p>
        </w:tc>
      </w:tr>
      <w:tr w:rsidR="00E00800" w:rsidRPr="00E00800" w14:paraId="1A9CA34D" w14:textId="77777777" w:rsidTr="00E00800">
        <w:tc>
          <w:tcPr>
            <w:tcW w:w="2515" w:type="dxa"/>
            <w:vMerge/>
            <w:tcBorders>
              <w:top w:val="single" w:sz="4" w:space="0" w:color="auto"/>
              <w:left w:val="single" w:sz="4" w:space="0" w:color="auto"/>
              <w:bottom w:val="single" w:sz="4" w:space="0" w:color="auto"/>
              <w:right w:val="single" w:sz="4" w:space="0" w:color="auto"/>
            </w:tcBorders>
            <w:vAlign w:val="center"/>
            <w:hideMark/>
          </w:tcPr>
          <w:p w14:paraId="250D34CB"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06AF13DC" w14:textId="77777777" w:rsidR="00E00800" w:rsidRPr="00E00800" w:rsidRDefault="00E00800" w:rsidP="00010F64">
            <w:pPr>
              <w:pStyle w:val="Body"/>
              <w:spacing w:after="120"/>
              <w:rPr>
                <w:rFonts w:ascii="Arial" w:hAnsi="Arial" w:cs="Arial"/>
              </w:rPr>
            </w:pPr>
            <w:r w:rsidRPr="00E00800">
              <w:rPr>
                <w:rFonts w:ascii="Arial" w:hAnsi="Arial" w:cs="Arial"/>
                <w:bCs/>
              </w:rPr>
              <w:t xml:space="preserve">5-9 birds (n=65) </w:t>
            </w:r>
          </w:p>
        </w:tc>
        <w:tc>
          <w:tcPr>
            <w:tcW w:w="1890" w:type="dxa"/>
            <w:tcBorders>
              <w:top w:val="single" w:sz="4" w:space="0" w:color="auto"/>
              <w:left w:val="single" w:sz="4" w:space="0" w:color="auto"/>
              <w:bottom w:val="single" w:sz="4" w:space="0" w:color="auto"/>
              <w:right w:val="single" w:sz="4" w:space="0" w:color="auto"/>
            </w:tcBorders>
            <w:hideMark/>
          </w:tcPr>
          <w:p w14:paraId="059996AC" w14:textId="77777777" w:rsidR="00E00800" w:rsidRPr="00E00800" w:rsidRDefault="00E00800" w:rsidP="00010F64">
            <w:pPr>
              <w:pStyle w:val="Body"/>
              <w:spacing w:after="120"/>
              <w:rPr>
                <w:rFonts w:ascii="Arial" w:hAnsi="Arial" w:cs="Arial"/>
              </w:rPr>
            </w:pPr>
            <w:r w:rsidRPr="00E00800">
              <w:rPr>
                <w:rFonts w:ascii="Arial" w:hAnsi="Arial" w:cs="Arial"/>
                <w:bCs/>
              </w:rPr>
              <w:t>40 (61.5)</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035FD5A"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24560BA" w14:textId="77777777" w:rsidR="00E00800" w:rsidRPr="00E00800" w:rsidRDefault="00E00800" w:rsidP="00010F64">
            <w:pPr>
              <w:pStyle w:val="Body"/>
              <w:spacing w:after="120"/>
              <w:rPr>
                <w:rFonts w:ascii="Arial" w:hAnsi="Arial" w:cs="Arial"/>
              </w:rPr>
            </w:pPr>
          </w:p>
        </w:tc>
      </w:tr>
      <w:tr w:rsidR="00E00800" w:rsidRPr="00E00800" w14:paraId="580367E3" w14:textId="77777777" w:rsidTr="00E00800">
        <w:tc>
          <w:tcPr>
            <w:tcW w:w="2515" w:type="dxa"/>
            <w:vMerge/>
            <w:tcBorders>
              <w:top w:val="single" w:sz="4" w:space="0" w:color="auto"/>
              <w:left w:val="single" w:sz="4" w:space="0" w:color="auto"/>
              <w:bottom w:val="single" w:sz="4" w:space="0" w:color="auto"/>
              <w:right w:val="single" w:sz="4" w:space="0" w:color="auto"/>
            </w:tcBorders>
            <w:vAlign w:val="center"/>
            <w:hideMark/>
          </w:tcPr>
          <w:p w14:paraId="063191C0"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36B11EE2" w14:textId="77777777" w:rsidR="00E00800" w:rsidRPr="00E00800" w:rsidRDefault="00E00800" w:rsidP="00010F64">
            <w:pPr>
              <w:pStyle w:val="Body"/>
              <w:spacing w:after="120"/>
              <w:rPr>
                <w:rFonts w:ascii="Arial" w:hAnsi="Arial" w:cs="Arial"/>
              </w:rPr>
            </w:pPr>
            <w:r w:rsidRPr="00E00800">
              <w:rPr>
                <w:rFonts w:ascii="Arial" w:hAnsi="Arial" w:cs="Arial"/>
                <w:bCs/>
              </w:rPr>
              <w:t>Above 10 (n=25)</w:t>
            </w:r>
          </w:p>
        </w:tc>
        <w:tc>
          <w:tcPr>
            <w:tcW w:w="1890" w:type="dxa"/>
            <w:tcBorders>
              <w:top w:val="single" w:sz="4" w:space="0" w:color="auto"/>
              <w:left w:val="single" w:sz="4" w:space="0" w:color="auto"/>
              <w:bottom w:val="single" w:sz="4" w:space="0" w:color="auto"/>
              <w:right w:val="single" w:sz="4" w:space="0" w:color="auto"/>
            </w:tcBorders>
            <w:hideMark/>
          </w:tcPr>
          <w:p w14:paraId="43FA9D6B" w14:textId="77777777" w:rsidR="00E00800" w:rsidRPr="00E00800" w:rsidRDefault="00E00800" w:rsidP="00010F64">
            <w:pPr>
              <w:pStyle w:val="Body"/>
              <w:spacing w:after="120"/>
              <w:rPr>
                <w:rFonts w:ascii="Arial" w:hAnsi="Arial" w:cs="Arial"/>
              </w:rPr>
            </w:pPr>
            <w:r w:rsidRPr="00E00800">
              <w:rPr>
                <w:rFonts w:ascii="Arial" w:hAnsi="Arial" w:cs="Arial"/>
                <w:bCs/>
              </w:rPr>
              <w:t>17 (68.0)</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075D922"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41796DD" w14:textId="77777777" w:rsidR="00E00800" w:rsidRPr="00E00800" w:rsidRDefault="00E00800" w:rsidP="00010F64">
            <w:pPr>
              <w:pStyle w:val="Body"/>
              <w:spacing w:after="120"/>
              <w:rPr>
                <w:rFonts w:ascii="Arial" w:hAnsi="Arial" w:cs="Arial"/>
              </w:rPr>
            </w:pPr>
          </w:p>
        </w:tc>
      </w:tr>
      <w:tr w:rsidR="00E00800" w:rsidRPr="00E00800" w14:paraId="6C6EDA32" w14:textId="77777777" w:rsidTr="00E00800">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15B55F56" w14:textId="77777777" w:rsidR="00E00800" w:rsidRPr="00E00800" w:rsidRDefault="00E00800" w:rsidP="00010F64">
            <w:pPr>
              <w:pStyle w:val="Body"/>
              <w:spacing w:after="120"/>
              <w:rPr>
                <w:rFonts w:ascii="Arial" w:hAnsi="Arial" w:cs="Arial"/>
              </w:rPr>
            </w:pPr>
            <w:r w:rsidRPr="00E00800">
              <w:rPr>
                <w:rFonts w:ascii="Arial" w:hAnsi="Arial" w:cs="Arial"/>
              </w:rPr>
              <w:t>History of gut diseases</w:t>
            </w:r>
          </w:p>
        </w:tc>
        <w:tc>
          <w:tcPr>
            <w:tcW w:w="1980" w:type="dxa"/>
            <w:tcBorders>
              <w:top w:val="single" w:sz="4" w:space="0" w:color="auto"/>
              <w:left w:val="single" w:sz="4" w:space="0" w:color="auto"/>
              <w:bottom w:val="single" w:sz="4" w:space="0" w:color="auto"/>
              <w:right w:val="single" w:sz="4" w:space="0" w:color="auto"/>
            </w:tcBorders>
            <w:hideMark/>
          </w:tcPr>
          <w:p w14:paraId="6A1720FC" w14:textId="77777777" w:rsidR="00E00800" w:rsidRPr="00E00800" w:rsidRDefault="00E00800" w:rsidP="00010F64">
            <w:pPr>
              <w:pStyle w:val="Body"/>
              <w:spacing w:after="120"/>
              <w:rPr>
                <w:rFonts w:ascii="Arial" w:hAnsi="Arial" w:cs="Arial"/>
              </w:rPr>
            </w:pPr>
            <w:r w:rsidRPr="00E00800">
              <w:rPr>
                <w:rFonts w:ascii="Arial" w:hAnsi="Arial" w:cs="Arial"/>
              </w:rPr>
              <w:t>Yes (n=117)</w:t>
            </w:r>
          </w:p>
        </w:tc>
        <w:tc>
          <w:tcPr>
            <w:tcW w:w="1890" w:type="dxa"/>
            <w:tcBorders>
              <w:top w:val="single" w:sz="4" w:space="0" w:color="auto"/>
              <w:left w:val="single" w:sz="4" w:space="0" w:color="auto"/>
              <w:bottom w:val="single" w:sz="4" w:space="0" w:color="auto"/>
              <w:right w:val="single" w:sz="4" w:space="0" w:color="auto"/>
            </w:tcBorders>
            <w:hideMark/>
          </w:tcPr>
          <w:p w14:paraId="14594CF9" w14:textId="77777777" w:rsidR="00E00800" w:rsidRPr="00E00800" w:rsidRDefault="00E00800" w:rsidP="00010F64">
            <w:pPr>
              <w:pStyle w:val="Body"/>
              <w:spacing w:after="120"/>
              <w:rPr>
                <w:rFonts w:ascii="Arial" w:hAnsi="Arial" w:cs="Arial"/>
              </w:rPr>
            </w:pPr>
            <w:r w:rsidRPr="00E00800">
              <w:rPr>
                <w:rFonts w:ascii="Arial" w:hAnsi="Arial" w:cs="Arial"/>
              </w:rPr>
              <w:t>114 (97.4)</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0EAB5BD" w14:textId="77777777" w:rsidR="00E00800" w:rsidRPr="00E00800" w:rsidRDefault="00E00800" w:rsidP="00010F64">
            <w:pPr>
              <w:pStyle w:val="Body"/>
              <w:spacing w:after="120"/>
              <w:rPr>
                <w:rFonts w:ascii="Arial" w:hAnsi="Arial" w:cs="Arial"/>
              </w:rPr>
            </w:pPr>
            <w:r w:rsidRPr="00E00800">
              <w:rPr>
                <w:rFonts w:ascii="Arial" w:hAnsi="Arial" w:cs="Arial"/>
              </w:rPr>
              <w:t>1.41</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074ADFDE" w14:textId="77777777" w:rsidR="00E00800" w:rsidRPr="00E00800" w:rsidRDefault="00E00800" w:rsidP="00010F64">
            <w:pPr>
              <w:pStyle w:val="Body"/>
              <w:spacing w:after="120"/>
              <w:rPr>
                <w:rFonts w:ascii="Arial" w:hAnsi="Arial" w:cs="Arial"/>
              </w:rPr>
            </w:pPr>
          </w:p>
          <w:p w14:paraId="5E7AF0B5" w14:textId="77777777" w:rsidR="00E00800" w:rsidRPr="00E00800" w:rsidRDefault="00E00800" w:rsidP="00010F64">
            <w:pPr>
              <w:pStyle w:val="Body"/>
              <w:spacing w:after="120"/>
              <w:rPr>
                <w:rFonts w:ascii="Arial" w:hAnsi="Arial" w:cs="Arial"/>
              </w:rPr>
            </w:pPr>
            <w:r w:rsidRPr="00E00800">
              <w:rPr>
                <w:rFonts w:ascii="Arial" w:hAnsi="Arial" w:cs="Arial"/>
              </w:rPr>
              <w:t>0.009</w:t>
            </w:r>
          </w:p>
          <w:p w14:paraId="2D713E46" w14:textId="77777777" w:rsidR="00E00800" w:rsidRPr="00E00800" w:rsidRDefault="00E00800" w:rsidP="00010F64">
            <w:pPr>
              <w:pStyle w:val="Body"/>
              <w:spacing w:after="120"/>
              <w:rPr>
                <w:rFonts w:ascii="Arial" w:hAnsi="Arial" w:cs="Arial"/>
              </w:rPr>
            </w:pPr>
          </w:p>
        </w:tc>
      </w:tr>
      <w:tr w:rsidR="00E00800" w:rsidRPr="00E00800" w14:paraId="1AE2153A" w14:textId="77777777" w:rsidTr="00E00800">
        <w:trPr>
          <w:trHeight w:val="593"/>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73B5970A" w14:textId="77777777" w:rsidR="00E00800" w:rsidRPr="00E00800" w:rsidRDefault="00E00800" w:rsidP="00010F64">
            <w:pPr>
              <w:pStyle w:val="Body"/>
              <w:spacing w:after="120"/>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hideMark/>
          </w:tcPr>
          <w:p w14:paraId="1870439C" w14:textId="77777777" w:rsidR="00E00800" w:rsidRPr="00E00800" w:rsidRDefault="00E00800" w:rsidP="00010F64">
            <w:pPr>
              <w:pStyle w:val="Body"/>
              <w:spacing w:after="120"/>
              <w:rPr>
                <w:rFonts w:ascii="Arial" w:hAnsi="Arial" w:cs="Arial"/>
              </w:rPr>
            </w:pPr>
            <w:r w:rsidRPr="00E00800">
              <w:rPr>
                <w:rFonts w:ascii="Arial" w:hAnsi="Arial" w:cs="Arial"/>
              </w:rPr>
              <w:t>No (n=83)</w:t>
            </w:r>
          </w:p>
        </w:tc>
        <w:tc>
          <w:tcPr>
            <w:tcW w:w="1890" w:type="dxa"/>
            <w:tcBorders>
              <w:top w:val="single" w:sz="4" w:space="0" w:color="auto"/>
              <w:left w:val="single" w:sz="4" w:space="0" w:color="auto"/>
              <w:bottom w:val="single" w:sz="4" w:space="0" w:color="auto"/>
              <w:right w:val="single" w:sz="4" w:space="0" w:color="auto"/>
            </w:tcBorders>
            <w:hideMark/>
          </w:tcPr>
          <w:p w14:paraId="25DE7D95" w14:textId="77777777" w:rsidR="00E00800" w:rsidRPr="00E00800" w:rsidRDefault="00E00800" w:rsidP="00010F64">
            <w:pPr>
              <w:pStyle w:val="Body"/>
              <w:spacing w:after="120"/>
              <w:rPr>
                <w:rFonts w:ascii="Arial" w:hAnsi="Arial" w:cs="Arial"/>
              </w:rPr>
            </w:pPr>
            <w:r w:rsidRPr="00E00800">
              <w:rPr>
                <w:rFonts w:ascii="Arial" w:hAnsi="Arial" w:cs="Arial"/>
              </w:rPr>
              <w:t>71 (85.6)</w:t>
            </w: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38482A9" w14:textId="77777777" w:rsidR="00E00800" w:rsidRPr="00E00800" w:rsidRDefault="00E00800" w:rsidP="00010F64">
            <w:pPr>
              <w:pStyle w:val="Body"/>
              <w:spacing w:after="120"/>
              <w:rPr>
                <w:rFonts w:ascii="Arial" w:hAnsi="Arial" w:cs="Arial"/>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D957CCF" w14:textId="77777777" w:rsidR="00E00800" w:rsidRPr="00E00800" w:rsidRDefault="00E00800" w:rsidP="00010F64">
            <w:pPr>
              <w:pStyle w:val="Body"/>
              <w:spacing w:after="120"/>
              <w:rPr>
                <w:rFonts w:ascii="Arial" w:hAnsi="Arial" w:cs="Arial"/>
              </w:rPr>
            </w:pPr>
          </w:p>
        </w:tc>
      </w:tr>
    </w:tbl>
    <w:p w14:paraId="6E5507A4" w14:textId="77777777" w:rsidR="00201897" w:rsidRDefault="00201897" w:rsidP="00010F64">
      <w:pPr>
        <w:pStyle w:val="Body"/>
        <w:spacing w:after="120"/>
        <w:rPr>
          <w:rFonts w:ascii="Arial" w:hAnsi="Arial" w:cs="Arial"/>
          <w:b/>
          <w:bCs/>
        </w:rPr>
      </w:pPr>
      <w:bookmarkStart w:id="9" w:name="_Toc197581382"/>
    </w:p>
    <w:p w14:paraId="4F1319E9" w14:textId="77777777" w:rsidR="00E00800" w:rsidRPr="00E00800" w:rsidRDefault="00E00800" w:rsidP="00010F64">
      <w:pPr>
        <w:pStyle w:val="Body"/>
        <w:spacing w:after="120"/>
        <w:rPr>
          <w:rFonts w:ascii="Arial" w:hAnsi="Arial" w:cs="Arial"/>
          <w:b/>
          <w:bCs/>
        </w:rPr>
      </w:pPr>
      <w:r w:rsidRPr="00E00800">
        <w:rPr>
          <w:rFonts w:ascii="Arial" w:hAnsi="Arial" w:cs="Arial"/>
          <w:b/>
          <w:bCs/>
        </w:rPr>
        <w:t xml:space="preserve">3.3 Phenotypic antibiotic susceptibility profiles of bacterial species isolated from chicken reared in </w:t>
      </w:r>
      <w:proofErr w:type="spellStart"/>
      <w:r w:rsidRPr="00E00800">
        <w:rPr>
          <w:rFonts w:ascii="Arial" w:hAnsi="Arial" w:cs="Arial"/>
          <w:b/>
          <w:bCs/>
        </w:rPr>
        <w:t>Juja</w:t>
      </w:r>
      <w:proofErr w:type="spellEnd"/>
      <w:r w:rsidRPr="00E00800">
        <w:rPr>
          <w:rFonts w:ascii="Arial" w:hAnsi="Arial" w:cs="Arial"/>
          <w:b/>
          <w:bCs/>
        </w:rPr>
        <w:t xml:space="preserve"> subcounty</w:t>
      </w:r>
      <w:bookmarkEnd w:id="9"/>
    </w:p>
    <w:p w14:paraId="2AD5D8E3" w14:textId="77777777" w:rsidR="00E00800" w:rsidRPr="00E00800" w:rsidRDefault="00E00800" w:rsidP="00010F64">
      <w:pPr>
        <w:pStyle w:val="Body"/>
        <w:spacing w:after="120"/>
        <w:rPr>
          <w:rFonts w:ascii="Arial" w:hAnsi="Arial" w:cs="Arial"/>
        </w:rPr>
      </w:pPr>
      <w:r w:rsidRPr="00E00800">
        <w:rPr>
          <w:rFonts w:ascii="Arial" w:hAnsi="Arial" w:cs="Arial"/>
        </w:rPr>
        <w:t xml:space="preserve">A total of 45 bacterial isolates were selected and subjected to antimicrobial susceptibility testing, and these comprised of </w:t>
      </w:r>
      <w:r w:rsidRPr="00E00800">
        <w:rPr>
          <w:rFonts w:ascii="Arial" w:hAnsi="Arial" w:cs="Arial"/>
          <w:i/>
        </w:rPr>
        <w:t>Salmonella</w:t>
      </w:r>
      <w:r w:rsidRPr="00E00800">
        <w:rPr>
          <w:rFonts w:ascii="Arial" w:hAnsi="Arial" w:cs="Arial"/>
        </w:rPr>
        <w:t xml:space="preserve"> spp. (n=21), </w:t>
      </w:r>
      <w:r w:rsidRPr="00E00800">
        <w:rPr>
          <w:rFonts w:ascii="Arial" w:hAnsi="Arial" w:cs="Arial"/>
          <w:i/>
        </w:rPr>
        <w:t>Escherichia coli</w:t>
      </w:r>
      <w:r w:rsidRPr="00E00800">
        <w:rPr>
          <w:rFonts w:ascii="Arial" w:hAnsi="Arial" w:cs="Arial"/>
        </w:rPr>
        <w:t xml:space="preserve"> (n=14), and </w:t>
      </w:r>
      <w:r w:rsidRPr="00E00800">
        <w:rPr>
          <w:rFonts w:ascii="Arial" w:hAnsi="Arial" w:cs="Arial"/>
          <w:i/>
        </w:rPr>
        <w:t>Staphylococcus aureus</w:t>
      </w:r>
      <w:r w:rsidRPr="00E00800">
        <w:rPr>
          <w:rFonts w:ascii="Arial" w:hAnsi="Arial" w:cs="Arial"/>
        </w:rPr>
        <w:t xml:space="preserve"> (n=10). Among the </w:t>
      </w:r>
      <w:r w:rsidRPr="00E00800">
        <w:rPr>
          <w:rFonts w:ascii="Arial" w:hAnsi="Arial" w:cs="Arial"/>
          <w:i/>
        </w:rPr>
        <w:t>Salmonella</w:t>
      </w:r>
      <w:r w:rsidRPr="00E00800">
        <w:rPr>
          <w:rFonts w:ascii="Arial" w:hAnsi="Arial" w:cs="Arial"/>
        </w:rPr>
        <w:t xml:space="preserve"> spp., the highest levels of resistance were observed against nalidixic acid (90.4%), penicillin (76.2%), and tetracycline (57.1%). Similarly, </w:t>
      </w:r>
      <w:r w:rsidRPr="00E00800">
        <w:rPr>
          <w:rFonts w:ascii="Arial" w:hAnsi="Arial" w:cs="Arial"/>
          <w:i/>
        </w:rPr>
        <w:t>E. coli</w:t>
      </w:r>
      <w:r w:rsidRPr="00E00800">
        <w:rPr>
          <w:rFonts w:ascii="Arial" w:hAnsi="Arial" w:cs="Arial"/>
        </w:rPr>
        <w:t xml:space="preserve"> isolates demonstrated high resistance to nalidixic acid (92.9%), penicillin (85.7%), and tetracycline (71.4%) (Table 4). </w:t>
      </w:r>
      <w:r w:rsidRPr="00E00800">
        <w:rPr>
          <w:rFonts w:ascii="Arial" w:hAnsi="Arial" w:cs="Arial"/>
          <w:i/>
        </w:rPr>
        <w:t>Salmonella</w:t>
      </w:r>
      <w:r w:rsidRPr="00E00800">
        <w:rPr>
          <w:rFonts w:ascii="Arial" w:hAnsi="Arial" w:cs="Arial"/>
        </w:rPr>
        <w:t xml:space="preserve"> spp. isolates exhibited sensitivity to ciprofloxacin (57.1%) and gentamycin (42.9%). </w:t>
      </w:r>
      <w:r w:rsidRPr="00E00800">
        <w:rPr>
          <w:rFonts w:ascii="Arial" w:hAnsi="Arial" w:cs="Arial"/>
          <w:i/>
        </w:rPr>
        <w:t>Escherichia coli</w:t>
      </w:r>
      <w:r w:rsidRPr="00E00800">
        <w:rPr>
          <w:rFonts w:ascii="Arial" w:hAnsi="Arial" w:cs="Arial"/>
        </w:rPr>
        <w:t xml:space="preserve"> isolates showed the highest sensitivity to ciprofloxacin (57.1%). For </w:t>
      </w:r>
      <w:r w:rsidRPr="00E00800">
        <w:rPr>
          <w:rFonts w:ascii="Arial" w:hAnsi="Arial" w:cs="Arial"/>
          <w:i/>
        </w:rPr>
        <w:t>S. aureus</w:t>
      </w:r>
      <w:r w:rsidRPr="00E00800">
        <w:rPr>
          <w:rFonts w:ascii="Arial" w:hAnsi="Arial" w:cs="Arial"/>
        </w:rPr>
        <w:t xml:space="preserve"> isolates, the highest resistance rates were recorded against nalidixic acid (90%), penicillin (90%), and tetracycline (80%). These </w:t>
      </w:r>
      <w:r w:rsidRPr="00E00800">
        <w:rPr>
          <w:rFonts w:ascii="Arial" w:hAnsi="Arial" w:cs="Arial"/>
          <w:i/>
          <w:iCs/>
        </w:rPr>
        <w:t>S. aureus</w:t>
      </w:r>
      <w:r w:rsidRPr="00E00800">
        <w:rPr>
          <w:rFonts w:ascii="Arial" w:hAnsi="Arial" w:cs="Arial"/>
        </w:rPr>
        <w:t xml:space="preserve"> isolates were sensitive to ciprofloxacin (60%), gentamycin (20%), and sulfamethoxazole (10%).</w:t>
      </w:r>
    </w:p>
    <w:p w14:paraId="68EE3CC0" w14:textId="77777777" w:rsidR="00E00800" w:rsidRPr="00E00800" w:rsidRDefault="00E00800" w:rsidP="00010F64">
      <w:pPr>
        <w:pStyle w:val="Body"/>
        <w:spacing w:after="120"/>
        <w:rPr>
          <w:rFonts w:ascii="Arial" w:hAnsi="Arial" w:cs="Arial"/>
        </w:rPr>
      </w:pPr>
      <w:r w:rsidRPr="00E00800">
        <w:rPr>
          <w:rFonts w:ascii="Arial" w:hAnsi="Arial" w:cs="Arial"/>
          <w:b/>
        </w:rPr>
        <w:lastRenderedPageBreak/>
        <w:t>Table 4:</w:t>
      </w:r>
      <w:r w:rsidRPr="00E00800">
        <w:rPr>
          <w:rFonts w:ascii="Arial" w:hAnsi="Arial" w:cs="Arial"/>
        </w:rPr>
        <w:t xml:space="preserve"> Antimicrobial susceptibility profiles of gut bacteria isolated from cloacal swabs from chicken in </w:t>
      </w:r>
      <w:proofErr w:type="spellStart"/>
      <w:r w:rsidRPr="00E00800">
        <w:rPr>
          <w:rFonts w:ascii="Arial" w:hAnsi="Arial" w:cs="Arial"/>
        </w:rPr>
        <w:t>Juja</w:t>
      </w:r>
      <w:proofErr w:type="spellEnd"/>
      <w:r w:rsidRPr="00E00800">
        <w:rPr>
          <w:rFonts w:ascii="Arial" w:hAnsi="Arial" w:cs="Arial"/>
        </w:rPr>
        <w:t xml:space="preserve"> subcounty, Kenya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1268"/>
        <w:gridCol w:w="1242"/>
        <w:gridCol w:w="1242"/>
        <w:gridCol w:w="1314"/>
        <w:gridCol w:w="990"/>
        <w:gridCol w:w="1345"/>
      </w:tblGrid>
      <w:tr w:rsidR="00E00800" w:rsidRPr="00E00800" w14:paraId="10300446" w14:textId="77777777" w:rsidTr="00E00800">
        <w:tc>
          <w:tcPr>
            <w:tcW w:w="1949" w:type="dxa"/>
            <w:tcBorders>
              <w:top w:val="single" w:sz="4" w:space="0" w:color="auto"/>
              <w:left w:val="nil"/>
              <w:bottom w:val="single" w:sz="4" w:space="0" w:color="auto"/>
              <w:right w:val="nil"/>
            </w:tcBorders>
          </w:tcPr>
          <w:p w14:paraId="169D8C1C" w14:textId="77777777" w:rsidR="00E00800" w:rsidRPr="00E00800" w:rsidRDefault="00E00800" w:rsidP="00010F64">
            <w:pPr>
              <w:pStyle w:val="Body"/>
              <w:spacing w:after="120"/>
              <w:rPr>
                <w:rFonts w:ascii="Arial" w:hAnsi="Arial" w:cs="Arial"/>
                <w:b/>
                <w:bCs/>
              </w:rPr>
            </w:pPr>
          </w:p>
        </w:tc>
        <w:tc>
          <w:tcPr>
            <w:tcW w:w="2510" w:type="dxa"/>
            <w:gridSpan w:val="2"/>
            <w:tcBorders>
              <w:top w:val="single" w:sz="4" w:space="0" w:color="auto"/>
              <w:left w:val="nil"/>
              <w:bottom w:val="single" w:sz="4" w:space="0" w:color="auto"/>
              <w:right w:val="nil"/>
            </w:tcBorders>
            <w:hideMark/>
          </w:tcPr>
          <w:p w14:paraId="3514D967" w14:textId="77777777" w:rsidR="00E00800" w:rsidRPr="00E00800" w:rsidRDefault="00E00800" w:rsidP="00010F64">
            <w:pPr>
              <w:pStyle w:val="Body"/>
              <w:spacing w:after="120"/>
              <w:rPr>
                <w:rFonts w:ascii="Arial" w:hAnsi="Arial" w:cs="Arial"/>
                <w:b/>
                <w:bCs/>
              </w:rPr>
            </w:pPr>
            <w:r w:rsidRPr="00E00800">
              <w:rPr>
                <w:rFonts w:ascii="Arial" w:hAnsi="Arial" w:cs="Arial"/>
                <w:b/>
                <w:bCs/>
                <w:i/>
                <w:iCs/>
              </w:rPr>
              <w:t>Salmonella</w:t>
            </w:r>
            <w:r w:rsidRPr="00E00800">
              <w:rPr>
                <w:rFonts w:ascii="Arial" w:hAnsi="Arial" w:cs="Arial"/>
                <w:b/>
                <w:bCs/>
              </w:rPr>
              <w:t xml:space="preserve"> Spp.</w:t>
            </w:r>
          </w:p>
        </w:tc>
        <w:tc>
          <w:tcPr>
            <w:tcW w:w="2556" w:type="dxa"/>
            <w:gridSpan w:val="2"/>
            <w:tcBorders>
              <w:top w:val="single" w:sz="4" w:space="0" w:color="auto"/>
              <w:left w:val="nil"/>
              <w:bottom w:val="single" w:sz="4" w:space="0" w:color="auto"/>
              <w:right w:val="nil"/>
            </w:tcBorders>
            <w:hideMark/>
          </w:tcPr>
          <w:p w14:paraId="7BE505FA" w14:textId="77777777" w:rsidR="00E00800" w:rsidRPr="00E00800" w:rsidRDefault="00E00800" w:rsidP="00010F64">
            <w:pPr>
              <w:pStyle w:val="Body"/>
              <w:spacing w:after="120"/>
              <w:rPr>
                <w:rFonts w:ascii="Arial" w:hAnsi="Arial" w:cs="Arial"/>
                <w:b/>
                <w:i/>
              </w:rPr>
            </w:pPr>
            <w:r w:rsidRPr="00E00800">
              <w:rPr>
                <w:rFonts w:ascii="Arial" w:hAnsi="Arial" w:cs="Arial"/>
                <w:b/>
                <w:i/>
              </w:rPr>
              <w:t xml:space="preserve">E. coli </w:t>
            </w:r>
          </w:p>
        </w:tc>
        <w:tc>
          <w:tcPr>
            <w:tcW w:w="2335" w:type="dxa"/>
            <w:gridSpan w:val="2"/>
            <w:tcBorders>
              <w:top w:val="single" w:sz="4" w:space="0" w:color="auto"/>
              <w:left w:val="nil"/>
              <w:bottom w:val="single" w:sz="4" w:space="0" w:color="auto"/>
              <w:right w:val="nil"/>
            </w:tcBorders>
            <w:hideMark/>
          </w:tcPr>
          <w:p w14:paraId="1C23458D" w14:textId="77777777" w:rsidR="00E00800" w:rsidRPr="00E00800" w:rsidRDefault="00E00800" w:rsidP="00010F64">
            <w:pPr>
              <w:pStyle w:val="Body"/>
              <w:spacing w:after="120"/>
              <w:rPr>
                <w:rFonts w:ascii="Arial" w:hAnsi="Arial" w:cs="Arial"/>
                <w:b/>
                <w:i/>
              </w:rPr>
            </w:pPr>
            <w:r w:rsidRPr="00E00800">
              <w:rPr>
                <w:rFonts w:ascii="Arial" w:hAnsi="Arial" w:cs="Arial"/>
                <w:b/>
                <w:i/>
              </w:rPr>
              <w:t>S. aureus</w:t>
            </w:r>
          </w:p>
        </w:tc>
      </w:tr>
      <w:tr w:rsidR="00E00800" w:rsidRPr="00E00800" w14:paraId="62455F62" w14:textId="77777777" w:rsidTr="00E00800">
        <w:tc>
          <w:tcPr>
            <w:tcW w:w="1949" w:type="dxa"/>
            <w:tcBorders>
              <w:top w:val="single" w:sz="4" w:space="0" w:color="auto"/>
              <w:left w:val="nil"/>
              <w:bottom w:val="single" w:sz="4" w:space="0" w:color="auto"/>
              <w:right w:val="nil"/>
            </w:tcBorders>
            <w:hideMark/>
          </w:tcPr>
          <w:p w14:paraId="1D20A0F0" w14:textId="77777777" w:rsidR="00E00800" w:rsidRPr="00E00800" w:rsidRDefault="00E00800" w:rsidP="00010F64">
            <w:pPr>
              <w:pStyle w:val="Body"/>
              <w:spacing w:after="120"/>
              <w:rPr>
                <w:rFonts w:ascii="Arial" w:hAnsi="Arial" w:cs="Arial"/>
              </w:rPr>
            </w:pPr>
            <w:r w:rsidRPr="00E00800">
              <w:rPr>
                <w:rFonts w:ascii="Arial" w:hAnsi="Arial" w:cs="Arial"/>
                <w:bCs/>
              </w:rPr>
              <w:t>Antibiotics</w:t>
            </w:r>
          </w:p>
        </w:tc>
        <w:tc>
          <w:tcPr>
            <w:tcW w:w="1268" w:type="dxa"/>
            <w:tcBorders>
              <w:top w:val="single" w:sz="4" w:space="0" w:color="auto"/>
              <w:left w:val="nil"/>
              <w:bottom w:val="single" w:sz="4" w:space="0" w:color="auto"/>
              <w:right w:val="nil"/>
            </w:tcBorders>
            <w:hideMark/>
          </w:tcPr>
          <w:p w14:paraId="07CAD0D0" w14:textId="77777777" w:rsidR="00E00800" w:rsidRPr="00E00800" w:rsidRDefault="00E00800" w:rsidP="00010F64">
            <w:pPr>
              <w:pStyle w:val="Body"/>
              <w:spacing w:after="120"/>
              <w:rPr>
                <w:rFonts w:ascii="Arial" w:hAnsi="Arial" w:cs="Arial"/>
                <w:bCs/>
              </w:rPr>
            </w:pPr>
            <w:r w:rsidRPr="00E00800">
              <w:rPr>
                <w:rFonts w:ascii="Arial" w:hAnsi="Arial" w:cs="Arial"/>
                <w:bCs/>
              </w:rPr>
              <w:t>R (n%)</w:t>
            </w:r>
          </w:p>
        </w:tc>
        <w:tc>
          <w:tcPr>
            <w:tcW w:w="1242" w:type="dxa"/>
            <w:tcBorders>
              <w:top w:val="single" w:sz="4" w:space="0" w:color="auto"/>
              <w:left w:val="nil"/>
              <w:bottom w:val="single" w:sz="4" w:space="0" w:color="auto"/>
              <w:right w:val="nil"/>
            </w:tcBorders>
            <w:hideMark/>
          </w:tcPr>
          <w:p w14:paraId="0AB962D4" w14:textId="77777777" w:rsidR="00E00800" w:rsidRPr="00E00800" w:rsidRDefault="00E00800" w:rsidP="00010F64">
            <w:pPr>
              <w:pStyle w:val="Body"/>
              <w:spacing w:after="120"/>
              <w:rPr>
                <w:rFonts w:ascii="Arial" w:hAnsi="Arial" w:cs="Arial"/>
                <w:bCs/>
              </w:rPr>
            </w:pPr>
            <w:r w:rsidRPr="00E00800">
              <w:rPr>
                <w:rFonts w:ascii="Arial" w:hAnsi="Arial" w:cs="Arial"/>
                <w:bCs/>
              </w:rPr>
              <w:t>S (n%)</w:t>
            </w:r>
          </w:p>
        </w:tc>
        <w:tc>
          <w:tcPr>
            <w:tcW w:w="1242" w:type="dxa"/>
            <w:tcBorders>
              <w:top w:val="single" w:sz="4" w:space="0" w:color="auto"/>
              <w:left w:val="nil"/>
              <w:bottom w:val="single" w:sz="4" w:space="0" w:color="auto"/>
              <w:right w:val="nil"/>
            </w:tcBorders>
            <w:hideMark/>
          </w:tcPr>
          <w:p w14:paraId="05111964" w14:textId="77777777" w:rsidR="00E00800" w:rsidRPr="00E00800" w:rsidRDefault="00E00800" w:rsidP="00010F64">
            <w:pPr>
              <w:pStyle w:val="Body"/>
              <w:spacing w:after="120"/>
              <w:rPr>
                <w:rFonts w:ascii="Arial" w:hAnsi="Arial" w:cs="Arial"/>
                <w:bCs/>
              </w:rPr>
            </w:pPr>
            <w:r w:rsidRPr="00E00800">
              <w:rPr>
                <w:rFonts w:ascii="Arial" w:hAnsi="Arial" w:cs="Arial"/>
                <w:bCs/>
              </w:rPr>
              <w:t>R (n%)</w:t>
            </w:r>
          </w:p>
        </w:tc>
        <w:tc>
          <w:tcPr>
            <w:tcW w:w="1314" w:type="dxa"/>
            <w:tcBorders>
              <w:top w:val="single" w:sz="4" w:space="0" w:color="auto"/>
              <w:left w:val="nil"/>
              <w:bottom w:val="single" w:sz="4" w:space="0" w:color="auto"/>
              <w:right w:val="nil"/>
            </w:tcBorders>
            <w:hideMark/>
          </w:tcPr>
          <w:p w14:paraId="7C07B18B" w14:textId="77777777" w:rsidR="00E00800" w:rsidRPr="00E00800" w:rsidRDefault="00E00800" w:rsidP="00010F64">
            <w:pPr>
              <w:pStyle w:val="Body"/>
              <w:spacing w:after="120"/>
              <w:rPr>
                <w:rFonts w:ascii="Arial" w:hAnsi="Arial" w:cs="Arial"/>
                <w:bCs/>
              </w:rPr>
            </w:pPr>
            <w:r w:rsidRPr="00E00800">
              <w:rPr>
                <w:rFonts w:ascii="Arial" w:hAnsi="Arial" w:cs="Arial"/>
                <w:bCs/>
              </w:rPr>
              <w:t>S (n%)</w:t>
            </w:r>
          </w:p>
        </w:tc>
        <w:tc>
          <w:tcPr>
            <w:tcW w:w="990" w:type="dxa"/>
            <w:tcBorders>
              <w:top w:val="single" w:sz="4" w:space="0" w:color="auto"/>
              <w:left w:val="nil"/>
              <w:bottom w:val="single" w:sz="4" w:space="0" w:color="auto"/>
              <w:right w:val="nil"/>
            </w:tcBorders>
            <w:hideMark/>
          </w:tcPr>
          <w:p w14:paraId="4E3325BE" w14:textId="77777777" w:rsidR="00E00800" w:rsidRPr="00E00800" w:rsidRDefault="00E00800" w:rsidP="00010F64">
            <w:pPr>
              <w:pStyle w:val="Body"/>
              <w:spacing w:after="120"/>
              <w:rPr>
                <w:rFonts w:ascii="Arial" w:hAnsi="Arial" w:cs="Arial"/>
                <w:bCs/>
              </w:rPr>
            </w:pPr>
            <w:r w:rsidRPr="00E00800">
              <w:rPr>
                <w:rFonts w:ascii="Arial" w:hAnsi="Arial" w:cs="Arial"/>
                <w:bCs/>
              </w:rPr>
              <w:t>R(n%)</w:t>
            </w:r>
          </w:p>
        </w:tc>
        <w:tc>
          <w:tcPr>
            <w:tcW w:w="1345" w:type="dxa"/>
            <w:tcBorders>
              <w:top w:val="single" w:sz="4" w:space="0" w:color="auto"/>
              <w:left w:val="nil"/>
              <w:bottom w:val="single" w:sz="4" w:space="0" w:color="auto"/>
              <w:right w:val="nil"/>
            </w:tcBorders>
            <w:hideMark/>
          </w:tcPr>
          <w:p w14:paraId="1B3BDACB" w14:textId="77777777" w:rsidR="00E00800" w:rsidRPr="00E00800" w:rsidRDefault="00E00800" w:rsidP="00010F64">
            <w:pPr>
              <w:pStyle w:val="Body"/>
              <w:spacing w:after="120"/>
              <w:rPr>
                <w:rFonts w:ascii="Arial" w:hAnsi="Arial" w:cs="Arial"/>
              </w:rPr>
            </w:pPr>
            <w:r w:rsidRPr="00E00800">
              <w:rPr>
                <w:rFonts w:ascii="Arial" w:hAnsi="Arial" w:cs="Arial"/>
                <w:bCs/>
              </w:rPr>
              <w:t>S (n%)</w:t>
            </w:r>
          </w:p>
        </w:tc>
      </w:tr>
      <w:tr w:rsidR="00E00800" w:rsidRPr="00E00800" w14:paraId="5891990F" w14:textId="77777777" w:rsidTr="00E00800">
        <w:tc>
          <w:tcPr>
            <w:tcW w:w="1949" w:type="dxa"/>
            <w:tcBorders>
              <w:top w:val="single" w:sz="4" w:space="0" w:color="auto"/>
              <w:left w:val="nil"/>
              <w:bottom w:val="nil"/>
              <w:right w:val="nil"/>
            </w:tcBorders>
            <w:hideMark/>
          </w:tcPr>
          <w:p w14:paraId="1A6910F0" w14:textId="77777777" w:rsidR="00E00800" w:rsidRPr="00E00800" w:rsidRDefault="00E00800" w:rsidP="00010F64">
            <w:pPr>
              <w:pStyle w:val="Body"/>
              <w:spacing w:after="120"/>
              <w:rPr>
                <w:rFonts w:ascii="Arial" w:hAnsi="Arial" w:cs="Arial"/>
              </w:rPr>
            </w:pPr>
            <w:r w:rsidRPr="00E00800">
              <w:rPr>
                <w:rFonts w:ascii="Arial" w:hAnsi="Arial" w:cs="Arial"/>
              </w:rPr>
              <w:t>Ciprofloxacin</w:t>
            </w:r>
          </w:p>
        </w:tc>
        <w:tc>
          <w:tcPr>
            <w:tcW w:w="1268" w:type="dxa"/>
            <w:tcBorders>
              <w:top w:val="single" w:sz="4" w:space="0" w:color="auto"/>
              <w:left w:val="nil"/>
              <w:bottom w:val="nil"/>
              <w:right w:val="nil"/>
            </w:tcBorders>
            <w:hideMark/>
          </w:tcPr>
          <w:p w14:paraId="4BBB94F6" w14:textId="77777777" w:rsidR="00E00800" w:rsidRPr="00E00800" w:rsidRDefault="00E00800" w:rsidP="00010F64">
            <w:pPr>
              <w:pStyle w:val="Body"/>
              <w:spacing w:after="120"/>
              <w:rPr>
                <w:rFonts w:ascii="Arial" w:hAnsi="Arial" w:cs="Arial"/>
              </w:rPr>
            </w:pPr>
            <w:r w:rsidRPr="00E00800">
              <w:rPr>
                <w:rFonts w:ascii="Arial" w:hAnsi="Arial" w:cs="Arial"/>
              </w:rPr>
              <w:t>1 (4.76)</w:t>
            </w:r>
          </w:p>
        </w:tc>
        <w:tc>
          <w:tcPr>
            <w:tcW w:w="1242" w:type="dxa"/>
            <w:tcBorders>
              <w:top w:val="single" w:sz="4" w:space="0" w:color="auto"/>
              <w:left w:val="nil"/>
              <w:bottom w:val="nil"/>
              <w:right w:val="nil"/>
            </w:tcBorders>
            <w:hideMark/>
          </w:tcPr>
          <w:p w14:paraId="764E9009" w14:textId="77777777" w:rsidR="00E00800" w:rsidRPr="00E00800" w:rsidRDefault="00E00800" w:rsidP="00010F64">
            <w:pPr>
              <w:pStyle w:val="Body"/>
              <w:spacing w:after="120"/>
              <w:rPr>
                <w:rFonts w:ascii="Arial" w:hAnsi="Arial" w:cs="Arial"/>
              </w:rPr>
            </w:pPr>
            <w:r w:rsidRPr="00E00800">
              <w:rPr>
                <w:rFonts w:ascii="Arial" w:hAnsi="Arial" w:cs="Arial"/>
              </w:rPr>
              <w:t>12 (57.1)</w:t>
            </w:r>
          </w:p>
        </w:tc>
        <w:tc>
          <w:tcPr>
            <w:tcW w:w="1242" w:type="dxa"/>
            <w:tcBorders>
              <w:top w:val="single" w:sz="4" w:space="0" w:color="auto"/>
              <w:left w:val="nil"/>
              <w:bottom w:val="nil"/>
              <w:right w:val="nil"/>
            </w:tcBorders>
            <w:hideMark/>
          </w:tcPr>
          <w:p w14:paraId="3EF88DF9" w14:textId="77777777" w:rsidR="00E00800" w:rsidRPr="00E00800" w:rsidRDefault="00E00800" w:rsidP="00010F64">
            <w:pPr>
              <w:pStyle w:val="Body"/>
              <w:spacing w:after="120"/>
              <w:rPr>
                <w:rFonts w:ascii="Arial" w:hAnsi="Arial" w:cs="Arial"/>
              </w:rPr>
            </w:pPr>
            <w:r w:rsidRPr="00E00800">
              <w:rPr>
                <w:rFonts w:ascii="Arial" w:hAnsi="Arial" w:cs="Arial"/>
              </w:rPr>
              <w:t>3 (21.4)</w:t>
            </w:r>
          </w:p>
        </w:tc>
        <w:tc>
          <w:tcPr>
            <w:tcW w:w="1314" w:type="dxa"/>
            <w:tcBorders>
              <w:top w:val="single" w:sz="4" w:space="0" w:color="auto"/>
              <w:left w:val="nil"/>
              <w:bottom w:val="nil"/>
              <w:right w:val="nil"/>
            </w:tcBorders>
            <w:hideMark/>
          </w:tcPr>
          <w:p w14:paraId="606B6817" w14:textId="77777777" w:rsidR="00E00800" w:rsidRPr="00E00800" w:rsidRDefault="00E00800" w:rsidP="00010F64">
            <w:pPr>
              <w:pStyle w:val="Body"/>
              <w:spacing w:after="120"/>
              <w:rPr>
                <w:rFonts w:ascii="Arial" w:hAnsi="Arial" w:cs="Arial"/>
              </w:rPr>
            </w:pPr>
            <w:r w:rsidRPr="00E00800">
              <w:rPr>
                <w:rFonts w:ascii="Arial" w:hAnsi="Arial" w:cs="Arial"/>
              </w:rPr>
              <w:t>8(57.1)</w:t>
            </w:r>
          </w:p>
        </w:tc>
        <w:tc>
          <w:tcPr>
            <w:tcW w:w="990" w:type="dxa"/>
            <w:tcBorders>
              <w:top w:val="single" w:sz="4" w:space="0" w:color="auto"/>
              <w:left w:val="nil"/>
              <w:bottom w:val="nil"/>
              <w:right w:val="nil"/>
            </w:tcBorders>
            <w:hideMark/>
          </w:tcPr>
          <w:p w14:paraId="13852402" w14:textId="77777777" w:rsidR="00E00800" w:rsidRPr="00E00800" w:rsidRDefault="00E00800" w:rsidP="00010F64">
            <w:pPr>
              <w:pStyle w:val="Body"/>
              <w:spacing w:after="120"/>
              <w:rPr>
                <w:rFonts w:ascii="Arial" w:hAnsi="Arial" w:cs="Arial"/>
              </w:rPr>
            </w:pPr>
            <w:r w:rsidRPr="00E00800">
              <w:rPr>
                <w:rFonts w:ascii="Arial" w:hAnsi="Arial" w:cs="Arial"/>
              </w:rPr>
              <w:t>2 (20)</w:t>
            </w:r>
          </w:p>
        </w:tc>
        <w:tc>
          <w:tcPr>
            <w:tcW w:w="1345" w:type="dxa"/>
            <w:tcBorders>
              <w:top w:val="single" w:sz="4" w:space="0" w:color="auto"/>
              <w:left w:val="nil"/>
              <w:bottom w:val="nil"/>
              <w:right w:val="nil"/>
            </w:tcBorders>
            <w:hideMark/>
          </w:tcPr>
          <w:p w14:paraId="75C3188C" w14:textId="77777777" w:rsidR="00E00800" w:rsidRPr="00E00800" w:rsidRDefault="00E00800" w:rsidP="00010F64">
            <w:pPr>
              <w:pStyle w:val="Body"/>
              <w:spacing w:after="120"/>
              <w:rPr>
                <w:rFonts w:ascii="Arial" w:hAnsi="Arial" w:cs="Arial"/>
              </w:rPr>
            </w:pPr>
            <w:r w:rsidRPr="00E00800">
              <w:rPr>
                <w:rFonts w:ascii="Arial" w:hAnsi="Arial" w:cs="Arial"/>
              </w:rPr>
              <w:t>6 (60)</w:t>
            </w:r>
          </w:p>
        </w:tc>
      </w:tr>
      <w:tr w:rsidR="00E00800" w:rsidRPr="00E00800" w14:paraId="29AFAF67" w14:textId="77777777" w:rsidTr="00E00800">
        <w:trPr>
          <w:trHeight w:val="369"/>
        </w:trPr>
        <w:tc>
          <w:tcPr>
            <w:tcW w:w="1949" w:type="dxa"/>
            <w:hideMark/>
          </w:tcPr>
          <w:p w14:paraId="64A9CB5C" w14:textId="77777777" w:rsidR="00E00800" w:rsidRPr="00E00800" w:rsidRDefault="00E00800" w:rsidP="00010F64">
            <w:pPr>
              <w:pStyle w:val="Body"/>
              <w:spacing w:after="120"/>
              <w:rPr>
                <w:rFonts w:ascii="Arial" w:hAnsi="Arial" w:cs="Arial"/>
              </w:rPr>
            </w:pPr>
            <w:r w:rsidRPr="00E00800">
              <w:rPr>
                <w:rFonts w:ascii="Arial" w:hAnsi="Arial" w:cs="Arial"/>
              </w:rPr>
              <w:t>Nalidixic acid</w:t>
            </w:r>
          </w:p>
        </w:tc>
        <w:tc>
          <w:tcPr>
            <w:tcW w:w="1268" w:type="dxa"/>
            <w:hideMark/>
          </w:tcPr>
          <w:p w14:paraId="60EB6C60" w14:textId="77777777" w:rsidR="00E00800" w:rsidRPr="00E00800" w:rsidRDefault="00E00800" w:rsidP="00010F64">
            <w:pPr>
              <w:pStyle w:val="Body"/>
              <w:spacing w:after="120"/>
              <w:rPr>
                <w:rFonts w:ascii="Arial" w:hAnsi="Arial" w:cs="Arial"/>
              </w:rPr>
            </w:pPr>
            <w:r w:rsidRPr="00E00800">
              <w:rPr>
                <w:rFonts w:ascii="Arial" w:hAnsi="Arial" w:cs="Arial"/>
              </w:rPr>
              <w:t>19 (90.4)</w:t>
            </w:r>
          </w:p>
        </w:tc>
        <w:tc>
          <w:tcPr>
            <w:tcW w:w="1242" w:type="dxa"/>
            <w:hideMark/>
          </w:tcPr>
          <w:p w14:paraId="42A9848E" w14:textId="77777777" w:rsidR="00E00800" w:rsidRPr="00E00800" w:rsidRDefault="00E00800" w:rsidP="00010F64">
            <w:pPr>
              <w:pStyle w:val="Body"/>
              <w:spacing w:after="120"/>
              <w:rPr>
                <w:rFonts w:ascii="Arial" w:hAnsi="Arial" w:cs="Arial"/>
              </w:rPr>
            </w:pPr>
            <w:r w:rsidRPr="00E00800">
              <w:rPr>
                <w:rFonts w:ascii="Arial" w:hAnsi="Arial" w:cs="Arial"/>
              </w:rPr>
              <w:t>0 (0)</w:t>
            </w:r>
          </w:p>
        </w:tc>
        <w:tc>
          <w:tcPr>
            <w:tcW w:w="1242" w:type="dxa"/>
            <w:hideMark/>
          </w:tcPr>
          <w:p w14:paraId="7C4F01B7" w14:textId="77777777" w:rsidR="00E00800" w:rsidRPr="00E00800" w:rsidRDefault="00E00800" w:rsidP="00010F64">
            <w:pPr>
              <w:pStyle w:val="Body"/>
              <w:spacing w:after="120"/>
              <w:rPr>
                <w:rFonts w:ascii="Arial" w:hAnsi="Arial" w:cs="Arial"/>
              </w:rPr>
            </w:pPr>
            <w:r w:rsidRPr="00E00800">
              <w:rPr>
                <w:rFonts w:ascii="Arial" w:hAnsi="Arial" w:cs="Arial"/>
              </w:rPr>
              <w:t>13 (92.9)</w:t>
            </w:r>
          </w:p>
        </w:tc>
        <w:tc>
          <w:tcPr>
            <w:tcW w:w="1314" w:type="dxa"/>
            <w:hideMark/>
          </w:tcPr>
          <w:p w14:paraId="7E01CA47" w14:textId="77777777" w:rsidR="00E00800" w:rsidRPr="00E00800" w:rsidRDefault="00E00800" w:rsidP="00010F64">
            <w:pPr>
              <w:pStyle w:val="Body"/>
              <w:spacing w:after="120"/>
              <w:rPr>
                <w:rFonts w:ascii="Arial" w:hAnsi="Arial" w:cs="Arial"/>
              </w:rPr>
            </w:pPr>
            <w:r w:rsidRPr="00E00800">
              <w:rPr>
                <w:rFonts w:ascii="Arial" w:hAnsi="Arial" w:cs="Arial"/>
              </w:rPr>
              <w:t>0 (0)</w:t>
            </w:r>
          </w:p>
        </w:tc>
        <w:tc>
          <w:tcPr>
            <w:tcW w:w="990" w:type="dxa"/>
            <w:hideMark/>
          </w:tcPr>
          <w:p w14:paraId="25BA0F4A" w14:textId="77777777" w:rsidR="00E00800" w:rsidRPr="00E00800" w:rsidRDefault="00E00800" w:rsidP="00010F64">
            <w:pPr>
              <w:pStyle w:val="Body"/>
              <w:spacing w:after="120"/>
              <w:rPr>
                <w:rFonts w:ascii="Arial" w:hAnsi="Arial" w:cs="Arial"/>
              </w:rPr>
            </w:pPr>
            <w:r w:rsidRPr="00E00800">
              <w:rPr>
                <w:rFonts w:ascii="Arial" w:hAnsi="Arial" w:cs="Arial"/>
              </w:rPr>
              <w:t>9 (90)</w:t>
            </w:r>
          </w:p>
        </w:tc>
        <w:tc>
          <w:tcPr>
            <w:tcW w:w="1345" w:type="dxa"/>
            <w:hideMark/>
          </w:tcPr>
          <w:p w14:paraId="6DE94958"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8E31082" w14:textId="77777777" w:rsidTr="00E00800">
        <w:tc>
          <w:tcPr>
            <w:tcW w:w="1949" w:type="dxa"/>
            <w:hideMark/>
          </w:tcPr>
          <w:p w14:paraId="53E8D4C3" w14:textId="77777777" w:rsidR="00E00800" w:rsidRPr="00E00800" w:rsidRDefault="00E00800" w:rsidP="00010F64">
            <w:pPr>
              <w:pStyle w:val="Body"/>
              <w:spacing w:after="120"/>
              <w:rPr>
                <w:rFonts w:ascii="Arial" w:hAnsi="Arial" w:cs="Arial"/>
              </w:rPr>
            </w:pPr>
            <w:r w:rsidRPr="00E00800">
              <w:rPr>
                <w:rFonts w:ascii="Arial" w:hAnsi="Arial" w:cs="Arial"/>
              </w:rPr>
              <w:t>Penicillin</w:t>
            </w:r>
          </w:p>
        </w:tc>
        <w:tc>
          <w:tcPr>
            <w:tcW w:w="1268" w:type="dxa"/>
            <w:hideMark/>
          </w:tcPr>
          <w:p w14:paraId="26372E95" w14:textId="77777777" w:rsidR="00E00800" w:rsidRPr="00E00800" w:rsidRDefault="00E00800" w:rsidP="00010F64">
            <w:pPr>
              <w:pStyle w:val="Body"/>
              <w:spacing w:after="120"/>
              <w:rPr>
                <w:rFonts w:ascii="Arial" w:hAnsi="Arial" w:cs="Arial"/>
              </w:rPr>
            </w:pPr>
            <w:r w:rsidRPr="00E00800">
              <w:rPr>
                <w:rFonts w:ascii="Arial" w:hAnsi="Arial" w:cs="Arial"/>
              </w:rPr>
              <w:t>16 (76.2)</w:t>
            </w:r>
          </w:p>
        </w:tc>
        <w:tc>
          <w:tcPr>
            <w:tcW w:w="1242" w:type="dxa"/>
            <w:hideMark/>
          </w:tcPr>
          <w:p w14:paraId="2E02D9A1" w14:textId="77777777" w:rsidR="00E00800" w:rsidRPr="00E00800" w:rsidRDefault="00E00800" w:rsidP="00010F64">
            <w:pPr>
              <w:pStyle w:val="Body"/>
              <w:spacing w:after="120"/>
              <w:rPr>
                <w:rFonts w:ascii="Arial" w:hAnsi="Arial" w:cs="Arial"/>
              </w:rPr>
            </w:pPr>
            <w:r w:rsidRPr="00E00800">
              <w:rPr>
                <w:rFonts w:ascii="Arial" w:hAnsi="Arial" w:cs="Arial"/>
              </w:rPr>
              <w:t>4(19.0)</w:t>
            </w:r>
          </w:p>
        </w:tc>
        <w:tc>
          <w:tcPr>
            <w:tcW w:w="1242" w:type="dxa"/>
            <w:hideMark/>
          </w:tcPr>
          <w:p w14:paraId="3E63C49D" w14:textId="77777777" w:rsidR="00E00800" w:rsidRPr="00E00800" w:rsidRDefault="00E00800" w:rsidP="00010F64">
            <w:pPr>
              <w:pStyle w:val="Body"/>
              <w:spacing w:after="120"/>
              <w:rPr>
                <w:rFonts w:ascii="Arial" w:hAnsi="Arial" w:cs="Arial"/>
              </w:rPr>
            </w:pPr>
            <w:r w:rsidRPr="00E00800">
              <w:rPr>
                <w:rFonts w:ascii="Arial" w:hAnsi="Arial" w:cs="Arial"/>
              </w:rPr>
              <w:t>12(85.7)</w:t>
            </w:r>
          </w:p>
        </w:tc>
        <w:tc>
          <w:tcPr>
            <w:tcW w:w="1314" w:type="dxa"/>
            <w:hideMark/>
          </w:tcPr>
          <w:p w14:paraId="147A8DAF" w14:textId="77777777" w:rsidR="00E00800" w:rsidRPr="00E00800" w:rsidRDefault="00E00800" w:rsidP="00010F64">
            <w:pPr>
              <w:pStyle w:val="Body"/>
              <w:spacing w:after="120"/>
              <w:rPr>
                <w:rFonts w:ascii="Arial" w:hAnsi="Arial" w:cs="Arial"/>
              </w:rPr>
            </w:pPr>
            <w:r w:rsidRPr="00E00800">
              <w:rPr>
                <w:rFonts w:ascii="Arial" w:hAnsi="Arial" w:cs="Arial"/>
              </w:rPr>
              <w:t>1(7.1)</w:t>
            </w:r>
          </w:p>
        </w:tc>
        <w:tc>
          <w:tcPr>
            <w:tcW w:w="990" w:type="dxa"/>
            <w:hideMark/>
          </w:tcPr>
          <w:p w14:paraId="3C9A3376" w14:textId="77777777" w:rsidR="00E00800" w:rsidRPr="00E00800" w:rsidRDefault="00E00800" w:rsidP="00010F64">
            <w:pPr>
              <w:pStyle w:val="Body"/>
              <w:spacing w:after="120"/>
              <w:rPr>
                <w:rFonts w:ascii="Arial" w:hAnsi="Arial" w:cs="Arial"/>
              </w:rPr>
            </w:pPr>
            <w:r w:rsidRPr="00E00800">
              <w:rPr>
                <w:rFonts w:ascii="Arial" w:hAnsi="Arial" w:cs="Arial"/>
              </w:rPr>
              <w:t>9(90)</w:t>
            </w:r>
          </w:p>
        </w:tc>
        <w:tc>
          <w:tcPr>
            <w:tcW w:w="1345" w:type="dxa"/>
            <w:hideMark/>
          </w:tcPr>
          <w:p w14:paraId="02B51B40"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2CEF8A1" w14:textId="77777777" w:rsidTr="00E00800">
        <w:tc>
          <w:tcPr>
            <w:tcW w:w="1949" w:type="dxa"/>
            <w:hideMark/>
          </w:tcPr>
          <w:p w14:paraId="39FD3627" w14:textId="77777777" w:rsidR="00E00800" w:rsidRPr="00E00800" w:rsidRDefault="00E00800" w:rsidP="00010F64">
            <w:pPr>
              <w:pStyle w:val="Body"/>
              <w:spacing w:after="120"/>
              <w:rPr>
                <w:rFonts w:ascii="Arial" w:hAnsi="Arial" w:cs="Arial"/>
              </w:rPr>
            </w:pPr>
            <w:r w:rsidRPr="00E00800">
              <w:rPr>
                <w:rFonts w:ascii="Arial" w:hAnsi="Arial" w:cs="Arial"/>
              </w:rPr>
              <w:t>Tetracycline</w:t>
            </w:r>
          </w:p>
        </w:tc>
        <w:tc>
          <w:tcPr>
            <w:tcW w:w="1268" w:type="dxa"/>
            <w:hideMark/>
          </w:tcPr>
          <w:p w14:paraId="4213485D" w14:textId="77777777" w:rsidR="00E00800" w:rsidRPr="00E00800" w:rsidRDefault="00E00800" w:rsidP="00010F64">
            <w:pPr>
              <w:pStyle w:val="Body"/>
              <w:spacing w:after="120"/>
              <w:rPr>
                <w:rFonts w:ascii="Arial" w:hAnsi="Arial" w:cs="Arial"/>
              </w:rPr>
            </w:pPr>
            <w:r w:rsidRPr="00E00800">
              <w:rPr>
                <w:rFonts w:ascii="Arial" w:hAnsi="Arial" w:cs="Arial"/>
              </w:rPr>
              <w:t>12 (57.1)</w:t>
            </w:r>
          </w:p>
        </w:tc>
        <w:tc>
          <w:tcPr>
            <w:tcW w:w="1242" w:type="dxa"/>
            <w:hideMark/>
          </w:tcPr>
          <w:p w14:paraId="78CBFB96" w14:textId="77777777" w:rsidR="00E00800" w:rsidRPr="00E00800" w:rsidRDefault="00E00800" w:rsidP="00010F64">
            <w:pPr>
              <w:pStyle w:val="Body"/>
              <w:spacing w:after="120"/>
              <w:rPr>
                <w:rFonts w:ascii="Arial" w:hAnsi="Arial" w:cs="Arial"/>
              </w:rPr>
            </w:pPr>
            <w:r w:rsidRPr="00E00800">
              <w:rPr>
                <w:rFonts w:ascii="Arial" w:hAnsi="Arial" w:cs="Arial"/>
              </w:rPr>
              <w:t>4(19.0)</w:t>
            </w:r>
          </w:p>
        </w:tc>
        <w:tc>
          <w:tcPr>
            <w:tcW w:w="1242" w:type="dxa"/>
            <w:hideMark/>
          </w:tcPr>
          <w:p w14:paraId="447FA799" w14:textId="77777777" w:rsidR="00E00800" w:rsidRPr="00E00800" w:rsidRDefault="00E00800" w:rsidP="00010F64">
            <w:pPr>
              <w:pStyle w:val="Body"/>
              <w:spacing w:after="120"/>
              <w:rPr>
                <w:rFonts w:ascii="Arial" w:hAnsi="Arial" w:cs="Arial"/>
              </w:rPr>
            </w:pPr>
            <w:r w:rsidRPr="00E00800">
              <w:rPr>
                <w:rFonts w:ascii="Arial" w:hAnsi="Arial" w:cs="Arial"/>
              </w:rPr>
              <w:t>10(71.4)</w:t>
            </w:r>
          </w:p>
        </w:tc>
        <w:tc>
          <w:tcPr>
            <w:tcW w:w="1314" w:type="dxa"/>
            <w:hideMark/>
          </w:tcPr>
          <w:p w14:paraId="704D6708"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hideMark/>
          </w:tcPr>
          <w:p w14:paraId="64767E90" w14:textId="77777777" w:rsidR="00E00800" w:rsidRPr="00E00800" w:rsidRDefault="00E00800" w:rsidP="00010F64">
            <w:pPr>
              <w:pStyle w:val="Body"/>
              <w:spacing w:after="120"/>
              <w:rPr>
                <w:rFonts w:ascii="Arial" w:hAnsi="Arial" w:cs="Arial"/>
              </w:rPr>
            </w:pPr>
            <w:r w:rsidRPr="00E00800">
              <w:rPr>
                <w:rFonts w:ascii="Arial" w:hAnsi="Arial" w:cs="Arial"/>
              </w:rPr>
              <w:t>8(80)</w:t>
            </w:r>
          </w:p>
        </w:tc>
        <w:tc>
          <w:tcPr>
            <w:tcW w:w="1345" w:type="dxa"/>
            <w:hideMark/>
          </w:tcPr>
          <w:p w14:paraId="30E24071"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5959B1D7" w14:textId="77777777" w:rsidTr="00E00800">
        <w:tc>
          <w:tcPr>
            <w:tcW w:w="1949" w:type="dxa"/>
            <w:hideMark/>
          </w:tcPr>
          <w:p w14:paraId="09252091" w14:textId="77777777" w:rsidR="00E00800" w:rsidRPr="00E00800" w:rsidRDefault="00E00800" w:rsidP="00010F64">
            <w:pPr>
              <w:pStyle w:val="Body"/>
              <w:spacing w:after="120"/>
              <w:rPr>
                <w:rFonts w:ascii="Arial" w:hAnsi="Arial" w:cs="Arial"/>
              </w:rPr>
            </w:pPr>
            <w:r w:rsidRPr="00E00800">
              <w:rPr>
                <w:rFonts w:ascii="Arial" w:hAnsi="Arial" w:cs="Arial"/>
              </w:rPr>
              <w:t>Gentamycin</w:t>
            </w:r>
          </w:p>
        </w:tc>
        <w:tc>
          <w:tcPr>
            <w:tcW w:w="1268" w:type="dxa"/>
            <w:hideMark/>
          </w:tcPr>
          <w:p w14:paraId="705F19B0" w14:textId="77777777" w:rsidR="00E00800" w:rsidRPr="00E00800" w:rsidRDefault="00E00800" w:rsidP="00010F64">
            <w:pPr>
              <w:pStyle w:val="Body"/>
              <w:spacing w:after="120"/>
              <w:rPr>
                <w:rFonts w:ascii="Arial" w:hAnsi="Arial" w:cs="Arial"/>
              </w:rPr>
            </w:pPr>
            <w:r w:rsidRPr="00E00800">
              <w:rPr>
                <w:rFonts w:ascii="Arial" w:hAnsi="Arial" w:cs="Arial"/>
              </w:rPr>
              <w:t>9 (42.9)</w:t>
            </w:r>
          </w:p>
        </w:tc>
        <w:tc>
          <w:tcPr>
            <w:tcW w:w="1242" w:type="dxa"/>
            <w:hideMark/>
          </w:tcPr>
          <w:p w14:paraId="0B696BED" w14:textId="77777777" w:rsidR="00E00800" w:rsidRPr="00E00800" w:rsidRDefault="00E00800" w:rsidP="00010F64">
            <w:pPr>
              <w:pStyle w:val="Body"/>
              <w:spacing w:after="120"/>
              <w:rPr>
                <w:rFonts w:ascii="Arial" w:hAnsi="Arial" w:cs="Arial"/>
              </w:rPr>
            </w:pPr>
            <w:r w:rsidRPr="00E00800">
              <w:rPr>
                <w:rFonts w:ascii="Arial" w:hAnsi="Arial" w:cs="Arial"/>
              </w:rPr>
              <w:t>9(42.9)</w:t>
            </w:r>
          </w:p>
        </w:tc>
        <w:tc>
          <w:tcPr>
            <w:tcW w:w="1242" w:type="dxa"/>
            <w:hideMark/>
          </w:tcPr>
          <w:p w14:paraId="665E27A8" w14:textId="77777777" w:rsidR="00E00800" w:rsidRPr="00E00800" w:rsidRDefault="00E00800" w:rsidP="00010F64">
            <w:pPr>
              <w:pStyle w:val="Body"/>
              <w:spacing w:after="120"/>
              <w:rPr>
                <w:rFonts w:ascii="Arial" w:hAnsi="Arial" w:cs="Arial"/>
              </w:rPr>
            </w:pPr>
            <w:r w:rsidRPr="00E00800">
              <w:rPr>
                <w:rFonts w:ascii="Arial" w:hAnsi="Arial" w:cs="Arial"/>
              </w:rPr>
              <w:t>7(50)</w:t>
            </w:r>
          </w:p>
        </w:tc>
        <w:tc>
          <w:tcPr>
            <w:tcW w:w="1314" w:type="dxa"/>
            <w:hideMark/>
          </w:tcPr>
          <w:p w14:paraId="45243997"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hideMark/>
          </w:tcPr>
          <w:p w14:paraId="19C21C5E" w14:textId="77777777" w:rsidR="00E00800" w:rsidRPr="00E00800" w:rsidRDefault="00E00800" w:rsidP="00010F64">
            <w:pPr>
              <w:pStyle w:val="Body"/>
              <w:spacing w:after="120"/>
              <w:rPr>
                <w:rFonts w:ascii="Arial" w:hAnsi="Arial" w:cs="Arial"/>
              </w:rPr>
            </w:pPr>
            <w:r w:rsidRPr="00E00800">
              <w:rPr>
                <w:rFonts w:ascii="Arial" w:hAnsi="Arial" w:cs="Arial"/>
              </w:rPr>
              <w:t>6(60)</w:t>
            </w:r>
          </w:p>
        </w:tc>
        <w:tc>
          <w:tcPr>
            <w:tcW w:w="1345" w:type="dxa"/>
            <w:hideMark/>
          </w:tcPr>
          <w:p w14:paraId="46C6F2B4" w14:textId="77777777" w:rsidR="00E00800" w:rsidRPr="00E00800" w:rsidRDefault="00E00800" w:rsidP="00010F64">
            <w:pPr>
              <w:pStyle w:val="Body"/>
              <w:spacing w:after="120"/>
              <w:rPr>
                <w:rFonts w:ascii="Arial" w:hAnsi="Arial" w:cs="Arial"/>
              </w:rPr>
            </w:pPr>
            <w:r w:rsidRPr="00E00800">
              <w:rPr>
                <w:rFonts w:ascii="Arial" w:hAnsi="Arial" w:cs="Arial"/>
              </w:rPr>
              <w:t>2(20)</w:t>
            </w:r>
          </w:p>
        </w:tc>
      </w:tr>
      <w:tr w:rsidR="00E00800" w:rsidRPr="00E00800" w14:paraId="51CB6D76" w14:textId="77777777" w:rsidTr="00E00800">
        <w:tc>
          <w:tcPr>
            <w:tcW w:w="1949" w:type="dxa"/>
            <w:hideMark/>
          </w:tcPr>
          <w:p w14:paraId="610865C3" w14:textId="77777777" w:rsidR="00E00800" w:rsidRPr="00E00800" w:rsidRDefault="00E00800" w:rsidP="00010F64">
            <w:pPr>
              <w:pStyle w:val="Body"/>
              <w:spacing w:after="120"/>
              <w:rPr>
                <w:rFonts w:ascii="Arial" w:hAnsi="Arial" w:cs="Arial"/>
              </w:rPr>
            </w:pPr>
            <w:r w:rsidRPr="00E00800">
              <w:rPr>
                <w:rFonts w:ascii="Arial" w:hAnsi="Arial" w:cs="Arial"/>
              </w:rPr>
              <w:t>Erythromycin</w:t>
            </w:r>
          </w:p>
        </w:tc>
        <w:tc>
          <w:tcPr>
            <w:tcW w:w="1268" w:type="dxa"/>
            <w:hideMark/>
          </w:tcPr>
          <w:p w14:paraId="1A34CFD2" w14:textId="77777777" w:rsidR="00E00800" w:rsidRPr="00E00800" w:rsidRDefault="00E00800" w:rsidP="00010F64">
            <w:pPr>
              <w:pStyle w:val="Body"/>
              <w:spacing w:after="120"/>
              <w:rPr>
                <w:rFonts w:ascii="Arial" w:hAnsi="Arial" w:cs="Arial"/>
              </w:rPr>
            </w:pPr>
            <w:r w:rsidRPr="00E00800">
              <w:rPr>
                <w:rFonts w:ascii="Arial" w:hAnsi="Arial" w:cs="Arial"/>
              </w:rPr>
              <w:t>11(52.4)</w:t>
            </w:r>
          </w:p>
        </w:tc>
        <w:tc>
          <w:tcPr>
            <w:tcW w:w="1242" w:type="dxa"/>
            <w:hideMark/>
          </w:tcPr>
          <w:p w14:paraId="771566EE" w14:textId="77777777" w:rsidR="00E00800" w:rsidRPr="00E00800" w:rsidRDefault="00E00800" w:rsidP="00010F64">
            <w:pPr>
              <w:pStyle w:val="Body"/>
              <w:spacing w:after="120"/>
              <w:rPr>
                <w:rFonts w:ascii="Arial" w:hAnsi="Arial" w:cs="Arial"/>
              </w:rPr>
            </w:pPr>
            <w:r w:rsidRPr="00E00800">
              <w:rPr>
                <w:rFonts w:ascii="Arial" w:hAnsi="Arial" w:cs="Arial"/>
              </w:rPr>
              <w:t>5(23.8)</w:t>
            </w:r>
          </w:p>
        </w:tc>
        <w:tc>
          <w:tcPr>
            <w:tcW w:w="1242" w:type="dxa"/>
            <w:hideMark/>
          </w:tcPr>
          <w:p w14:paraId="0B1AA8C8" w14:textId="77777777" w:rsidR="00E00800" w:rsidRPr="00E00800" w:rsidRDefault="00E00800" w:rsidP="00010F64">
            <w:pPr>
              <w:pStyle w:val="Body"/>
              <w:spacing w:after="120"/>
              <w:rPr>
                <w:rFonts w:ascii="Arial" w:hAnsi="Arial" w:cs="Arial"/>
              </w:rPr>
            </w:pPr>
            <w:r w:rsidRPr="00E00800">
              <w:rPr>
                <w:rFonts w:ascii="Arial" w:hAnsi="Arial" w:cs="Arial"/>
              </w:rPr>
              <w:t>9(64.3)</w:t>
            </w:r>
          </w:p>
        </w:tc>
        <w:tc>
          <w:tcPr>
            <w:tcW w:w="1314" w:type="dxa"/>
            <w:hideMark/>
          </w:tcPr>
          <w:p w14:paraId="18C9BEED" w14:textId="77777777" w:rsidR="00E00800" w:rsidRPr="00E00800" w:rsidRDefault="00E00800" w:rsidP="00010F64">
            <w:pPr>
              <w:pStyle w:val="Body"/>
              <w:spacing w:after="120"/>
              <w:rPr>
                <w:rFonts w:ascii="Arial" w:hAnsi="Arial" w:cs="Arial"/>
              </w:rPr>
            </w:pPr>
            <w:r w:rsidRPr="00E00800">
              <w:rPr>
                <w:rFonts w:ascii="Arial" w:hAnsi="Arial" w:cs="Arial"/>
              </w:rPr>
              <w:t>1(7.1)</w:t>
            </w:r>
          </w:p>
        </w:tc>
        <w:tc>
          <w:tcPr>
            <w:tcW w:w="990" w:type="dxa"/>
            <w:hideMark/>
          </w:tcPr>
          <w:p w14:paraId="0EAE3B67" w14:textId="77777777" w:rsidR="00E00800" w:rsidRPr="00E00800" w:rsidRDefault="00E00800" w:rsidP="00010F64">
            <w:pPr>
              <w:pStyle w:val="Body"/>
              <w:spacing w:after="120"/>
              <w:rPr>
                <w:rFonts w:ascii="Arial" w:hAnsi="Arial" w:cs="Arial"/>
              </w:rPr>
            </w:pPr>
            <w:r w:rsidRPr="00E00800">
              <w:rPr>
                <w:rFonts w:ascii="Arial" w:hAnsi="Arial" w:cs="Arial"/>
              </w:rPr>
              <w:t>6(60)</w:t>
            </w:r>
          </w:p>
        </w:tc>
        <w:tc>
          <w:tcPr>
            <w:tcW w:w="1345" w:type="dxa"/>
            <w:hideMark/>
          </w:tcPr>
          <w:p w14:paraId="4D29A5D3" w14:textId="77777777" w:rsidR="00E00800" w:rsidRPr="00E00800" w:rsidRDefault="00E00800" w:rsidP="00010F64">
            <w:pPr>
              <w:pStyle w:val="Body"/>
              <w:spacing w:after="120"/>
              <w:rPr>
                <w:rFonts w:ascii="Arial" w:hAnsi="Arial" w:cs="Arial"/>
              </w:rPr>
            </w:pPr>
            <w:r w:rsidRPr="00E00800">
              <w:rPr>
                <w:rFonts w:ascii="Arial" w:hAnsi="Arial" w:cs="Arial"/>
              </w:rPr>
              <w:t>0 (0)</w:t>
            </w:r>
          </w:p>
        </w:tc>
      </w:tr>
      <w:tr w:rsidR="00E00800" w:rsidRPr="00E00800" w14:paraId="7A03FFF3" w14:textId="77777777" w:rsidTr="00E00800">
        <w:tc>
          <w:tcPr>
            <w:tcW w:w="1949" w:type="dxa"/>
            <w:tcBorders>
              <w:top w:val="nil"/>
              <w:left w:val="nil"/>
              <w:bottom w:val="single" w:sz="4" w:space="0" w:color="auto"/>
              <w:right w:val="nil"/>
            </w:tcBorders>
            <w:hideMark/>
          </w:tcPr>
          <w:p w14:paraId="04333198" w14:textId="77777777" w:rsidR="00E00800" w:rsidRPr="00E00800" w:rsidRDefault="00E00800" w:rsidP="00010F64">
            <w:pPr>
              <w:pStyle w:val="Body"/>
              <w:spacing w:after="120"/>
              <w:rPr>
                <w:rFonts w:ascii="Arial" w:hAnsi="Arial" w:cs="Arial"/>
              </w:rPr>
            </w:pPr>
            <w:r w:rsidRPr="00E00800">
              <w:rPr>
                <w:rFonts w:ascii="Arial" w:hAnsi="Arial" w:cs="Arial"/>
              </w:rPr>
              <w:t>Sulfamethoxazole</w:t>
            </w:r>
          </w:p>
        </w:tc>
        <w:tc>
          <w:tcPr>
            <w:tcW w:w="1268" w:type="dxa"/>
            <w:tcBorders>
              <w:top w:val="nil"/>
              <w:left w:val="nil"/>
              <w:bottom w:val="single" w:sz="4" w:space="0" w:color="auto"/>
              <w:right w:val="nil"/>
            </w:tcBorders>
            <w:hideMark/>
          </w:tcPr>
          <w:p w14:paraId="3B025302" w14:textId="77777777" w:rsidR="00E00800" w:rsidRPr="00E00800" w:rsidRDefault="00E00800" w:rsidP="00010F64">
            <w:pPr>
              <w:pStyle w:val="Body"/>
              <w:spacing w:after="120"/>
              <w:rPr>
                <w:rFonts w:ascii="Arial" w:hAnsi="Arial" w:cs="Arial"/>
              </w:rPr>
            </w:pPr>
            <w:r w:rsidRPr="00E00800">
              <w:rPr>
                <w:rFonts w:ascii="Arial" w:hAnsi="Arial" w:cs="Arial"/>
              </w:rPr>
              <w:t>10 (47.6)</w:t>
            </w:r>
          </w:p>
        </w:tc>
        <w:tc>
          <w:tcPr>
            <w:tcW w:w="1242" w:type="dxa"/>
            <w:tcBorders>
              <w:top w:val="nil"/>
              <w:left w:val="nil"/>
              <w:bottom w:val="single" w:sz="4" w:space="0" w:color="auto"/>
              <w:right w:val="nil"/>
            </w:tcBorders>
            <w:hideMark/>
          </w:tcPr>
          <w:p w14:paraId="633755CE" w14:textId="77777777" w:rsidR="00E00800" w:rsidRPr="00E00800" w:rsidRDefault="00E00800" w:rsidP="00010F64">
            <w:pPr>
              <w:pStyle w:val="Body"/>
              <w:spacing w:after="120"/>
              <w:rPr>
                <w:rFonts w:ascii="Arial" w:hAnsi="Arial" w:cs="Arial"/>
              </w:rPr>
            </w:pPr>
            <w:r w:rsidRPr="00E00800">
              <w:rPr>
                <w:rFonts w:ascii="Arial" w:hAnsi="Arial" w:cs="Arial"/>
              </w:rPr>
              <w:t>7(33.3)</w:t>
            </w:r>
          </w:p>
        </w:tc>
        <w:tc>
          <w:tcPr>
            <w:tcW w:w="1242" w:type="dxa"/>
            <w:tcBorders>
              <w:top w:val="nil"/>
              <w:left w:val="nil"/>
              <w:bottom w:val="single" w:sz="4" w:space="0" w:color="auto"/>
              <w:right w:val="nil"/>
            </w:tcBorders>
            <w:hideMark/>
          </w:tcPr>
          <w:p w14:paraId="5CE3B71F" w14:textId="77777777" w:rsidR="00E00800" w:rsidRPr="00E00800" w:rsidRDefault="00E00800" w:rsidP="00010F64">
            <w:pPr>
              <w:pStyle w:val="Body"/>
              <w:spacing w:after="120"/>
              <w:rPr>
                <w:rFonts w:ascii="Arial" w:hAnsi="Arial" w:cs="Arial"/>
              </w:rPr>
            </w:pPr>
            <w:r w:rsidRPr="00E00800">
              <w:rPr>
                <w:rFonts w:ascii="Arial" w:hAnsi="Arial" w:cs="Arial"/>
              </w:rPr>
              <w:t>10(71.4)</w:t>
            </w:r>
          </w:p>
        </w:tc>
        <w:tc>
          <w:tcPr>
            <w:tcW w:w="1314" w:type="dxa"/>
            <w:tcBorders>
              <w:top w:val="nil"/>
              <w:left w:val="nil"/>
              <w:bottom w:val="single" w:sz="4" w:space="0" w:color="auto"/>
              <w:right w:val="nil"/>
            </w:tcBorders>
            <w:hideMark/>
          </w:tcPr>
          <w:p w14:paraId="26F500B2" w14:textId="77777777" w:rsidR="00E00800" w:rsidRPr="00E00800" w:rsidRDefault="00E00800" w:rsidP="00010F64">
            <w:pPr>
              <w:pStyle w:val="Body"/>
              <w:spacing w:after="120"/>
              <w:rPr>
                <w:rFonts w:ascii="Arial" w:hAnsi="Arial" w:cs="Arial"/>
              </w:rPr>
            </w:pPr>
            <w:r w:rsidRPr="00E00800">
              <w:rPr>
                <w:rFonts w:ascii="Arial" w:hAnsi="Arial" w:cs="Arial"/>
              </w:rPr>
              <w:t>2(14.3)</w:t>
            </w:r>
          </w:p>
        </w:tc>
        <w:tc>
          <w:tcPr>
            <w:tcW w:w="990" w:type="dxa"/>
            <w:tcBorders>
              <w:top w:val="nil"/>
              <w:left w:val="nil"/>
              <w:bottom w:val="single" w:sz="4" w:space="0" w:color="auto"/>
              <w:right w:val="nil"/>
            </w:tcBorders>
            <w:hideMark/>
          </w:tcPr>
          <w:p w14:paraId="20287DBD" w14:textId="77777777" w:rsidR="00E00800" w:rsidRPr="00E00800" w:rsidRDefault="00E00800" w:rsidP="00010F64">
            <w:pPr>
              <w:pStyle w:val="Body"/>
              <w:spacing w:after="120"/>
              <w:rPr>
                <w:rFonts w:ascii="Arial" w:hAnsi="Arial" w:cs="Arial"/>
              </w:rPr>
            </w:pPr>
            <w:r w:rsidRPr="00E00800">
              <w:rPr>
                <w:rFonts w:ascii="Arial" w:hAnsi="Arial" w:cs="Arial"/>
              </w:rPr>
              <w:t>4(40)</w:t>
            </w:r>
          </w:p>
        </w:tc>
        <w:tc>
          <w:tcPr>
            <w:tcW w:w="1345" w:type="dxa"/>
            <w:tcBorders>
              <w:top w:val="nil"/>
              <w:left w:val="nil"/>
              <w:bottom w:val="single" w:sz="4" w:space="0" w:color="auto"/>
              <w:right w:val="nil"/>
            </w:tcBorders>
            <w:hideMark/>
          </w:tcPr>
          <w:p w14:paraId="4C6C83AA" w14:textId="77777777" w:rsidR="00E00800" w:rsidRPr="00E00800" w:rsidRDefault="00E00800" w:rsidP="00010F64">
            <w:pPr>
              <w:pStyle w:val="Body"/>
              <w:spacing w:after="120"/>
              <w:rPr>
                <w:rFonts w:ascii="Arial" w:hAnsi="Arial" w:cs="Arial"/>
              </w:rPr>
            </w:pPr>
            <w:r w:rsidRPr="00E00800">
              <w:rPr>
                <w:rFonts w:ascii="Arial" w:hAnsi="Arial" w:cs="Arial"/>
              </w:rPr>
              <w:t>1(10)</w:t>
            </w:r>
          </w:p>
        </w:tc>
      </w:tr>
    </w:tbl>
    <w:p w14:paraId="067EFC66" w14:textId="77777777" w:rsidR="00E00800" w:rsidRPr="00E00800" w:rsidRDefault="00E00800" w:rsidP="00010F64">
      <w:pPr>
        <w:pStyle w:val="Body"/>
        <w:spacing w:after="120"/>
        <w:rPr>
          <w:rFonts w:ascii="Arial" w:hAnsi="Arial" w:cs="Arial"/>
        </w:rPr>
      </w:pPr>
    </w:p>
    <w:p w14:paraId="50A596EA" w14:textId="77777777" w:rsidR="00E00800" w:rsidRPr="00E00800" w:rsidRDefault="00E00800" w:rsidP="00010F64">
      <w:pPr>
        <w:pStyle w:val="Body"/>
        <w:spacing w:after="120"/>
        <w:rPr>
          <w:rFonts w:ascii="Arial" w:hAnsi="Arial" w:cs="Arial"/>
        </w:rPr>
      </w:pPr>
      <w:bookmarkStart w:id="10" w:name="_Toc197581386"/>
      <w:r w:rsidRPr="00E00800">
        <w:rPr>
          <w:rFonts w:ascii="Arial" w:hAnsi="Arial" w:cs="Arial"/>
          <w:b/>
          <w:bCs/>
        </w:rPr>
        <w:t xml:space="preserve">3.4 Antimicrobial activity of bromelain and chitosan against bacteria isolated from chicken in </w:t>
      </w:r>
      <w:proofErr w:type="spellStart"/>
      <w:r w:rsidRPr="00E00800">
        <w:rPr>
          <w:rFonts w:ascii="Arial" w:hAnsi="Arial" w:cs="Arial"/>
          <w:b/>
          <w:bCs/>
        </w:rPr>
        <w:t>Juja</w:t>
      </w:r>
      <w:proofErr w:type="spellEnd"/>
      <w:r w:rsidRPr="00E00800">
        <w:rPr>
          <w:rFonts w:ascii="Arial" w:hAnsi="Arial" w:cs="Arial"/>
          <w:b/>
          <w:bCs/>
        </w:rPr>
        <w:t xml:space="preserve"> subcounty</w:t>
      </w:r>
      <w:bookmarkEnd w:id="10"/>
    </w:p>
    <w:p w14:paraId="7B9B823F" w14:textId="77777777" w:rsidR="00E00800" w:rsidRPr="00E00800" w:rsidRDefault="00E00800" w:rsidP="00010F64">
      <w:pPr>
        <w:pStyle w:val="Body"/>
        <w:spacing w:after="120"/>
        <w:rPr>
          <w:rFonts w:ascii="Arial" w:hAnsi="Arial" w:cs="Arial"/>
        </w:rPr>
      </w:pPr>
      <w:r w:rsidRPr="00E00800">
        <w:rPr>
          <w:rFonts w:ascii="Arial" w:hAnsi="Arial" w:cs="Arial"/>
        </w:rPr>
        <w:t>In each group of bacterial species (</w:t>
      </w:r>
      <w:r w:rsidRPr="00E00800">
        <w:rPr>
          <w:rFonts w:ascii="Arial" w:hAnsi="Arial" w:cs="Arial"/>
          <w:i/>
        </w:rPr>
        <w:t>Salmonella</w:t>
      </w:r>
      <w:r w:rsidRPr="00E00800">
        <w:rPr>
          <w:rFonts w:ascii="Arial" w:hAnsi="Arial" w:cs="Arial"/>
        </w:rPr>
        <w:t xml:space="preserve"> spp., </w:t>
      </w:r>
      <w:r w:rsidRPr="00E00800">
        <w:rPr>
          <w:rFonts w:ascii="Arial" w:hAnsi="Arial" w:cs="Arial"/>
          <w:i/>
        </w:rPr>
        <w:t>E. coli</w:t>
      </w:r>
      <w:r w:rsidRPr="00E00800">
        <w:rPr>
          <w:rFonts w:ascii="Arial" w:hAnsi="Arial" w:cs="Arial"/>
        </w:rPr>
        <w:t xml:space="preserve">, </w:t>
      </w:r>
      <w:r w:rsidRPr="00E00800">
        <w:rPr>
          <w:rFonts w:ascii="Arial" w:hAnsi="Arial" w:cs="Arial"/>
          <w:i/>
        </w:rPr>
        <w:t>S. aureus</w:t>
      </w:r>
      <w:r w:rsidRPr="00E00800">
        <w:rPr>
          <w:rFonts w:ascii="Arial" w:hAnsi="Arial" w:cs="Arial"/>
        </w:rPr>
        <w:t xml:space="preserve">), two isolates that were highly resistant to the tested commercial antibiotics (penicillin and nalidixic acid) were randomly selected and used to test the antimicrobial activity of bromelain at varying concentrations of 500µg/ml, 250µg/ml, 125µg/ml, and 6.25µg/ml (Table 5). </w:t>
      </w:r>
    </w:p>
    <w:p w14:paraId="17E092AA" w14:textId="77777777" w:rsidR="00201897" w:rsidRPr="00A428DF" w:rsidRDefault="00E00800" w:rsidP="00010F64">
      <w:pPr>
        <w:pStyle w:val="Body"/>
        <w:spacing w:after="120"/>
        <w:rPr>
          <w:rFonts w:ascii="Arial" w:hAnsi="Arial" w:cs="Arial"/>
        </w:rPr>
      </w:pPr>
      <w:r w:rsidRPr="00E00800">
        <w:rPr>
          <w:rFonts w:ascii="Arial" w:hAnsi="Arial" w:cs="Arial"/>
        </w:rPr>
        <w:t xml:space="preserve">The minimum inhibitory concentration (MIC) of bromelain was 125µg/ml for </w:t>
      </w:r>
      <w:r w:rsidRPr="00E00800">
        <w:rPr>
          <w:rFonts w:ascii="Arial" w:hAnsi="Arial" w:cs="Arial"/>
          <w:i/>
        </w:rPr>
        <w:t>Salmonella</w:t>
      </w:r>
      <w:r w:rsidRPr="00E00800">
        <w:rPr>
          <w:rFonts w:ascii="Arial" w:hAnsi="Arial" w:cs="Arial"/>
        </w:rPr>
        <w:t xml:space="preserve"> spp., and </w:t>
      </w:r>
      <w:r w:rsidRPr="00E00800">
        <w:rPr>
          <w:rFonts w:ascii="Arial" w:hAnsi="Arial" w:cs="Arial"/>
          <w:i/>
        </w:rPr>
        <w:t xml:space="preserve">E. coli </w:t>
      </w:r>
      <w:r w:rsidRPr="00E00800">
        <w:rPr>
          <w:rFonts w:ascii="Arial" w:hAnsi="Arial" w:cs="Arial"/>
        </w:rPr>
        <w:t xml:space="preserve">isolates. As the concentration increased, the inhibition was enhanced for these two species. The bromelain did not show any inhibition effect to </w:t>
      </w:r>
      <w:r w:rsidRPr="00E00800">
        <w:rPr>
          <w:rFonts w:ascii="Arial" w:hAnsi="Arial" w:cs="Arial"/>
          <w:i/>
        </w:rPr>
        <w:t>S. aureus</w:t>
      </w:r>
      <w:r w:rsidRPr="00E00800">
        <w:rPr>
          <w:rFonts w:ascii="Arial" w:hAnsi="Arial" w:cs="Arial"/>
        </w:rPr>
        <w:t xml:space="preserve"> isolates in all concentrations tested. </w:t>
      </w:r>
    </w:p>
    <w:p w14:paraId="1D674D44" w14:textId="77777777" w:rsidR="00E00800" w:rsidRDefault="00E00800" w:rsidP="00010F64">
      <w:pPr>
        <w:pStyle w:val="Body"/>
        <w:spacing w:after="120"/>
        <w:rPr>
          <w:rFonts w:ascii="Arial" w:hAnsi="Arial" w:cs="Arial"/>
        </w:rPr>
      </w:pPr>
      <w:r w:rsidRPr="00E00800">
        <w:rPr>
          <w:rFonts w:ascii="Arial" w:hAnsi="Arial" w:cs="Arial"/>
          <w:b/>
        </w:rPr>
        <w:t>Table 5:</w:t>
      </w:r>
      <w:r w:rsidRPr="00E00800">
        <w:rPr>
          <w:rFonts w:ascii="Arial" w:hAnsi="Arial" w:cs="Arial"/>
        </w:rPr>
        <w:t xml:space="preserve"> </w:t>
      </w:r>
      <w:r w:rsidRPr="00E00800">
        <w:rPr>
          <w:rFonts w:ascii="Arial" w:hAnsi="Arial" w:cs="Arial"/>
          <w:i/>
        </w:rPr>
        <w:t>In vitro</w:t>
      </w:r>
      <w:r w:rsidRPr="00E00800">
        <w:rPr>
          <w:rFonts w:ascii="Arial" w:hAnsi="Arial" w:cs="Arial"/>
        </w:rPr>
        <w:t xml:space="preserve"> activity of nano-encapsulated bromelain against bacteria isolated from chicken in </w:t>
      </w:r>
      <w:proofErr w:type="spellStart"/>
      <w:r w:rsidRPr="00E00800">
        <w:rPr>
          <w:rFonts w:ascii="Arial" w:hAnsi="Arial" w:cs="Arial"/>
        </w:rPr>
        <w:t>Juja</w:t>
      </w:r>
      <w:proofErr w:type="spellEnd"/>
      <w:r w:rsidRPr="00E00800">
        <w:rPr>
          <w:rFonts w:ascii="Arial" w:hAnsi="Arial" w:cs="Arial"/>
        </w:rPr>
        <w:t xml:space="preserve"> subcounty</w:t>
      </w:r>
    </w:p>
    <w:p w14:paraId="1F0BE473" w14:textId="77777777" w:rsidR="00201897" w:rsidRPr="00E00800" w:rsidRDefault="00201897" w:rsidP="00010F64">
      <w:pPr>
        <w:pStyle w:val="Body"/>
        <w:spacing w:after="120"/>
        <w:rPr>
          <w:rFonts w:ascii="Arial" w:hAnsi="Arial" w:cs="Arial"/>
        </w:rPr>
      </w:pPr>
    </w:p>
    <w:tbl>
      <w:tblPr>
        <w:tblStyle w:val="TableGrid"/>
        <w:tblW w:w="0" w:type="auto"/>
        <w:tblLook w:val="04A0" w:firstRow="1" w:lastRow="0" w:firstColumn="1" w:lastColumn="0" w:noHBand="0" w:noVBand="1"/>
      </w:tblPr>
      <w:tblGrid>
        <w:gridCol w:w="1665"/>
        <w:gridCol w:w="1600"/>
        <w:gridCol w:w="2140"/>
        <w:gridCol w:w="1315"/>
        <w:gridCol w:w="1315"/>
        <w:gridCol w:w="1315"/>
      </w:tblGrid>
      <w:tr w:rsidR="00E00800" w:rsidRPr="00E00800" w14:paraId="6B08E12A" w14:textId="77777777" w:rsidTr="00E00800">
        <w:tc>
          <w:tcPr>
            <w:tcW w:w="3265" w:type="dxa"/>
            <w:gridSpan w:val="2"/>
            <w:vMerge w:val="restart"/>
            <w:tcBorders>
              <w:top w:val="single" w:sz="4" w:space="0" w:color="auto"/>
              <w:left w:val="single" w:sz="4" w:space="0" w:color="auto"/>
              <w:bottom w:val="single" w:sz="4" w:space="0" w:color="auto"/>
              <w:right w:val="single" w:sz="4" w:space="0" w:color="auto"/>
            </w:tcBorders>
            <w:hideMark/>
          </w:tcPr>
          <w:p w14:paraId="2647D2D7" w14:textId="77777777" w:rsidR="00E00800" w:rsidRPr="00E00800" w:rsidRDefault="00E00800" w:rsidP="00010F64">
            <w:pPr>
              <w:pStyle w:val="Body"/>
              <w:spacing w:after="120"/>
              <w:rPr>
                <w:rFonts w:ascii="Arial" w:hAnsi="Arial" w:cs="Arial"/>
                <w:b/>
              </w:rPr>
            </w:pPr>
            <w:r w:rsidRPr="00E00800">
              <w:rPr>
                <w:rFonts w:ascii="Arial" w:hAnsi="Arial" w:cs="Arial"/>
                <w:b/>
              </w:rPr>
              <w:t>Bacterial isolate</w:t>
            </w:r>
          </w:p>
        </w:tc>
        <w:tc>
          <w:tcPr>
            <w:tcW w:w="6085" w:type="dxa"/>
            <w:gridSpan w:val="4"/>
            <w:tcBorders>
              <w:top w:val="single" w:sz="4" w:space="0" w:color="auto"/>
              <w:left w:val="single" w:sz="4" w:space="0" w:color="auto"/>
              <w:bottom w:val="single" w:sz="4" w:space="0" w:color="auto"/>
              <w:right w:val="single" w:sz="4" w:space="0" w:color="auto"/>
            </w:tcBorders>
            <w:hideMark/>
          </w:tcPr>
          <w:p w14:paraId="2C704B63" w14:textId="77777777" w:rsidR="00E00800" w:rsidRPr="00E00800" w:rsidRDefault="00E00800" w:rsidP="00010F64">
            <w:pPr>
              <w:pStyle w:val="Body"/>
              <w:spacing w:after="120"/>
              <w:rPr>
                <w:rFonts w:ascii="Arial" w:hAnsi="Arial" w:cs="Arial"/>
                <w:b/>
              </w:rPr>
            </w:pPr>
            <w:r w:rsidRPr="00E00800">
              <w:rPr>
                <w:rFonts w:ascii="Arial" w:hAnsi="Arial" w:cs="Arial"/>
                <w:b/>
              </w:rPr>
              <w:t>Concentration of encapsulated bromelain(µg/ml)</w:t>
            </w:r>
          </w:p>
        </w:tc>
      </w:tr>
      <w:tr w:rsidR="00E00800" w:rsidRPr="00E00800" w14:paraId="19FF1E41" w14:textId="77777777" w:rsidTr="00E00800">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B2FE0B" w14:textId="77777777" w:rsidR="00E00800" w:rsidRPr="00E00800" w:rsidRDefault="00E00800" w:rsidP="00010F64">
            <w:pPr>
              <w:pStyle w:val="Body"/>
              <w:spacing w:after="120"/>
              <w:rPr>
                <w:rFonts w:ascii="Arial" w:eastAsia="Times New Roman" w:hAnsi="Arial" w:cs="Arial"/>
                <w:b/>
              </w:rPr>
            </w:pPr>
          </w:p>
        </w:tc>
        <w:tc>
          <w:tcPr>
            <w:tcW w:w="2140" w:type="dxa"/>
            <w:tcBorders>
              <w:top w:val="single" w:sz="4" w:space="0" w:color="auto"/>
              <w:left w:val="single" w:sz="4" w:space="0" w:color="auto"/>
              <w:bottom w:val="single" w:sz="4" w:space="0" w:color="auto"/>
              <w:right w:val="single" w:sz="4" w:space="0" w:color="auto"/>
            </w:tcBorders>
            <w:hideMark/>
          </w:tcPr>
          <w:p w14:paraId="43C8DA84" w14:textId="77777777" w:rsidR="00E00800" w:rsidRPr="00E00800" w:rsidRDefault="00E00800" w:rsidP="00010F64">
            <w:pPr>
              <w:pStyle w:val="Body"/>
              <w:spacing w:after="120"/>
              <w:rPr>
                <w:rFonts w:ascii="Arial" w:hAnsi="Arial" w:cs="Arial"/>
              </w:rPr>
            </w:pPr>
            <w:r w:rsidRPr="00E00800">
              <w:rPr>
                <w:rFonts w:ascii="Arial" w:hAnsi="Arial" w:cs="Arial"/>
              </w:rPr>
              <w:t>500</w:t>
            </w:r>
          </w:p>
        </w:tc>
        <w:tc>
          <w:tcPr>
            <w:tcW w:w="1315" w:type="dxa"/>
            <w:tcBorders>
              <w:top w:val="single" w:sz="4" w:space="0" w:color="auto"/>
              <w:left w:val="single" w:sz="4" w:space="0" w:color="auto"/>
              <w:bottom w:val="single" w:sz="4" w:space="0" w:color="auto"/>
              <w:right w:val="single" w:sz="4" w:space="0" w:color="auto"/>
            </w:tcBorders>
            <w:hideMark/>
          </w:tcPr>
          <w:p w14:paraId="0B73D0B9" w14:textId="77777777" w:rsidR="00E00800" w:rsidRPr="00E00800" w:rsidRDefault="00E00800" w:rsidP="00010F64">
            <w:pPr>
              <w:pStyle w:val="Body"/>
              <w:spacing w:after="120"/>
              <w:rPr>
                <w:rFonts w:ascii="Arial" w:hAnsi="Arial" w:cs="Arial"/>
              </w:rPr>
            </w:pPr>
            <w:r w:rsidRPr="00E00800">
              <w:rPr>
                <w:rFonts w:ascii="Arial" w:hAnsi="Arial" w:cs="Arial"/>
              </w:rPr>
              <w:t>250</w:t>
            </w:r>
          </w:p>
        </w:tc>
        <w:tc>
          <w:tcPr>
            <w:tcW w:w="1315" w:type="dxa"/>
            <w:tcBorders>
              <w:top w:val="single" w:sz="4" w:space="0" w:color="auto"/>
              <w:left w:val="single" w:sz="4" w:space="0" w:color="auto"/>
              <w:bottom w:val="single" w:sz="4" w:space="0" w:color="auto"/>
              <w:right w:val="single" w:sz="4" w:space="0" w:color="auto"/>
            </w:tcBorders>
            <w:hideMark/>
          </w:tcPr>
          <w:p w14:paraId="751B09B8" w14:textId="77777777" w:rsidR="00E00800" w:rsidRPr="00E00800" w:rsidRDefault="00E00800" w:rsidP="00010F64">
            <w:pPr>
              <w:pStyle w:val="Body"/>
              <w:spacing w:after="120"/>
              <w:rPr>
                <w:rFonts w:ascii="Arial" w:hAnsi="Arial" w:cs="Arial"/>
              </w:rPr>
            </w:pPr>
            <w:r w:rsidRPr="00E00800">
              <w:rPr>
                <w:rFonts w:ascii="Arial" w:hAnsi="Arial" w:cs="Arial"/>
              </w:rPr>
              <w:t>125</w:t>
            </w:r>
          </w:p>
        </w:tc>
        <w:tc>
          <w:tcPr>
            <w:tcW w:w="1315" w:type="dxa"/>
            <w:tcBorders>
              <w:top w:val="single" w:sz="4" w:space="0" w:color="auto"/>
              <w:left w:val="single" w:sz="4" w:space="0" w:color="auto"/>
              <w:bottom w:val="single" w:sz="4" w:space="0" w:color="auto"/>
              <w:right w:val="single" w:sz="4" w:space="0" w:color="auto"/>
            </w:tcBorders>
            <w:hideMark/>
          </w:tcPr>
          <w:p w14:paraId="2950C0BF" w14:textId="77777777" w:rsidR="00E00800" w:rsidRPr="00E00800" w:rsidRDefault="00E00800" w:rsidP="00010F64">
            <w:pPr>
              <w:pStyle w:val="Body"/>
              <w:spacing w:after="120"/>
              <w:rPr>
                <w:rFonts w:ascii="Arial" w:hAnsi="Arial" w:cs="Arial"/>
              </w:rPr>
            </w:pPr>
            <w:r w:rsidRPr="00E00800">
              <w:rPr>
                <w:rFonts w:ascii="Arial" w:hAnsi="Arial" w:cs="Arial"/>
              </w:rPr>
              <w:t>6.25</w:t>
            </w:r>
          </w:p>
        </w:tc>
      </w:tr>
      <w:tr w:rsidR="00E00800" w:rsidRPr="00E00800" w14:paraId="0FB40A2F" w14:textId="77777777" w:rsidTr="00E00800">
        <w:trPr>
          <w:trHeight w:val="224"/>
        </w:trPr>
        <w:tc>
          <w:tcPr>
            <w:tcW w:w="1665" w:type="dxa"/>
            <w:vMerge w:val="restart"/>
            <w:tcBorders>
              <w:top w:val="single" w:sz="4" w:space="0" w:color="auto"/>
              <w:left w:val="single" w:sz="4" w:space="0" w:color="auto"/>
              <w:bottom w:val="single" w:sz="4" w:space="0" w:color="auto"/>
              <w:right w:val="single" w:sz="4" w:space="0" w:color="auto"/>
            </w:tcBorders>
            <w:hideMark/>
          </w:tcPr>
          <w:p w14:paraId="6B38664C"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Salmonella </w:t>
            </w:r>
            <w:r w:rsidRPr="00E00800">
              <w:rPr>
                <w:rFonts w:ascii="Arial" w:hAnsi="Arial" w:cs="Arial"/>
              </w:rPr>
              <w:t>spp</w:t>
            </w:r>
            <w:r w:rsidRPr="00E00800">
              <w:rPr>
                <w:rFonts w:ascii="Arial" w:hAnsi="Arial" w:cs="Arial"/>
                <w:i/>
              </w:rPr>
              <w:t>.</w:t>
            </w:r>
          </w:p>
        </w:tc>
        <w:tc>
          <w:tcPr>
            <w:tcW w:w="1600" w:type="dxa"/>
            <w:tcBorders>
              <w:top w:val="single" w:sz="4" w:space="0" w:color="auto"/>
              <w:left w:val="single" w:sz="4" w:space="0" w:color="auto"/>
              <w:bottom w:val="single" w:sz="4" w:space="0" w:color="auto"/>
              <w:right w:val="single" w:sz="4" w:space="0" w:color="auto"/>
            </w:tcBorders>
            <w:hideMark/>
          </w:tcPr>
          <w:p w14:paraId="6DB964C6"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tcBorders>
              <w:top w:val="single" w:sz="4" w:space="0" w:color="auto"/>
              <w:left w:val="single" w:sz="4" w:space="0" w:color="auto"/>
              <w:bottom w:val="single" w:sz="4" w:space="0" w:color="auto"/>
              <w:right w:val="single" w:sz="4" w:space="0" w:color="auto"/>
            </w:tcBorders>
            <w:hideMark/>
          </w:tcPr>
          <w:p w14:paraId="7C5BE0CF"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6BCC602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1A91BB3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63C82158"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21002EC" w14:textId="77777777" w:rsidTr="00E00800">
        <w:tc>
          <w:tcPr>
            <w:tcW w:w="0" w:type="auto"/>
            <w:vMerge/>
            <w:tcBorders>
              <w:top w:val="single" w:sz="4" w:space="0" w:color="auto"/>
              <w:left w:val="single" w:sz="4" w:space="0" w:color="auto"/>
              <w:bottom w:val="single" w:sz="4" w:space="0" w:color="auto"/>
              <w:right w:val="single" w:sz="4" w:space="0" w:color="auto"/>
            </w:tcBorders>
            <w:vAlign w:val="center"/>
            <w:hideMark/>
          </w:tcPr>
          <w:p w14:paraId="08F75F0E" w14:textId="77777777" w:rsidR="00E00800" w:rsidRPr="00E00800" w:rsidRDefault="00E00800" w:rsidP="00010F64">
            <w:pPr>
              <w:pStyle w:val="Body"/>
              <w:spacing w:after="120"/>
              <w:rPr>
                <w:rFonts w:ascii="Arial" w:eastAsia="Times New Roman" w:hAnsi="Arial" w:cs="Arial"/>
                <w:i/>
              </w:rPr>
            </w:pPr>
          </w:p>
        </w:tc>
        <w:tc>
          <w:tcPr>
            <w:tcW w:w="1600" w:type="dxa"/>
            <w:tcBorders>
              <w:top w:val="single" w:sz="4" w:space="0" w:color="auto"/>
              <w:left w:val="single" w:sz="4" w:space="0" w:color="auto"/>
              <w:bottom w:val="single" w:sz="4" w:space="0" w:color="auto"/>
              <w:right w:val="single" w:sz="4" w:space="0" w:color="auto"/>
            </w:tcBorders>
            <w:hideMark/>
          </w:tcPr>
          <w:p w14:paraId="1506557C"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tcBorders>
              <w:top w:val="single" w:sz="4" w:space="0" w:color="auto"/>
              <w:left w:val="single" w:sz="4" w:space="0" w:color="auto"/>
              <w:bottom w:val="single" w:sz="4" w:space="0" w:color="auto"/>
              <w:right w:val="single" w:sz="4" w:space="0" w:color="auto"/>
            </w:tcBorders>
            <w:hideMark/>
          </w:tcPr>
          <w:p w14:paraId="2F0A2EC5"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34B1024D"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05B2096F"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1A20A96A"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8D1F94C" w14:textId="77777777" w:rsidTr="00E00800">
        <w:tc>
          <w:tcPr>
            <w:tcW w:w="1665" w:type="dxa"/>
            <w:vMerge w:val="restart"/>
            <w:tcBorders>
              <w:top w:val="single" w:sz="4" w:space="0" w:color="auto"/>
              <w:left w:val="single" w:sz="4" w:space="0" w:color="auto"/>
              <w:bottom w:val="single" w:sz="4" w:space="0" w:color="auto"/>
              <w:right w:val="single" w:sz="4" w:space="0" w:color="auto"/>
            </w:tcBorders>
            <w:hideMark/>
          </w:tcPr>
          <w:p w14:paraId="6B4D1982"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E. coli </w:t>
            </w:r>
          </w:p>
        </w:tc>
        <w:tc>
          <w:tcPr>
            <w:tcW w:w="1600" w:type="dxa"/>
            <w:tcBorders>
              <w:top w:val="single" w:sz="4" w:space="0" w:color="auto"/>
              <w:left w:val="single" w:sz="4" w:space="0" w:color="auto"/>
              <w:bottom w:val="single" w:sz="4" w:space="0" w:color="auto"/>
              <w:right w:val="single" w:sz="4" w:space="0" w:color="auto"/>
            </w:tcBorders>
            <w:hideMark/>
          </w:tcPr>
          <w:p w14:paraId="07D88126"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tcBorders>
              <w:top w:val="single" w:sz="4" w:space="0" w:color="auto"/>
              <w:left w:val="single" w:sz="4" w:space="0" w:color="auto"/>
              <w:bottom w:val="single" w:sz="4" w:space="0" w:color="auto"/>
              <w:right w:val="single" w:sz="4" w:space="0" w:color="auto"/>
            </w:tcBorders>
            <w:hideMark/>
          </w:tcPr>
          <w:p w14:paraId="17DF381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6977A76A"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2E5E7E4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7A1F2B6D"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BF5CCE9" w14:textId="77777777" w:rsidTr="00E00800">
        <w:tc>
          <w:tcPr>
            <w:tcW w:w="0" w:type="auto"/>
            <w:vMerge/>
            <w:tcBorders>
              <w:top w:val="single" w:sz="4" w:space="0" w:color="auto"/>
              <w:left w:val="single" w:sz="4" w:space="0" w:color="auto"/>
              <w:bottom w:val="single" w:sz="4" w:space="0" w:color="auto"/>
              <w:right w:val="single" w:sz="4" w:space="0" w:color="auto"/>
            </w:tcBorders>
            <w:vAlign w:val="center"/>
            <w:hideMark/>
          </w:tcPr>
          <w:p w14:paraId="4A55A676" w14:textId="77777777" w:rsidR="00E00800" w:rsidRPr="00E00800" w:rsidRDefault="00E00800" w:rsidP="00010F64">
            <w:pPr>
              <w:pStyle w:val="Body"/>
              <w:spacing w:after="120"/>
              <w:rPr>
                <w:rFonts w:ascii="Arial" w:eastAsia="Times New Roman" w:hAnsi="Arial" w:cs="Arial"/>
                <w:i/>
              </w:rPr>
            </w:pPr>
          </w:p>
        </w:tc>
        <w:tc>
          <w:tcPr>
            <w:tcW w:w="1600" w:type="dxa"/>
            <w:tcBorders>
              <w:top w:val="single" w:sz="4" w:space="0" w:color="auto"/>
              <w:left w:val="single" w:sz="4" w:space="0" w:color="auto"/>
              <w:bottom w:val="single" w:sz="4" w:space="0" w:color="auto"/>
              <w:right w:val="single" w:sz="4" w:space="0" w:color="auto"/>
            </w:tcBorders>
            <w:hideMark/>
          </w:tcPr>
          <w:p w14:paraId="52DFCC24"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tcBorders>
              <w:top w:val="single" w:sz="4" w:space="0" w:color="auto"/>
              <w:left w:val="single" w:sz="4" w:space="0" w:color="auto"/>
              <w:bottom w:val="single" w:sz="4" w:space="0" w:color="auto"/>
              <w:right w:val="single" w:sz="4" w:space="0" w:color="auto"/>
            </w:tcBorders>
            <w:hideMark/>
          </w:tcPr>
          <w:p w14:paraId="6EA761A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265A6F6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7670A88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15" w:type="dxa"/>
            <w:tcBorders>
              <w:top w:val="single" w:sz="4" w:space="0" w:color="auto"/>
              <w:left w:val="single" w:sz="4" w:space="0" w:color="auto"/>
              <w:bottom w:val="single" w:sz="4" w:space="0" w:color="auto"/>
              <w:right w:val="single" w:sz="4" w:space="0" w:color="auto"/>
            </w:tcBorders>
            <w:hideMark/>
          </w:tcPr>
          <w:p w14:paraId="5AFECC70"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9F2AE88" w14:textId="77777777" w:rsidTr="00E00800">
        <w:tc>
          <w:tcPr>
            <w:tcW w:w="1665" w:type="dxa"/>
            <w:vMerge w:val="restart"/>
            <w:tcBorders>
              <w:top w:val="single" w:sz="4" w:space="0" w:color="auto"/>
              <w:left w:val="single" w:sz="4" w:space="0" w:color="auto"/>
              <w:bottom w:val="single" w:sz="4" w:space="0" w:color="auto"/>
              <w:right w:val="single" w:sz="4" w:space="0" w:color="auto"/>
            </w:tcBorders>
            <w:hideMark/>
          </w:tcPr>
          <w:p w14:paraId="1FC2F9E3"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 aureus </w:t>
            </w:r>
          </w:p>
        </w:tc>
        <w:tc>
          <w:tcPr>
            <w:tcW w:w="1600" w:type="dxa"/>
            <w:tcBorders>
              <w:top w:val="single" w:sz="4" w:space="0" w:color="auto"/>
              <w:left w:val="single" w:sz="4" w:space="0" w:color="auto"/>
              <w:bottom w:val="single" w:sz="4" w:space="0" w:color="auto"/>
              <w:right w:val="single" w:sz="4" w:space="0" w:color="auto"/>
            </w:tcBorders>
            <w:hideMark/>
          </w:tcPr>
          <w:p w14:paraId="15F93B08" w14:textId="77777777" w:rsidR="00E00800" w:rsidRPr="00E00800" w:rsidRDefault="00E00800" w:rsidP="00010F64">
            <w:pPr>
              <w:pStyle w:val="Body"/>
              <w:spacing w:after="120"/>
              <w:rPr>
                <w:rFonts w:ascii="Arial" w:hAnsi="Arial" w:cs="Arial"/>
              </w:rPr>
            </w:pPr>
            <w:r w:rsidRPr="00E00800">
              <w:rPr>
                <w:rFonts w:ascii="Arial" w:hAnsi="Arial" w:cs="Arial"/>
              </w:rPr>
              <w:t>A</w:t>
            </w:r>
          </w:p>
        </w:tc>
        <w:tc>
          <w:tcPr>
            <w:tcW w:w="2140" w:type="dxa"/>
            <w:tcBorders>
              <w:top w:val="single" w:sz="4" w:space="0" w:color="auto"/>
              <w:left w:val="single" w:sz="4" w:space="0" w:color="auto"/>
              <w:bottom w:val="single" w:sz="4" w:space="0" w:color="auto"/>
              <w:right w:val="single" w:sz="4" w:space="0" w:color="auto"/>
            </w:tcBorders>
            <w:hideMark/>
          </w:tcPr>
          <w:p w14:paraId="155A52EA"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452B868B"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31D54A6E"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5E951FD2"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162074EB" w14:textId="77777777" w:rsidTr="00E00800">
        <w:tc>
          <w:tcPr>
            <w:tcW w:w="0" w:type="auto"/>
            <w:vMerge/>
            <w:tcBorders>
              <w:top w:val="single" w:sz="4" w:space="0" w:color="auto"/>
              <w:left w:val="single" w:sz="4" w:space="0" w:color="auto"/>
              <w:bottom w:val="single" w:sz="4" w:space="0" w:color="auto"/>
              <w:right w:val="single" w:sz="4" w:space="0" w:color="auto"/>
            </w:tcBorders>
            <w:vAlign w:val="center"/>
            <w:hideMark/>
          </w:tcPr>
          <w:p w14:paraId="0E1E58D2" w14:textId="77777777" w:rsidR="00E00800" w:rsidRPr="00E00800" w:rsidRDefault="00E00800" w:rsidP="00010F64">
            <w:pPr>
              <w:pStyle w:val="Body"/>
              <w:spacing w:after="120"/>
              <w:rPr>
                <w:rFonts w:ascii="Arial" w:eastAsia="Times New Roman" w:hAnsi="Arial" w:cs="Arial"/>
                <w:i/>
              </w:rPr>
            </w:pPr>
          </w:p>
        </w:tc>
        <w:tc>
          <w:tcPr>
            <w:tcW w:w="1600" w:type="dxa"/>
            <w:tcBorders>
              <w:top w:val="single" w:sz="4" w:space="0" w:color="auto"/>
              <w:left w:val="single" w:sz="4" w:space="0" w:color="auto"/>
              <w:bottom w:val="single" w:sz="4" w:space="0" w:color="auto"/>
              <w:right w:val="single" w:sz="4" w:space="0" w:color="auto"/>
            </w:tcBorders>
            <w:hideMark/>
          </w:tcPr>
          <w:p w14:paraId="3D4239B8" w14:textId="77777777" w:rsidR="00E00800" w:rsidRPr="00E00800" w:rsidRDefault="00E00800" w:rsidP="00010F64">
            <w:pPr>
              <w:pStyle w:val="Body"/>
              <w:spacing w:after="120"/>
              <w:rPr>
                <w:rFonts w:ascii="Arial" w:hAnsi="Arial" w:cs="Arial"/>
              </w:rPr>
            </w:pPr>
            <w:r w:rsidRPr="00E00800">
              <w:rPr>
                <w:rFonts w:ascii="Arial" w:hAnsi="Arial" w:cs="Arial"/>
              </w:rPr>
              <w:t>B</w:t>
            </w:r>
          </w:p>
        </w:tc>
        <w:tc>
          <w:tcPr>
            <w:tcW w:w="2140" w:type="dxa"/>
            <w:tcBorders>
              <w:top w:val="single" w:sz="4" w:space="0" w:color="auto"/>
              <w:left w:val="single" w:sz="4" w:space="0" w:color="auto"/>
              <w:bottom w:val="single" w:sz="4" w:space="0" w:color="auto"/>
              <w:right w:val="single" w:sz="4" w:space="0" w:color="auto"/>
            </w:tcBorders>
            <w:hideMark/>
          </w:tcPr>
          <w:p w14:paraId="30AD21FC"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7CFD87BA"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254CD9D7"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15" w:type="dxa"/>
            <w:tcBorders>
              <w:top w:val="single" w:sz="4" w:space="0" w:color="auto"/>
              <w:left w:val="single" w:sz="4" w:space="0" w:color="auto"/>
              <w:bottom w:val="single" w:sz="4" w:space="0" w:color="auto"/>
              <w:right w:val="single" w:sz="4" w:space="0" w:color="auto"/>
            </w:tcBorders>
            <w:hideMark/>
          </w:tcPr>
          <w:p w14:paraId="104DDCE8" w14:textId="77777777" w:rsidR="00E00800" w:rsidRPr="00E00800" w:rsidRDefault="00E00800" w:rsidP="00010F64">
            <w:pPr>
              <w:pStyle w:val="Body"/>
              <w:spacing w:after="120"/>
              <w:rPr>
                <w:rFonts w:ascii="Arial" w:hAnsi="Arial" w:cs="Arial"/>
              </w:rPr>
            </w:pPr>
            <w:r w:rsidRPr="00E00800">
              <w:rPr>
                <w:rFonts w:ascii="Arial" w:hAnsi="Arial" w:cs="Arial"/>
              </w:rPr>
              <w:t>NS</w:t>
            </w:r>
          </w:p>
        </w:tc>
      </w:tr>
    </w:tbl>
    <w:p w14:paraId="76321D88" w14:textId="77777777" w:rsidR="00E00800" w:rsidRPr="00E00800" w:rsidRDefault="00E00800" w:rsidP="00010F64">
      <w:pPr>
        <w:pStyle w:val="Body"/>
        <w:spacing w:after="120"/>
        <w:rPr>
          <w:rFonts w:ascii="Arial" w:hAnsi="Arial" w:cs="Arial"/>
          <w:bCs/>
          <w:i/>
        </w:rPr>
      </w:pPr>
      <w:bookmarkStart w:id="11" w:name="_Toc197599693"/>
      <w:bookmarkStart w:id="12" w:name="_Toc197581389"/>
      <w:bookmarkStart w:id="13" w:name="_Toc197580562"/>
      <w:bookmarkStart w:id="14" w:name="_Toc197579534"/>
      <w:bookmarkStart w:id="15" w:name="_Hlk193899019"/>
      <w:r w:rsidRPr="00E00800">
        <w:rPr>
          <w:rFonts w:ascii="Arial" w:hAnsi="Arial" w:cs="Arial"/>
          <w:bCs/>
          <w:i/>
        </w:rPr>
        <w:t xml:space="preserve">Key: Salmonella </w:t>
      </w:r>
      <w:r w:rsidRPr="00E00800">
        <w:rPr>
          <w:rFonts w:ascii="Arial" w:hAnsi="Arial" w:cs="Arial"/>
          <w:bCs/>
        </w:rPr>
        <w:t xml:space="preserve">spp.: </w:t>
      </w:r>
      <w:r w:rsidRPr="00E00800">
        <w:rPr>
          <w:rFonts w:ascii="Arial" w:hAnsi="Arial" w:cs="Arial"/>
          <w:bCs/>
          <w:i/>
        </w:rPr>
        <w:t xml:space="preserve">Salmonella </w:t>
      </w:r>
      <w:r w:rsidRPr="00E00800">
        <w:rPr>
          <w:rFonts w:ascii="Arial" w:hAnsi="Arial" w:cs="Arial"/>
          <w:bCs/>
        </w:rPr>
        <w:t xml:space="preserve">species, </w:t>
      </w:r>
      <w:r w:rsidRPr="00E00800">
        <w:rPr>
          <w:rFonts w:ascii="Arial" w:hAnsi="Arial" w:cs="Arial"/>
          <w:bCs/>
          <w:i/>
        </w:rPr>
        <w:t>E. coli</w:t>
      </w:r>
      <w:r w:rsidRPr="00E00800">
        <w:rPr>
          <w:rFonts w:ascii="Arial" w:hAnsi="Arial" w:cs="Arial"/>
          <w:bCs/>
        </w:rPr>
        <w:t xml:space="preserve">: </w:t>
      </w:r>
      <w:r w:rsidRPr="00E00800">
        <w:rPr>
          <w:rFonts w:ascii="Arial" w:hAnsi="Arial" w:cs="Arial"/>
          <w:bCs/>
          <w:i/>
        </w:rPr>
        <w:t>Escherichia coli</w:t>
      </w:r>
      <w:r w:rsidRPr="00E00800">
        <w:rPr>
          <w:rFonts w:ascii="Arial" w:hAnsi="Arial" w:cs="Arial"/>
          <w:bCs/>
        </w:rPr>
        <w:t xml:space="preserve">, </w:t>
      </w:r>
      <w:r w:rsidRPr="00E00800">
        <w:rPr>
          <w:rFonts w:ascii="Arial" w:hAnsi="Arial" w:cs="Arial"/>
          <w:bCs/>
          <w:i/>
        </w:rPr>
        <w:t>S. aureus</w:t>
      </w:r>
      <w:r w:rsidRPr="00E00800">
        <w:rPr>
          <w:rFonts w:ascii="Arial" w:hAnsi="Arial" w:cs="Arial"/>
          <w:bCs/>
        </w:rPr>
        <w:t xml:space="preserve">: </w:t>
      </w:r>
      <w:r w:rsidRPr="00E00800">
        <w:rPr>
          <w:rFonts w:ascii="Arial" w:hAnsi="Arial" w:cs="Arial"/>
          <w:bCs/>
          <w:i/>
        </w:rPr>
        <w:t>Staphylococcus aureus</w:t>
      </w:r>
    </w:p>
    <w:p w14:paraId="7BA3D327" w14:textId="77777777" w:rsidR="00E00800" w:rsidRPr="00A428DF" w:rsidRDefault="00E00800" w:rsidP="00010F64">
      <w:pPr>
        <w:pStyle w:val="Body"/>
        <w:spacing w:after="120"/>
        <w:rPr>
          <w:rFonts w:ascii="Arial" w:hAnsi="Arial" w:cs="Arial"/>
          <w:bCs/>
          <w:iCs/>
        </w:rPr>
      </w:pPr>
      <w:r w:rsidRPr="00E00800">
        <w:rPr>
          <w:rFonts w:ascii="Arial" w:hAnsi="Arial" w:cs="Arial"/>
          <w:bCs/>
          <w:iCs/>
        </w:rPr>
        <w:t>A and B represents two a</w:t>
      </w:r>
      <w:r w:rsidR="00A428DF">
        <w:rPr>
          <w:rFonts w:ascii="Arial" w:hAnsi="Arial" w:cs="Arial"/>
          <w:bCs/>
          <w:iCs/>
        </w:rPr>
        <w:t>ntibiotics selected for testing</w:t>
      </w:r>
    </w:p>
    <w:p w14:paraId="56E87CF9" w14:textId="77777777" w:rsidR="00201897" w:rsidRPr="00E00800" w:rsidRDefault="00E00800" w:rsidP="00010F64">
      <w:pPr>
        <w:pStyle w:val="Body"/>
        <w:spacing w:after="120"/>
        <w:rPr>
          <w:rFonts w:ascii="Arial" w:hAnsi="Arial" w:cs="Arial"/>
        </w:rPr>
      </w:pPr>
      <w:r w:rsidRPr="00E00800">
        <w:rPr>
          <w:rFonts w:ascii="Arial" w:hAnsi="Arial" w:cs="Arial"/>
        </w:rPr>
        <w:t xml:space="preserve">Equally, each isolate tested for bromelain antimicrobial activity was also subjected to laboratory-extracted chitosan at concentrations of 1000 µg/ml, 500 µg/ml, 250 µg/ml, and 125 µg/ml. The MIC of chitosan for </w:t>
      </w:r>
      <w:r w:rsidRPr="00E00800">
        <w:rPr>
          <w:rFonts w:ascii="Arial" w:hAnsi="Arial" w:cs="Arial"/>
          <w:i/>
        </w:rPr>
        <w:t>Salmonella</w:t>
      </w:r>
      <w:r w:rsidRPr="00E00800">
        <w:rPr>
          <w:rFonts w:ascii="Arial" w:hAnsi="Arial" w:cs="Arial"/>
        </w:rPr>
        <w:t xml:space="preserve"> spp., was 250 µg/ml, while that for </w:t>
      </w:r>
      <w:r w:rsidRPr="00E00800">
        <w:rPr>
          <w:rFonts w:ascii="Arial" w:hAnsi="Arial" w:cs="Arial"/>
          <w:i/>
        </w:rPr>
        <w:t>E. coli</w:t>
      </w:r>
      <w:r w:rsidRPr="00E00800">
        <w:rPr>
          <w:rFonts w:ascii="Arial" w:hAnsi="Arial" w:cs="Arial"/>
        </w:rPr>
        <w:t xml:space="preserve"> was 500 µg/ml. Chitosan had no antibacterial activity against </w:t>
      </w:r>
      <w:r w:rsidRPr="00E00800">
        <w:rPr>
          <w:rFonts w:ascii="Arial" w:hAnsi="Arial" w:cs="Arial"/>
          <w:i/>
        </w:rPr>
        <w:t>S. aureus</w:t>
      </w:r>
      <w:r w:rsidRPr="00E00800">
        <w:rPr>
          <w:rFonts w:ascii="Arial" w:hAnsi="Arial" w:cs="Arial"/>
        </w:rPr>
        <w:t xml:space="preserve"> isolates in all concentrations tested (Table 6).</w:t>
      </w:r>
    </w:p>
    <w:p w14:paraId="300F3566" w14:textId="77777777" w:rsidR="00E00800" w:rsidRPr="00E00800" w:rsidRDefault="00E00800" w:rsidP="00010F64">
      <w:pPr>
        <w:pStyle w:val="Body"/>
        <w:spacing w:after="120"/>
        <w:rPr>
          <w:rFonts w:ascii="Arial" w:hAnsi="Arial" w:cs="Arial"/>
        </w:rPr>
      </w:pPr>
      <w:r w:rsidRPr="00E00800">
        <w:rPr>
          <w:rFonts w:ascii="Arial" w:hAnsi="Arial" w:cs="Arial"/>
          <w:b/>
        </w:rPr>
        <w:t>Table 6:</w:t>
      </w:r>
      <w:r w:rsidRPr="00E00800">
        <w:rPr>
          <w:rFonts w:ascii="Arial" w:hAnsi="Arial" w:cs="Arial"/>
        </w:rPr>
        <w:t xml:space="preserve"> </w:t>
      </w:r>
      <w:r w:rsidRPr="00E00800">
        <w:rPr>
          <w:rFonts w:ascii="Arial" w:hAnsi="Arial" w:cs="Arial"/>
          <w:i/>
          <w:iCs/>
        </w:rPr>
        <w:t>In vitro</w:t>
      </w:r>
      <w:r w:rsidRPr="00E00800">
        <w:rPr>
          <w:rFonts w:ascii="Arial" w:hAnsi="Arial" w:cs="Arial"/>
        </w:rPr>
        <w:t xml:space="preserve"> activity of chitosan against bacteria isolated from chicken in </w:t>
      </w:r>
      <w:proofErr w:type="spellStart"/>
      <w:r w:rsidRPr="00E00800">
        <w:rPr>
          <w:rFonts w:ascii="Arial" w:hAnsi="Arial" w:cs="Arial"/>
        </w:rPr>
        <w:t>Juja</w:t>
      </w:r>
      <w:proofErr w:type="spellEnd"/>
      <w:r w:rsidRPr="00E00800">
        <w:rPr>
          <w:rFonts w:ascii="Arial" w:hAnsi="Arial" w:cs="Arial"/>
        </w:rPr>
        <w:t xml:space="preserve"> subcounty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1592"/>
        <w:gridCol w:w="2125"/>
        <w:gridCol w:w="1308"/>
        <w:gridCol w:w="1308"/>
        <w:gridCol w:w="1308"/>
      </w:tblGrid>
      <w:tr w:rsidR="00E00800" w:rsidRPr="00E00800" w14:paraId="3B8E1E51" w14:textId="77777777" w:rsidTr="00E00800">
        <w:tc>
          <w:tcPr>
            <w:tcW w:w="1709" w:type="dxa"/>
            <w:vMerge w:val="restart"/>
            <w:tcBorders>
              <w:top w:val="single" w:sz="4" w:space="0" w:color="auto"/>
              <w:left w:val="nil"/>
              <w:bottom w:val="single" w:sz="4" w:space="0" w:color="auto"/>
              <w:right w:val="nil"/>
            </w:tcBorders>
            <w:hideMark/>
          </w:tcPr>
          <w:p w14:paraId="528054D5" w14:textId="77777777" w:rsidR="00E00800" w:rsidRPr="00E00800" w:rsidRDefault="00E00800" w:rsidP="00010F64">
            <w:pPr>
              <w:pStyle w:val="Body"/>
              <w:spacing w:after="120"/>
              <w:rPr>
                <w:rFonts w:ascii="Arial" w:hAnsi="Arial" w:cs="Arial"/>
                <w:b/>
              </w:rPr>
            </w:pPr>
            <w:r w:rsidRPr="00E00800">
              <w:rPr>
                <w:rFonts w:ascii="Arial" w:hAnsi="Arial" w:cs="Arial"/>
                <w:b/>
              </w:rPr>
              <w:t>Bacterial isolate</w:t>
            </w:r>
          </w:p>
        </w:tc>
        <w:tc>
          <w:tcPr>
            <w:tcW w:w="1592" w:type="dxa"/>
            <w:vMerge w:val="restart"/>
            <w:tcBorders>
              <w:top w:val="single" w:sz="4" w:space="0" w:color="auto"/>
              <w:left w:val="nil"/>
              <w:bottom w:val="single" w:sz="4" w:space="0" w:color="auto"/>
              <w:right w:val="nil"/>
            </w:tcBorders>
            <w:hideMark/>
          </w:tcPr>
          <w:p w14:paraId="204353DC" w14:textId="77777777" w:rsidR="00E00800" w:rsidRPr="00E00800" w:rsidRDefault="00E00800" w:rsidP="00010F64">
            <w:pPr>
              <w:pStyle w:val="Body"/>
              <w:spacing w:after="120"/>
              <w:rPr>
                <w:rFonts w:ascii="Arial" w:hAnsi="Arial" w:cs="Arial"/>
                <w:b/>
              </w:rPr>
            </w:pPr>
            <w:r w:rsidRPr="00E00800">
              <w:rPr>
                <w:rFonts w:ascii="Arial" w:hAnsi="Arial" w:cs="Arial"/>
                <w:b/>
              </w:rPr>
              <w:t>Isolate ID</w:t>
            </w:r>
          </w:p>
        </w:tc>
        <w:tc>
          <w:tcPr>
            <w:tcW w:w="6049" w:type="dxa"/>
            <w:gridSpan w:val="4"/>
            <w:tcBorders>
              <w:top w:val="single" w:sz="4" w:space="0" w:color="auto"/>
              <w:left w:val="nil"/>
              <w:bottom w:val="single" w:sz="4" w:space="0" w:color="auto"/>
              <w:right w:val="nil"/>
            </w:tcBorders>
            <w:hideMark/>
          </w:tcPr>
          <w:p w14:paraId="51F4E8A7" w14:textId="77777777" w:rsidR="00E00800" w:rsidRPr="00E00800" w:rsidRDefault="00E00800" w:rsidP="00010F64">
            <w:pPr>
              <w:pStyle w:val="Body"/>
              <w:spacing w:after="120"/>
              <w:rPr>
                <w:rFonts w:ascii="Arial" w:hAnsi="Arial" w:cs="Arial"/>
                <w:b/>
              </w:rPr>
            </w:pPr>
            <w:r w:rsidRPr="00E00800">
              <w:rPr>
                <w:rFonts w:ascii="Arial" w:hAnsi="Arial" w:cs="Arial"/>
                <w:b/>
              </w:rPr>
              <w:t>Concentration of chitosan (µg/ml)</w:t>
            </w:r>
          </w:p>
        </w:tc>
      </w:tr>
      <w:tr w:rsidR="00E00800" w:rsidRPr="00E00800" w14:paraId="4DCB8058" w14:textId="77777777" w:rsidTr="00E00800">
        <w:tc>
          <w:tcPr>
            <w:tcW w:w="0" w:type="auto"/>
            <w:vMerge/>
            <w:tcBorders>
              <w:top w:val="single" w:sz="4" w:space="0" w:color="auto"/>
              <w:left w:val="nil"/>
              <w:bottom w:val="single" w:sz="4" w:space="0" w:color="auto"/>
              <w:right w:val="nil"/>
            </w:tcBorders>
            <w:vAlign w:val="center"/>
            <w:hideMark/>
          </w:tcPr>
          <w:p w14:paraId="562DE67C" w14:textId="77777777" w:rsidR="00E00800" w:rsidRPr="00E00800" w:rsidRDefault="00E00800" w:rsidP="00010F64">
            <w:pPr>
              <w:pStyle w:val="Body"/>
              <w:spacing w:after="120"/>
              <w:rPr>
                <w:rFonts w:ascii="Arial" w:eastAsia="Times New Roman" w:hAnsi="Arial" w:cs="Arial"/>
                <w:b/>
              </w:rPr>
            </w:pPr>
          </w:p>
        </w:tc>
        <w:tc>
          <w:tcPr>
            <w:tcW w:w="0" w:type="auto"/>
            <w:vMerge/>
            <w:tcBorders>
              <w:top w:val="single" w:sz="4" w:space="0" w:color="auto"/>
              <w:left w:val="nil"/>
              <w:bottom w:val="single" w:sz="4" w:space="0" w:color="auto"/>
              <w:right w:val="nil"/>
            </w:tcBorders>
            <w:vAlign w:val="center"/>
            <w:hideMark/>
          </w:tcPr>
          <w:p w14:paraId="39F013D1" w14:textId="77777777" w:rsidR="00E00800" w:rsidRPr="00E00800" w:rsidRDefault="00E00800" w:rsidP="00010F64">
            <w:pPr>
              <w:pStyle w:val="Body"/>
              <w:spacing w:after="120"/>
              <w:rPr>
                <w:rFonts w:ascii="Arial" w:eastAsia="Times New Roman" w:hAnsi="Arial" w:cs="Arial"/>
                <w:b/>
              </w:rPr>
            </w:pPr>
          </w:p>
        </w:tc>
        <w:tc>
          <w:tcPr>
            <w:tcW w:w="2125" w:type="dxa"/>
            <w:tcBorders>
              <w:top w:val="single" w:sz="4" w:space="0" w:color="auto"/>
              <w:left w:val="nil"/>
              <w:bottom w:val="single" w:sz="4" w:space="0" w:color="auto"/>
              <w:right w:val="nil"/>
            </w:tcBorders>
            <w:hideMark/>
          </w:tcPr>
          <w:p w14:paraId="4A34FA90" w14:textId="77777777" w:rsidR="00E00800" w:rsidRPr="00E00800" w:rsidRDefault="00E00800" w:rsidP="00010F64">
            <w:pPr>
              <w:pStyle w:val="Body"/>
              <w:spacing w:after="120"/>
              <w:rPr>
                <w:rFonts w:ascii="Arial" w:hAnsi="Arial" w:cs="Arial"/>
              </w:rPr>
            </w:pPr>
            <w:r w:rsidRPr="00E00800">
              <w:rPr>
                <w:rFonts w:ascii="Arial" w:hAnsi="Arial" w:cs="Arial"/>
              </w:rPr>
              <w:t>1000</w:t>
            </w:r>
          </w:p>
        </w:tc>
        <w:tc>
          <w:tcPr>
            <w:tcW w:w="1308" w:type="dxa"/>
            <w:tcBorders>
              <w:top w:val="single" w:sz="4" w:space="0" w:color="auto"/>
              <w:left w:val="nil"/>
              <w:bottom w:val="single" w:sz="4" w:space="0" w:color="auto"/>
              <w:right w:val="nil"/>
            </w:tcBorders>
            <w:hideMark/>
          </w:tcPr>
          <w:p w14:paraId="6D7D44A5" w14:textId="77777777" w:rsidR="00E00800" w:rsidRPr="00E00800" w:rsidRDefault="00E00800" w:rsidP="00010F64">
            <w:pPr>
              <w:pStyle w:val="Body"/>
              <w:spacing w:after="120"/>
              <w:rPr>
                <w:rFonts w:ascii="Arial" w:hAnsi="Arial" w:cs="Arial"/>
              </w:rPr>
            </w:pPr>
            <w:r w:rsidRPr="00E00800">
              <w:rPr>
                <w:rFonts w:ascii="Arial" w:hAnsi="Arial" w:cs="Arial"/>
              </w:rPr>
              <w:t>500</w:t>
            </w:r>
          </w:p>
        </w:tc>
        <w:tc>
          <w:tcPr>
            <w:tcW w:w="1308" w:type="dxa"/>
            <w:tcBorders>
              <w:top w:val="single" w:sz="4" w:space="0" w:color="auto"/>
              <w:left w:val="nil"/>
              <w:bottom w:val="single" w:sz="4" w:space="0" w:color="auto"/>
              <w:right w:val="nil"/>
            </w:tcBorders>
            <w:hideMark/>
          </w:tcPr>
          <w:p w14:paraId="79BF6214" w14:textId="77777777" w:rsidR="00E00800" w:rsidRPr="00E00800" w:rsidRDefault="00E00800" w:rsidP="00010F64">
            <w:pPr>
              <w:pStyle w:val="Body"/>
              <w:spacing w:after="120"/>
              <w:rPr>
                <w:rFonts w:ascii="Arial" w:hAnsi="Arial" w:cs="Arial"/>
              </w:rPr>
            </w:pPr>
            <w:r w:rsidRPr="00E00800">
              <w:rPr>
                <w:rFonts w:ascii="Arial" w:hAnsi="Arial" w:cs="Arial"/>
              </w:rPr>
              <w:t>250</w:t>
            </w:r>
          </w:p>
        </w:tc>
        <w:tc>
          <w:tcPr>
            <w:tcW w:w="1308" w:type="dxa"/>
            <w:tcBorders>
              <w:top w:val="single" w:sz="4" w:space="0" w:color="auto"/>
              <w:left w:val="nil"/>
              <w:bottom w:val="single" w:sz="4" w:space="0" w:color="auto"/>
              <w:right w:val="nil"/>
            </w:tcBorders>
            <w:hideMark/>
          </w:tcPr>
          <w:p w14:paraId="3E228816" w14:textId="77777777" w:rsidR="00E00800" w:rsidRPr="00E00800" w:rsidRDefault="00E00800" w:rsidP="00010F64">
            <w:pPr>
              <w:pStyle w:val="Body"/>
              <w:spacing w:after="120"/>
              <w:rPr>
                <w:rFonts w:ascii="Arial" w:hAnsi="Arial" w:cs="Arial"/>
              </w:rPr>
            </w:pPr>
            <w:r w:rsidRPr="00E00800">
              <w:rPr>
                <w:rFonts w:ascii="Arial" w:hAnsi="Arial" w:cs="Arial"/>
              </w:rPr>
              <w:t>125</w:t>
            </w:r>
          </w:p>
        </w:tc>
      </w:tr>
      <w:tr w:rsidR="00E00800" w:rsidRPr="00E00800" w14:paraId="3B2B3E8F" w14:textId="77777777" w:rsidTr="00E00800">
        <w:tc>
          <w:tcPr>
            <w:tcW w:w="1709" w:type="dxa"/>
            <w:vMerge w:val="restart"/>
            <w:tcBorders>
              <w:top w:val="single" w:sz="4" w:space="0" w:color="auto"/>
              <w:left w:val="nil"/>
              <w:bottom w:val="nil"/>
              <w:right w:val="nil"/>
            </w:tcBorders>
            <w:hideMark/>
          </w:tcPr>
          <w:p w14:paraId="13078D55" w14:textId="77777777" w:rsidR="00E00800" w:rsidRPr="00E00800" w:rsidRDefault="00E00800" w:rsidP="00010F64">
            <w:pPr>
              <w:pStyle w:val="Body"/>
              <w:spacing w:after="120"/>
              <w:rPr>
                <w:rFonts w:ascii="Arial" w:hAnsi="Arial" w:cs="Arial"/>
                <w:i/>
              </w:rPr>
            </w:pPr>
            <w:r w:rsidRPr="00E00800">
              <w:rPr>
                <w:rFonts w:ascii="Arial" w:hAnsi="Arial" w:cs="Arial"/>
                <w:i/>
              </w:rPr>
              <w:t xml:space="preserve">Salmonella </w:t>
            </w:r>
            <w:r w:rsidRPr="00E00800">
              <w:rPr>
                <w:rFonts w:ascii="Arial" w:hAnsi="Arial" w:cs="Arial"/>
              </w:rPr>
              <w:t>sp.</w:t>
            </w:r>
          </w:p>
        </w:tc>
        <w:tc>
          <w:tcPr>
            <w:tcW w:w="1592" w:type="dxa"/>
            <w:tcBorders>
              <w:top w:val="single" w:sz="4" w:space="0" w:color="auto"/>
              <w:left w:val="nil"/>
              <w:bottom w:val="nil"/>
              <w:right w:val="nil"/>
            </w:tcBorders>
            <w:hideMark/>
          </w:tcPr>
          <w:p w14:paraId="23C5B5CB" w14:textId="77777777" w:rsidR="00E00800" w:rsidRPr="00E00800" w:rsidRDefault="00E00800" w:rsidP="00010F64">
            <w:pPr>
              <w:pStyle w:val="Body"/>
              <w:spacing w:after="120"/>
              <w:rPr>
                <w:rFonts w:ascii="Arial" w:hAnsi="Arial" w:cs="Arial"/>
              </w:rPr>
            </w:pPr>
            <w:r w:rsidRPr="00E00800">
              <w:rPr>
                <w:rFonts w:ascii="Arial" w:hAnsi="Arial" w:cs="Arial"/>
              </w:rPr>
              <w:t>6</w:t>
            </w:r>
          </w:p>
        </w:tc>
        <w:tc>
          <w:tcPr>
            <w:tcW w:w="2125" w:type="dxa"/>
            <w:tcBorders>
              <w:top w:val="single" w:sz="4" w:space="0" w:color="auto"/>
              <w:left w:val="nil"/>
              <w:bottom w:val="nil"/>
              <w:right w:val="nil"/>
            </w:tcBorders>
            <w:hideMark/>
          </w:tcPr>
          <w:p w14:paraId="72DC0442"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7D9C5E2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72D5A41C"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tcBorders>
              <w:top w:val="single" w:sz="4" w:space="0" w:color="auto"/>
              <w:left w:val="nil"/>
              <w:bottom w:val="nil"/>
              <w:right w:val="nil"/>
            </w:tcBorders>
            <w:hideMark/>
          </w:tcPr>
          <w:p w14:paraId="0905B631" w14:textId="77777777" w:rsidR="00E00800" w:rsidRPr="00E00800" w:rsidRDefault="00E00800" w:rsidP="00010F64">
            <w:pPr>
              <w:pStyle w:val="Body"/>
              <w:spacing w:after="120"/>
              <w:rPr>
                <w:rFonts w:ascii="Arial" w:hAnsi="Arial" w:cs="Arial"/>
              </w:rPr>
            </w:pPr>
            <w:r w:rsidRPr="00E00800">
              <w:rPr>
                <w:rFonts w:ascii="Arial" w:hAnsi="Arial" w:cs="Arial"/>
              </w:rPr>
              <w:t>S</w:t>
            </w:r>
          </w:p>
        </w:tc>
      </w:tr>
      <w:tr w:rsidR="00E00800" w:rsidRPr="00E00800" w14:paraId="4E1B4F64" w14:textId="77777777" w:rsidTr="00E00800">
        <w:tc>
          <w:tcPr>
            <w:tcW w:w="0" w:type="auto"/>
            <w:vMerge/>
            <w:tcBorders>
              <w:top w:val="single" w:sz="4" w:space="0" w:color="auto"/>
              <w:left w:val="nil"/>
              <w:bottom w:val="nil"/>
              <w:right w:val="nil"/>
            </w:tcBorders>
            <w:vAlign w:val="center"/>
            <w:hideMark/>
          </w:tcPr>
          <w:p w14:paraId="050BB5BD" w14:textId="77777777" w:rsidR="00E00800" w:rsidRPr="00E00800" w:rsidRDefault="00E00800" w:rsidP="00010F64">
            <w:pPr>
              <w:pStyle w:val="Body"/>
              <w:spacing w:after="120"/>
              <w:rPr>
                <w:rFonts w:ascii="Arial" w:eastAsia="Times New Roman" w:hAnsi="Arial" w:cs="Arial"/>
                <w:i/>
              </w:rPr>
            </w:pPr>
          </w:p>
        </w:tc>
        <w:tc>
          <w:tcPr>
            <w:tcW w:w="1592" w:type="dxa"/>
            <w:hideMark/>
          </w:tcPr>
          <w:p w14:paraId="2D47D992" w14:textId="77777777" w:rsidR="00E00800" w:rsidRPr="00E00800" w:rsidRDefault="00E00800" w:rsidP="00010F64">
            <w:pPr>
              <w:pStyle w:val="Body"/>
              <w:spacing w:after="120"/>
              <w:rPr>
                <w:rFonts w:ascii="Arial" w:hAnsi="Arial" w:cs="Arial"/>
              </w:rPr>
            </w:pPr>
            <w:r w:rsidRPr="00E00800">
              <w:rPr>
                <w:rFonts w:ascii="Arial" w:hAnsi="Arial" w:cs="Arial"/>
              </w:rPr>
              <w:t>107</w:t>
            </w:r>
          </w:p>
        </w:tc>
        <w:tc>
          <w:tcPr>
            <w:tcW w:w="2125" w:type="dxa"/>
            <w:hideMark/>
          </w:tcPr>
          <w:p w14:paraId="38727B93"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AFB7F76"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3D55892A"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57BEC0C"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619E6D0A" w14:textId="77777777" w:rsidTr="00E00800">
        <w:tc>
          <w:tcPr>
            <w:tcW w:w="1709" w:type="dxa"/>
            <w:vMerge w:val="restart"/>
            <w:hideMark/>
          </w:tcPr>
          <w:p w14:paraId="08C190AA" w14:textId="77777777" w:rsidR="00E00800" w:rsidRPr="00E00800" w:rsidRDefault="00E00800" w:rsidP="00010F64">
            <w:pPr>
              <w:pStyle w:val="Body"/>
              <w:spacing w:after="120"/>
              <w:rPr>
                <w:rFonts w:ascii="Arial" w:hAnsi="Arial" w:cs="Arial"/>
                <w:i/>
              </w:rPr>
            </w:pPr>
            <w:r w:rsidRPr="00E00800">
              <w:rPr>
                <w:rFonts w:ascii="Arial" w:hAnsi="Arial" w:cs="Arial"/>
                <w:i/>
              </w:rPr>
              <w:lastRenderedPageBreak/>
              <w:t>E. coli</w:t>
            </w:r>
          </w:p>
        </w:tc>
        <w:tc>
          <w:tcPr>
            <w:tcW w:w="1592" w:type="dxa"/>
            <w:hideMark/>
          </w:tcPr>
          <w:p w14:paraId="04D77B5D" w14:textId="77777777" w:rsidR="00E00800" w:rsidRPr="00E00800" w:rsidRDefault="00E00800" w:rsidP="00010F64">
            <w:pPr>
              <w:pStyle w:val="Body"/>
              <w:spacing w:after="120"/>
              <w:rPr>
                <w:rFonts w:ascii="Arial" w:hAnsi="Arial" w:cs="Arial"/>
              </w:rPr>
            </w:pPr>
            <w:r w:rsidRPr="00E00800">
              <w:rPr>
                <w:rFonts w:ascii="Arial" w:hAnsi="Arial" w:cs="Arial"/>
              </w:rPr>
              <w:t>21</w:t>
            </w:r>
          </w:p>
        </w:tc>
        <w:tc>
          <w:tcPr>
            <w:tcW w:w="2125" w:type="dxa"/>
            <w:hideMark/>
          </w:tcPr>
          <w:p w14:paraId="59A45BB3"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15ED5B8"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7E39B8B3"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076FA876"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7909A920" w14:textId="77777777" w:rsidTr="00E00800">
        <w:tc>
          <w:tcPr>
            <w:tcW w:w="0" w:type="auto"/>
            <w:vMerge/>
            <w:vAlign w:val="center"/>
            <w:hideMark/>
          </w:tcPr>
          <w:p w14:paraId="15C9FEFD" w14:textId="77777777" w:rsidR="00E00800" w:rsidRPr="00E00800" w:rsidRDefault="00E00800" w:rsidP="00010F64">
            <w:pPr>
              <w:pStyle w:val="Body"/>
              <w:spacing w:after="120"/>
              <w:rPr>
                <w:rFonts w:ascii="Arial" w:eastAsia="Times New Roman" w:hAnsi="Arial" w:cs="Arial"/>
                <w:i/>
              </w:rPr>
            </w:pPr>
          </w:p>
        </w:tc>
        <w:tc>
          <w:tcPr>
            <w:tcW w:w="1592" w:type="dxa"/>
            <w:hideMark/>
          </w:tcPr>
          <w:p w14:paraId="0147E809" w14:textId="77777777" w:rsidR="00E00800" w:rsidRPr="00E00800" w:rsidRDefault="00E00800" w:rsidP="00010F64">
            <w:pPr>
              <w:pStyle w:val="Body"/>
              <w:spacing w:after="120"/>
              <w:rPr>
                <w:rFonts w:ascii="Arial" w:hAnsi="Arial" w:cs="Arial"/>
              </w:rPr>
            </w:pPr>
            <w:r w:rsidRPr="00E00800">
              <w:rPr>
                <w:rFonts w:ascii="Arial" w:hAnsi="Arial" w:cs="Arial"/>
              </w:rPr>
              <w:t>74</w:t>
            </w:r>
          </w:p>
        </w:tc>
        <w:tc>
          <w:tcPr>
            <w:tcW w:w="2125" w:type="dxa"/>
            <w:hideMark/>
          </w:tcPr>
          <w:p w14:paraId="3E9D569E"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3510D1D4"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614E7C91"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hideMark/>
          </w:tcPr>
          <w:p w14:paraId="1B0DBC9E"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5F88E3E0" w14:textId="77777777" w:rsidTr="00E00800">
        <w:tc>
          <w:tcPr>
            <w:tcW w:w="1709" w:type="dxa"/>
            <w:vMerge w:val="restart"/>
            <w:tcBorders>
              <w:top w:val="nil"/>
              <w:left w:val="nil"/>
              <w:bottom w:val="single" w:sz="4" w:space="0" w:color="auto"/>
              <w:right w:val="nil"/>
            </w:tcBorders>
            <w:hideMark/>
          </w:tcPr>
          <w:p w14:paraId="02AA2584" w14:textId="77777777" w:rsidR="00E00800" w:rsidRPr="00E00800" w:rsidRDefault="00E00800" w:rsidP="00010F64">
            <w:pPr>
              <w:pStyle w:val="Body"/>
              <w:spacing w:after="120"/>
              <w:rPr>
                <w:rFonts w:ascii="Arial" w:hAnsi="Arial" w:cs="Arial"/>
                <w:i/>
              </w:rPr>
            </w:pPr>
            <w:r w:rsidRPr="00E00800">
              <w:rPr>
                <w:rFonts w:ascii="Arial" w:hAnsi="Arial" w:cs="Arial"/>
                <w:i/>
              </w:rPr>
              <w:t>S. aureus</w:t>
            </w:r>
          </w:p>
        </w:tc>
        <w:tc>
          <w:tcPr>
            <w:tcW w:w="1592" w:type="dxa"/>
            <w:hideMark/>
          </w:tcPr>
          <w:p w14:paraId="546DFA37" w14:textId="77777777" w:rsidR="00E00800" w:rsidRPr="00E00800" w:rsidRDefault="00E00800" w:rsidP="00010F64">
            <w:pPr>
              <w:pStyle w:val="Body"/>
              <w:spacing w:after="120"/>
              <w:rPr>
                <w:rFonts w:ascii="Arial" w:hAnsi="Arial" w:cs="Arial"/>
              </w:rPr>
            </w:pPr>
            <w:r w:rsidRPr="00E00800">
              <w:rPr>
                <w:rFonts w:ascii="Arial" w:hAnsi="Arial" w:cs="Arial"/>
              </w:rPr>
              <w:t>22</w:t>
            </w:r>
          </w:p>
        </w:tc>
        <w:tc>
          <w:tcPr>
            <w:tcW w:w="2125" w:type="dxa"/>
            <w:hideMark/>
          </w:tcPr>
          <w:p w14:paraId="1A24F1D7"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165E9821"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45FEE75B" w14:textId="77777777" w:rsidR="00E00800" w:rsidRPr="00E00800" w:rsidRDefault="00E00800" w:rsidP="00010F64">
            <w:pPr>
              <w:pStyle w:val="Body"/>
              <w:spacing w:after="120"/>
              <w:rPr>
                <w:rFonts w:ascii="Arial" w:hAnsi="Arial" w:cs="Arial"/>
              </w:rPr>
            </w:pPr>
            <w:r w:rsidRPr="00E00800">
              <w:rPr>
                <w:rFonts w:ascii="Arial" w:hAnsi="Arial" w:cs="Arial"/>
              </w:rPr>
              <w:t>S</w:t>
            </w:r>
          </w:p>
        </w:tc>
        <w:tc>
          <w:tcPr>
            <w:tcW w:w="1308" w:type="dxa"/>
            <w:hideMark/>
          </w:tcPr>
          <w:p w14:paraId="5EFE5ED4" w14:textId="77777777" w:rsidR="00E00800" w:rsidRPr="00E00800" w:rsidRDefault="00E00800" w:rsidP="00010F64">
            <w:pPr>
              <w:pStyle w:val="Body"/>
              <w:spacing w:after="120"/>
              <w:rPr>
                <w:rFonts w:ascii="Arial" w:hAnsi="Arial" w:cs="Arial"/>
              </w:rPr>
            </w:pPr>
            <w:r w:rsidRPr="00E00800">
              <w:rPr>
                <w:rFonts w:ascii="Arial" w:hAnsi="Arial" w:cs="Arial"/>
              </w:rPr>
              <w:t>NS</w:t>
            </w:r>
          </w:p>
        </w:tc>
      </w:tr>
      <w:tr w:rsidR="00E00800" w:rsidRPr="00E00800" w14:paraId="48C18E89" w14:textId="77777777" w:rsidTr="00E00800">
        <w:trPr>
          <w:trHeight w:val="171"/>
        </w:trPr>
        <w:tc>
          <w:tcPr>
            <w:tcW w:w="0" w:type="auto"/>
            <w:vMerge/>
            <w:tcBorders>
              <w:top w:val="nil"/>
              <w:left w:val="nil"/>
              <w:bottom w:val="single" w:sz="4" w:space="0" w:color="auto"/>
              <w:right w:val="nil"/>
            </w:tcBorders>
            <w:vAlign w:val="center"/>
            <w:hideMark/>
          </w:tcPr>
          <w:p w14:paraId="219AE1B1" w14:textId="77777777" w:rsidR="00E00800" w:rsidRPr="00E00800" w:rsidRDefault="00E00800" w:rsidP="00010F64">
            <w:pPr>
              <w:pStyle w:val="Body"/>
              <w:spacing w:after="120"/>
              <w:rPr>
                <w:rFonts w:ascii="Arial" w:eastAsia="Times New Roman" w:hAnsi="Arial" w:cs="Arial"/>
                <w:i/>
              </w:rPr>
            </w:pPr>
          </w:p>
        </w:tc>
        <w:tc>
          <w:tcPr>
            <w:tcW w:w="1592" w:type="dxa"/>
            <w:tcBorders>
              <w:top w:val="nil"/>
              <w:left w:val="nil"/>
              <w:bottom w:val="single" w:sz="4" w:space="0" w:color="auto"/>
              <w:right w:val="nil"/>
            </w:tcBorders>
            <w:hideMark/>
          </w:tcPr>
          <w:p w14:paraId="4DD10A8F" w14:textId="77777777" w:rsidR="00E00800" w:rsidRPr="00E00800" w:rsidRDefault="00E00800" w:rsidP="00010F64">
            <w:pPr>
              <w:pStyle w:val="Body"/>
              <w:spacing w:after="120"/>
              <w:rPr>
                <w:rFonts w:ascii="Arial" w:hAnsi="Arial" w:cs="Arial"/>
              </w:rPr>
            </w:pPr>
            <w:r w:rsidRPr="00E00800">
              <w:rPr>
                <w:rFonts w:ascii="Arial" w:hAnsi="Arial" w:cs="Arial"/>
              </w:rPr>
              <w:t>100</w:t>
            </w:r>
          </w:p>
        </w:tc>
        <w:tc>
          <w:tcPr>
            <w:tcW w:w="2125" w:type="dxa"/>
            <w:tcBorders>
              <w:top w:val="nil"/>
              <w:left w:val="nil"/>
              <w:bottom w:val="single" w:sz="4" w:space="0" w:color="auto"/>
              <w:right w:val="nil"/>
            </w:tcBorders>
            <w:hideMark/>
          </w:tcPr>
          <w:p w14:paraId="678EDFD2"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6F2D6D41"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3CC53B05" w14:textId="77777777" w:rsidR="00E00800" w:rsidRPr="00E00800" w:rsidRDefault="00E00800" w:rsidP="00010F64">
            <w:pPr>
              <w:pStyle w:val="Body"/>
              <w:spacing w:after="120"/>
              <w:rPr>
                <w:rFonts w:ascii="Arial" w:hAnsi="Arial" w:cs="Arial"/>
              </w:rPr>
            </w:pPr>
            <w:r w:rsidRPr="00E00800">
              <w:rPr>
                <w:rFonts w:ascii="Arial" w:hAnsi="Arial" w:cs="Arial"/>
              </w:rPr>
              <w:t>NS</w:t>
            </w:r>
          </w:p>
        </w:tc>
        <w:tc>
          <w:tcPr>
            <w:tcW w:w="1308" w:type="dxa"/>
            <w:tcBorders>
              <w:top w:val="nil"/>
              <w:left w:val="nil"/>
              <w:bottom w:val="single" w:sz="4" w:space="0" w:color="auto"/>
              <w:right w:val="nil"/>
            </w:tcBorders>
            <w:hideMark/>
          </w:tcPr>
          <w:p w14:paraId="7575F193" w14:textId="77777777" w:rsidR="00E00800" w:rsidRPr="00E00800" w:rsidRDefault="00E00800" w:rsidP="00010F64">
            <w:pPr>
              <w:pStyle w:val="Body"/>
              <w:spacing w:after="120"/>
              <w:rPr>
                <w:rFonts w:ascii="Arial" w:hAnsi="Arial" w:cs="Arial"/>
              </w:rPr>
            </w:pPr>
            <w:r w:rsidRPr="00E00800">
              <w:rPr>
                <w:rFonts w:ascii="Arial" w:hAnsi="Arial" w:cs="Arial"/>
              </w:rPr>
              <w:t>NS</w:t>
            </w:r>
          </w:p>
        </w:tc>
      </w:tr>
      <w:bookmarkEnd w:id="11"/>
      <w:bookmarkEnd w:id="12"/>
      <w:bookmarkEnd w:id="13"/>
      <w:bookmarkEnd w:id="14"/>
      <w:bookmarkEnd w:id="15"/>
    </w:tbl>
    <w:p w14:paraId="4485FA9B" w14:textId="77777777" w:rsidR="00E053D0" w:rsidRDefault="00E053D0" w:rsidP="00010F64">
      <w:pPr>
        <w:pStyle w:val="Body"/>
        <w:spacing w:after="120"/>
        <w:rPr>
          <w:rFonts w:ascii="Arial" w:hAnsi="Arial" w:cs="Arial"/>
        </w:rPr>
      </w:pPr>
    </w:p>
    <w:p w14:paraId="62EBE82B" w14:textId="77777777" w:rsidR="00201897" w:rsidRPr="00201897" w:rsidRDefault="00201897" w:rsidP="00010F64">
      <w:pPr>
        <w:pStyle w:val="Body"/>
        <w:spacing w:after="120"/>
        <w:rPr>
          <w:rFonts w:ascii="Arial" w:hAnsi="Arial" w:cs="Arial"/>
          <w:b/>
          <w:bCs/>
        </w:rPr>
      </w:pPr>
      <w:r w:rsidRPr="00201897">
        <w:rPr>
          <w:rFonts w:ascii="Arial" w:hAnsi="Arial" w:cs="Arial"/>
          <w:b/>
          <w:bCs/>
        </w:rPr>
        <w:t>DISCUSSION</w:t>
      </w:r>
    </w:p>
    <w:p w14:paraId="0F36ADFD" w14:textId="77777777" w:rsidR="00417A80" w:rsidRPr="00417A80" w:rsidRDefault="00417A80" w:rsidP="00010F64">
      <w:pPr>
        <w:pStyle w:val="Body"/>
        <w:spacing w:after="120"/>
        <w:rPr>
          <w:rFonts w:ascii="Arial" w:hAnsi="Arial" w:cs="Arial"/>
        </w:rPr>
      </w:pPr>
      <w:r w:rsidRPr="00417A80">
        <w:rPr>
          <w:rFonts w:ascii="Arial" w:hAnsi="Arial" w:cs="Arial"/>
        </w:rPr>
        <w:t xml:space="preserve">The introduction of antimicrobials treatments and in particularly the use of vaccine in poultry helped to shrink bacterial infections. However, the advent of antibiotic-resistant bacteria and the prohibition on the use of growth promoter antimicrobials among poultry has resurrected the problem of bacterial infection in the sector. The present study reported a high prevalence of gut bacteria among chickens kept in the </w:t>
      </w:r>
      <w:proofErr w:type="spellStart"/>
      <w:r w:rsidRPr="00417A80">
        <w:rPr>
          <w:rFonts w:ascii="Arial" w:hAnsi="Arial" w:cs="Arial"/>
        </w:rPr>
        <w:t>Juja</w:t>
      </w:r>
      <w:proofErr w:type="spellEnd"/>
      <w:r w:rsidRPr="00417A80">
        <w:rPr>
          <w:rFonts w:ascii="Arial" w:hAnsi="Arial" w:cs="Arial"/>
        </w:rPr>
        <w:t xml:space="preserve"> Sub-County. Comparable findings were reported by Borges </w:t>
      </w:r>
      <w:r w:rsidRPr="00417A80">
        <w:rPr>
          <w:rFonts w:ascii="Arial" w:hAnsi="Arial" w:cs="Arial"/>
          <w:i/>
        </w:rPr>
        <w:t>et al</w:t>
      </w:r>
      <w:r w:rsidRPr="00417A80">
        <w:rPr>
          <w:rFonts w:ascii="Arial" w:hAnsi="Arial" w:cs="Arial"/>
        </w:rPr>
        <w:t xml:space="preserve">. (2019) (90.1%) and Rafiq </w:t>
      </w:r>
      <w:r w:rsidRPr="00417A80">
        <w:rPr>
          <w:rFonts w:ascii="Arial" w:hAnsi="Arial" w:cs="Arial"/>
          <w:i/>
        </w:rPr>
        <w:t>et al</w:t>
      </w:r>
      <w:r w:rsidRPr="00417A80">
        <w:rPr>
          <w:rFonts w:ascii="Arial" w:hAnsi="Arial" w:cs="Arial"/>
        </w:rPr>
        <w:t xml:space="preserve">. (2024) (88.3%) in Brazil and Norway, respectively. In Kenyan, a study reported a slightly lower prevalence of 85% (Mageto </w:t>
      </w:r>
      <w:r w:rsidRPr="00417A80">
        <w:rPr>
          <w:rFonts w:ascii="Arial" w:hAnsi="Arial" w:cs="Arial"/>
          <w:i/>
        </w:rPr>
        <w:t>et al</w:t>
      </w:r>
      <w:r w:rsidRPr="00417A80">
        <w:rPr>
          <w:rFonts w:ascii="Arial" w:hAnsi="Arial" w:cs="Arial"/>
        </w:rPr>
        <w:t xml:space="preserve">., 2018). Higher prevalence of gut bacterial infection in poultry has been reported in Kenya (94%) and the South Africa (95%) (Wamboi </w:t>
      </w:r>
      <w:r w:rsidRPr="00417A80">
        <w:rPr>
          <w:rFonts w:ascii="Arial" w:hAnsi="Arial" w:cs="Arial"/>
          <w:i/>
        </w:rPr>
        <w:t>et al</w:t>
      </w:r>
      <w:r w:rsidRPr="00417A80">
        <w:rPr>
          <w:rFonts w:ascii="Arial" w:hAnsi="Arial" w:cs="Arial"/>
        </w:rPr>
        <w:t xml:space="preserve">. 2017, </w:t>
      </w:r>
      <w:proofErr w:type="spellStart"/>
      <w:r w:rsidRPr="00417A80">
        <w:rPr>
          <w:rFonts w:ascii="Arial" w:hAnsi="Arial" w:cs="Arial"/>
        </w:rPr>
        <w:t>Ntivuguruzwa</w:t>
      </w:r>
      <w:proofErr w:type="spellEnd"/>
      <w:r w:rsidRPr="00417A80">
        <w:rPr>
          <w:rFonts w:ascii="Arial" w:hAnsi="Arial" w:cs="Arial"/>
        </w:rPr>
        <w:t>, 2016). The varying prevalence of gut bacteria recorded can be attributed to differences in poultry species, geographical conditions and varying chicken management practices in the different studies.</w:t>
      </w:r>
    </w:p>
    <w:p w14:paraId="3FBD79C2" w14:textId="77777777" w:rsidR="00417A80" w:rsidRPr="00417A80" w:rsidRDefault="00417A80" w:rsidP="00010F64">
      <w:pPr>
        <w:pStyle w:val="Body"/>
        <w:spacing w:after="120"/>
        <w:rPr>
          <w:rFonts w:ascii="Arial" w:hAnsi="Arial" w:cs="Arial"/>
        </w:rPr>
      </w:pPr>
      <w:r w:rsidRPr="00417A80">
        <w:rPr>
          <w:rFonts w:ascii="Arial" w:hAnsi="Arial" w:cs="Arial"/>
        </w:rPr>
        <w:t xml:space="preserve">Our study revealed </w:t>
      </w:r>
      <w:r w:rsidRPr="00417A80">
        <w:rPr>
          <w:rFonts w:ascii="Arial" w:hAnsi="Arial" w:cs="Arial"/>
          <w:i/>
          <w:iCs/>
        </w:rPr>
        <w:t xml:space="preserve">Salmonella </w:t>
      </w:r>
      <w:r w:rsidRPr="00417A80">
        <w:rPr>
          <w:rFonts w:ascii="Arial" w:hAnsi="Arial" w:cs="Arial"/>
        </w:rPr>
        <w:t xml:space="preserve">spp., </w:t>
      </w:r>
      <w:r w:rsidRPr="00417A80">
        <w:rPr>
          <w:rFonts w:ascii="Arial" w:hAnsi="Arial" w:cs="Arial"/>
          <w:i/>
          <w:iCs/>
        </w:rPr>
        <w:t>E. coli</w:t>
      </w:r>
      <w:r w:rsidRPr="00417A80">
        <w:rPr>
          <w:rFonts w:ascii="Arial" w:hAnsi="Arial" w:cs="Arial"/>
        </w:rPr>
        <w:t xml:space="preserve"> and </w:t>
      </w:r>
      <w:r w:rsidRPr="00417A80">
        <w:rPr>
          <w:rFonts w:ascii="Arial" w:hAnsi="Arial" w:cs="Arial"/>
          <w:i/>
          <w:iCs/>
        </w:rPr>
        <w:t>S. aureus</w:t>
      </w:r>
      <w:r w:rsidRPr="00417A80">
        <w:rPr>
          <w:rFonts w:ascii="Arial" w:hAnsi="Arial" w:cs="Arial"/>
        </w:rPr>
        <w:t xml:space="preserve"> as the gut bacteria common infecting the guts of chicken in the study area. Similarly, Agu </w:t>
      </w:r>
      <w:r w:rsidRPr="00417A80">
        <w:rPr>
          <w:rFonts w:ascii="Arial" w:hAnsi="Arial" w:cs="Arial"/>
          <w:i/>
        </w:rPr>
        <w:t>et al</w:t>
      </w:r>
      <w:r w:rsidRPr="00417A80">
        <w:rPr>
          <w:rFonts w:ascii="Arial" w:hAnsi="Arial" w:cs="Arial"/>
        </w:rPr>
        <w:t xml:space="preserve">. (2024) reported that </w:t>
      </w:r>
      <w:r w:rsidRPr="00417A80">
        <w:rPr>
          <w:rFonts w:ascii="Arial" w:hAnsi="Arial" w:cs="Arial"/>
          <w:i/>
        </w:rPr>
        <w:t>Salmonella</w:t>
      </w:r>
      <w:r w:rsidRPr="00417A80">
        <w:rPr>
          <w:rFonts w:ascii="Arial" w:hAnsi="Arial" w:cs="Arial"/>
        </w:rPr>
        <w:t xml:space="preserve"> spp. (47%), </w:t>
      </w:r>
      <w:r w:rsidRPr="00417A80">
        <w:rPr>
          <w:rFonts w:ascii="Arial" w:hAnsi="Arial" w:cs="Arial"/>
          <w:i/>
        </w:rPr>
        <w:t>E. coli</w:t>
      </w:r>
      <w:r w:rsidRPr="00417A80">
        <w:rPr>
          <w:rFonts w:ascii="Arial" w:hAnsi="Arial" w:cs="Arial"/>
        </w:rPr>
        <w:t xml:space="preserve"> (34%), and </w:t>
      </w:r>
      <w:r w:rsidRPr="00417A80">
        <w:rPr>
          <w:rFonts w:ascii="Arial" w:hAnsi="Arial" w:cs="Arial"/>
          <w:i/>
        </w:rPr>
        <w:t>S. aureus</w:t>
      </w:r>
      <w:r w:rsidRPr="00417A80">
        <w:rPr>
          <w:rFonts w:ascii="Arial" w:hAnsi="Arial" w:cs="Arial"/>
        </w:rPr>
        <w:t xml:space="preserve"> (19%) were the dominant pathogens among Nigerian chickens. These pathogens are frequently isolated from chickens and chicken products, posing public health threats due to their potential to cause foodborne diseases. In China, Tan </w:t>
      </w:r>
      <w:r w:rsidRPr="00417A80">
        <w:rPr>
          <w:rFonts w:ascii="Arial" w:hAnsi="Arial" w:cs="Arial"/>
          <w:i/>
        </w:rPr>
        <w:t>et al</w:t>
      </w:r>
      <w:r w:rsidRPr="00417A80">
        <w:rPr>
          <w:rFonts w:ascii="Arial" w:hAnsi="Arial" w:cs="Arial"/>
        </w:rPr>
        <w:t xml:space="preserve">. (2023) found that </w:t>
      </w:r>
      <w:r w:rsidRPr="00417A80">
        <w:rPr>
          <w:rFonts w:ascii="Arial" w:hAnsi="Arial" w:cs="Arial"/>
          <w:i/>
        </w:rPr>
        <w:t>Salmonella</w:t>
      </w:r>
      <w:r w:rsidRPr="00417A80">
        <w:rPr>
          <w:rFonts w:ascii="Arial" w:hAnsi="Arial" w:cs="Arial"/>
        </w:rPr>
        <w:t xml:space="preserve"> spp. (58%) and </w:t>
      </w:r>
      <w:r w:rsidRPr="00417A80">
        <w:rPr>
          <w:rFonts w:ascii="Arial" w:hAnsi="Arial" w:cs="Arial"/>
          <w:i/>
        </w:rPr>
        <w:t>S. aureus</w:t>
      </w:r>
      <w:r w:rsidRPr="00417A80">
        <w:rPr>
          <w:rFonts w:ascii="Arial" w:hAnsi="Arial" w:cs="Arial"/>
        </w:rPr>
        <w:t xml:space="preserve"> (28%) were the predominant bacterial isolates responsible for foodborne illnesses. Elsewhere, Hassan </w:t>
      </w:r>
      <w:r w:rsidRPr="00417A80">
        <w:rPr>
          <w:rFonts w:ascii="Arial" w:hAnsi="Arial" w:cs="Arial"/>
          <w:i/>
        </w:rPr>
        <w:t>et al</w:t>
      </w:r>
      <w:r w:rsidRPr="00417A80">
        <w:rPr>
          <w:rFonts w:ascii="Arial" w:hAnsi="Arial" w:cs="Arial"/>
        </w:rPr>
        <w:t>. (2021) documented that feed types and poor hygiene among poultry and poultry product handlers are the main sources of bacterial contamination in poultry. Thus, poultry farmers should regularly clean and disinfect poultry houses, equipment, and water sources. Further, handlers of food products should uphold good personal hygiene, such as handwashing.</w:t>
      </w:r>
    </w:p>
    <w:p w14:paraId="62F4DFD1" w14:textId="77777777" w:rsidR="00417A80" w:rsidRPr="00417A80" w:rsidRDefault="00417A80" w:rsidP="00010F64">
      <w:pPr>
        <w:pStyle w:val="Body"/>
        <w:spacing w:after="120"/>
        <w:rPr>
          <w:rFonts w:ascii="Arial" w:hAnsi="Arial" w:cs="Arial"/>
        </w:rPr>
      </w:pPr>
      <w:r w:rsidRPr="00417A80">
        <w:rPr>
          <w:rFonts w:ascii="Arial" w:hAnsi="Arial" w:cs="Arial"/>
        </w:rPr>
        <w:t>The risk factors associated with gut bacterial infection included education level of the poultry farmer, mixing of chicken with other animals, type of production system, litter state, chicken age, breed, chicken hygiene and history of concurrent gut diseases. Other studies have demonstrated that the occurrence of pathogenic bacteria in chickens are affected by similar profile of factors (</w:t>
      </w:r>
      <w:proofErr w:type="spellStart"/>
      <w:r w:rsidRPr="00417A80">
        <w:rPr>
          <w:rFonts w:ascii="Arial" w:hAnsi="Arial" w:cs="Arial"/>
        </w:rPr>
        <w:t>Aworh</w:t>
      </w:r>
      <w:proofErr w:type="spellEnd"/>
      <w:r w:rsidRPr="00417A80">
        <w:rPr>
          <w:rFonts w:ascii="Arial" w:hAnsi="Arial" w:cs="Arial"/>
        </w:rPr>
        <w:t xml:space="preserve"> </w:t>
      </w:r>
      <w:r w:rsidRPr="00417A80">
        <w:rPr>
          <w:rFonts w:ascii="Arial" w:hAnsi="Arial" w:cs="Arial"/>
          <w:i/>
        </w:rPr>
        <w:t>et al</w:t>
      </w:r>
      <w:r w:rsidRPr="00417A80">
        <w:rPr>
          <w:rFonts w:ascii="Arial" w:hAnsi="Arial" w:cs="Arial"/>
        </w:rPr>
        <w:t xml:space="preserve">., 2019; Kariuki </w:t>
      </w:r>
      <w:r w:rsidRPr="00417A80">
        <w:rPr>
          <w:rFonts w:ascii="Arial" w:hAnsi="Arial" w:cs="Arial"/>
          <w:i/>
        </w:rPr>
        <w:t>et al</w:t>
      </w:r>
      <w:r w:rsidRPr="00417A80">
        <w:rPr>
          <w:rFonts w:ascii="Arial" w:hAnsi="Arial" w:cs="Arial"/>
        </w:rPr>
        <w:t xml:space="preserve">., 2023; Wang </w:t>
      </w:r>
      <w:r w:rsidRPr="00417A80">
        <w:rPr>
          <w:rFonts w:ascii="Arial" w:hAnsi="Arial" w:cs="Arial"/>
          <w:i/>
        </w:rPr>
        <w:t>et al</w:t>
      </w:r>
      <w:r w:rsidRPr="00417A80">
        <w:rPr>
          <w:rFonts w:ascii="Arial" w:hAnsi="Arial" w:cs="Arial"/>
        </w:rPr>
        <w:t xml:space="preserve">., 2013). Our findings were in agreement with those reported by </w:t>
      </w:r>
      <w:proofErr w:type="spellStart"/>
      <w:r w:rsidRPr="00417A80">
        <w:rPr>
          <w:rFonts w:ascii="Arial" w:hAnsi="Arial" w:cs="Arial"/>
        </w:rPr>
        <w:t>Aworh</w:t>
      </w:r>
      <w:proofErr w:type="spellEnd"/>
      <w:r w:rsidRPr="00417A80">
        <w:rPr>
          <w:rFonts w:ascii="Arial" w:hAnsi="Arial" w:cs="Arial"/>
        </w:rPr>
        <w:t xml:space="preserve"> </w:t>
      </w:r>
      <w:r w:rsidRPr="00417A80">
        <w:rPr>
          <w:rFonts w:ascii="Arial" w:hAnsi="Arial" w:cs="Arial"/>
          <w:i/>
        </w:rPr>
        <w:t>et al</w:t>
      </w:r>
      <w:r w:rsidRPr="00417A80">
        <w:rPr>
          <w:rFonts w:ascii="Arial" w:hAnsi="Arial" w:cs="Arial"/>
        </w:rPr>
        <w:t xml:space="preserve">., (2019) and Wang </w:t>
      </w:r>
      <w:r w:rsidRPr="00417A80">
        <w:rPr>
          <w:rFonts w:ascii="Arial" w:hAnsi="Arial" w:cs="Arial"/>
          <w:i/>
        </w:rPr>
        <w:t>et al</w:t>
      </w:r>
      <w:r w:rsidRPr="00417A80">
        <w:rPr>
          <w:rFonts w:ascii="Arial" w:hAnsi="Arial" w:cs="Arial"/>
        </w:rPr>
        <w:t xml:space="preserve">. (2013) who found that mixing of chicken, wet liter, age and breed of the chick increased gut bacterial infections in poultry. Wet liter and mixing of chicken increases infections due to cross contamination (Mageto </w:t>
      </w:r>
      <w:r w:rsidRPr="00417A80">
        <w:rPr>
          <w:rFonts w:ascii="Arial" w:hAnsi="Arial" w:cs="Arial"/>
          <w:i/>
        </w:rPr>
        <w:t>et al</w:t>
      </w:r>
      <w:r w:rsidRPr="00417A80">
        <w:rPr>
          <w:rFonts w:ascii="Arial" w:hAnsi="Arial" w:cs="Arial"/>
        </w:rPr>
        <w:t>., 2018). To reduce these infections and optimize production, educational programs focusing on better production systems, standard poultry management practices and selective breeding should be advocated in the study area.</w:t>
      </w:r>
    </w:p>
    <w:p w14:paraId="673B34AF" w14:textId="77777777" w:rsidR="00417A80" w:rsidRPr="00417A80" w:rsidRDefault="00417A80" w:rsidP="00010F64">
      <w:pPr>
        <w:pStyle w:val="Body"/>
        <w:spacing w:after="120"/>
        <w:rPr>
          <w:rFonts w:ascii="Arial" w:hAnsi="Arial" w:cs="Arial"/>
        </w:rPr>
      </w:pPr>
      <w:r w:rsidRPr="00417A80">
        <w:rPr>
          <w:rFonts w:ascii="Arial" w:hAnsi="Arial" w:cs="Arial"/>
        </w:rPr>
        <w:t xml:space="preserve">In the current study, all the three isolates were highly resistant to tetracycline, nalidixic acid and penicillin and sulfamethoxazole. These findings were in agreement with those reported in Bangladesh by Rafiq et al. (2024) who reported high resistance (&gt;60%) to these antibiotics. Elsewhere, study in Nigeria (Sanni, 2024) reported a comparable resistance among </w:t>
      </w:r>
      <w:r w:rsidRPr="00417A80">
        <w:rPr>
          <w:rFonts w:ascii="Arial" w:hAnsi="Arial" w:cs="Arial"/>
          <w:i/>
        </w:rPr>
        <w:t>Salmonella</w:t>
      </w:r>
      <w:r w:rsidRPr="00417A80">
        <w:rPr>
          <w:rFonts w:ascii="Arial" w:hAnsi="Arial" w:cs="Arial"/>
        </w:rPr>
        <w:t xml:space="preserve"> species (81%, 72%), </w:t>
      </w:r>
      <w:r w:rsidRPr="00417A80">
        <w:rPr>
          <w:rFonts w:ascii="Arial" w:hAnsi="Arial" w:cs="Arial"/>
          <w:i/>
        </w:rPr>
        <w:t xml:space="preserve">E. coli </w:t>
      </w:r>
      <w:r w:rsidRPr="00417A80">
        <w:rPr>
          <w:rFonts w:ascii="Arial" w:hAnsi="Arial" w:cs="Arial"/>
        </w:rPr>
        <w:t>(75%, 76.9%)</w:t>
      </w:r>
      <w:r w:rsidRPr="00417A80">
        <w:rPr>
          <w:rFonts w:ascii="Arial" w:hAnsi="Arial" w:cs="Arial"/>
          <w:i/>
        </w:rPr>
        <w:t xml:space="preserve"> </w:t>
      </w:r>
      <w:r w:rsidRPr="00417A80">
        <w:rPr>
          <w:rFonts w:ascii="Arial" w:hAnsi="Arial" w:cs="Arial"/>
        </w:rPr>
        <w:t xml:space="preserve">and </w:t>
      </w:r>
      <w:r w:rsidRPr="00417A80">
        <w:rPr>
          <w:rFonts w:ascii="Arial" w:hAnsi="Arial" w:cs="Arial"/>
          <w:i/>
        </w:rPr>
        <w:t>S. aureus</w:t>
      </w:r>
      <w:r w:rsidRPr="00417A80">
        <w:rPr>
          <w:rFonts w:ascii="Arial" w:hAnsi="Arial" w:cs="Arial"/>
        </w:rPr>
        <w:t xml:space="preserve"> (100%, 82%) to nalidixic acid and penicillin. The high resistance profiles recorded in this study could be attributed to the overuse and uncontrolled acquisition of these antibiotics in the study area. The improper application of antibiotics as growth promoters and for prophylactic purposes has been recognized as contributing to AMR development. </w:t>
      </w:r>
    </w:p>
    <w:p w14:paraId="6560FCA8" w14:textId="77777777" w:rsidR="00417A80" w:rsidRPr="00417A80" w:rsidRDefault="00417A80" w:rsidP="00010F64">
      <w:pPr>
        <w:pStyle w:val="Body"/>
        <w:spacing w:after="120"/>
        <w:rPr>
          <w:rFonts w:ascii="Arial" w:hAnsi="Arial" w:cs="Arial"/>
        </w:rPr>
      </w:pPr>
      <w:r w:rsidRPr="00417A80">
        <w:rPr>
          <w:rFonts w:ascii="Arial" w:hAnsi="Arial" w:cs="Arial"/>
        </w:rPr>
        <w:t xml:space="preserve">In the current study, the </w:t>
      </w:r>
      <w:r w:rsidRPr="00417A80">
        <w:rPr>
          <w:rFonts w:ascii="Arial" w:hAnsi="Arial" w:cs="Arial"/>
          <w:i/>
        </w:rPr>
        <w:t>Salmonella</w:t>
      </w:r>
      <w:r w:rsidRPr="00417A80">
        <w:rPr>
          <w:rFonts w:ascii="Arial" w:hAnsi="Arial" w:cs="Arial"/>
        </w:rPr>
        <w:t xml:space="preserve"> spp.,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were highly susceptible to ciprofloxacin and gentamycin, and this compared favorably with studies undertaken in Egypt (Sallam </w:t>
      </w:r>
      <w:r w:rsidRPr="00417A80">
        <w:rPr>
          <w:rFonts w:ascii="Arial" w:hAnsi="Arial" w:cs="Arial"/>
          <w:i/>
        </w:rPr>
        <w:t>et al</w:t>
      </w:r>
      <w:r w:rsidRPr="00417A80">
        <w:rPr>
          <w:rFonts w:ascii="Arial" w:hAnsi="Arial" w:cs="Arial"/>
        </w:rPr>
        <w:t>., 2024), Kenya (</w:t>
      </w:r>
      <w:proofErr w:type="spellStart"/>
      <w:r w:rsidRPr="00417A80">
        <w:rPr>
          <w:rFonts w:ascii="Arial" w:hAnsi="Arial" w:cs="Arial"/>
        </w:rPr>
        <w:t>Ndukui</w:t>
      </w:r>
      <w:proofErr w:type="spellEnd"/>
      <w:r w:rsidRPr="00417A80">
        <w:rPr>
          <w:rFonts w:ascii="Arial" w:hAnsi="Arial" w:cs="Arial"/>
        </w:rPr>
        <w:t>, 2021), and Bangladesh (</w:t>
      </w:r>
      <w:proofErr w:type="spellStart"/>
      <w:r w:rsidRPr="00417A80">
        <w:rPr>
          <w:rFonts w:ascii="Arial" w:hAnsi="Arial" w:cs="Arial"/>
        </w:rPr>
        <w:t>Bhusan</w:t>
      </w:r>
      <w:proofErr w:type="spellEnd"/>
      <w:r w:rsidRPr="00417A80">
        <w:rPr>
          <w:rFonts w:ascii="Arial" w:hAnsi="Arial" w:cs="Arial"/>
        </w:rPr>
        <w:t xml:space="preserve">, 2020). The high sensitivity reported for ciprofloxacin and gentamycin could be attributed to the rare use of ciprofloxacin and gentamycin in the study area for either treatment or prophylaxis. Therefore, bacterial exposure to ciprofloxacin and gentamycin was rare. Thus, its recommended that the two antibiotics can be used in management of poultry diseases upon laboratory diagnosis.  </w:t>
      </w:r>
    </w:p>
    <w:p w14:paraId="54C9A620" w14:textId="77777777" w:rsidR="00790ADA" w:rsidRPr="00FB3A86" w:rsidRDefault="00417A80" w:rsidP="00010F64">
      <w:pPr>
        <w:pStyle w:val="Body"/>
        <w:spacing w:after="120"/>
        <w:rPr>
          <w:rFonts w:ascii="Arial" w:hAnsi="Arial" w:cs="Arial"/>
        </w:rPr>
      </w:pPr>
      <w:r w:rsidRPr="00417A80">
        <w:rPr>
          <w:rFonts w:ascii="Arial" w:hAnsi="Arial" w:cs="Arial"/>
        </w:rPr>
        <w:t xml:space="preserve">The widespread occurrence of AMR necessitates research into new alternative products such as bromelain and chitosan which were investigated in this study. The current study showed that bromelain was more sensitive to </w:t>
      </w:r>
      <w:r w:rsidRPr="00417A80">
        <w:rPr>
          <w:rFonts w:ascii="Arial" w:hAnsi="Arial" w:cs="Arial"/>
          <w:i/>
        </w:rPr>
        <w:t>Salmonella</w:t>
      </w:r>
      <w:r w:rsidRPr="00417A80">
        <w:rPr>
          <w:rFonts w:ascii="Arial" w:hAnsi="Arial" w:cs="Arial"/>
        </w:rPr>
        <w:t xml:space="preserve"> and </w:t>
      </w:r>
      <w:r w:rsidRPr="00417A80">
        <w:rPr>
          <w:rFonts w:ascii="Arial" w:hAnsi="Arial" w:cs="Arial"/>
          <w:i/>
        </w:rPr>
        <w:t>E. coli</w:t>
      </w:r>
      <w:r w:rsidRPr="00417A80">
        <w:rPr>
          <w:rFonts w:ascii="Arial" w:hAnsi="Arial" w:cs="Arial"/>
        </w:rPr>
        <w:t xml:space="preserve"> isolates</w:t>
      </w:r>
      <w:r w:rsidRPr="00417A80">
        <w:rPr>
          <w:rFonts w:ascii="Arial" w:hAnsi="Arial" w:cs="Arial"/>
          <w:bCs/>
        </w:rPr>
        <w:t>.</w:t>
      </w:r>
      <w:r w:rsidRPr="00417A80">
        <w:rPr>
          <w:rFonts w:ascii="Arial" w:hAnsi="Arial" w:cs="Arial"/>
        </w:rPr>
        <w:t xml:space="preserve"> Findings by Precious </w:t>
      </w:r>
      <w:r w:rsidRPr="00417A80">
        <w:rPr>
          <w:rFonts w:ascii="Arial" w:hAnsi="Arial" w:cs="Arial"/>
          <w:i/>
        </w:rPr>
        <w:t>et al</w:t>
      </w:r>
      <w:r w:rsidRPr="00417A80">
        <w:rPr>
          <w:rFonts w:ascii="Arial" w:hAnsi="Arial" w:cs="Arial"/>
        </w:rPr>
        <w:t xml:space="preserve">. (2020) showed that bromelain was effective against multidrug-resistant </w:t>
      </w:r>
      <w:r w:rsidRPr="00417A80">
        <w:rPr>
          <w:rFonts w:ascii="Arial" w:hAnsi="Arial" w:cs="Arial"/>
          <w:i/>
        </w:rPr>
        <w:t>S. aureus</w:t>
      </w:r>
      <w:r w:rsidRPr="00417A80">
        <w:rPr>
          <w:rFonts w:ascii="Arial" w:hAnsi="Arial" w:cs="Arial"/>
        </w:rPr>
        <w:t xml:space="preserve">, </w:t>
      </w:r>
      <w:r w:rsidRPr="00417A80">
        <w:rPr>
          <w:rFonts w:ascii="Arial" w:hAnsi="Arial" w:cs="Arial"/>
          <w:i/>
        </w:rPr>
        <w:t>P. aeruginosa</w:t>
      </w:r>
      <w:r w:rsidRPr="00417A80">
        <w:rPr>
          <w:rFonts w:ascii="Arial" w:hAnsi="Arial" w:cs="Arial"/>
        </w:rPr>
        <w:t xml:space="preserve">, </w:t>
      </w:r>
      <w:r w:rsidRPr="00417A80">
        <w:rPr>
          <w:rFonts w:ascii="Arial" w:hAnsi="Arial" w:cs="Arial"/>
          <w:i/>
        </w:rPr>
        <w:t>E. coli</w:t>
      </w:r>
      <w:r w:rsidRPr="00417A80">
        <w:rPr>
          <w:rFonts w:ascii="Arial" w:hAnsi="Arial" w:cs="Arial"/>
        </w:rPr>
        <w:t xml:space="preserve">, and </w:t>
      </w:r>
      <w:r w:rsidRPr="00417A80">
        <w:rPr>
          <w:rFonts w:ascii="Arial" w:hAnsi="Arial" w:cs="Arial"/>
          <w:i/>
        </w:rPr>
        <w:t>Salmonella</w:t>
      </w:r>
      <w:r w:rsidRPr="00417A80">
        <w:rPr>
          <w:rFonts w:ascii="Arial" w:hAnsi="Arial" w:cs="Arial"/>
        </w:rPr>
        <w:t xml:space="preserve"> species isolated from goat’s milk. Elsewhere, Mahlangu </w:t>
      </w:r>
      <w:r w:rsidRPr="00417A80">
        <w:rPr>
          <w:rFonts w:ascii="Arial" w:hAnsi="Arial" w:cs="Arial"/>
          <w:i/>
        </w:rPr>
        <w:t>et al</w:t>
      </w:r>
      <w:r w:rsidRPr="00417A80">
        <w:rPr>
          <w:rFonts w:ascii="Arial" w:hAnsi="Arial" w:cs="Arial"/>
        </w:rPr>
        <w:t xml:space="preserve">. (2020) and Gharib-Naseri </w:t>
      </w:r>
      <w:r w:rsidRPr="00417A80">
        <w:rPr>
          <w:rFonts w:ascii="Arial" w:hAnsi="Arial" w:cs="Arial"/>
          <w:i/>
        </w:rPr>
        <w:t>et al</w:t>
      </w:r>
      <w:r w:rsidRPr="00417A80">
        <w:rPr>
          <w:rFonts w:ascii="Arial" w:hAnsi="Arial" w:cs="Arial"/>
        </w:rPr>
        <w:t xml:space="preserve">. (2024) reported that bromelain subdued the growth of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recovered from dairy goats and domestic chicken. This finding highlights a promising future of bromelain as alternative drugs for managing bacterial infections in poultry. </w:t>
      </w:r>
      <w:r w:rsidRPr="00417A80">
        <w:rPr>
          <w:rFonts w:ascii="Arial" w:hAnsi="Arial" w:cs="Arial"/>
          <w:iCs/>
        </w:rPr>
        <w:t>In the current study,</w:t>
      </w:r>
      <w:r w:rsidRPr="00417A80">
        <w:rPr>
          <w:rFonts w:ascii="Arial" w:hAnsi="Arial" w:cs="Arial"/>
        </w:rPr>
        <w:t xml:space="preserve"> </w:t>
      </w:r>
      <w:r w:rsidRPr="00417A80">
        <w:rPr>
          <w:rFonts w:ascii="Arial" w:hAnsi="Arial" w:cs="Arial"/>
          <w:i/>
        </w:rPr>
        <w:t>E. coli</w:t>
      </w:r>
      <w:r w:rsidRPr="00417A80">
        <w:rPr>
          <w:rFonts w:ascii="Arial" w:hAnsi="Arial" w:cs="Arial"/>
        </w:rPr>
        <w:t xml:space="preserve">, </w:t>
      </w:r>
      <w:r w:rsidRPr="00417A80">
        <w:rPr>
          <w:rFonts w:ascii="Arial" w:hAnsi="Arial" w:cs="Arial"/>
          <w:i/>
        </w:rPr>
        <w:t>Salmonella</w:t>
      </w:r>
      <w:r w:rsidRPr="00417A80">
        <w:rPr>
          <w:rFonts w:ascii="Arial" w:hAnsi="Arial" w:cs="Arial"/>
        </w:rPr>
        <w:t xml:space="preserve"> spp., and </w:t>
      </w:r>
      <w:r w:rsidRPr="00417A80">
        <w:rPr>
          <w:rFonts w:ascii="Arial" w:hAnsi="Arial" w:cs="Arial"/>
          <w:i/>
        </w:rPr>
        <w:t>S. aureus</w:t>
      </w:r>
      <w:r w:rsidRPr="00417A80">
        <w:rPr>
          <w:rFonts w:ascii="Arial" w:hAnsi="Arial" w:cs="Arial"/>
        </w:rPr>
        <w:t xml:space="preserve"> were found to be sensitive to chitosan. </w:t>
      </w:r>
      <w:r w:rsidRPr="00417A80">
        <w:rPr>
          <w:rFonts w:ascii="Arial" w:hAnsi="Arial" w:cs="Arial"/>
        </w:rPr>
        <w:lastRenderedPageBreak/>
        <w:t xml:space="preserve">Other studies have reported that chitosan can be used as oral antibiotic in rabbits, hens, and broilers (Hassan et al., 2021; Peng </w:t>
      </w:r>
      <w:r w:rsidRPr="00417A80">
        <w:rPr>
          <w:rFonts w:ascii="Arial" w:hAnsi="Arial" w:cs="Arial"/>
          <w:i/>
        </w:rPr>
        <w:t>et al</w:t>
      </w:r>
      <w:r w:rsidRPr="00417A80">
        <w:rPr>
          <w:rFonts w:ascii="Arial" w:hAnsi="Arial" w:cs="Arial"/>
        </w:rPr>
        <w:t xml:space="preserve">. 2022). Elsewhere, Gharib-Naseri </w:t>
      </w:r>
      <w:r w:rsidRPr="00417A80">
        <w:rPr>
          <w:rFonts w:ascii="Arial" w:hAnsi="Arial" w:cs="Arial"/>
          <w:i/>
        </w:rPr>
        <w:t>et al</w:t>
      </w:r>
      <w:r w:rsidRPr="00417A80">
        <w:rPr>
          <w:rFonts w:ascii="Arial" w:hAnsi="Arial" w:cs="Arial"/>
        </w:rPr>
        <w:t xml:space="preserve">. (2024) and Elsayed </w:t>
      </w:r>
      <w:r w:rsidRPr="00417A80">
        <w:rPr>
          <w:rFonts w:ascii="Arial" w:hAnsi="Arial" w:cs="Arial"/>
          <w:i/>
        </w:rPr>
        <w:t>et al</w:t>
      </w:r>
      <w:r w:rsidRPr="00417A80">
        <w:rPr>
          <w:rFonts w:ascii="Arial" w:hAnsi="Arial" w:cs="Arial"/>
        </w:rPr>
        <w:t xml:space="preserve">. (2024) demonstrated that chitosan extracts were effective against </w:t>
      </w:r>
      <w:r w:rsidRPr="00417A80">
        <w:rPr>
          <w:rFonts w:ascii="Arial" w:hAnsi="Arial" w:cs="Arial"/>
          <w:i/>
        </w:rPr>
        <w:t>E. coli</w:t>
      </w:r>
      <w:r w:rsidRPr="00417A80">
        <w:rPr>
          <w:rFonts w:ascii="Arial" w:hAnsi="Arial" w:cs="Arial"/>
        </w:rPr>
        <w:t xml:space="preserve"> and </w:t>
      </w:r>
      <w:r w:rsidRPr="00417A80">
        <w:rPr>
          <w:rFonts w:ascii="Arial" w:hAnsi="Arial" w:cs="Arial"/>
          <w:i/>
        </w:rPr>
        <w:t>S. aureus</w:t>
      </w:r>
      <w:r w:rsidRPr="00417A80">
        <w:rPr>
          <w:rFonts w:ascii="Arial" w:hAnsi="Arial" w:cs="Arial"/>
        </w:rPr>
        <w:t xml:space="preserve"> isolates from gut of chicken. Future studies should investigate sensitivity of </w:t>
      </w:r>
      <w:r w:rsidRPr="00417A80">
        <w:rPr>
          <w:rFonts w:ascii="Arial" w:hAnsi="Arial" w:cs="Arial"/>
          <w:i/>
        </w:rPr>
        <w:t>Salmonella</w:t>
      </w:r>
      <w:r w:rsidRPr="00417A80">
        <w:rPr>
          <w:rFonts w:ascii="Arial" w:hAnsi="Arial" w:cs="Arial"/>
        </w:rPr>
        <w:t xml:space="preserve"> </w:t>
      </w:r>
      <w:proofErr w:type="spellStart"/>
      <w:r w:rsidRPr="00417A80">
        <w:rPr>
          <w:rFonts w:ascii="Arial" w:hAnsi="Arial" w:cs="Arial"/>
        </w:rPr>
        <w:t>spp</w:t>
      </w:r>
      <w:proofErr w:type="spellEnd"/>
      <w:r w:rsidRPr="00417A80">
        <w:rPr>
          <w:rFonts w:ascii="Arial" w:hAnsi="Arial" w:cs="Arial"/>
        </w:rPr>
        <w:t xml:space="preserve"> against lower concentrations of chitosan. Further development of the bromelain and chitosan as a novel drug should be investigated. </w:t>
      </w:r>
    </w:p>
    <w:p w14:paraId="56F70572" w14:textId="77777777" w:rsidR="00790ADA" w:rsidRPr="00FB3A86" w:rsidRDefault="00000F8F" w:rsidP="00010F64">
      <w:pPr>
        <w:pStyle w:val="ConcHead"/>
        <w:spacing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5D98CEDD" w14:textId="77777777" w:rsidR="00790ADA" w:rsidRPr="00FB3A86" w:rsidRDefault="00201897" w:rsidP="00010F64">
      <w:pPr>
        <w:pStyle w:val="Body"/>
        <w:spacing w:after="120"/>
        <w:rPr>
          <w:rFonts w:ascii="Arial" w:hAnsi="Arial" w:cs="Arial"/>
        </w:rPr>
      </w:pPr>
      <w:r w:rsidRPr="00201897">
        <w:rPr>
          <w:rFonts w:ascii="Arial" w:hAnsi="Arial" w:cs="Arial"/>
        </w:rPr>
        <w:t>The current study reported a high prevalence of gut bacteria in chicken form the study area and the prevalence was mainly due to poor husbandry and hygiene at farm level. Further, the study showed that a large proportion of the bacteria were resistant to common antibiotics especially penicillin and nalidixic acid. Notably, our findings show that bromelain and chitosan offer promising alternatives for the treatment of the isolated bacteria. Therefore, future studies should focus on further developm</w:t>
      </w:r>
      <w:r w:rsidR="00A428DF">
        <w:rPr>
          <w:rFonts w:ascii="Arial" w:hAnsi="Arial" w:cs="Arial"/>
        </w:rPr>
        <w:t>ent these products in chicken.</w:t>
      </w:r>
    </w:p>
    <w:p w14:paraId="25470388" w14:textId="77777777" w:rsidR="00D42C14" w:rsidRDefault="00D42C14" w:rsidP="00010F64">
      <w:pPr>
        <w:pStyle w:val="ReferHead"/>
        <w:spacing w:after="120"/>
        <w:jc w:val="both"/>
        <w:rPr>
          <w:rFonts w:ascii="Arial" w:hAnsi="Arial" w:cs="Arial"/>
          <w:bCs/>
        </w:rPr>
      </w:pPr>
    </w:p>
    <w:p w14:paraId="613CB9BE" w14:textId="3014B3EB" w:rsidR="005C784C" w:rsidRDefault="005C784C" w:rsidP="00010F64">
      <w:pPr>
        <w:pStyle w:val="ReferHead"/>
        <w:spacing w:after="12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80D7A8D" w14:textId="77777777" w:rsidR="00BE4B09" w:rsidRDefault="002A7916" w:rsidP="00010F64">
      <w:pPr>
        <w:pStyle w:val="ReferHead"/>
        <w:spacing w:after="120"/>
        <w:jc w:val="both"/>
        <w:rPr>
          <w:rFonts w:ascii="Arial" w:hAnsi="Arial" w:cs="Arial"/>
          <w:b w:val="0"/>
          <w:caps w:val="0"/>
          <w:sz w:val="20"/>
        </w:rPr>
      </w:pPr>
      <w:r>
        <w:rPr>
          <w:rFonts w:ascii="Arial" w:hAnsi="Arial" w:cs="Arial"/>
          <w:b w:val="0"/>
          <w:caps w:val="0"/>
          <w:sz w:val="20"/>
        </w:rPr>
        <w:t xml:space="preserve">All animal and laboratory procedure were reviewed and approved by Jomo Kenyatta University of Agriculture and Technology </w:t>
      </w:r>
      <w:r w:rsidR="00B066AF">
        <w:rPr>
          <w:rFonts w:ascii="Arial" w:hAnsi="Arial" w:cs="Arial"/>
          <w:b w:val="0"/>
          <w:caps w:val="0"/>
          <w:sz w:val="20"/>
        </w:rPr>
        <w:t>I</w:t>
      </w:r>
      <w:r>
        <w:rPr>
          <w:rFonts w:ascii="Arial" w:hAnsi="Arial" w:cs="Arial"/>
          <w:b w:val="0"/>
          <w:caps w:val="0"/>
          <w:sz w:val="20"/>
        </w:rPr>
        <w:t xml:space="preserve">nstitutional </w:t>
      </w:r>
      <w:r w:rsidR="00B066AF">
        <w:rPr>
          <w:rFonts w:ascii="Arial" w:hAnsi="Arial" w:cs="Arial"/>
          <w:b w:val="0"/>
          <w:caps w:val="0"/>
          <w:sz w:val="20"/>
        </w:rPr>
        <w:t>S</w:t>
      </w:r>
      <w:r>
        <w:rPr>
          <w:rFonts w:ascii="Arial" w:hAnsi="Arial" w:cs="Arial"/>
          <w:b w:val="0"/>
          <w:caps w:val="0"/>
          <w:sz w:val="20"/>
        </w:rPr>
        <w:t xml:space="preserve">cientific </w:t>
      </w:r>
      <w:r w:rsidR="00B066AF">
        <w:rPr>
          <w:rFonts w:ascii="Arial" w:hAnsi="Arial" w:cs="Arial"/>
          <w:b w:val="0"/>
          <w:caps w:val="0"/>
          <w:sz w:val="20"/>
        </w:rPr>
        <w:t>and E</w:t>
      </w:r>
      <w:r>
        <w:rPr>
          <w:rFonts w:ascii="Arial" w:hAnsi="Arial" w:cs="Arial"/>
          <w:b w:val="0"/>
          <w:caps w:val="0"/>
          <w:sz w:val="20"/>
        </w:rPr>
        <w:t xml:space="preserve">thical </w:t>
      </w:r>
      <w:r w:rsidR="00B066AF">
        <w:rPr>
          <w:rFonts w:ascii="Arial" w:hAnsi="Arial" w:cs="Arial"/>
          <w:b w:val="0"/>
          <w:caps w:val="0"/>
          <w:sz w:val="20"/>
        </w:rPr>
        <w:t>Review C</w:t>
      </w:r>
      <w:r>
        <w:rPr>
          <w:rFonts w:ascii="Arial" w:hAnsi="Arial" w:cs="Arial"/>
          <w:b w:val="0"/>
          <w:caps w:val="0"/>
          <w:sz w:val="20"/>
        </w:rPr>
        <w:t>ommittee (</w:t>
      </w:r>
      <w:r w:rsidR="00B066AF">
        <w:rPr>
          <w:rFonts w:ascii="Arial" w:hAnsi="Arial" w:cs="Arial"/>
          <w:b w:val="0"/>
          <w:caps w:val="0"/>
          <w:sz w:val="20"/>
        </w:rPr>
        <w:t>JKU/ISERC/02317/1331)</w:t>
      </w:r>
    </w:p>
    <w:p w14:paraId="39442981" w14:textId="77777777" w:rsidR="00BE4B09" w:rsidRDefault="00BE4B09" w:rsidP="00010F64">
      <w:pPr>
        <w:pStyle w:val="ReferHead"/>
        <w:spacing w:after="120"/>
        <w:jc w:val="both"/>
        <w:rPr>
          <w:rFonts w:ascii="Arial" w:hAnsi="Arial" w:cs="Arial"/>
          <w:b w:val="0"/>
          <w:caps w:val="0"/>
          <w:sz w:val="20"/>
        </w:rPr>
      </w:pPr>
    </w:p>
    <w:p w14:paraId="02A66DEC" w14:textId="77777777" w:rsidR="00BE4B09" w:rsidRPr="00BE4B09" w:rsidRDefault="00BE4B09" w:rsidP="00BE4B09">
      <w:pPr>
        <w:spacing w:after="200" w:line="276" w:lineRule="auto"/>
        <w:jc w:val="both"/>
        <w:outlineLvl w:val="0"/>
        <w:rPr>
          <w:rFonts w:ascii="Arial" w:eastAsiaTheme="minorEastAsia" w:hAnsi="Arial" w:cs="Arial"/>
          <w:sz w:val="22"/>
          <w:szCs w:val="22"/>
          <w:lang w:val="en-GB" w:eastAsia="en-GB"/>
        </w:rPr>
      </w:pPr>
      <w:r w:rsidRPr="00BE4B09">
        <w:rPr>
          <w:rFonts w:ascii="Arial" w:eastAsiaTheme="minorEastAsia" w:hAnsi="Arial" w:cs="Arial"/>
          <w:b/>
          <w:bCs/>
          <w:sz w:val="22"/>
          <w:szCs w:val="22"/>
          <w:lang w:val="en-GB" w:eastAsia="en-GB"/>
        </w:rPr>
        <w:t>COMPETING INTERESTS DISCLAIMER:</w:t>
      </w:r>
    </w:p>
    <w:p w14:paraId="45D39814" w14:textId="77777777" w:rsidR="00BE4B09" w:rsidRPr="00BE4B09" w:rsidRDefault="00BE4B09" w:rsidP="00BE4B09">
      <w:pPr>
        <w:spacing w:after="200" w:line="276" w:lineRule="auto"/>
        <w:rPr>
          <w:rFonts w:asciiTheme="minorHAnsi" w:eastAsiaTheme="minorEastAsia" w:hAnsiTheme="minorHAnsi" w:cstheme="minorBidi"/>
          <w:sz w:val="22"/>
          <w:szCs w:val="22"/>
          <w:lang w:val="en-GB" w:eastAsia="en-GB"/>
        </w:rPr>
      </w:pPr>
      <w:r w:rsidRPr="00BE4B0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17E0A96" w14:textId="77777777" w:rsidR="00BE4B09" w:rsidRPr="00BE4B09" w:rsidRDefault="00BE4B09" w:rsidP="00BE4B09">
      <w:pPr>
        <w:spacing w:after="200" w:line="276" w:lineRule="auto"/>
        <w:rPr>
          <w:rFonts w:asciiTheme="minorHAnsi" w:eastAsiaTheme="minorEastAsia" w:hAnsiTheme="minorHAnsi" w:cstheme="minorBidi"/>
          <w:sz w:val="22"/>
          <w:szCs w:val="22"/>
          <w:lang w:val="en-GB" w:eastAsia="en-GB"/>
        </w:rPr>
      </w:pPr>
    </w:p>
    <w:p w14:paraId="3B690CBC" w14:textId="77777777" w:rsidR="00BE4B09" w:rsidRPr="00BE4B09" w:rsidRDefault="00BE4B09" w:rsidP="00BE4B09">
      <w:pPr>
        <w:spacing w:after="200" w:line="276" w:lineRule="auto"/>
        <w:rPr>
          <w:rFonts w:asciiTheme="minorHAnsi" w:eastAsiaTheme="minorEastAsia" w:hAnsiTheme="minorHAnsi" w:cstheme="minorBidi"/>
          <w:sz w:val="22"/>
          <w:szCs w:val="22"/>
          <w:lang w:val="en-GB" w:eastAsia="en-GB"/>
        </w:rPr>
      </w:pPr>
    </w:p>
    <w:p w14:paraId="26CE91BA" w14:textId="77777777" w:rsidR="00BE4B09" w:rsidRDefault="00BE4B09" w:rsidP="00010F64">
      <w:pPr>
        <w:pStyle w:val="ReferHead"/>
        <w:spacing w:after="120"/>
        <w:jc w:val="both"/>
        <w:rPr>
          <w:rFonts w:ascii="Arial" w:hAnsi="Arial" w:cs="Arial"/>
          <w:b w:val="0"/>
          <w:caps w:val="0"/>
          <w:sz w:val="20"/>
        </w:rPr>
      </w:pPr>
    </w:p>
    <w:p w14:paraId="71792CD9" w14:textId="77777777" w:rsidR="00BE4B09" w:rsidRDefault="00BE4B09" w:rsidP="00010F64">
      <w:pPr>
        <w:pStyle w:val="ReferHead"/>
        <w:spacing w:after="120"/>
        <w:jc w:val="both"/>
        <w:rPr>
          <w:rFonts w:ascii="Arial" w:hAnsi="Arial" w:cs="Arial"/>
          <w:b w:val="0"/>
          <w:caps w:val="0"/>
          <w:sz w:val="20"/>
        </w:rPr>
      </w:pPr>
    </w:p>
    <w:p w14:paraId="71AE8FE1" w14:textId="6E4C3EE9" w:rsidR="009C13C6" w:rsidRDefault="009C13C6" w:rsidP="00010F64">
      <w:pPr>
        <w:pStyle w:val="ReferHead"/>
        <w:spacing w:after="120"/>
        <w:jc w:val="both"/>
        <w:rPr>
          <w:rFonts w:ascii="Arial" w:hAnsi="Arial" w:cs="Arial"/>
          <w:b w:val="0"/>
          <w:caps w:val="0"/>
          <w:sz w:val="20"/>
        </w:rPr>
      </w:pPr>
    </w:p>
    <w:p w14:paraId="50D28D1E" w14:textId="77777777" w:rsidR="00860000" w:rsidRDefault="00860000" w:rsidP="00010F64">
      <w:pPr>
        <w:pStyle w:val="ReferHead"/>
        <w:spacing w:after="120"/>
        <w:jc w:val="both"/>
        <w:rPr>
          <w:rFonts w:ascii="Arial" w:hAnsi="Arial" w:cs="Arial"/>
        </w:rPr>
      </w:pPr>
    </w:p>
    <w:p w14:paraId="387CA4C5" w14:textId="77777777" w:rsidR="00B01FCD" w:rsidRDefault="00B01FCD" w:rsidP="00010F64">
      <w:pPr>
        <w:pStyle w:val="ReferHead"/>
        <w:spacing w:after="120"/>
        <w:jc w:val="both"/>
        <w:rPr>
          <w:rFonts w:ascii="Arial" w:hAnsi="Arial" w:cs="Arial"/>
        </w:rPr>
      </w:pPr>
      <w:r w:rsidRPr="00FB3A86">
        <w:rPr>
          <w:rFonts w:ascii="Arial" w:hAnsi="Arial" w:cs="Arial"/>
        </w:rPr>
        <w:t>References</w:t>
      </w:r>
    </w:p>
    <w:p w14:paraId="20C9F07C"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Goyilla</w:t>
      </w:r>
      <w:proofErr w:type="spellEnd"/>
      <w:r w:rsidRPr="008C1C4E">
        <w:rPr>
          <w:rFonts w:ascii="Arial" w:hAnsi="Arial" w:cs="Arial"/>
          <w:color w:val="000000" w:themeColor="text1"/>
        </w:rPr>
        <w:t>, A. E., Abubakar, O. A., &amp; Abdullahi, A. O. (2024). Food security: a panacea for economic development in Nigeria. </w:t>
      </w:r>
      <w:r w:rsidRPr="008C1C4E">
        <w:rPr>
          <w:rFonts w:ascii="Arial" w:hAnsi="Arial" w:cs="Arial"/>
          <w:i/>
          <w:iCs/>
          <w:color w:val="000000" w:themeColor="text1"/>
        </w:rPr>
        <w:t xml:space="preserve">African Journal of Social and </w:t>
      </w:r>
      <w:proofErr w:type="spellStart"/>
      <w:r w:rsidRPr="008C1C4E">
        <w:rPr>
          <w:rFonts w:ascii="Arial" w:hAnsi="Arial" w:cs="Arial"/>
          <w:i/>
          <w:iCs/>
          <w:color w:val="000000" w:themeColor="text1"/>
        </w:rPr>
        <w:t>Behavioural</w:t>
      </w:r>
      <w:proofErr w:type="spellEnd"/>
      <w:r w:rsidRPr="008C1C4E">
        <w:rPr>
          <w:rFonts w:ascii="Arial" w:hAnsi="Arial" w:cs="Arial"/>
          <w:i/>
          <w:iCs/>
          <w:color w:val="000000" w:themeColor="text1"/>
        </w:rPr>
        <w:t xml:space="preserve"> Sciences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(2). </w:t>
      </w:r>
      <w:hyperlink r:id="rId14" w:history="1">
        <w:r w:rsidRPr="008C1C4E">
          <w:rPr>
            <w:rStyle w:val="Hyperlink"/>
            <w:rFonts w:ascii="Arial" w:hAnsi="Arial" w:cs="Arial"/>
            <w:color w:val="000000" w:themeColor="text1"/>
          </w:rPr>
          <w:t>https://journals.aphriapub.com/index.php/AJSBS/issue/view/218</w:t>
        </w:r>
      </w:hyperlink>
    </w:p>
    <w:p w14:paraId="7E1B937E"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Mwasi</w:t>
      </w:r>
      <w:proofErr w:type="spellEnd"/>
      <w:r w:rsidRPr="008C1C4E">
        <w:rPr>
          <w:rFonts w:ascii="Arial" w:hAnsi="Arial" w:cs="Arial"/>
          <w:color w:val="000000" w:themeColor="text1"/>
        </w:rPr>
        <w:t>, G. M. (2020). </w:t>
      </w:r>
      <w:r w:rsidRPr="008C1C4E">
        <w:rPr>
          <w:rFonts w:ascii="Arial" w:hAnsi="Arial" w:cs="Arial"/>
          <w:i/>
          <w:iCs/>
          <w:color w:val="000000" w:themeColor="text1"/>
        </w:rPr>
        <w:t>Contribution of livestock to the livelihoods of urban and peri-urban households in Embakasi constituency, Nairobi County</w:t>
      </w:r>
      <w:r w:rsidRPr="008C1C4E">
        <w:rPr>
          <w:rFonts w:ascii="Arial" w:hAnsi="Arial" w:cs="Arial"/>
          <w:color w:val="000000" w:themeColor="text1"/>
        </w:rPr>
        <w:t xml:space="preserve"> (Doctoral dissertation, University of Nairobi). </w:t>
      </w:r>
      <w:hyperlink r:id="rId15" w:history="1">
        <w:r w:rsidRPr="008C1C4E">
          <w:rPr>
            <w:rStyle w:val="Hyperlink"/>
            <w:rFonts w:ascii="Arial" w:hAnsi="Arial" w:cs="Arial"/>
            <w:color w:val="000000" w:themeColor="text1"/>
          </w:rPr>
          <w:t>http://erepository.uonbi.ac.ke/handle/11295/153645</w:t>
        </w:r>
      </w:hyperlink>
    </w:p>
    <w:p w14:paraId="02F64FCC"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KNBS., 2022. Kenya National Bureau of Statistics, 2022. Economic survey 2022. Government of Kenya, Nairobi, Kenya. </w:t>
      </w:r>
      <w:hyperlink r:id="rId16" w:history="1">
        <w:r w:rsidRPr="008C1C4E">
          <w:rPr>
            <w:rStyle w:val="Hyperlink"/>
            <w:rFonts w:ascii="Arial" w:hAnsi="Arial" w:cs="Arial"/>
            <w:color w:val="000000" w:themeColor="text1"/>
          </w:rPr>
          <w:t>https://www.knbs.or.ke/wp-content/uploads/2022/05/2022-Economic-Survey1.pdf</w:t>
        </w:r>
      </w:hyperlink>
    </w:p>
    <w:p w14:paraId="3E6004E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McDevitt, R. M., Brooker, J. D., </w:t>
      </w:r>
      <w:proofErr w:type="spellStart"/>
      <w:r w:rsidRPr="008C1C4E">
        <w:rPr>
          <w:rFonts w:ascii="Arial" w:hAnsi="Arial" w:cs="Arial"/>
          <w:color w:val="000000" w:themeColor="text1"/>
        </w:rPr>
        <w:t>Acamovic</w:t>
      </w:r>
      <w:proofErr w:type="spellEnd"/>
      <w:r w:rsidRPr="008C1C4E">
        <w:rPr>
          <w:rFonts w:ascii="Arial" w:hAnsi="Arial" w:cs="Arial"/>
          <w:color w:val="000000" w:themeColor="text1"/>
        </w:rPr>
        <w:t>, T., and Sparks, N. H. C. (2006). Necrotic enteritis; a continuing challenge for the poultry industry. </w:t>
      </w:r>
      <w:r w:rsidRPr="008C1C4E">
        <w:rPr>
          <w:rFonts w:ascii="Arial" w:hAnsi="Arial" w:cs="Arial"/>
          <w:i/>
          <w:iCs/>
          <w:color w:val="000000" w:themeColor="text1"/>
        </w:rPr>
        <w:t>World's Poultry Science Journal</w:t>
      </w:r>
      <w:r w:rsidRPr="008C1C4E">
        <w:rPr>
          <w:rFonts w:ascii="Arial" w:hAnsi="Arial" w:cs="Arial"/>
          <w:color w:val="000000" w:themeColor="text1"/>
        </w:rPr>
        <w:t>, </w:t>
      </w:r>
      <w:r w:rsidRPr="008C1C4E">
        <w:rPr>
          <w:rFonts w:ascii="Arial" w:hAnsi="Arial" w:cs="Arial"/>
          <w:i/>
          <w:iCs/>
          <w:color w:val="000000" w:themeColor="text1"/>
        </w:rPr>
        <w:t>62</w:t>
      </w:r>
      <w:r w:rsidRPr="008C1C4E">
        <w:rPr>
          <w:rFonts w:ascii="Arial" w:hAnsi="Arial" w:cs="Arial"/>
          <w:color w:val="000000" w:themeColor="text1"/>
        </w:rPr>
        <w:t xml:space="preserve">(2), 221-247. </w:t>
      </w:r>
      <w:hyperlink r:id="rId17" w:history="1">
        <w:r w:rsidRPr="008C1C4E">
          <w:rPr>
            <w:rStyle w:val="Hyperlink"/>
            <w:rFonts w:ascii="Arial" w:hAnsi="Arial" w:cs="Arial"/>
            <w:color w:val="000000" w:themeColor="text1"/>
          </w:rPr>
          <w:t>https://doi.org/10.1079/WPS200593</w:t>
        </w:r>
      </w:hyperlink>
    </w:p>
    <w:p w14:paraId="04A7CEF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Wibisono, F. M., </w:t>
      </w:r>
      <w:proofErr w:type="spellStart"/>
      <w:r w:rsidRPr="008C1C4E">
        <w:rPr>
          <w:rFonts w:ascii="Arial" w:hAnsi="Arial" w:cs="Arial"/>
          <w:color w:val="000000" w:themeColor="text1"/>
        </w:rPr>
        <w:t>Wibison</w:t>
      </w:r>
      <w:proofErr w:type="spellEnd"/>
      <w:r w:rsidRPr="008C1C4E">
        <w:rPr>
          <w:rFonts w:ascii="Arial" w:hAnsi="Arial" w:cs="Arial"/>
          <w:color w:val="000000" w:themeColor="text1"/>
        </w:rPr>
        <w:t xml:space="preserve">, F. J., Effendi, M. H., </w:t>
      </w:r>
      <w:proofErr w:type="spellStart"/>
      <w:r w:rsidRPr="008C1C4E">
        <w:rPr>
          <w:rFonts w:ascii="Arial" w:hAnsi="Arial" w:cs="Arial"/>
          <w:color w:val="000000" w:themeColor="text1"/>
        </w:rPr>
        <w:t>Plumeriastuti</w:t>
      </w:r>
      <w:proofErr w:type="spellEnd"/>
      <w:r w:rsidRPr="008C1C4E">
        <w:rPr>
          <w:rFonts w:ascii="Arial" w:hAnsi="Arial" w:cs="Arial"/>
          <w:color w:val="000000" w:themeColor="text1"/>
        </w:rPr>
        <w:t xml:space="preserve">, H., Hidayatullah, A. R., </w:t>
      </w:r>
      <w:proofErr w:type="spellStart"/>
      <w:r w:rsidRPr="008C1C4E">
        <w:rPr>
          <w:rFonts w:ascii="Arial" w:hAnsi="Arial" w:cs="Arial"/>
          <w:color w:val="000000" w:themeColor="text1"/>
        </w:rPr>
        <w:t>Hartadi</w:t>
      </w:r>
      <w:proofErr w:type="spellEnd"/>
      <w:r w:rsidRPr="008C1C4E">
        <w:rPr>
          <w:rFonts w:ascii="Arial" w:hAnsi="Arial" w:cs="Arial"/>
          <w:color w:val="000000" w:themeColor="text1"/>
        </w:rPr>
        <w:t>, E. B., et al. (2020). A review of salmonellosis on poultry farms: Public health importance. </w:t>
      </w:r>
      <w:r w:rsidRPr="008C1C4E">
        <w:rPr>
          <w:rFonts w:ascii="Arial" w:hAnsi="Arial" w:cs="Arial"/>
          <w:i/>
          <w:iCs/>
          <w:color w:val="000000" w:themeColor="text1"/>
        </w:rPr>
        <w:t>Systematic Reviews in Pharmacy</w:t>
      </w:r>
      <w:r w:rsidRPr="008C1C4E">
        <w:rPr>
          <w:rFonts w:ascii="Arial" w:hAnsi="Arial" w:cs="Arial"/>
          <w:color w:val="000000" w:themeColor="text1"/>
        </w:rPr>
        <w:t>, </w:t>
      </w:r>
      <w:r w:rsidRPr="008C1C4E">
        <w:rPr>
          <w:rFonts w:ascii="Arial" w:hAnsi="Arial" w:cs="Arial"/>
          <w:i/>
          <w:iCs/>
          <w:color w:val="000000" w:themeColor="text1"/>
        </w:rPr>
        <w:t>11</w:t>
      </w:r>
      <w:r w:rsidRPr="008C1C4E">
        <w:rPr>
          <w:rFonts w:ascii="Arial" w:hAnsi="Arial" w:cs="Arial"/>
          <w:color w:val="000000" w:themeColor="text1"/>
        </w:rPr>
        <w:t xml:space="preserve">(9), 481-486. </w:t>
      </w:r>
      <w:hyperlink r:id="rId18" w:history="1">
        <w:r w:rsidRPr="008C1C4E">
          <w:rPr>
            <w:rStyle w:val="Hyperlink"/>
            <w:rFonts w:ascii="Arial" w:hAnsi="Arial" w:cs="Arial"/>
            <w:color w:val="000000" w:themeColor="text1"/>
          </w:rPr>
          <w:t>https://dx.doi.org/10.31838/srp.2020.9.69</w:t>
        </w:r>
      </w:hyperlink>
    </w:p>
    <w:p w14:paraId="34BB65B8"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Hakkani</w:t>
      </w:r>
      <w:proofErr w:type="spellEnd"/>
      <w:r w:rsidRPr="008C1C4E">
        <w:rPr>
          <w:rFonts w:ascii="Arial" w:hAnsi="Arial" w:cs="Arial"/>
          <w:color w:val="000000" w:themeColor="text1"/>
        </w:rPr>
        <w:t>, M. G., Rahman, M. M., Akter, M. R., Hossain, M. K., Rumi, N. A., and Rahman, M. S. (2016). Isolation and identification of microorganisms from cloacal swabs in poultry. </w:t>
      </w:r>
      <w:r w:rsidRPr="008C1C4E">
        <w:rPr>
          <w:rFonts w:ascii="Arial" w:hAnsi="Arial" w:cs="Arial"/>
          <w:i/>
          <w:iCs/>
          <w:color w:val="000000" w:themeColor="text1"/>
        </w:rPr>
        <w:t>Asian-Australasian Journal of Bioscience and Biotechnology</w:t>
      </w:r>
      <w:r w:rsidRPr="008C1C4E">
        <w:rPr>
          <w:rFonts w:ascii="Arial" w:hAnsi="Arial" w:cs="Arial"/>
          <w:color w:val="000000" w:themeColor="text1"/>
        </w:rPr>
        <w:t>, </w:t>
      </w:r>
      <w:r w:rsidRPr="008C1C4E">
        <w:rPr>
          <w:rFonts w:ascii="Arial" w:hAnsi="Arial" w:cs="Arial"/>
          <w:i/>
          <w:iCs/>
          <w:color w:val="000000" w:themeColor="text1"/>
        </w:rPr>
        <w:t>1</w:t>
      </w:r>
      <w:r w:rsidRPr="008C1C4E">
        <w:rPr>
          <w:rFonts w:ascii="Arial" w:hAnsi="Arial" w:cs="Arial"/>
          <w:color w:val="000000" w:themeColor="text1"/>
        </w:rPr>
        <w:t xml:space="preserve">(3), 441-447. </w:t>
      </w:r>
      <w:hyperlink r:id="rId19" w:history="1">
        <w:r w:rsidRPr="008C1C4E">
          <w:rPr>
            <w:rStyle w:val="Hyperlink"/>
            <w:rFonts w:ascii="Arial" w:hAnsi="Arial" w:cs="Arial"/>
            <w:color w:val="000000" w:themeColor="text1"/>
          </w:rPr>
          <w:t>https://doi.org/10.3329/aajbb.v1i3.63976</w:t>
        </w:r>
      </w:hyperlink>
    </w:p>
    <w:p w14:paraId="143A201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lastRenderedPageBreak/>
        <w:t xml:space="preserve">Agu, C. G., </w:t>
      </w:r>
      <w:proofErr w:type="spellStart"/>
      <w:r w:rsidRPr="008C1C4E">
        <w:rPr>
          <w:rFonts w:ascii="Arial" w:hAnsi="Arial" w:cs="Arial"/>
          <w:color w:val="000000" w:themeColor="text1"/>
        </w:rPr>
        <w:t>Nfongeh</w:t>
      </w:r>
      <w:proofErr w:type="spellEnd"/>
      <w:r w:rsidRPr="008C1C4E">
        <w:rPr>
          <w:rFonts w:ascii="Arial" w:hAnsi="Arial" w:cs="Arial"/>
          <w:color w:val="000000" w:themeColor="text1"/>
        </w:rPr>
        <w:t xml:space="preserve">, J. F., Okoye, E. C. S., Audu, B. J., Chukwu, D., </w:t>
      </w:r>
      <w:proofErr w:type="spellStart"/>
      <w:r w:rsidRPr="008C1C4E">
        <w:rPr>
          <w:rFonts w:ascii="Arial" w:hAnsi="Arial" w:cs="Arial"/>
          <w:color w:val="000000" w:themeColor="text1"/>
        </w:rPr>
        <w:t>Anueyiagu</w:t>
      </w:r>
      <w:proofErr w:type="spellEnd"/>
      <w:r w:rsidRPr="008C1C4E">
        <w:rPr>
          <w:rFonts w:ascii="Arial" w:hAnsi="Arial" w:cs="Arial"/>
          <w:color w:val="000000" w:themeColor="text1"/>
        </w:rPr>
        <w:t xml:space="preserve">, K. N., et al. (2024). Prevalence and antimicrobial resistance profiles of </w:t>
      </w:r>
      <w:proofErr w:type="spellStart"/>
      <w:r w:rsidRPr="008C1C4E">
        <w:rPr>
          <w:rFonts w:ascii="Arial" w:hAnsi="Arial" w:cs="Arial"/>
          <w:color w:val="000000" w:themeColor="text1"/>
        </w:rPr>
        <w:t>faecal</w:t>
      </w:r>
      <w:proofErr w:type="spellEnd"/>
      <w:r w:rsidRPr="008C1C4E">
        <w:rPr>
          <w:rFonts w:ascii="Arial" w:hAnsi="Arial" w:cs="Arial"/>
          <w:color w:val="000000" w:themeColor="text1"/>
        </w:rPr>
        <w:t xml:space="preserve"> Escherichia coli isolates from local chickens in Plateau State, Nigeria. </w:t>
      </w:r>
      <w:r w:rsidRPr="008C1C4E">
        <w:rPr>
          <w:rFonts w:ascii="Arial" w:hAnsi="Arial" w:cs="Arial"/>
          <w:i/>
          <w:iCs/>
          <w:color w:val="000000" w:themeColor="text1"/>
        </w:rPr>
        <w:t>African Journal of Clinical and Experimental Microbiology</w:t>
      </w:r>
      <w:r w:rsidRPr="008C1C4E">
        <w:rPr>
          <w:rFonts w:ascii="Arial" w:hAnsi="Arial" w:cs="Arial"/>
          <w:color w:val="000000" w:themeColor="text1"/>
        </w:rPr>
        <w:t>, </w:t>
      </w:r>
      <w:r w:rsidRPr="008C1C4E">
        <w:rPr>
          <w:rFonts w:ascii="Arial" w:hAnsi="Arial" w:cs="Arial"/>
          <w:i/>
          <w:iCs/>
          <w:color w:val="000000" w:themeColor="text1"/>
        </w:rPr>
        <w:t>25</w:t>
      </w:r>
      <w:r w:rsidRPr="008C1C4E">
        <w:rPr>
          <w:rFonts w:ascii="Arial" w:hAnsi="Arial" w:cs="Arial"/>
          <w:color w:val="000000" w:themeColor="text1"/>
        </w:rPr>
        <w:t xml:space="preserve">(3), 322-332. </w:t>
      </w:r>
      <w:hyperlink r:id="rId20" w:history="1">
        <w:r w:rsidRPr="008C1C4E">
          <w:rPr>
            <w:rStyle w:val="Hyperlink"/>
            <w:rFonts w:ascii="Arial" w:hAnsi="Arial" w:cs="Arial"/>
            <w:color w:val="000000" w:themeColor="text1"/>
          </w:rPr>
          <w:t>https://doi.org/10.4314/ajcem.v25i3.9</w:t>
        </w:r>
      </w:hyperlink>
    </w:p>
    <w:p w14:paraId="14ED901C"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Aworh</w:t>
      </w:r>
      <w:proofErr w:type="spellEnd"/>
      <w:r w:rsidRPr="008C1C4E">
        <w:rPr>
          <w:rFonts w:ascii="Arial" w:hAnsi="Arial" w:cs="Arial"/>
          <w:color w:val="000000" w:themeColor="text1"/>
        </w:rPr>
        <w:t xml:space="preserve">, M. K., </w:t>
      </w:r>
      <w:proofErr w:type="spellStart"/>
      <w:r w:rsidRPr="008C1C4E">
        <w:rPr>
          <w:rFonts w:ascii="Arial" w:hAnsi="Arial" w:cs="Arial"/>
          <w:color w:val="000000" w:themeColor="text1"/>
        </w:rPr>
        <w:t>Kwaga</w:t>
      </w:r>
      <w:proofErr w:type="spellEnd"/>
      <w:r w:rsidRPr="008C1C4E">
        <w:rPr>
          <w:rFonts w:ascii="Arial" w:hAnsi="Arial" w:cs="Arial"/>
          <w:color w:val="000000" w:themeColor="text1"/>
        </w:rPr>
        <w:t xml:space="preserve">, J., </w:t>
      </w:r>
      <w:proofErr w:type="spellStart"/>
      <w:r w:rsidRPr="008C1C4E">
        <w:rPr>
          <w:rFonts w:ascii="Arial" w:hAnsi="Arial" w:cs="Arial"/>
          <w:color w:val="000000" w:themeColor="text1"/>
        </w:rPr>
        <w:t>Okolocha</w:t>
      </w:r>
      <w:proofErr w:type="spellEnd"/>
      <w:r w:rsidRPr="008C1C4E">
        <w:rPr>
          <w:rFonts w:ascii="Arial" w:hAnsi="Arial" w:cs="Arial"/>
          <w:color w:val="000000" w:themeColor="text1"/>
        </w:rPr>
        <w:t>, E., Mba, N., and Thakur, S. (2019). Prevalence and risk factors for multi-drug resistant Escherichia coli among poultry workers in the Federal Capital Territory, Abuja, Nigeria. </w:t>
      </w:r>
      <w:proofErr w:type="spellStart"/>
      <w:r w:rsidRPr="008C1C4E">
        <w:rPr>
          <w:rFonts w:ascii="Arial" w:hAnsi="Arial" w:cs="Arial"/>
          <w:i/>
          <w:iCs/>
          <w:color w:val="000000" w:themeColor="text1"/>
        </w:rPr>
        <w:t>PloS</w:t>
      </w:r>
      <w:proofErr w:type="spellEnd"/>
      <w:r w:rsidRPr="008C1C4E">
        <w:rPr>
          <w:rFonts w:ascii="Arial" w:hAnsi="Arial" w:cs="Arial"/>
          <w:i/>
          <w:iCs/>
          <w:color w:val="000000" w:themeColor="text1"/>
        </w:rPr>
        <w:t xml:space="preserve"> one</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(11), e0225379. </w:t>
      </w:r>
      <w:hyperlink r:id="rId21" w:history="1">
        <w:r w:rsidRPr="008C1C4E">
          <w:rPr>
            <w:rStyle w:val="Hyperlink"/>
            <w:rFonts w:ascii="Arial" w:hAnsi="Arial" w:cs="Arial"/>
            <w:color w:val="000000" w:themeColor="text1"/>
          </w:rPr>
          <w:t>https://doi.org/10.1371/journal.pone.0225379</w:t>
        </w:r>
      </w:hyperlink>
    </w:p>
    <w:p w14:paraId="78BE4AC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Mageto, L. M., Ombui, J. N., and Mutua, F. K. (2018). Prevalence and risk factors for Campylobacter infection of chicken in peri-urban areas of Nairobi, Kenya. </w:t>
      </w:r>
      <w:r w:rsidRPr="008C1C4E">
        <w:rPr>
          <w:rFonts w:ascii="Arial" w:hAnsi="Arial" w:cs="Arial"/>
          <w:i/>
          <w:iCs/>
          <w:color w:val="000000" w:themeColor="text1"/>
        </w:rPr>
        <w:t>J Dairy, Vet Anim Res</w:t>
      </w:r>
      <w:r w:rsidRPr="008C1C4E">
        <w:rPr>
          <w:rFonts w:ascii="Arial" w:hAnsi="Arial" w:cs="Arial"/>
          <w:color w:val="000000" w:themeColor="text1"/>
        </w:rPr>
        <w:t>, </w:t>
      </w:r>
      <w:r w:rsidRPr="008C1C4E">
        <w:rPr>
          <w:rFonts w:ascii="Arial" w:hAnsi="Arial" w:cs="Arial"/>
          <w:i/>
          <w:iCs/>
          <w:color w:val="000000" w:themeColor="text1"/>
        </w:rPr>
        <w:t>7</w:t>
      </w:r>
      <w:r w:rsidRPr="008C1C4E">
        <w:rPr>
          <w:rFonts w:ascii="Arial" w:hAnsi="Arial" w:cs="Arial"/>
          <w:color w:val="000000" w:themeColor="text1"/>
        </w:rPr>
        <w:t xml:space="preserve">(1), 22-27. </w:t>
      </w:r>
      <w:hyperlink r:id="rId22" w:history="1">
        <w:r w:rsidRPr="008C1C4E">
          <w:rPr>
            <w:rStyle w:val="Hyperlink"/>
            <w:rFonts w:ascii="Arial" w:hAnsi="Arial" w:cs="Arial"/>
            <w:color w:val="000000" w:themeColor="text1"/>
          </w:rPr>
          <w:t>http://dx.doi.org/10.15406/jdvar.2018.07.00184</w:t>
        </w:r>
      </w:hyperlink>
    </w:p>
    <w:p w14:paraId="37478E82"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Ngai, D. G., </w:t>
      </w:r>
      <w:proofErr w:type="spellStart"/>
      <w:r w:rsidRPr="008C1C4E">
        <w:rPr>
          <w:rFonts w:ascii="Arial" w:hAnsi="Arial" w:cs="Arial"/>
          <w:color w:val="000000" w:themeColor="text1"/>
        </w:rPr>
        <w:t>Nyamache</w:t>
      </w:r>
      <w:proofErr w:type="spellEnd"/>
      <w:r w:rsidRPr="008C1C4E">
        <w:rPr>
          <w:rFonts w:ascii="Arial" w:hAnsi="Arial" w:cs="Arial"/>
          <w:color w:val="000000" w:themeColor="text1"/>
        </w:rPr>
        <w:t xml:space="preserve">, A. K., and </w:t>
      </w:r>
      <w:proofErr w:type="spellStart"/>
      <w:r w:rsidRPr="008C1C4E">
        <w:rPr>
          <w:rFonts w:ascii="Arial" w:hAnsi="Arial" w:cs="Arial"/>
          <w:color w:val="000000" w:themeColor="text1"/>
        </w:rPr>
        <w:t>Ombori</w:t>
      </w:r>
      <w:proofErr w:type="spellEnd"/>
      <w:r w:rsidRPr="008C1C4E">
        <w:rPr>
          <w:rFonts w:ascii="Arial" w:hAnsi="Arial" w:cs="Arial"/>
          <w:color w:val="000000" w:themeColor="text1"/>
        </w:rPr>
        <w:t>, O. (2021). Prevalence and antimicrobial resistance profiles of Salmonella species and Escherichia coli isolates from poultry feeds in Ruiru Sub-County, Kenya. </w:t>
      </w:r>
      <w:r w:rsidRPr="008C1C4E">
        <w:rPr>
          <w:rFonts w:ascii="Arial" w:hAnsi="Arial" w:cs="Arial"/>
          <w:i/>
          <w:iCs/>
          <w:color w:val="000000" w:themeColor="text1"/>
        </w:rPr>
        <w:t>BMC research notes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 41. </w:t>
      </w:r>
      <w:hyperlink r:id="rId23" w:history="1">
        <w:r w:rsidRPr="008C1C4E">
          <w:rPr>
            <w:rStyle w:val="Hyperlink"/>
            <w:rFonts w:ascii="Arial" w:hAnsi="Arial" w:cs="Arial"/>
            <w:color w:val="000000" w:themeColor="text1"/>
          </w:rPr>
          <w:t>https://doi.org/10.1186/s13104-021-05456-4</w:t>
        </w:r>
      </w:hyperlink>
    </w:p>
    <w:p w14:paraId="4F32DF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Kariuk</w:t>
      </w:r>
      <w:r w:rsidR="00F84772" w:rsidRPr="008C1C4E">
        <w:rPr>
          <w:rFonts w:ascii="Arial" w:hAnsi="Arial" w:cs="Arial"/>
          <w:color w:val="000000" w:themeColor="text1"/>
        </w:rPr>
        <w:t>i</w:t>
      </w:r>
      <w:r w:rsidRPr="008C1C4E">
        <w:rPr>
          <w:rFonts w:ascii="Arial" w:hAnsi="Arial" w:cs="Arial"/>
          <w:color w:val="000000" w:themeColor="text1"/>
        </w:rPr>
        <w:t>, J. (2019). </w:t>
      </w:r>
      <w:r w:rsidRPr="008C1C4E">
        <w:rPr>
          <w:rFonts w:ascii="Arial" w:hAnsi="Arial" w:cs="Arial"/>
          <w:i/>
          <w:iCs/>
          <w:color w:val="000000" w:themeColor="text1"/>
        </w:rPr>
        <w:t xml:space="preserve">Prevalence, Antimicrobial Usage </w:t>
      </w:r>
      <w:proofErr w:type="gramStart"/>
      <w:r w:rsidRPr="008C1C4E">
        <w:rPr>
          <w:rFonts w:ascii="Arial" w:hAnsi="Arial" w:cs="Arial"/>
          <w:i/>
          <w:iCs/>
          <w:color w:val="000000" w:themeColor="text1"/>
        </w:rPr>
        <w:t>And</w:t>
      </w:r>
      <w:proofErr w:type="gramEnd"/>
      <w:r w:rsidRPr="008C1C4E">
        <w:rPr>
          <w:rFonts w:ascii="Arial" w:hAnsi="Arial" w:cs="Arial"/>
          <w:i/>
          <w:iCs/>
          <w:color w:val="000000" w:themeColor="text1"/>
        </w:rPr>
        <w:t xml:space="preserve"> Resistance Profiles Of Campylobacter In Commercial Broiler Production Systems In Kenya</w:t>
      </w:r>
      <w:r w:rsidRPr="008C1C4E">
        <w:rPr>
          <w:rFonts w:ascii="Arial" w:hAnsi="Arial" w:cs="Arial"/>
          <w:color w:val="000000" w:themeColor="text1"/>
        </w:rPr>
        <w:t xml:space="preserve"> (Doctoral dissertation, University of Nairobi). </w:t>
      </w:r>
      <w:hyperlink r:id="rId24" w:history="1">
        <w:r w:rsidRPr="008C1C4E">
          <w:rPr>
            <w:rStyle w:val="Hyperlink"/>
            <w:rFonts w:ascii="Arial" w:hAnsi="Arial" w:cs="Arial"/>
            <w:color w:val="000000" w:themeColor="text1"/>
          </w:rPr>
          <w:t>http://erepository.uonbi.ac.ke/handle/11295/153074</w:t>
        </w:r>
      </w:hyperlink>
    </w:p>
    <w:p w14:paraId="6DB0510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McEwen, S. A., and Collignon, P. J. (2018). Antimicrobial resistance: a one health perspective. </w:t>
      </w:r>
      <w:r w:rsidRPr="008C1C4E">
        <w:rPr>
          <w:rFonts w:ascii="Arial" w:hAnsi="Arial" w:cs="Arial"/>
          <w:i/>
          <w:iCs/>
          <w:color w:val="000000" w:themeColor="text1"/>
        </w:rPr>
        <w:t>Antimicrobial resistance in bacteria from livestock and companion animals</w:t>
      </w:r>
      <w:r w:rsidRPr="008C1C4E">
        <w:rPr>
          <w:rFonts w:ascii="Arial" w:hAnsi="Arial" w:cs="Arial"/>
          <w:color w:val="000000" w:themeColor="text1"/>
        </w:rPr>
        <w:t xml:space="preserve">, 521-547. </w:t>
      </w:r>
      <w:hyperlink r:id="rId25" w:history="1">
        <w:r w:rsidRPr="008C1C4E">
          <w:rPr>
            <w:rStyle w:val="Hyperlink"/>
            <w:rFonts w:ascii="Arial" w:hAnsi="Arial" w:cs="Arial"/>
            <w:color w:val="000000" w:themeColor="text1"/>
          </w:rPr>
          <w:t>https://doi.org/10.1128/microbiolspec.arba-0009-2017</w:t>
        </w:r>
      </w:hyperlink>
    </w:p>
    <w:p w14:paraId="20212348"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Ndukui</w:t>
      </w:r>
      <w:proofErr w:type="spellEnd"/>
      <w:r w:rsidRPr="008C1C4E">
        <w:rPr>
          <w:rFonts w:ascii="Arial" w:hAnsi="Arial" w:cs="Arial"/>
          <w:color w:val="000000" w:themeColor="text1"/>
        </w:rPr>
        <w:t>, J. G. (2021). </w:t>
      </w:r>
      <w:r w:rsidRPr="008C1C4E">
        <w:rPr>
          <w:rFonts w:ascii="Arial" w:hAnsi="Arial" w:cs="Arial"/>
          <w:i/>
          <w:iCs/>
          <w:color w:val="000000" w:themeColor="text1"/>
        </w:rPr>
        <w:t xml:space="preserve">Determinants of Antimicrobial Use, and Their Resistance Patterns of Selected Enterobacteriaceae Isolated </w:t>
      </w:r>
      <w:proofErr w:type="gramStart"/>
      <w:r w:rsidRPr="008C1C4E">
        <w:rPr>
          <w:rFonts w:ascii="Arial" w:hAnsi="Arial" w:cs="Arial"/>
          <w:i/>
          <w:iCs/>
          <w:color w:val="000000" w:themeColor="text1"/>
        </w:rPr>
        <w:t>From</w:t>
      </w:r>
      <w:proofErr w:type="gramEnd"/>
      <w:r w:rsidRPr="008C1C4E">
        <w:rPr>
          <w:rFonts w:ascii="Arial" w:hAnsi="Arial" w:cs="Arial"/>
          <w:i/>
          <w:iCs/>
          <w:color w:val="000000" w:themeColor="text1"/>
        </w:rPr>
        <w:t xml:space="preserve"> Commercial Poultry Production Systems in Kiambu County, Kenya</w:t>
      </w:r>
      <w:r w:rsidRPr="008C1C4E">
        <w:rPr>
          <w:rFonts w:ascii="Arial" w:hAnsi="Arial" w:cs="Arial"/>
          <w:color w:val="000000" w:themeColor="text1"/>
        </w:rPr>
        <w:t xml:space="preserve"> (Doctoral dissertation, University of Nairobi). </w:t>
      </w:r>
      <w:hyperlink r:id="rId26" w:history="1">
        <w:r w:rsidRPr="008C1C4E">
          <w:rPr>
            <w:rStyle w:val="Hyperlink"/>
            <w:rFonts w:ascii="Arial" w:hAnsi="Arial" w:cs="Arial"/>
            <w:color w:val="000000" w:themeColor="text1"/>
          </w:rPr>
          <w:t>http://erepository.uonbi.ac.ke/handle/11295/157119</w:t>
        </w:r>
      </w:hyperlink>
    </w:p>
    <w:p w14:paraId="32533B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Kariuki, J. W., Jacobs, J., </w:t>
      </w:r>
      <w:proofErr w:type="spellStart"/>
      <w:r w:rsidRPr="008C1C4E">
        <w:rPr>
          <w:rFonts w:ascii="Arial" w:hAnsi="Arial" w:cs="Arial"/>
          <w:color w:val="000000" w:themeColor="text1"/>
        </w:rPr>
        <w:t>Ngogang</w:t>
      </w:r>
      <w:proofErr w:type="spellEnd"/>
      <w:r w:rsidRPr="008C1C4E">
        <w:rPr>
          <w:rFonts w:ascii="Arial" w:hAnsi="Arial" w:cs="Arial"/>
          <w:color w:val="000000" w:themeColor="text1"/>
        </w:rPr>
        <w:t>, M. P., and Howland, O. (2023). Antibiotic use by poultry farmers in Kiambu County, Kenya: exploring practices and drivers of potential overuse. </w:t>
      </w:r>
      <w:r w:rsidRPr="008C1C4E">
        <w:rPr>
          <w:rFonts w:ascii="Arial" w:hAnsi="Arial" w:cs="Arial"/>
          <w:i/>
          <w:iCs/>
          <w:color w:val="000000" w:themeColor="text1"/>
        </w:rPr>
        <w:t>Antimicrobial Resistance &amp; Infection Control</w:t>
      </w:r>
      <w:r w:rsidRPr="008C1C4E">
        <w:rPr>
          <w:rFonts w:ascii="Arial" w:hAnsi="Arial" w:cs="Arial"/>
          <w:color w:val="000000" w:themeColor="text1"/>
        </w:rPr>
        <w:t>, </w:t>
      </w:r>
      <w:r w:rsidRPr="008C1C4E">
        <w:rPr>
          <w:rFonts w:ascii="Arial" w:hAnsi="Arial" w:cs="Arial"/>
          <w:i/>
          <w:iCs/>
          <w:color w:val="000000" w:themeColor="text1"/>
        </w:rPr>
        <w:t>12</w:t>
      </w:r>
      <w:r w:rsidRPr="008C1C4E">
        <w:rPr>
          <w:rFonts w:ascii="Arial" w:hAnsi="Arial" w:cs="Arial"/>
          <w:color w:val="000000" w:themeColor="text1"/>
        </w:rPr>
        <w:t xml:space="preserve">(1), 3. </w:t>
      </w:r>
      <w:hyperlink r:id="rId27" w:history="1">
        <w:r w:rsidRPr="008C1C4E">
          <w:rPr>
            <w:rStyle w:val="Hyperlink"/>
            <w:rFonts w:ascii="Arial" w:hAnsi="Arial" w:cs="Arial"/>
            <w:color w:val="000000" w:themeColor="text1"/>
          </w:rPr>
          <w:t>https://doi.org/10.1186/s13756-022-01202-y</w:t>
        </w:r>
      </w:hyperlink>
    </w:p>
    <w:p w14:paraId="3E19B0E2"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Mutua, F., Kiarie, G., Mbatha, M., </w:t>
      </w:r>
      <w:proofErr w:type="spellStart"/>
      <w:r w:rsidRPr="008C1C4E">
        <w:rPr>
          <w:rFonts w:ascii="Arial" w:hAnsi="Arial" w:cs="Arial"/>
          <w:color w:val="000000" w:themeColor="text1"/>
        </w:rPr>
        <w:t>Onono</w:t>
      </w:r>
      <w:proofErr w:type="spellEnd"/>
      <w:r w:rsidRPr="008C1C4E">
        <w:rPr>
          <w:rFonts w:ascii="Arial" w:hAnsi="Arial" w:cs="Arial"/>
          <w:color w:val="000000" w:themeColor="text1"/>
        </w:rPr>
        <w:t xml:space="preserve">, J., </w:t>
      </w:r>
      <w:proofErr w:type="spellStart"/>
      <w:r w:rsidRPr="008C1C4E">
        <w:rPr>
          <w:rFonts w:ascii="Arial" w:hAnsi="Arial" w:cs="Arial"/>
          <w:color w:val="000000" w:themeColor="text1"/>
        </w:rPr>
        <w:t>Boqvist</w:t>
      </w:r>
      <w:proofErr w:type="spellEnd"/>
      <w:r w:rsidRPr="008C1C4E">
        <w:rPr>
          <w:rFonts w:ascii="Arial" w:hAnsi="Arial" w:cs="Arial"/>
          <w:color w:val="000000" w:themeColor="text1"/>
        </w:rPr>
        <w:t>, S., Kilonzi, E., et al. (2023). Antimicrobial use by Peri-urban poultry smallholders of Kajiado and Machakos counties in Kenya. </w:t>
      </w:r>
      <w:r w:rsidRPr="008C1C4E">
        <w:rPr>
          <w:rFonts w:ascii="Arial" w:hAnsi="Arial" w:cs="Arial"/>
          <w:i/>
          <w:iCs/>
          <w:color w:val="000000" w:themeColor="text1"/>
        </w:rPr>
        <w:t>Antibiotics</w:t>
      </w:r>
      <w:r w:rsidRPr="008C1C4E">
        <w:rPr>
          <w:rFonts w:ascii="Arial" w:hAnsi="Arial" w:cs="Arial"/>
          <w:color w:val="000000" w:themeColor="text1"/>
        </w:rPr>
        <w:t>, </w:t>
      </w:r>
      <w:r w:rsidRPr="008C1C4E">
        <w:rPr>
          <w:rFonts w:ascii="Arial" w:hAnsi="Arial" w:cs="Arial"/>
          <w:i/>
          <w:iCs/>
          <w:color w:val="000000" w:themeColor="text1"/>
        </w:rPr>
        <w:t>12</w:t>
      </w:r>
      <w:r w:rsidRPr="008C1C4E">
        <w:rPr>
          <w:rFonts w:ascii="Arial" w:hAnsi="Arial" w:cs="Arial"/>
          <w:color w:val="000000" w:themeColor="text1"/>
        </w:rPr>
        <w:t xml:space="preserve">(5), 905. </w:t>
      </w:r>
      <w:hyperlink r:id="rId28" w:history="1">
        <w:r w:rsidRPr="008C1C4E">
          <w:rPr>
            <w:rStyle w:val="Hyperlink"/>
            <w:rFonts w:ascii="Arial" w:hAnsi="Arial" w:cs="Arial"/>
            <w:color w:val="000000" w:themeColor="text1"/>
          </w:rPr>
          <w:t>https://doi.org/10.3390/antibiotics12050905</w:t>
        </w:r>
      </w:hyperlink>
    </w:p>
    <w:p w14:paraId="7AA3B43A"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Varilla, C., Marcone, M., Paiva, L., and Baptista, J. (2021). Bromelain, a group of pineapple proteolytic complex enzymes (Ananas comosus) and their possible therapeutic and clinical effects. A summary. </w:t>
      </w:r>
      <w:r w:rsidRPr="008C1C4E">
        <w:rPr>
          <w:rFonts w:ascii="Arial" w:hAnsi="Arial" w:cs="Arial"/>
          <w:i/>
          <w:iCs/>
          <w:color w:val="000000" w:themeColor="text1"/>
        </w:rPr>
        <w:t>Foods</w:t>
      </w:r>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(10), 2249. </w:t>
      </w:r>
      <w:hyperlink r:id="rId29" w:history="1">
        <w:r w:rsidRPr="008C1C4E">
          <w:rPr>
            <w:rStyle w:val="Hyperlink"/>
            <w:rFonts w:ascii="Arial" w:hAnsi="Arial" w:cs="Arial"/>
            <w:color w:val="000000" w:themeColor="text1"/>
          </w:rPr>
          <w:t>https://doi.org/10.3390/foods10102249</w:t>
        </w:r>
      </w:hyperlink>
    </w:p>
    <w:p w14:paraId="75460503"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Hikisz</w:t>
      </w:r>
      <w:proofErr w:type="spellEnd"/>
      <w:r w:rsidRPr="008C1C4E">
        <w:rPr>
          <w:rFonts w:ascii="Arial" w:hAnsi="Arial" w:cs="Arial"/>
          <w:color w:val="000000" w:themeColor="text1"/>
        </w:rPr>
        <w:t xml:space="preserve">, P., and </w:t>
      </w:r>
      <w:proofErr w:type="spellStart"/>
      <w:r w:rsidRPr="008C1C4E">
        <w:rPr>
          <w:rFonts w:ascii="Arial" w:hAnsi="Arial" w:cs="Arial"/>
          <w:color w:val="000000" w:themeColor="text1"/>
        </w:rPr>
        <w:t>Bernasinska-Slomczewska</w:t>
      </w:r>
      <w:proofErr w:type="spellEnd"/>
      <w:r w:rsidRPr="008C1C4E">
        <w:rPr>
          <w:rFonts w:ascii="Arial" w:hAnsi="Arial" w:cs="Arial"/>
          <w:color w:val="000000" w:themeColor="text1"/>
        </w:rPr>
        <w:t>, J. (2021). Beneficial properties of bromelain. </w:t>
      </w:r>
      <w:r w:rsidRPr="008C1C4E">
        <w:rPr>
          <w:rFonts w:ascii="Arial" w:hAnsi="Arial" w:cs="Arial"/>
          <w:i/>
          <w:iCs/>
          <w:color w:val="000000" w:themeColor="text1"/>
        </w:rPr>
        <w:t>Nutrients</w:t>
      </w:r>
      <w:r w:rsidRPr="008C1C4E">
        <w:rPr>
          <w:rFonts w:ascii="Arial" w:hAnsi="Arial" w:cs="Arial"/>
          <w:color w:val="000000" w:themeColor="text1"/>
        </w:rPr>
        <w:t>, </w:t>
      </w:r>
      <w:r w:rsidRPr="008C1C4E">
        <w:rPr>
          <w:rFonts w:ascii="Arial" w:hAnsi="Arial" w:cs="Arial"/>
          <w:i/>
          <w:iCs/>
          <w:color w:val="000000" w:themeColor="text1"/>
        </w:rPr>
        <w:t>13</w:t>
      </w:r>
      <w:r w:rsidRPr="008C1C4E">
        <w:rPr>
          <w:rFonts w:ascii="Arial" w:hAnsi="Arial" w:cs="Arial"/>
          <w:color w:val="000000" w:themeColor="text1"/>
        </w:rPr>
        <w:t xml:space="preserve">(12), 4313. </w:t>
      </w:r>
      <w:hyperlink r:id="rId30" w:history="1">
        <w:r w:rsidRPr="008C1C4E">
          <w:rPr>
            <w:rStyle w:val="Hyperlink"/>
            <w:rFonts w:ascii="Arial" w:hAnsi="Arial" w:cs="Arial"/>
            <w:color w:val="000000" w:themeColor="text1"/>
          </w:rPr>
          <w:t>https://doi.org/10.3390/nu13124313</w:t>
        </w:r>
      </w:hyperlink>
    </w:p>
    <w:p w14:paraId="1A3B2C51" w14:textId="77777777" w:rsidR="00B066AF" w:rsidRPr="008C1C4E" w:rsidRDefault="00B066AF" w:rsidP="00010F64">
      <w:pPr>
        <w:pStyle w:val="Body"/>
        <w:spacing w:after="120"/>
        <w:rPr>
          <w:rFonts w:ascii="Arial" w:hAnsi="Arial" w:cs="Arial"/>
          <w:color w:val="000000" w:themeColor="text1"/>
          <w:u w:val="single"/>
        </w:rPr>
      </w:pPr>
      <w:r w:rsidRPr="008C1C4E">
        <w:rPr>
          <w:rFonts w:ascii="Arial" w:hAnsi="Arial" w:cs="Arial"/>
          <w:color w:val="000000" w:themeColor="text1"/>
          <w:u w:val="single"/>
        </w:rPr>
        <w:t>Daiba, A. R., Kagira, J</w:t>
      </w:r>
      <w:r w:rsidR="00F84772" w:rsidRPr="008C1C4E">
        <w:rPr>
          <w:rFonts w:ascii="Arial" w:hAnsi="Arial" w:cs="Arial"/>
          <w:color w:val="000000" w:themeColor="text1"/>
          <w:u w:val="single"/>
        </w:rPr>
        <w:t>. M., Ngotho, M., Kimotho, J., and</w:t>
      </w:r>
      <w:r w:rsidRPr="008C1C4E">
        <w:rPr>
          <w:rFonts w:ascii="Arial" w:hAnsi="Arial" w:cs="Arial"/>
          <w:color w:val="000000" w:themeColor="text1"/>
          <w:u w:val="single"/>
        </w:rPr>
        <w:t xml:space="preserve"> Maina, N. (2022). In vitro anticoccidial activity of </w:t>
      </w:r>
      <w:proofErr w:type="spellStart"/>
      <w:r w:rsidRPr="008C1C4E">
        <w:rPr>
          <w:rFonts w:ascii="Arial" w:hAnsi="Arial" w:cs="Arial"/>
          <w:color w:val="000000" w:themeColor="text1"/>
          <w:u w:val="single"/>
        </w:rPr>
        <w:t>nanoencapsulated</w:t>
      </w:r>
      <w:proofErr w:type="spellEnd"/>
      <w:r w:rsidRPr="008C1C4E">
        <w:rPr>
          <w:rFonts w:ascii="Arial" w:hAnsi="Arial" w:cs="Arial"/>
          <w:color w:val="000000" w:themeColor="text1"/>
          <w:u w:val="single"/>
        </w:rPr>
        <w:t xml:space="preserve"> bromelain against Eimeria spp. oocysts isolated from goats in Kenya. </w:t>
      </w:r>
      <w:r w:rsidRPr="008C1C4E">
        <w:rPr>
          <w:rFonts w:ascii="Arial" w:hAnsi="Arial" w:cs="Arial"/>
          <w:i/>
          <w:iCs/>
          <w:color w:val="000000" w:themeColor="text1"/>
          <w:u w:val="single"/>
        </w:rPr>
        <w:t>Veterinary World</w:t>
      </w:r>
      <w:r w:rsidRPr="008C1C4E">
        <w:rPr>
          <w:rFonts w:ascii="Arial" w:hAnsi="Arial" w:cs="Arial"/>
          <w:color w:val="000000" w:themeColor="text1"/>
          <w:u w:val="single"/>
        </w:rPr>
        <w:t>, </w:t>
      </w:r>
      <w:r w:rsidRPr="008C1C4E">
        <w:rPr>
          <w:rFonts w:ascii="Arial" w:hAnsi="Arial" w:cs="Arial"/>
          <w:i/>
          <w:iCs/>
          <w:color w:val="000000" w:themeColor="text1"/>
          <w:u w:val="single"/>
        </w:rPr>
        <w:t>15</w:t>
      </w:r>
      <w:r w:rsidRPr="008C1C4E">
        <w:rPr>
          <w:rFonts w:ascii="Arial" w:hAnsi="Arial" w:cs="Arial"/>
          <w:color w:val="000000" w:themeColor="text1"/>
          <w:u w:val="single"/>
        </w:rPr>
        <w:t xml:space="preserve">(2), 397. </w:t>
      </w:r>
      <w:hyperlink r:id="rId31" w:history="1">
        <w:r w:rsidRPr="008C1C4E">
          <w:rPr>
            <w:rStyle w:val="Hyperlink"/>
            <w:rFonts w:ascii="Arial" w:hAnsi="Arial" w:cs="Arial"/>
            <w:color w:val="000000" w:themeColor="text1"/>
          </w:rPr>
          <w:t>https://doi.org/10.14202/vetworld.2022.397-402</w:t>
        </w:r>
      </w:hyperlink>
    </w:p>
    <w:p w14:paraId="6B1FEC60"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Kumar, V., Mangla, B., Javed, S., Ahsan, W., Kumar, P., Garg, V., et al. (2023). Bromelain: A review of its mechanisms, pharmacological effects and potential applications. </w:t>
      </w:r>
      <w:r w:rsidRPr="008C1C4E">
        <w:rPr>
          <w:rFonts w:ascii="Arial" w:hAnsi="Arial" w:cs="Arial"/>
          <w:i/>
          <w:iCs/>
          <w:color w:val="000000" w:themeColor="text1"/>
        </w:rPr>
        <w:t>Food and function</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(18), 8101-8128. </w:t>
      </w:r>
      <w:hyperlink r:id="rId32" w:history="1">
        <w:r w:rsidRPr="008C1C4E">
          <w:rPr>
            <w:rStyle w:val="Hyperlink"/>
            <w:rFonts w:ascii="Arial" w:hAnsi="Arial" w:cs="Arial"/>
            <w:color w:val="000000" w:themeColor="text1"/>
          </w:rPr>
          <w:t>http://dx.doi.org/10.1039/D3FO01060K</w:t>
        </w:r>
      </w:hyperlink>
    </w:p>
    <w:p w14:paraId="42BC0D9F"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Lagat, M. K. (2022). </w:t>
      </w:r>
      <w:r w:rsidRPr="008C1C4E">
        <w:rPr>
          <w:rFonts w:ascii="Arial" w:hAnsi="Arial" w:cs="Arial"/>
          <w:i/>
          <w:iCs/>
          <w:color w:val="000000" w:themeColor="text1"/>
        </w:rPr>
        <w:t>Biological and chemical extraction of chitin and chitosan from the black soldier fly (</w:t>
      </w:r>
      <w:proofErr w:type="spellStart"/>
      <w:r w:rsidRPr="008C1C4E">
        <w:rPr>
          <w:rFonts w:ascii="Arial" w:hAnsi="Arial" w:cs="Arial"/>
          <w:i/>
          <w:iCs/>
          <w:color w:val="000000" w:themeColor="text1"/>
        </w:rPr>
        <w:t>Hermetia</w:t>
      </w:r>
      <w:proofErr w:type="spellEnd"/>
      <w:r w:rsidRPr="008C1C4E">
        <w:rPr>
          <w:rFonts w:ascii="Arial" w:hAnsi="Arial" w:cs="Arial"/>
          <w:i/>
          <w:iCs/>
          <w:color w:val="000000" w:themeColor="text1"/>
        </w:rPr>
        <w:t xml:space="preserve"> </w:t>
      </w:r>
      <w:proofErr w:type="spellStart"/>
      <w:r w:rsidRPr="008C1C4E">
        <w:rPr>
          <w:rFonts w:ascii="Arial" w:hAnsi="Arial" w:cs="Arial"/>
          <w:i/>
          <w:iCs/>
          <w:color w:val="000000" w:themeColor="text1"/>
        </w:rPr>
        <w:t>illucens</w:t>
      </w:r>
      <w:proofErr w:type="spellEnd"/>
      <w:r w:rsidRPr="008C1C4E">
        <w:rPr>
          <w:rFonts w:ascii="Arial" w:hAnsi="Arial" w:cs="Arial"/>
          <w:i/>
          <w:iCs/>
          <w:color w:val="000000" w:themeColor="text1"/>
        </w:rPr>
        <w:t>) exoskeleton and antimicrobial activity against selected human pathogenic microbes</w:t>
      </w:r>
      <w:r w:rsidRPr="008C1C4E">
        <w:rPr>
          <w:rFonts w:ascii="Arial" w:hAnsi="Arial" w:cs="Arial"/>
          <w:color w:val="000000" w:themeColor="text1"/>
        </w:rPr>
        <w:t xml:space="preserve"> (Doctoral dissertation, JKUAT-COPAS). </w:t>
      </w:r>
      <w:hyperlink r:id="rId33" w:history="1">
        <w:r w:rsidRPr="008C1C4E">
          <w:rPr>
            <w:rStyle w:val="Hyperlink"/>
            <w:rFonts w:ascii="Arial" w:hAnsi="Arial" w:cs="Arial"/>
            <w:color w:val="000000" w:themeColor="text1"/>
          </w:rPr>
          <w:t>http://localhost/xmlui/handle/123456789/5993</w:t>
        </w:r>
      </w:hyperlink>
    </w:p>
    <w:p w14:paraId="43635238" w14:textId="77777777" w:rsidR="002A7916" w:rsidRPr="008C1C4E" w:rsidRDefault="00F84772" w:rsidP="00010F64">
      <w:pPr>
        <w:pStyle w:val="Body"/>
        <w:spacing w:after="120"/>
        <w:rPr>
          <w:rFonts w:ascii="Arial" w:hAnsi="Arial" w:cs="Arial"/>
          <w:color w:val="000000" w:themeColor="text1"/>
        </w:rPr>
      </w:pPr>
      <w:r w:rsidRPr="008C1C4E">
        <w:rPr>
          <w:rFonts w:ascii="Arial" w:hAnsi="Arial" w:cs="Arial"/>
          <w:color w:val="000000" w:themeColor="text1"/>
        </w:rPr>
        <w:t>Precious, M., John, K., and</w:t>
      </w:r>
      <w:r w:rsidR="002A7916" w:rsidRPr="008C1C4E">
        <w:rPr>
          <w:rFonts w:ascii="Arial" w:hAnsi="Arial" w:cs="Arial"/>
          <w:color w:val="000000" w:themeColor="text1"/>
        </w:rPr>
        <w:t xml:space="preserve"> Naomi, M. (2020). In Vitro Antimicrobial Activity of Nano-Encapsulated Bromelain against Bacteria Isolated from Milk of Dairy Goats with Sub-Clinical Mastitis in Thika East Sub-county, Kenya.</w:t>
      </w:r>
      <w:r w:rsidR="002A7916" w:rsidRPr="008C1C4E">
        <w:rPr>
          <w:rFonts w:ascii="Arial" w:hAnsi="Arial" w:cs="Arial"/>
          <w:i/>
          <w:iCs/>
          <w:color w:val="000000" w:themeColor="text1"/>
        </w:rPr>
        <w:t xml:space="preserve"> Kenya</w:t>
      </w:r>
      <w:r w:rsidR="002A7916" w:rsidRPr="008C1C4E">
        <w:rPr>
          <w:rFonts w:ascii="Arial" w:hAnsi="Arial" w:cs="Arial"/>
          <w:color w:val="000000" w:themeColor="text1"/>
        </w:rPr>
        <w:t xml:space="preserve">. </w:t>
      </w:r>
      <w:hyperlink r:id="rId34" w:history="1">
        <w:r w:rsidR="002A7916" w:rsidRPr="008C1C4E">
          <w:rPr>
            <w:rStyle w:val="Hyperlink"/>
            <w:rFonts w:ascii="Arial" w:hAnsi="Arial" w:cs="Arial"/>
            <w:color w:val="000000" w:themeColor="text1"/>
          </w:rPr>
          <w:t>http://dx.doi.org/10.9734/ajravs/2020/v3i2115</w:t>
        </w:r>
      </w:hyperlink>
    </w:p>
    <w:p w14:paraId="545616CB"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Polinarski</w:t>
      </w:r>
      <w:proofErr w:type="spellEnd"/>
      <w:r w:rsidRPr="008C1C4E">
        <w:rPr>
          <w:rFonts w:ascii="Arial" w:hAnsi="Arial" w:cs="Arial"/>
          <w:color w:val="000000" w:themeColor="text1"/>
        </w:rPr>
        <w:t>, M. A., Beal, A. L., Silva, F. E., Bernardi</w:t>
      </w:r>
      <w:r w:rsidRPr="008C1C4E">
        <w:rPr>
          <w:rFonts w:ascii="Cambria Math" w:hAnsi="Cambria Math" w:cs="Cambria Math"/>
          <w:color w:val="000000" w:themeColor="text1"/>
        </w:rPr>
        <w:t>‐</w:t>
      </w:r>
      <w:r w:rsidRPr="008C1C4E">
        <w:rPr>
          <w:rFonts w:ascii="Arial" w:hAnsi="Arial" w:cs="Arial"/>
          <w:color w:val="000000" w:themeColor="text1"/>
        </w:rPr>
        <w:t>Wenzel, J., Burin, G. R., de Muniz, et al. (2021). New perspectives of using chitosan, silver, and chitosan–silver nanoparticles against multidrug</w:t>
      </w:r>
      <w:r w:rsidRPr="008C1C4E">
        <w:rPr>
          <w:rFonts w:ascii="Cambria Math" w:hAnsi="Cambria Math" w:cs="Cambria Math"/>
          <w:color w:val="000000" w:themeColor="text1"/>
        </w:rPr>
        <w:t>‐</w:t>
      </w:r>
      <w:r w:rsidRPr="008C1C4E">
        <w:rPr>
          <w:rFonts w:ascii="Arial" w:hAnsi="Arial" w:cs="Arial"/>
          <w:color w:val="000000" w:themeColor="text1"/>
        </w:rPr>
        <w:t>resistant bacteria. </w:t>
      </w:r>
      <w:r w:rsidRPr="008C1C4E">
        <w:rPr>
          <w:rFonts w:ascii="Arial" w:hAnsi="Arial" w:cs="Arial"/>
          <w:i/>
          <w:iCs/>
          <w:color w:val="000000" w:themeColor="text1"/>
        </w:rPr>
        <w:t>Particle &amp; Particle Systems Characterization</w:t>
      </w:r>
      <w:r w:rsidRPr="008C1C4E">
        <w:rPr>
          <w:rFonts w:ascii="Arial" w:hAnsi="Arial" w:cs="Arial"/>
          <w:color w:val="000000" w:themeColor="text1"/>
        </w:rPr>
        <w:t>, </w:t>
      </w:r>
      <w:r w:rsidRPr="008C1C4E">
        <w:rPr>
          <w:rFonts w:ascii="Arial" w:hAnsi="Arial" w:cs="Arial"/>
          <w:i/>
          <w:iCs/>
          <w:color w:val="000000" w:themeColor="text1"/>
        </w:rPr>
        <w:t>38</w:t>
      </w:r>
      <w:r w:rsidRPr="008C1C4E">
        <w:rPr>
          <w:rFonts w:ascii="Arial" w:hAnsi="Arial" w:cs="Arial"/>
          <w:color w:val="000000" w:themeColor="text1"/>
        </w:rPr>
        <w:t xml:space="preserve">(4), 2100009. </w:t>
      </w:r>
      <w:hyperlink r:id="rId35" w:history="1">
        <w:r w:rsidRPr="008C1C4E">
          <w:rPr>
            <w:rStyle w:val="Hyperlink"/>
            <w:rFonts w:ascii="Arial" w:hAnsi="Arial" w:cs="Arial"/>
            <w:color w:val="000000" w:themeColor="text1"/>
          </w:rPr>
          <w:t>https://doi.org/10.3390/polym15204130</w:t>
        </w:r>
      </w:hyperlink>
    </w:p>
    <w:p w14:paraId="05B54B88"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Thrusfield</w:t>
      </w:r>
      <w:proofErr w:type="spellEnd"/>
      <w:r w:rsidRPr="008C1C4E">
        <w:rPr>
          <w:rFonts w:ascii="Arial" w:hAnsi="Arial" w:cs="Arial"/>
          <w:color w:val="000000" w:themeColor="text1"/>
        </w:rPr>
        <w:t xml:space="preserve"> M., 2007. Veterinary epidemiology. 3rd ed., Blackwell Science, pp 228-288. Doi:10.12691/ajmr-5-5-1</w:t>
      </w:r>
    </w:p>
    <w:p w14:paraId="171F557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Papadopoulou C, </w:t>
      </w:r>
      <w:proofErr w:type="spellStart"/>
      <w:r w:rsidRPr="008C1C4E">
        <w:rPr>
          <w:rFonts w:ascii="Arial" w:hAnsi="Arial" w:cs="Arial"/>
          <w:color w:val="000000" w:themeColor="text1"/>
        </w:rPr>
        <w:t>Dimitriou</w:t>
      </w:r>
      <w:proofErr w:type="spellEnd"/>
      <w:r w:rsidRPr="008C1C4E">
        <w:rPr>
          <w:rFonts w:ascii="Arial" w:hAnsi="Arial" w:cs="Arial"/>
          <w:color w:val="000000" w:themeColor="text1"/>
        </w:rPr>
        <w:t xml:space="preserve"> D, </w:t>
      </w:r>
      <w:proofErr w:type="spellStart"/>
      <w:r w:rsidRPr="008C1C4E">
        <w:rPr>
          <w:rFonts w:ascii="Arial" w:hAnsi="Arial" w:cs="Arial"/>
          <w:color w:val="000000" w:themeColor="text1"/>
        </w:rPr>
        <w:t>Levidiotou</w:t>
      </w:r>
      <w:proofErr w:type="spellEnd"/>
      <w:r w:rsidRPr="008C1C4E">
        <w:rPr>
          <w:rFonts w:ascii="Arial" w:hAnsi="Arial" w:cs="Arial"/>
          <w:color w:val="000000" w:themeColor="text1"/>
        </w:rPr>
        <w:t xml:space="preserve"> S, </w:t>
      </w:r>
      <w:proofErr w:type="spellStart"/>
      <w:r w:rsidRPr="008C1C4E">
        <w:rPr>
          <w:rFonts w:ascii="Arial" w:hAnsi="Arial" w:cs="Arial"/>
          <w:color w:val="000000" w:themeColor="text1"/>
        </w:rPr>
        <w:t>Gessouli</w:t>
      </w:r>
      <w:proofErr w:type="spellEnd"/>
      <w:r w:rsidRPr="008C1C4E">
        <w:rPr>
          <w:rFonts w:ascii="Arial" w:hAnsi="Arial" w:cs="Arial"/>
          <w:color w:val="000000" w:themeColor="text1"/>
        </w:rPr>
        <w:t xml:space="preserve"> H, </w:t>
      </w:r>
      <w:proofErr w:type="spellStart"/>
      <w:r w:rsidRPr="008C1C4E">
        <w:rPr>
          <w:rFonts w:ascii="Arial" w:hAnsi="Arial" w:cs="Arial"/>
          <w:color w:val="000000" w:themeColor="text1"/>
        </w:rPr>
        <w:t>Panagiou</w:t>
      </w:r>
      <w:proofErr w:type="spellEnd"/>
      <w:r w:rsidRPr="008C1C4E">
        <w:rPr>
          <w:rFonts w:ascii="Arial" w:hAnsi="Arial" w:cs="Arial"/>
          <w:color w:val="000000" w:themeColor="text1"/>
        </w:rPr>
        <w:t xml:space="preserve"> A, </w:t>
      </w:r>
      <w:proofErr w:type="spellStart"/>
      <w:r w:rsidRPr="008C1C4E">
        <w:rPr>
          <w:rFonts w:ascii="Arial" w:hAnsi="Arial" w:cs="Arial"/>
          <w:color w:val="000000" w:themeColor="text1"/>
        </w:rPr>
        <w:t>Golegou</w:t>
      </w:r>
      <w:proofErr w:type="spellEnd"/>
      <w:r w:rsidRPr="008C1C4E">
        <w:rPr>
          <w:rFonts w:ascii="Arial" w:hAnsi="Arial" w:cs="Arial"/>
          <w:color w:val="000000" w:themeColor="text1"/>
        </w:rPr>
        <w:t xml:space="preserve"> S, et al. (1997): Bacterial strains isolated from eggs and their resistance to currently used antibiotics: is there a health hazard for consumers? Comp Immunol Microbiol Infect Dis 20: 35-40 </w:t>
      </w:r>
      <w:hyperlink r:id="rId36" w:history="1">
        <w:r w:rsidRPr="008C1C4E">
          <w:rPr>
            <w:rStyle w:val="Hyperlink"/>
            <w:rFonts w:ascii="Arial" w:hAnsi="Arial" w:cs="Arial"/>
            <w:color w:val="000000" w:themeColor="text1"/>
          </w:rPr>
          <w:t>https://doi.org/10.1016/S0147-9571(96)00024-0</w:t>
        </w:r>
      </w:hyperlink>
    </w:p>
    <w:p w14:paraId="281E340F"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lastRenderedPageBreak/>
        <w:t xml:space="preserve">CLSI., 2024: Performance Standards for Antimicrobial Susceptibility Testing: CLSI supplement M100s; Clinical; and Laboratory Standards Institute: Wayne, PA, USA. </w:t>
      </w:r>
      <w:hyperlink r:id="rId37" w:history="1">
        <w:r w:rsidRPr="008C1C4E">
          <w:rPr>
            <w:rStyle w:val="Hyperlink"/>
            <w:rFonts w:ascii="Arial" w:hAnsi="Arial" w:cs="Arial"/>
            <w:color w:val="000000" w:themeColor="text1"/>
          </w:rPr>
          <w:t>https://www.darvashco.com/wp-content/uploads/2024/07/CLSI-2024_compressed-1.pdf</w:t>
        </w:r>
      </w:hyperlink>
      <w:r w:rsidRPr="008C1C4E">
        <w:rPr>
          <w:rFonts w:ascii="Arial" w:hAnsi="Arial" w:cs="Arial"/>
          <w:color w:val="000000" w:themeColor="text1"/>
        </w:rPr>
        <w:t>. Accessed on 14</w:t>
      </w:r>
      <w:r w:rsidRPr="008C1C4E">
        <w:rPr>
          <w:rFonts w:ascii="Arial" w:hAnsi="Arial" w:cs="Arial"/>
          <w:color w:val="000000" w:themeColor="text1"/>
          <w:vertAlign w:val="superscript"/>
        </w:rPr>
        <w:t>th</w:t>
      </w:r>
      <w:r w:rsidRPr="008C1C4E">
        <w:rPr>
          <w:rFonts w:ascii="Arial" w:hAnsi="Arial" w:cs="Arial"/>
          <w:color w:val="000000" w:themeColor="text1"/>
        </w:rPr>
        <w:t xml:space="preserve"> June, 2025</w:t>
      </w:r>
    </w:p>
    <w:p w14:paraId="29BFF30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Peng, T. H., Wei, L. K., Chiang, E. C. W., and Yoon, M. S. O. (2022). Antibacterial properties of chitosan isolated from the black soldier fly, </w:t>
      </w:r>
      <w:proofErr w:type="spellStart"/>
      <w:r w:rsidRPr="008C1C4E">
        <w:rPr>
          <w:rFonts w:ascii="Arial" w:hAnsi="Arial" w:cs="Arial"/>
          <w:color w:val="000000" w:themeColor="text1"/>
        </w:rPr>
        <w:t>Hermetia</w:t>
      </w:r>
      <w:proofErr w:type="spellEnd"/>
      <w:r w:rsidRPr="008C1C4E">
        <w:rPr>
          <w:rFonts w:ascii="Arial" w:hAnsi="Arial" w:cs="Arial"/>
          <w:color w:val="000000" w:themeColor="text1"/>
        </w:rPr>
        <w:t xml:space="preserve"> </w:t>
      </w:r>
      <w:proofErr w:type="spellStart"/>
      <w:r w:rsidRPr="008C1C4E">
        <w:rPr>
          <w:rFonts w:ascii="Arial" w:hAnsi="Arial" w:cs="Arial"/>
          <w:color w:val="000000" w:themeColor="text1"/>
        </w:rPr>
        <w:t>illucens</w:t>
      </w:r>
      <w:proofErr w:type="spellEnd"/>
      <w:r w:rsidRPr="008C1C4E">
        <w:rPr>
          <w:rFonts w:ascii="Arial" w:hAnsi="Arial" w:cs="Arial"/>
          <w:color w:val="000000" w:themeColor="text1"/>
        </w:rPr>
        <w:t>. </w:t>
      </w:r>
      <w:proofErr w:type="spellStart"/>
      <w:r w:rsidRPr="008C1C4E">
        <w:rPr>
          <w:rFonts w:ascii="Arial" w:hAnsi="Arial" w:cs="Arial"/>
          <w:i/>
          <w:iCs/>
          <w:color w:val="000000" w:themeColor="text1"/>
        </w:rPr>
        <w:t>Sains</w:t>
      </w:r>
      <w:proofErr w:type="spellEnd"/>
      <w:r w:rsidRPr="008C1C4E">
        <w:rPr>
          <w:rFonts w:ascii="Arial" w:hAnsi="Arial" w:cs="Arial"/>
          <w:i/>
          <w:iCs/>
          <w:color w:val="000000" w:themeColor="text1"/>
        </w:rPr>
        <w:t xml:space="preserve"> </w:t>
      </w:r>
      <w:proofErr w:type="spellStart"/>
      <w:r w:rsidRPr="008C1C4E">
        <w:rPr>
          <w:rFonts w:ascii="Arial" w:hAnsi="Arial" w:cs="Arial"/>
          <w:i/>
          <w:iCs/>
          <w:color w:val="000000" w:themeColor="text1"/>
        </w:rPr>
        <w:t>Malaysiana</w:t>
      </w:r>
      <w:proofErr w:type="spellEnd"/>
      <w:r w:rsidRPr="008C1C4E">
        <w:rPr>
          <w:rFonts w:ascii="Arial" w:hAnsi="Arial" w:cs="Arial"/>
          <w:color w:val="000000" w:themeColor="text1"/>
        </w:rPr>
        <w:t>, </w:t>
      </w:r>
      <w:r w:rsidRPr="008C1C4E">
        <w:rPr>
          <w:rFonts w:ascii="Arial" w:hAnsi="Arial" w:cs="Arial"/>
          <w:i/>
          <w:iCs/>
          <w:color w:val="000000" w:themeColor="text1"/>
        </w:rPr>
        <w:t>51</w:t>
      </w:r>
      <w:r w:rsidRPr="008C1C4E">
        <w:rPr>
          <w:rFonts w:ascii="Arial" w:hAnsi="Arial" w:cs="Arial"/>
          <w:color w:val="000000" w:themeColor="text1"/>
        </w:rPr>
        <w:t xml:space="preserve">(12), 3923-3935. </w:t>
      </w:r>
      <w:hyperlink r:id="rId38" w:history="1">
        <w:r w:rsidRPr="008C1C4E">
          <w:rPr>
            <w:rStyle w:val="Hyperlink"/>
            <w:rFonts w:ascii="Arial" w:hAnsi="Arial" w:cs="Arial"/>
            <w:color w:val="000000" w:themeColor="text1"/>
          </w:rPr>
          <w:t>http://doi.101088/17551315/1465/1/012018</w:t>
        </w:r>
      </w:hyperlink>
    </w:p>
    <w:p w14:paraId="43DB0346"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Borges, C. A., Tarlton, N. J., and Riley, L. W. (2019). Escherichia coli from commercial broiler and backyard chickens share sequence types, antimicrobial resistance profiles, and resistance genes with human extraintestinal pathogenic Escherichia coli. </w:t>
      </w:r>
      <w:r w:rsidRPr="008C1C4E">
        <w:rPr>
          <w:rFonts w:ascii="Arial" w:hAnsi="Arial" w:cs="Arial"/>
          <w:i/>
          <w:iCs/>
          <w:color w:val="000000" w:themeColor="text1"/>
        </w:rPr>
        <w:t>Foodborne Pathogens and Disease</w:t>
      </w:r>
      <w:r w:rsidRPr="008C1C4E">
        <w:rPr>
          <w:rFonts w:ascii="Arial" w:hAnsi="Arial" w:cs="Arial"/>
          <w:color w:val="000000" w:themeColor="text1"/>
        </w:rPr>
        <w:t>, </w:t>
      </w:r>
      <w:r w:rsidRPr="008C1C4E">
        <w:rPr>
          <w:rFonts w:ascii="Arial" w:hAnsi="Arial" w:cs="Arial"/>
          <w:i/>
          <w:iCs/>
          <w:color w:val="000000" w:themeColor="text1"/>
        </w:rPr>
        <w:t>16</w:t>
      </w:r>
      <w:r w:rsidRPr="008C1C4E">
        <w:rPr>
          <w:rFonts w:ascii="Arial" w:hAnsi="Arial" w:cs="Arial"/>
          <w:color w:val="000000" w:themeColor="text1"/>
        </w:rPr>
        <w:t xml:space="preserve">(12), 813-822. </w:t>
      </w:r>
      <w:hyperlink r:id="rId39" w:history="1">
        <w:r w:rsidRPr="008C1C4E">
          <w:rPr>
            <w:rStyle w:val="Hyperlink"/>
            <w:rFonts w:ascii="Arial" w:hAnsi="Arial" w:cs="Arial"/>
            <w:color w:val="000000" w:themeColor="text1"/>
          </w:rPr>
          <w:t>https://doi.org/10.1089/fpd.2019.2680</w:t>
        </w:r>
      </w:hyperlink>
    </w:p>
    <w:p w14:paraId="441962F4"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Rafiq, K., Sani, A. A., Hossain, M. T., Hossain, M. T., </w:t>
      </w:r>
      <w:proofErr w:type="spellStart"/>
      <w:r w:rsidRPr="008C1C4E">
        <w:rPr>
          <w:rFonts w:ascii="Arial" w:hAnsi="Arial" w:cs="Arial"/>
          <w:color w:val="000000" w:themeColor="text1"/>
        </w:rPr>
        <w:t>Hadiuzzaman</w:t>
      </w:r>
      <w:proofErr w:type="spellEnd"/>
      <w:r w:rsidRPr="008C1C4E">
        <w:rPr>
          <w:rFonts w:ascii="Arial" w:hAnsi="Arial" w:cs="Arial"/>
          <w:color w:val="000000" w:themeColor="text1"/>
        </w:rPr>
        <w:t xml:space="preserve">, M., and Bhuiyan, M. A. S. (2024). Assessment of the presence of multidrug-resistant Escherichia coli, Salmonella and Staphylococcus in chicken meat, eggs and </w:t>
      </w:r>
      <w:proofErr w:type="spellStart"/>
      <w:r w:rsidRPr="008C1C4E">
        <w:rPr>
          <w:rFonts w:ascii="Arial" w:hAnsi="Arial" w:cs="Arial"/>
          <w:color w:val="000000" w:themeColor="text1"/>
        </w:rPr>
        <w:t>faeces</w:t>
      </w:r>
      <w:proofErr w:type="spellEnd"/>
      <w:r w:rsidRPr="008C1C4E">
        <w:rPr>
          <w:rFonts w:ascii="Arial" w:hAnsi="Arial" w:cs="Arial"/>
          <w:color w:val="000000" w:themeColor="text1"/>
        </w:rPr>
        <w:t xml:space="preserve"> in Mymensingh division of Bangladesh. </w:t>
      </w:r>
      <w:proofErr w:type="spellStart"/>
      <w:r w:rsidRPr="008C1C4E">
        <w:rPr>
          <w:rFonts w:ascii="Arial" w:hAnsi="Arial" w:cs="Arial"/>
          <w:i/>
          <w:iCs/>
          <w:color w:val="000000" w:themeColor="text1"/>
        </w:rPr>
        <w:t>Heliyon</w:t>
      </w:r>
      <w:proofErr w:type="spellEnd"/>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(17). </w:t>
      </w:r>
      <w:hyperlink r:id="rId40" w:history="1">
        <w:r w:rsidRPr="008C1C4E">
          <w:rPr>
            <w:rStyle w:val="Hyperlink"/>
            <w:rFonts w:ascii="Arial" w:hAnsi="Arial" w:cs="Arial"/>
            <w:color w:val="000000" w:themeColor="text1"/>
          </w:rPr>
          <w:t>https://doi.org/10.1016/j.heliyon.2024.e36690</w:t>
        </w:r>
      </w:hyperlink>
    </w:p>
    <w:p w14:paraId="1CF6124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Wamboi, P., </w:t>
      </w:r>
      <w:proofErr w:type="spellStart"/>
      <w:r w:rsidRPr="008C1C4E">
        <w:rPr>
          <w:rFonts w:ascii="Arial" w:hAnsi="Arial" w:cs="Arial"/>
          <w:color w:val="000000" w:themeColor="text1"/>
        </w:rPr>
        <w:t>Nguhiu</w:t>
      </w:r>
      <w:proofErr w:type="spellEnd"/>
      <w:r w:rsidRPr="008C1C4E">
        <w:rPr>
          <w:rFonts w:ascii="Arial" w:hAnsi="Arial" w:cs="Arial"/>
          <w:color w:val="000000" w:themeColor="text1"/>
        </w:rPr>
        <w:t xml:space="preserve">-Mwangi, J., Mbuthia, P. G., </w:t>
      </w:r>
      <w:proofErr w:type="spellStart"/>
      <w:r w:rsidRPr="008C1C4E">
        <w:rPr>
          <w:rFonts w:ascii="Arial" w:hAnsi="Arial" w:cs="Arial"/>
          <w:color w:val="000000" w:themeColor="text1"/>
        </w:rPr>
        <w:t>Waruiru</w:t>
      </w:r>
      <w:proofErr w:type="spellEnd"/>
      <w:r w:rsidRPr="008C1C4E">
        <w:rPr>
          <w:rFonts w:ascii="Arial" w:hAnsi="Arial" w:cs="Arial"/>
          <w:color w:val="000000" w:themeColor="text1"/>
        </w:rPr>
        <w:t xml:space="preserve">, R. M., and </w:t>
      </w:r>
      <w:proofErr w:type="spellStart"/>
      <w:r w:rsidRPr="008C1C4E">
        <w:rPr>
          <w:rFonts w:ascii="Arial" w:hAnsi="Arial" w:cs="Arial"/>
          <w:color w:val="000000" w:themeColor="text1"/>
        </w:rPr>
        <w:t>Bebora</w:t>
      </w:r>
      <w:proofErr w:type="spellEnd"/>
      <w:r w:rsidRPr="008C1C4E">
        <w:rPr>
          <w:rFonts w:ascii="Arial" w:hAnsi="Arial" w:cs="Arial"/>
          <w:color w:val="000000" w:themeColor="text1"/>
        </w:rPr>
        <w:t>, L. C. (2017). Haemato-biochemical changes and prevalence of zoonotic bacteria isolated from marketed indigenous chickens in Kiambu County, Kenya. </w:t>
      </w:r>
      <w:r w:rsidRPr="008C1C4E">
        <w:rPr>
          <w:rFonts w:ascii="Arial" w:hAnsi="Arial" w:cs="Arial"/>
          <w:i/>
          <w:iCs/>
          <w:color w:val="000000" w:themeColor="text1"/>
        </w:rPr>
        <w:t>Education</w:t>
      </w:r>
      <w:r w:rsidRPr="008C1C4E">
        <w:rPr>
          <w:rFonts w:ascii="Arial" w:hAnsi="Arial" w:cs="Arial"/>
          <w:color w:val="000000" w:themeColor="text1"/>
        </w:rPr>
        <w:t>, </w:t>
      </w:r>
      <w:r w:rsidRPr="008C1C4E">
        <w:rPr>
          <w:rFonts w:ascii="Arial" w:hAnsi="Arial" w:cs="Arial"/>
          <w:i/>
          <w:iCs/>
          <w:color w:val="000000" w:themeColor="text1"/>
        </w:rPr>
        <w:t>2020</w:t>
      </w:r>
      <w:r w:rsidRPr="008C1C4E">
        <w:rPr>
          <w:rFonts w:ascii="Arial" w:hAnsi="Arial" w:cs="Arial"/>
          <w:color w:val="000000" w:themeColor="text1"/>
        </w:rPr>
        <w:t xml:space="preserve">. </w:t>
      </w:r>
      <w:hyperlink r:id="rId41" w:history="1">
        <w:r w:rsidRPr="008C1C4E">
          <w:rPr>
            <w:rStyle w:val="Hyperlink"/>
            <w:rFonts w:ascii="Arial" w:hAnsi="Arial" w:cs="Arial"/>
            <w:color w:val="000000" w:themeColor="text1"/>
          </w:rPr>
          <w:t>http://dx.doi.org/10.1080/23144599.2019.1708577</w:t>
        </w:r>
      </w:hyperlink>
    </w:p>
    <w:p w14:paraId="27279C90" w14:textId="77777777" w:rsidR="002A7916" w:rsidRPr="008C1C4E" w:rsidRDefault="002A7916" w:rsidP="00010F64">
      <w:pPr>
        <w:pStyle w:val="Body"/>
        <w:spacing w:after="120"/>
        <w:rPr>
          <w:rFonts w:ascii="Arial" w:hAnsi="Arial" w:cs="Arial"/>
          <w:color w:val="000000" w:themeColor="text1"/>
        </w:rPr>
      </w:pPr>
      <w:proofErr w:type="spellStart"/>
      <w:r w:rsidRPr="008C1C4E">
        <w:rPr>
          <w:rFonts w:ascii="Arial" w:hAnsi="Arial" w:cs="Arial"/>
          <w:color w:val="000000" w:themeColor="text1"/>
        </w:rPr>
        <w:t>Ntivuguruzwa</w:t>
      </w:r>
      <w:proofErr w:type="spellEnd"/>
      <w:r w:rsidRPr="008C1C4E">
        <w:rPr>
          <w:rFonts w:ascii="Arial" w:hAnsi="Arial" w:cs="Arial"/>
          <w:color w:val="000000" w:themeColor="text1"/>
        </w:rPr>
        <w:t>, J. B. (2016). </w:t>
      </w:r>
      <w:r w:rsidRPr="008C1C4E">
        <w:rPr>
          <w:rFonts w:ascii="Arial" w:hAnsi="Arial" w:cs="Arial"/>
          <w:i/>
          <w:iCs/>
          <w:color w:val="000000" w:themeColor="text1"/>
        </w:rPr>
        <w:t>Molecular characterization and antimicrobial resistance profiles of Salmonella Typhimurium isolated between 1995 and 2002 from organs and environments of diseased poultry in South Africa</w:t>
      </w:r>
      <w:r w:rsidRPr="008C1C4E">
        <w:rPr>
          <w:rFonts w:ascii="Arial" w:hAnsi="Arial" w:cs="Arial"/>
          <w:color w:val="000000" w:themeColor="text1"/>
        </w:rPr>
        <w:t xml:space="preserve">. University of Pretoria (South Africa). </w:t>
      </w:r>
      <w:hyperlink r:id="rId42" w:history="1">
        <w:r w:rsidRPr="008C1C4E">
          <w:rPr>
            <w:rStyle w:val="Hyperlink"/>
            <w:rFonts w:ascii="Arial" w:hAnsi="Arial" w:cs="Arial"/>
            <w:color w:val="000000" w:themeColor="text1"/>
          </w:rPr>
          <w:t>http://hdl.handle.net/2263/60275</w:t>
        </w:r>
      </w:hyperlink>
    </w:p>
    <w:p w14:paraId="35ADFC5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Tan, M. F., Li, H. Q., Yang, Q., Zhang, F. F., Tan, J., Zeng, et al. (2023). Prevalence and antimicrobial resistance profile of bacterial pathogens isolated from poultry in Jiangxi Province, China from 2020 to 2022. </w:t>
      </w:r>
      <w:r w:rsidRPr="008C1C4E">
        <w:rPr>
          <w:rFonts w:ascii="Arial" w:hAnsi="Arial" w:cs="Arial"/>
          <w:i/>
          <w:iCs/>
          <w:color w:val="000000" w:themeColor="text1"/>
        </w:rPr>
        <w:t>Poultry Science</w:t>
      </w:r>
      <w:r w:rsidRPr="008C1C4E">
        <w:rPr>
          <w:rFonts w:ascii="Arial" w:hAnsi="Arial" w:cs="Arial"/>
          <w:color w:val="000000" w:themeColor="text1"/>
        </w:rPr>
        <w:t>, </w:t>
      </w:r>
      <w:r w:rsidRPr="008C1C4E">
        <w:rPr>
          <w:rFonts w:ascii="Arial" w:hAnsi="Arial" w:cs="Arial"/>
          <w:i/>
          <w:iCs/>
          <w:color w:val="000000" w:themeColor="text1"/>
        </w:rPr>
        <w:t>102</w:t>
      </w:r>
      <w:r w:rsidRPr="008C1C4E">
        <w:rPr>
          <w:rFonts w:ascii="Arial" w:hAnsi="Arial" w:cs="Arial"/>
          <w:color w:val="000000" w:themeColor="text1"/>
        </w:rPr>
        <w:t xml:space="preserve">(8), 102830. </w:t>
      </w:r>
      <w:hyperlink r:id="rId43" w:history="1">
        <w:r w:rsidRPr="008C1C4E">
          <w:rPr>
            <w:rStyle w:val="Hyperlink"/>
            <w:rFonts w:ascii="Arial" w:hAnsi="Arial" w:cs="Arial"/>
            <w:color w:val="000000" w:themeColor="text1"/>
          </w:rPr>
          <w:t>https://doi.org/10.1016/j.psj.2023.102830</w:t>
        </w:r>
      </w:hyperlink>
    </w:p>
    <w:p w14:paraId="6EB60F4F"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Hassan, M. M., Kalam, M. A., Alim, M. A., Shano, S., Nayem, M. R. K., </w:t>
      </w:r>
      <w:proofErr w:type="spellStart"/>
      <w:r w:rsidRPr="008C1C4E">
        <w:rPr>
          <w:rFonts w:ascii="Arial" w:hAnsi="Arial" w:cs="Arial"/>
          <w:color w:val="000000" w:themeColor="text1"/>
        </w:rPr>
        <w:t>Badsha</w:t>
      </w:r>
      <w:proofErr w:type="spellEnd"/>
      <w:r w:rsidRPr="008C1C4E">
        <w:rPr>
          <w:rFonts w:ascii="Arial" w:hAnsi="Arial" w:cs="Arial"/>
          <w:color w:val="000000" w:themeColor="text1"/>
        </w:rPr>
        <w:t>, M. R., et al. (2021). Knowledge, attitude, and practices on antimicrobial use and antimicrobial resistance among commercial poultry farmers in Bangladesh. </w:t>
      </w:r>
      <w:r w:rsidRPr="008C1C4E">
        <w:rPr>
          <w:rFonts w:ascii="Arial" w:hAnsi="Arial" w:cs="Arial"/>
          <w:i/>
          <w:iCs/>
          <w:color w:val="000000" w:themeColor="text1"/>
        </w:rPr>
        <w:t>Antibiotics</w:t>
      </w:r>
      <w:r w:rsidRPr="008C1C4E">
        <w:rPr>
          <w:rFonts w:ascii="Arial" w:hAnsi="Arial" w:cs="Arial"/>
          <w:color w:val="000000" w:themeColor="text1"/>
        </w:rPr>
        <w:t>, </w:t>
      </w:r>
      <w:r w:rsidRPr="008C1C4E">
        <w:rPr>
          <w:rFonts w:ascii="Arial" w:hAnsi="Arial" w:cs="Arial"/>
          <w:i/>
          <w:iCs/>
          <w:color w:val="000000" w:themeColor="text1"/>
        </w:rPr>
        <w:t>10</w:t>
      </w:r>
      <w:r w:rsidRPr="008C1C4E">
        <w:rPr>
          <w:rFonts w:ascii="Arial" w:hAnsi="Arial" w:cs="Arial"/>
          <w:color w:val="000000" w:themeColor="text1"/>
        </w:rPr>
        <w:t xml:space="preserve">(7), 784. </w:t>
      </w:r>
      <w:hyperlink r:id="rId44" w:history="1">
        <w:r w:rsidRPr="008C1C4E">
          <w:rPr>
            <w:rStyle w:val="Hyperlink"/>
            <w:rFonts w:ascii="Arial" w:hAnsi="Arial" w:cs="Arial"/>
            <w:color w:val="000000" w:themeColor="text1"/>
          </w:rPr>
          <w:t>https://doi.org/10.3390/antibiotics10070784</w:t>
        </w:r>
      </w:hyperlink>
    </w:p>
    <w:p w14:paraId="59764003"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Wang, Y., Jiang, Z., Jin, Z., Tan, H., and Xu, B. (2013). Risk factors for infectious diseases in backyard poultry farms in the Poyang Lake area, China. </w:t>
      </w:r>
      <w:proofErr w:type="spellStart"/>
      <w:r w:rsidRPr="008C1C4E">
        <w:rPr>
          <w:rFonts w:ascii="Arial" w:hAnsi="Arial" w:cs="Arial"/>
          <w:i/>
          <w:iCs/>
          <w:color w:val="000000" w:themeColor="text1"/>
        </w:rPr>
        <w:t>PloS</w:t>
      </w:r>
      <w:proofErr w:type="spellEnd"/>
      <w:r w:rsidRPr="008C1C4E">
        <w:rPr>
          <w:rFonts w:ascii="Arial" w:hAnsi="Arial" w:cs="Arial"/>
          <w:i/>
          <w:iCs/>
          <w:color w:val="000000" w:themeColor="text1"/>
        </w:rPr>
        <w:t xml:space="preserve"> one</w:t>
      </w:r>
      <w:r w:rsidRPr="008C1C4E">
        <w:rPr>
          <w:rFonts w:ascii="Arial" w:hAnsi="Arial" w:cs="Arial"/>
          <w:color w:val="000000" w:themeColor="text1"/>
        </w:rPr>
        <w:t>, </w:t>
      </w:r>
      <w:r w:rsidRPr="008C1C4E">
        <w:rPr>
          <w:rFonts w:ascii="Arial" w:hAnsi="Arial" w:cs="Arial"/>
          <w:i/>
          <w:iCs/>
          <w:color w:val="000000" w:themeColor="text1"/>
        </w:rPr>
        <w:t>8</w:t>
      </w:r>
      <w:r w:rsidRPr="008C1C4E">
        <w:rPr>
          <w:rFonts w:ascii="Arial" w:hAnsi="Arial" w:cs="Arial"/>
          <w:color w:val="000000" w:themeColor="text1"/>
        </w:rPr>
        <w:t xml:space="preserve">(6), e67366. </w:t>
      </w:r>
      <w:hyperlink r:id="rId45" w:history="1">
        <w:r w:rsidRPr="008C1C4E">
          <w:rPr>
            <w:rStyle w:val="Hyperlink"/>
            <w:rFonts w:ascii="Arial" w:hAnsi="Arial" w:cs="Arial"/>
            <w:color w:val="000000" w:themeColor="text1"/>
          </w:rPr>
          <w:t>https://doi.org/10.1371/journal.pone.0067366</w:t>
        </w:r>
      </w:hyperlink>
    </w:p>
    <w:p w14:paraId="288285BD"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Sanni, A. O. (2024). </w:t>
      </w:r>
      <w:r w:rsidRPr="008C1C4E">
        <w:rPr>
          <w:rFonts w:ascii="Arial" w:hAnsi="Arial" w:cs="Arial"/>
          <w:i/>
          <w:iCs/>
          <w:color w:val="000000" w:themeColor="text1"/>
        </w:rPr>
        <w:t>Eco-Epidemiology and Microbiological Evaluation of Poultry Salmonellosis in North Central Nigeria, and its Socio-Economics and Public Health Impacts</w:t>
      </w:r>
      <w:r w:rsidRPr="008C1C4E">
        <w:rPr>
          <w:rFonts w:ascii="Arial" w:hAnsi="Arial" w:cs="Arial"/>
          <w:color w:val="000000" w:themeColor="text1"/>
        </w:rPr>
        <w:t xml:space="preserve"> (Doctoral dissertation, University of Pretoria (South Africa)). </w:t>
      </w:r>
      <w:hyperlink r:id="rId46" w:history="1">
        <w:r w:rsidRPr="008C1C4E">
          <w:rPr>
            <w:rStyle w:val="Hyperlink"/>
            <w:rFonts w:ascii="Arial" w:hAnsi="Arial" w:cs="Arial"/>
            <w:color w:val="000000" w:themeColor="text1"/>
          </w:rPr>
          <w:t>http://hdl.handle.net/2263/98366</w:t>
        </w:r>
      </w:hyperlink>
    </w:p>
    <w:p w14:paraId="3251648D"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 xml:space="preserve">Sallam, K. I., Kasem, N. G., Abdelkhalek, A., and </w:t>
      </w:r>
      <w:proofErr w:type="spellStart"/>
      <w:r w:rsidRPr="008C1C4E">
        <w:rPr>
          <w:rFonts w:ascii="Arial" w:hAnsi="Arial" w:cs="Arial"/>
          <w:color w:val="000000" w:themeColor="text1"/>
        </w:rPr>
        <w:t>Elshebrawy</w:t>
      </w:r>
      <w:proofErr w:type="spellEnd"/>
      <w:r w:rsidRPr="008C1C4E">
        <w:rPr>
          <w:rFonts w:ascii="Arial" w:hAnsi="Arial" w:cs="Arial"/>
          <w:color w:val="000000" w:themeColor="text1"/>
        </w:rPr>
        <w:t>, H. A. (2024). Extensively drug-, ciprofloxacin-, cefotaxime-, and azithromycin-resistant Salmonella enterica serovars isolated from camel meat in Egypt. </w:t>
      </w:r>
      <w:r w:rsidRPr="008C1C4E">
        <w:rPr>
          <w:rFonts w:ascii="Arial" w:hAnsi="Arial" w:cs="Arial"/>
          <w:i/>
          <w:iCs/>
          <w:color w:val="000000" w:themeColor="text1"/>
        </w:rPr>
        <w:t>International Journal of Food Microbiology</w:t>
      </w:r>
      <w:r w:rsidRPr="008C1C4E">
        <w:rPr>
          <w:rFonts w:ascii="Arial" w:hAnsi="Arial" w:cs="Arial"/>
          <w:color w:val="000000" w:themeColor="text1"/>
        </w:rPr>
        <w:t>, </w:t>
      </w:r>
      <w:r w:rsidRPr="008C1C4E">
        <w:rPr>
          <w:rFonts w:ascii="Arial" w:hAnsi="Arial" w:cs="Arial"/>
          <w:i/>
          <w:iCs/>
          <w:color w:val="000000" w:themeColor="text1"/>
        </w:rPr>
        <w:t>411</w:t>
      </w:r>
      <w:r w:rsidRPr="008C1C4E">
        <w:rPr>
          <w:rFonts w:ascii="Arial" w:hAnsi="Arial" w:cs="Arial"/>
          <w:color w:val="000000" w:themeColor="text1"/>
        </w:rPr>
        <w:t xml:space="preserve">, 110538. </w:t>
      </w:r>
      <w:hyperlink r:id="rId47" w:history="1">
        <w:r w:rsidRPr="008C1C4E">
          <w:rPr>
            <w:rStyle w:val="Hyperlink"/>
            <w:rFonts w:ascii="Arial" w:hAnsi="Arial" w:cs="Arial"/>
            <w:color w:val="000000" w:themeColor="text1"/>
          </w:rPr>
          <w:t>https://doi.org/10.1016/j.ijfoodmicro.2023.110538</w:t>
        </w:r>
      </w:hyperlink>
    </w:p>
    <w:p w14:paraId="778B343C" w14:textId="77777777" w:rsidR="002A7916" w:rsidRPr="008C1C4E" w:rsidRDefault="002A7916" w:rsidP="00010F64">
      <w:pPr>
        <w:pStyle w:val="Body"/>
        <w:spacing w:after="120"/>
        <w:rPr>
          <w:rFonts w:ascii="Arial" w:hAnsi="Arial" w:cs="Arial"/>
          <w:color w:val="000000" w:themeColor="text1"/>
          <w:u w:val="single"/>
        </w:rPr>
      </w:pPr>
      <w:proofErr w:type="spellStart"/>
      <w:r w:rsidRPr="008C1C4E">
        <w:rPr>
          <w:rFonts w:ascii="Arial" w:hAnsi="Arial" w:cs="Arial"/>
          <w:color w:val="000000" w:themeColor="text1"/>
        </w:rPr>
        <w:t>Bhusan</w:t>
      </w:r>
      <w:proofErr w:type="spellEnd"/>
      <w:r w:rsidRPr="008C1C4E">
        <w:rPr>
          <w:rFonts w:ascii="Arial" w:hAnsi="Arial" w:cs="Arial"/>
          <w:color w:val="000000" w:themeColor="text1"/>
        </w:rPr>
        <w:t xml:space="preserve"> Das, S. (2020). </w:t>
      </w:r>
      <w:r w:rsidRPr="008C1C4E">
        <w:rPr>
          <w:rFonts w:ascii="Arial" w:hAnsi="Arial" w:cs="Arial"/>
          <w:i/>
          <w:iCs/>
          <w:color w:val="000000" w:themeColor="text1"/>
        </w:rPr>
        <w:t xml:space="preserve">Epidemiology of farm Escherichia coli infection and antibiogram of </w:t>
      </w:r>
      <w:proofErr w:type="spellStart"/>
      <w:r w:rsidRPr="008C1C4E">
        <w:rPr>
          <w:rFonts w:ascii="Arial" w:hAnsi="Arial" w:cs="Arial"/>
          <w:i/>
          <w:iCs/>
          <w:color w:val="000000" w:themeColor="text1"/>
        </w:rPr>
        <w:t>escherichia</w:t>
      </w:r>
      <w:proofErr w:type="spellEnd"/>
      <w:r w:rsidRPr="008C1C4E">
        <w:rPr>
          <w:rFonts w:ascii="Arial" w:hAnsi="Arial" w:cs="Arial"/>
          <w:i/>
          <w:iCs/>
          <w:color w:val="000000" w:themeColor="text1"/>
        </w:rPr>
        <w:t xml:space="preserve"> coli in commercial chickens in Chattogram, Bangladesh</w:t>
      </w:r>
      <w:r w:rsidRPr="008C1C4E">
        <w:rPr>
          <w:rFonts w:ascii="Arial" w:hAnsi="Arial" w:cs="Arial"/>
          <w:color w:val="000000" w:themeColor="text1"/>
        </w:rPr>
        <w:t xml:space="preserve"> (Doctoral dissertation, Chattogram Veterinary and Animal Sciences University Chattogram-4225, Bangladesh). </w:t>
      </w:r>
      <w:hyperlink r:id="rId48" w:history="1">
        <w:r w:rsidRPr="008C1C4E">
          <w:rPr>
            <w:rStyle w:val="Hyperlink"/>
            <w:rFonts w:ascii="Arial" w:hAnsi="Arial" w:cs="Arial"/>
            <w:color w:val="000000" w:themeColor="text1"/>
          </w:rPr>
          <w:t>http://dspace.cvasu.ac.bd/jspui/handle/123456789/712</w:t>
        </w:r>
      </w:hyperlink>
    </w:p>
    <w:p w14:paraId="325FD8C9" w14:textId="77777777" w:rsidR="002A7916"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Gharib-Naseri, K., </w:t>
      </w:r>
      <w:proofErr w:type="spellStart"/>
      <w:r w:rsidRPr="008C1C4E">
        <w:rPr>
          <w:rFonts w:ascii="Arial" w:hAnsi="Arial" w:cs="Arial"/>
          <w:color w:val="000000" w:themeColor="text1"/>
        </w:rPr>
        <w:t>Kheravii</w:t>
      </w:r>
      <w:proofErr w:type="spellEnd"/>
      <w:r w:rsidRPr="008C1C4E">
        <w:rPr>
          <w:rFonts w:ascii="Arial" w:hAnsi="Arial" w:cs="Arial"/>
          <w:color w:val="000000" w:themeColor="text1"/>
        </w:rPr>
        <w:t>, S. K., Nguye</w:t>
      </w:r>
      <w:r w:rsidR="00F84772" w:rsidRPr="008C1C4E">
        <w:rPr>
          <w:rFonts w:ascii="Arial" w:hAnsi="Arial" w:cs="Arial"/>
          <w:color w:val="000000" w:themeColor="text1"/>
        </w:rPr>
        <w:t>n, H. T., and</w:t>
      </w:r>
      <w:r w:rsidRPr="008C1C4E">
        <w:rPr>
          <w:rFonts w:ascii="Arial" w:hAnsi="Arial" w:cs="Arial"/>
          <w:color w:val="000000" w:themeColor="text1"/>
        </w:rPr>
        <w:t xml:space="preserve"> Wu, S. B. (2024). Bromelain can reduce the negative effects of a subclinical necrotic enteritis in broiler chickens. </w:t>
      </w:r>
      <w:r w:rsidRPr="008C1C4E">
        <w:rPr>
          <w:rFonts w:ascii="Arial" w:hAnsi="Arial" w:cs="Arial"/>
          <w:i/>
          <w:iCs/>
          <w:color w:val="000000" w:themeColor="text1"/>
        </w:rPr>
        <w:t>Poultry Science</w:t>
      </w:r>
      <w:r w:rsidRPr="008C1C4E">
        <w:rPr>
          <w:rFonts w:ascii="Arial" w:hAnsi="Arial" w:cs="Arial"/>
          <w:color w:val="000000" w:themeColor="text1"/>
        </w:rPr>
        <w:t>, </w:t>
      </w:r>
      <w:r w:rsidRPr="008C1C4E">
        <w:rPr>
          <w:rFonts w:ascii="Arial" w:hAnsi="Arial" w:cs="Arial"/>
          <w:i/>
          <w:iCs/>
          <w:color w:val="000000" w:themeColor="text1"/>
        </w:rPr>
        <w:t>103</w:t>
      </w:r>
      <w:r w:rsidRPr="008C1C4E">
        <w:rPr>
          <w:rFonts w:ascii="Arial" w:hAnsi="Arial" w:cs="Arial"/>
          <w:color w:val="000000" w:themeColor="text1"/>
        </w:rPr>
        <w:t xml:space="preserve">(4), 103560. </w:t>
      </w:r>
      <w:hyperlink r:id="rId49" w:history="1">
        <w:r w:rsidRPr="008C1C4E">
          <w:rPr>
            <w:rStyle w:val="Hyperlink"/>
            <w:rFonts w:ascii="Arial" w:hAnsi="Arial" w:cs="Arial"/>
            <w:color w:val="000000" w:themeColor="text1"/>
          </w:rPr>
          <w:t>https://doi.org/10.1016/j.psj.2024.103560</w:t>
        </w:r>
      </w:hyperlink>
    </w:p>
    <w:p w14:paraId="220C5B95" w14:textId="77777777" w:rsidR="002A7916" w:rsidRPr="008C1C4E" w:rsidRDefault="002A7916" w:rsidP="00010F64">
      <w:pPr>
        <w:pStyle w:val="Body"/>
        <w:spacing w:after="120"/>
        <w:rPr>
          <w:rFonts w:ascii="Arial" w:hAnsi="Arial" w:cs="Arial"/>
          <w:color w:val="000000" w:themeColor="text1"/>
          <w:u w:val="single"/>
        </w:rPr>
      </w:pPr>
      <w:r w:rsidRPr="008C1C4E">
        <w:rPr>
          <w:rFonts w:ascii="Arial" w:hAnsi="Arial" w:cs="Arial"/>
          <w:color w:val="000000" w:themeColor="text1"/>
        </w:rPr>
        <w:t>Precious, M., John, K., and Naomi, M. (2020). In Vitro Antimicrobial Activity of Nano-Encapsulated Bromelain against Bacteria Isolated from Milk of Dairy Goats with Sub-Clinical Mastitis in Thika East Sub-county, Kenya. </w:t>
      </w:r>
      <w:r w:rsidRPr="008C1C4E">
        <w:rPr>
          <w:rFonts w:ascii="Arial" w:hAnsi="Arial" w:cs="Arial"/>
          <w:i/>
          <w:iCs/>
          <w:color w:val="000000" w:themeColor="text1"/>
        </w:rPr>
        <w:t>Kenya Asian J. Res. Anim. Vet. Sci</w:t>
      </w:r>
      <w:r w:rsidRPr="008C1C4E">
        <w:rPr>
          <w:rFonts w:ascii="Arial" w:hAnsi="Arial" w:cs="Arial"/>
          <w:color w:val="000000" w:themeColor="text1"/>
        </w:rPr>
        <w:t>, </w:t>
      </w:r>
      <w:r w:rsidRPr="008C1C4E">
        <w:rPr>
          <w:rFonts w:ascii="Arial" w:hAnsi="Arial" w:cs="Arial"/>
          <w:i/>
          <w:iCs/>
          <w:color w:val="000000" w:themeColor="text1"/>
        </w:rPr>
        <w:t>5</w:t>
      </w:r>
      <w:r w:rsidRPr="008C1C4E">
        <w:rPr>
          <w:rFonts w:ascii="Arial" w:hAnsi="Arial" w:cs="Arial"/>
          <w:color w:val="000000" w:themeColor="text1"/>
        </w:rPr>
        <w:t xml:space="preserve">, 33-40. </w:t>
      </w:r>
      <w:hyperlink r:id="rId50" w:history="1">
        <w:r w:rsidRPr="008C1C4E">
          <w:rPr>
            <w:rStyle w:val="Hyperlink"/>
            <w:rFonts w:ascii="Arial" w:hAnsi="Arial" w:cs="Arial"/>
            <w:color w:val="000000" w:themeColor="text1"/>
          </w:rPr>
          <w:t>http://dx.doi.org/10.9734/ajravs/2020/v3i2115</w:t>
        </w:r>
      </w:hyperlink>
    </w:p>
    <w:p w14:paraId="4F221E52" w14:textId="77777777" w:rsidR="00B01FCD" w:rsidRPr="008C1C4E" w:rsidRDefault="002A7916" w:rsidP="00010F64">
      <w:pPr>
        <w:pStyle w:val="Body"/>
        <w:spacing w:after="120"/>
        <w:rPr>
          <w:rFonts w:ascii="Arial" w:hAnsi="Arial" w:cs="Arial"/>
          <w:color w:val="000000" w:themeColor="text1"/>
        </w:rPr>
      </w:pPr>
      <w:r w:rsidRPr="008C1C4E">
        <w:rPr>
          <w:rFonts w:ascii="Arial" w:hAnsi="Arial" w:cs="Arial"/>
          <w:color w:val="000000" w:themeColor="text1"/>
        </w:rPr>
        <w:t xml:space="preserve">Elsayed, M. M., </w:t>
      </w:r>
      <w:proofErr w:type="spellStart"/>
      <w:r w:rsidRPr="008C1C4E">
        <w:rPr>
          <w:rFonts w:ascii="Arial" w:hAnsi="Arial" w:cs="Arial"/>
          <w:color w:val="000000" w:themeColor="text1"/>
        </w:rPr>
        <w:t>Elkenany</w:t>
      </w:r>
      <w:proofErr w:type="spellEnd"/>
      <w:r w:rsidRPr="008C1C4E">
        <w:rPr>
          <w:rFonts w:ascii="Arial" w:hAnsi="Arial" w:cs="Arial"/>
          <w:color w:val="000000" w:themeColor="text1"/>
        </w:rPr>
        <w:t>, R. M., El-Khateeb, A. Y.,</w:t>
      </w:r>
      <w:r w:rsidR="00F84772" w:rsidRPr="008C1C4E">
        <w:rPr>
          <w:rFonts w:ascii="Arial" w:hAnsi="Arial" w:cs="Arial"/>
          <w:color w:val="000000" w:themeColor="text1"/>
        </w:rPr>
        <w:t xml:space="preserve"> Nabil, N. M., </w:t>
      </w:r>
      <w:proofErr w:type="spellStart"/>
      <w:r w:rsidR="00F84772" w:rsidRPr="008C1C4E">
        <w:rPr>
          <w:rFonts w:ascii="Arial" w:hAnsi="Arial" w:cs="Arial"/>
          <w:color w:val="000000" w:themeColor="text1"/>
        </w:rPr>
        <w:t>Tawakol</w:t>
      </w:r>
      <w:proofErr w:type="spellEnd"/>
      <w:r w:rsidR="00F84772" w:rsidRPr="008C1C4E">
        <w:rPr>
          <w:rFonts w:ascii="Arial" w:hAnsi="Arial" w:cs="Arial"/>
          <w:color w:val="000000" w:themeColor="text1"/>
        </w:rPr>
        <w:t>, M. M., and</w:t>
      </w:r>
      <w:r w:rsidRPr="008C1C4E">
        <w:rPr>
          <w:rFonts w:ascii="Arial" w:hAnsi="Arial" w:cs="Arial"/>
          <w:color w:val="000000" w:themeColor="text1"/>
        </w:rPr>
        <w:t xml:space="preserve"> Hassan, H. M. (2024). Isolation and encapsulation of bacteriophage with chitosan nanoparticles for biocontrol of multidrug-resistant methicillin-resistant Staphylococcus aureus isolated from broiler poultry farms. </w:t>
      </w:r>
      <w:r w:rsidRPr="008C1C4E">
        <w:rPr>
          <w:rFonts w:ascii="Arial" w:hAnsi="Arial" w:cs="Arial"/>
          <w:i/>
          <w:iCs/>
          <w:color w:val="000000" w:themeColor="text1"/>
        </w:rPr>
        <w:t>Scientific Reports</w:t>
      </w:r>
      <w:r w:rsidRPr="008C1C4E">
        <w:rPr>
          <w:rFonts w:ascii="Arial" w:hAnsi="Arial" w:cs="Arial"/>
          <w:color w:val="000000" w:themeColor="text1"/>
        </w:rPr>
        <w:t>, </w:t>
      </w:r>
      <w:r w:rsidRPr="008C1C4E">
        <w:rPr>
          <w:rFonts w:ascii="Arial" w:hAnsi="Arial" w:cs="Arial"/>
          <w:i/>
          <w:iCs/>
          <w:color w:val="000000" w:themeColor="text1"/>
        </w:rPr>
        <w:t>14</w:t>
      </w:r>
      <w:r w:rsidRPr="008C1C4E">
        <w:rPr>
          <w:rFonts w:ascii="Arial" w:hAnsi="Arial" w:cs="Arial"/>
          <w:color w:val="000000" w:themeColor="text1"/>
        </w:rPr>
        <w:t xml:space="preserve">(1), 4702. </w:t>
      </w:r>
      <w:hyperlink r:id="rId51" w:history="1">
        <w:r w:rsidRPr="008C1C4E">
          <w:rPr>
            <w:rStyle w:val="Hyperlink"/>
            <w:rFonts w:ascii="Arial" w:hAnsi="Arial" w:cs="Arial"/>
            <w:color w:val="000000" w:themeColor="text1"/>
          </w:rPr>
          <w:t>https://www.preprints.org/manuscript/202409.1483/v1</w:t>
        </w:r>
      </w:hyperlink>
    </w:p>
    <w:sectPr w:rsidR="00B01FCD" w:rsidRPr="008C1C4E" w:rsidSect="00D42C14">
      <w:headerReference w:type="even" r:id="rId52"/>
      <w:headerReference w:type="default" r:id="rId53"/>
      <w:footerReference w:type="default" r:id="rId54"/>
      <w:headerReference w:type="first" r:id="rI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345D6" w14:textId="77777777" w:rsidR="00D10082" w:rsidRDefault="00D10082" w:rsidP="00C37E61">
      <w:r>
        <w:separator/>
      </w:r>
    </w:p>
  </w:endnote>
  <w:endnote w:type="continuationSeparator" w:id="0">
    <w:p w14:paraId="7A32F20E" w14:textId="77777777" w:rsidR="00D10082" w:rsidRDefault="00D100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CE50" w14:textId="77777777" w:rsidR="00D42C14" w:rsidRDefault="00D42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2DEC" w14:textId="77777777" w:rsidR="00D42C14" w:rsidRDefault="00D42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753D" w14:textId="734E54EA" w:rsidR="009C13C6" w:rsidRPr="00D42C14" w:rsidRDefault="009C13C6" w:rsidP="00D42C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691886"/>
      <w:docPartObj>
        <w:docPartGallery w:val="Page Numbers (Bottom of Page)"/>
        <w:docPartUnique/>
      </w:docPartObj>
    </w:sdtPr>
    <w:sdtEndPr>
      <w:rPr>
        <w:noProof/>
      </w:rPr>
    </w:sdtEndPr>
    <w:sdtContent>
      <w:p w14:paraId="1C3E5155" w14:textId="2985EDE9" w:rsidR="002E5BFD" w:rsidRDefault="002E5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91E0F" w14:textId="77777777" w:rsidR="009C13C6" w:rsidRPr="00C37E61" w:rsidRDefault="009C13C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8087C" w14:textId="77777777" w:rsidR="00D10082" w:rsidRDefault="00D10082" w:rsidP="00C37E61">
      <w:r>
        <w:separator/>
      </w:r>
    </w:p>
  </w:footnote>
  <w:footnote w:type="continuationSeparator" w:id="0">
    <w:p w14:paraId="56DEC778" w14:textId="77777777" w:rsidR="00D10082" w:rsidRDefault="00D100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2D5F" w14:textId="69F72B59" w:rsidR="00D42C14" w:rsidRDefault="00D42C14">
    <w:pPr>
      <w:pStyle w:val="Header"/>
    </w:pPr>
    <w:r>
      <w:rPr>
        <w:noProof/>
      </w:rPr>
      <w:pict w14:anchorId="2001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7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A54C0" w14:textId="30C0B1BD" w:rsidR="00D42C14" w:rsidRDefault="00D42C14">
    <w:pPr>
      <w:pStyle w:val="Header"/>
    </w:pPr>
    <w:r>
      <w:rPr>
        <w:noProof/>
      </w:rPr>
      <w:pict w14:anchorId="5DE4E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CBE2" w14:textId="199888EA" w:rsidR="009C13C6" w:rsidRPr="00296529" w:rsidRDefault="00D42C14" w:rsidP="00296529">
    <w:pPr>
      <w:ind w:left="2160"/>
      <w:jc w:val="center"/>
      <w:rPr>
        <w:rFonts w:ascii="Times New Roman" w:eastAsia="Calibri" w:hAnsi="Times New Roman"/>
        <w:i/>
        <w:sz w:val="18"/>
        <w:szCs w:val="22"/>
      </w:rPr>
    </w:pPr>
    <w:r>
      <w:rPr>
        <w:noProof/>
      </w:rPr>
      <w:pict w14:anchorId="59B5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7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187178" w14:textId="77777777" w:rsidR="009C13C6" w:rsidRPr="00296529" w:rsidRDefault="009C13C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5F6AA" w14:textId="77777777" w:rsidR="009C13C6" w:rsidRPr="00296529" w:rsidRDefault="009C13C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94AB14" w14:textId="77777777" w:rsidR="009C13C6" w:rsidRPr="00296529" w:rsidRDefault="009C13C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73F781" w14:textId="77777777" w:rsidR="009C13C6" w:rsidRDefault="009C13C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EAF683" w14:textId="77777777" w:rsidR="009C13C6" w:rsidRDefault="009C13C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FFF9F2" w14:textId="77777777" w:rsidR="009C13C6" w:rsidRDefault="009C13C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20A6A" w14:textId="3A084674" w:rsidR="00D42C14" w:rsidRDefault="00D42C14">
    <w:pPr>
      <w:pStyle w:val="Header"/>
    </w:pPr>
    <w:r>
      <w:rPr>
        <w:noProof/>
      </w:rPr>
      <w:pict w14:anchorId="1E338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C34D" w14:textId="78449929" w:rsidR="00D42C14" w:rsidRDefault="00D42C14">
    <w:pPr>
      <w:pStyle w:val="Header"/>
    </w:pPr>
    <w:r>
      <w:rPr>
        <w:noProof/>
      </w:rPr>
      <w:pict w14:anchorId="2DF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6A6E" w14:textId="63C88EAC" w:rsidR="00D42C14" w:rsidRDefault="00D42C14">
    <w:pPr>
      <w:pStyle w:val="Header"/>
    </w:pPr>
    <w:r>
      <w:rPr>
        <w:noProof/>
      </w:rPr>
      <w:pict w14:anchorId="587A3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46608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F64"/>
    <w:rsid w:val="00023B9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F97"/>
    <w:rsid w:val="001A29D8"/>
    <w:rsid w:val="001A5CAA"/>
    <w:rsid w:val="001B0427"/>
    <w:rsid w:val="001D3A51"/>
    <w:rsid w:val="001E10D2"/>
    <w:rsid w:val="001E25B4"/>
    <w:rsid w:val="001E44FE"/>
    <w:rsid w:val="00200595"/>
    <w:rsid w:val="00201897"/>
    <w:rsid w:val="00204835"/>
    <w:rsid w:val="00212E25"/>
    <w:rsid w:val="0022157F"/>
    <w:rsid w:val="00231920"/>
    <w:rsid w:val="0023195C"/>
    <w:rsid w:val="0024282C"/>
    <w:rsid w:val="002460DC"/>
    <w:rsid w:val="00250985"/>
    <w:rsid w:val="002556F6"/>
    <w:rsid w:val="00283105"/>
    <w:rsid w:val="00284C4C"/>
    <w:rsid w:val="0028713E"/>
    <w:rsid w:val="00287E68"/>
    <w:rsid w:val="00296529"/>
    <w:rsid w:val="002A7916"/>
    <w:rsid w:val="002B27FB"/>
    <w:rsid w:val="002B685A"/>
    <w:rsid w:val="002C57D2"/>
    <w:rsid w:val="002E0D56"/>
    <w:rsid w:val="002E5BFD"/>
    <w:rsid w:val="00315186"/>
    <w:rsid w:val="0033343E"/>
    <w:rsid w:val="003512C2"/>
    <w:rsid w:val="00355E90"/>
    <w:rsid w:val="00371FB6"/>
    <w:rsid w:val="003763C1"/>
    <w:rsid w:val="00376BBE"/>
    <w:rsid w:val="0039224F"/>
    <w:rsid w:val="003A43A4"/>
    <w:rsid w:val="003A7E18"/>
    <w:rsid w:val="003C4C86"/>
    <w:rsid w:val="003C6258"/>
    <w:rsid w:val="003E2904"/>
    <w:rsid w:val="00401927"/>
    <w:rsid w:val="0041027F"/>
    <w:rsid w:val="00412475"/>
    <w:rsid w:val="00417A80"/>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049A"/>
    <w:rsid w:val="005C784C"/>
    <w:rsid w:val="005D17F6"/>
    <w:rsid w:val="005E5539"/>
    <w:rsid w:val="00602BF5"/>
    <w:rsid w:val="00617FDD"/>
    <w:rsid w:val="00620511"/>
    <w:rsid w:val="00633614"/>
    <w:rsid w:val="00633F68"/>
    <w:rsid w:val="00636EB2"/>
    <w:rsid w:val="006375B8"/>
    <w:rsid w:val="00646F4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7C9B"/>
    <w:rsid w:val="0083216F"/>
    <w:rsid w:val="00860000"/>
    <w:rsid w:val="00863BD3"/>
    <w:rsid w:val="008641ED"/>
    <w:rsid w:val="00866D66"/>
    <w:rsid w:val="008671C6"/>
    <w:rsid w:val="00875803"/>
    <w:rsid w:val="008B40F4"/>
    <w:rsid w:val="008B459E"/>
    <w:rsid w:val="008C1C4E"/>
    <w:rsid w:val="008E13AE"/>
    <w:rsid w:val="008E1506"/>
    <w:rsid w:val="008E710C"/>
    <w:rsid w:val="008F69D6"/>
    <w:rsid w:val="00902823"/>
    <w:rsid w:val="00915CA6"/>
    <w:rsid w:val="00926577"/>
    <w:rsid w:val="00927834"/>
    <w:rsid w:val="009500A6"/>
    <w:rsid w:val="00957C18"/>
    <w:rsid w:val="009659BA"/>
    <w:rsid w:val="00983040"/>
    <w:rsid w:val="009B3FB9"/>
    <w:rsid w:val="009C13C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8DF"/>
    <w:rsid w:val="00A51431"/>
    <w:rsid w:val="00A539AD"/>
    <w:rsid w:val="00A603B5"/>
    <w:rsid w:val="00A94063"/>
    <w:rsid w:val="00AA6219"/>
    <w:rsid w:val="00AA74E0"/>
    <w:rsid w:val="00AB703F"/>
    <w:rsid w:val="00AC6BB8"/>
    <w:rsid w:val="00AE008F"/>
    <w:rsid w:val="00B01FCD"/>
    <w:rsid w:val="00B066AF"/>
    <w:rsid w:val="00B1776C"/>
    <w:rsid w:val="00B3060F"/>
    <w:rsid w:val="00B52583"/>
    <w:rsid w:val="00B52896"/>
    <w:rsid w:val="00B7016A"/>
    <w:rsid w:val="00B95236"/>
    <w:rsid w:val="00B96BD9"/>
    <w:rsid w:val="00BA1B01"/>
    <w:rsid w:val="00BA2641"/>
    <w:rsid w:val="00BB37AA"/>
    <w:rsid w:val="00BB565D"/>
    <w:rsid w:val="00BC53A0"/>
    <w:rsid w:val="00BE4B09"/>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082"/>
    <w:rsid w:val="00D173F1"/>
    <w:rsid w:val="00D42C14"/>
    <w:rsid w:val="00D74CB0"/>
    <w:rsid w:val="00D8295D"/>
    <w:rsid w:val="00DC2A65"/>
    <w:rsid w:val="00DE15F0"/>
    <w:rsid w:val="00DE5663"/>
    <w:rsid w:val="00DE78AA"/>
    <w:rsid w:val="00E00800"/>
    <w:rsid w:val="00E053D0"/>
    <w:rsid w:val="00E15994"/>
    <w:rsid w:val="00E3114E"/>
    <w:rsid w:val="00E31A70"/>
    <w:rsid w:val="00E35B02"/>
    <w:rsid w:val="00E66496"/>
    <w:rsid w:val="00E66B35"/>
    <w:rsid w:val="00E66E10"/>
    <w:rsid w:val="00E769F6"/>
    <w:rsid w:val="00E8407C"/>
    <w:rsid w:val="00E84F3C"/>
    <w:rsid w:val="00EA012C"/>
    <w:rsid w:val="00EC3DFC"/>
    <w:rsid w:val="00EC6A55"/>
    <w:rsid w:val="00ED0288"/>
    <w:rsid w:val="00EE52CB"/>
    <w:rsid w:val="00EF581D"/>
    <w:rsid w:val="00EF7FD8"/>
    <w:rsid w:val="00F06F59"/>
    <w:rsid w:val="00F17988"/>
    <w:rsid w:val="00F32102"/>
    <w:rsid w:val="00F469F0"/>
    <w:rsid w:val="00F53273"/>
    <w:rsid w:val="00F53590"/>
    <w:rsid w:val="00F755E4"/>
    <w:rsid w:val="00F77D02"/>
    <w:rsid w:val="00F8477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1DE5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008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926577"/>
    <w:rPr>
      <w:rFonts w:ascii="Calibri" w:eastAsia="SimSun" w:hAnsi="Calibri" w:cs="SimSun"/>
      <w:sz w:val="22"/>
      <w:szCs w:val="22"/>
    </w:rPr>
  </w:style>
  <w:style w:type="character" w:customStyle="1" w:styleId="Heading2Char">
    <w:name w:val="Heading 2 Char"/>
    <w:basedOn w:val="DefaultParagraphFont"/>
    <w:link w:val="Heading2"/>
    <w:semiHidden/>
    <w:rsid w:val="00E0080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0F64"/>
    <w:rPr>
      <w:color w:val="605E5C"/>
      <w:shd w:val="clear" w:color="auto" w:fill="E1DFDD"/>
    </w:rPr>
  </w:style>
  <w:style w:type="character" w:customStyle="1" w:styleId="FooterChar">
    <w:name w:val="Footer Char"/>
    <w:basedOn w:val="DefaultParagraphFont"/>
    <w:link w:val="Footer"/>
    <w:uiPriority w:val="99"/>
    <w:rsid w:val="002E5BF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6589540">
      <w:bodyDiv w:val="1"/>
      <w:marLeft w:val="0"/>
      <w:marRight w:val="0"/>
      <w:marTop w:val="0"/>
      <w:marBottom w:val="0"/>
      <w:divBdr>
        <w:top w:val="none" w:sz="0" w:space="0" w:color="auto"/>
        <w:left w:val="none" w:sz="0" w:space="0" w:color="auto"/>
        <w:bottom w:val="none" w:sz="0" w:space="0" w:color="auto"/>
        <w:right w:val="none" w:sz="0" w:space="0" w:color="auto"/>
      </w:divBdr>
    </w:div>
    <w:div w:id="1021960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1531222">
      <w:bodyDiv w:val="1"/>
      <w:marLeft w:val="0"/>
      <w:marRight w:val="0"/>
      <w:marTop w:val="0"/>
      <w:marBottom w:val="0"/>
      <w:divBdr>
        <w:top w:val="none" w:sz="0" w:space="0" w:color="auto"/>
        <w:left w:val="none" w:sz="0" w:space="0" w:color="auto"/>
        <w:bottom w:val="none" w:sz="0" w:space="0" w:color="auto"/>
        <w:right w:val="none" w:sz="0" w:space="0" w:color="auto"/>
      </w:divBdr>
    </w:div>
    <w:div w:id="4826283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9821164">
      <w:bodyDiv w:val="1"/>
      <w:marLeft w:val="0"/>
      <w:marRight w:val="0"/>
      <w:marTop w:val="0"/>
      <w:marBottom w:val="0"/>
      <w:divBdr>
        <w:top w:val="none" w:sz="0" w:space="0" w:color="auto"/>
        <w:left w:val="none" w:sz="0" w:space="0" w:color="auto"/>
        <w:bottom w:val="none" w:sz="0" w:space="0" w:color="auto"/>
        <w:right w:val="none" w:sz="0" w:space="0" w:color="auto"/>
      </w:divBdr>
    </w:div>
    <w:div w:id="81429490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68660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070559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7821918">
      <w:bodyDiv w:val="1"/>
      <w:marLeft w:val="0"/>
      <w:marRight w:val="0"/>
      <w:marTop w:val="0"/>
      <w:marBottom w:val="0"/>
      <w:divBdr>
        <w:top w:val="none" w:sz="0" w:space="0" w:color="auto"/>
        <w:left w:val="none" w:sz="0" w:space="0" w:color="auto"/>
        <w:bottom w:val="none" w:sz="0" w:space="0" w:color="auto"/>
        <w:right w:val="none" w:sz="0" w:space="0" w:color="auto"/>
      </w:divBdr>
    </w:div>
    <w:div w:id="1272205710">
      <w:bodyDiv w:val="1"/>
      <w:marLeft w:val="0"/>
      <w:marRight w:val="0"/>
      <w:marTop w:val="0"/>
      <w:marBottom w:val="0"/>
      <w:divBdr>
        <w:top w:val="none" w:sz="0" w:space="0" w:color="auto"/>
        <w:left w:val="none" w:sz="0" w:space="0" w:color="auto"/>
        <w:bottom w:val="none" w:sz="0" w:space="0" w:color="auto"/>
        <w:right w:val="none" w:sz="0" w:space="0" w:color="auto"/>
      </w:divBdr>
    </w:div>
    <w:div w:id="1353531515">
      <w:bodyDiv w:val="1"/>
      <w:marLeft w:val="0"/>
      <w:marRight w:val="0"/>
      <w:marTop w:val="0"/>
      <w:marBottom w:val="0"/>
      <w:divBdr>
        <w:top w:val="none" w:sz="0" w:space="0" w:color="auto"/>
        <w:left w:val="none" w:sz="0" w:space="0" w:color="auto"/>
        <w:bottom w:val="none" w:sz="0" w:space="0" w:color="auto"/>
        <w:right w:val="none" w:sz="0" w:space="0" w:color="auto"/>
      </w:divBdr>
    </w:div>
    <w:div w:id="1399982171">
      <w:bodyDiv w:val="1"/>
      <w:marLeft w:val="0"/>
      <w:marRight w:val="0"/>
      <w:marTop w:val="0"/>
      <w:marBottom w:val="0"/>
      <w:divBdr>
        <w:top w:val="none" w:sz="0" w:space="0" w:color="auto"/>
        <w:left w:val="none" w:sz="0" w:space="0" w:color="auto"/>
        <w:bottom w:val="none" w:sz="0" w:space="0" w:color="auto"/>
        <w:right w:val="none" w:sz="0" w:space="0" w:color="auto"/>
      </w:divBdr>
    </w:div>
    <w:div w:id="1505513534">
      <w:bodyDiv w:val="1"/>
      <w:marLeft w:val="0"/>
      <w:marRight w:val="0"/>
      <w:marTop w:val="0"/>
      <w:marBottom w:val="0"/>
      <w:divBdr>
        <w:top w:val="none" w:sz="0" w:space="0" w:color="auto"/>
        <w:left w:val="none" w:sz="0" w:space="0" w:color="auto"/>
        <w:bottom w:val="none" w:sz="0" w:space="0" w:color="auto"/>
        <w:right w:val="none" w:sz="0" w:space="0" w:color="auto"/>
      </w:divBdr>
    </w:div>
    <w:div w:id="1549956078">
      <w:bodyDiv w:val="1"/>
      <w:marLeft w:val="0"/>
      <w:marRight w:val="0"/>
      <w:marTop w:val="0"/>
      <w:marBottom w:val="0"/>
      <w:divBdr>
        <w:top w:val="none" w:sz="0" w:space="0" w:color="auto"/>
        <w:left w:val="none" w:sz="0" w:space="0" w:color="auto"/>
        <w:bottom w:val="none" w:sz="0" w:space="0" w:color="auto"/>
        <w:right w:val="none" w:sz="0" w:space="0" w:color="auto"/>
      </w:divBdr>
    </w:div>
    <w:div w:id="16835135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03293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651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x.doi.org/10.31838/srp.2020.9.69" TargetMode="External"/><Relationship Id="rId26" Type="http://schemas.openxmlformats.org/officeDocument/2006/relationships/hyperlink" Target="http://erepository.uonbi.ac.ke/handle/11295/157119" TargetMode="External"/><Relationship Id="rId39" Type="http://schemas.openxmlformats.org/officeDocument/2006/relationships/hyperlink" Target="https://doi.org/10.1089/fpd.2019.2680" TargetMode="External"/><Relationship Id="rId21" Type="http://schemas.openxmlformats.org/officeDocument/2006/relationships/hyperlink" Target="https://doi.org/10.1371/journal.pone.0225379" TargetMode="External"/><Relationship Id="rId34" Type="http://schemas.openxmlformats.org/officeDocument/2006/relationships/hyperlink" Target="http://dx.doi.org/10.9734/ajravs/2020/v3i2115" TargetMode="External"/><Relationship Id="rId42" Type="http://schemas.openxmlformats.org/officeDocument/2006/relationships/hyperlink" Target="http://hdl.handle.net/2263/60275" TargetMode="External"/><Relationship Id="rId47" Type="http://schemas.openxmlformats.org/officeDocument/2006/relationships/hyperlink" Target="https://doi.org/10.1016/j.ijfoodmicro.2023.110538" TargetMode="External"/><Relationship Id="rId50" Type="http://schemas.openxmlformats.org/officeDocument/2006/relationships/hyperlink" Target="http://dx.doi.org/10.9734/ajravs/2020/v3i2115"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nbs.or.ke/wp-content/uploads/2022/05/2022-Economic-Survey1.pdf" TargetMode="External"/><Relationship Id="rId29" Type="http://schemas.openxmlformats.org/officeDocument/2006/relationships/hyperlink" Target="https://doi.org/10.3390/foods10102249" TargetMode="External"/><Relationship Id="rId11" Type="http://schemas.openxmlformats.org/officeDocument/2006/relationships/footer" Target="footer2.xml"/><Relationship Id="rId24" Type="http://schemas.openxmlformats.org/officeDocument/2006/relationships/hyperlink" Target="http://erepository.uonbi.ac.ke/handle/11295/153074" TargetMode="External"/><Relationship Id="rId32" Type="http://schemas.openxmlformats.org/officeDocument/2006/relationships/hyperlink" Target="http://dx.doi.org/10.1039/D3FO01060K" TargetMode="External"/><Relationship Id="rId37" Type="http://schemas.openxmlformats.org/officeDocument/2006/relationships/hyperlink" Target="https://www.darvashco.com/wp-content/uploads/2024/07/CLSI-2024_compressed-1.pdf" TargetMode="External"/><Relationship Id="rId40" Type="http://schemas.openxmlformats.org/officeDocument/2006/relationships/hyperlink" Target="https://doi.org/10.1016/j.heliyon.2024.e36690" TargetMode="External"/><Relationship Id="rId45" Type="http://schemas.openxmlformats.org/officeDocument/2006/relationships/hyperlink" Target="https://doi.org/10.1371/journal.pone.0067366"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3329/aajbb.v1i3.639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aphriapub.com/index.php/AJSBS/issue/view/218" TargetMode="External"/><Relationship Id="rId22" Type="http://schemas.openxmlformats.org/officeDocument/2006/relationships/hyperlink" Target="http://dx.doi.org/10.15406/jdvar.2018.07.00184" TargetMode="External"/><Relationship Id="rId27" Type="http://schemas.openxmlformats.org/officeDocument/2006/relationships/hyperlink" Target="https://doi.org/10.1186/s13756-022-01202-y" TargetMode="External"/><Relationship Id="rId30" Type="http://schemas.openxmlformats.org/officeDocument/2006/relationships/hyperlink" Target="https://doi.org/10.3390/nu13124313" TargetMode="External"/><Relationship Id="rId35" Type="http://schemas.openxmlformats.org/officeDocument/2006/relationships/hyperlink" Target="https://doi.org/10.3390/polym15204130" TargetMode="External"/><Relationship Id="rId43" Type="http://schemas.openxmlformats.org/officeDocument/2006/relationships/hyperlink" Target="https://doi.org/10.1016/j.psj.2023.102830" TargetMode="External"/><Relationship Id="rId48" Type="http://schemas.openxmlformats.org/officeDocument/2006/relationships/hyperlink" Target="http://dspace.cvasu.ac.bd/jspui/handle/123456789/712"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preprints.org/manuscript/202409.1483/v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79/WPS200593" TargetMode="External"/><Relationship Id="rId25" Type="http://schemas.openxmlformats.org/officeDocument/2006/relationships/hyperlink" Target="https://doi.org/10.1128/microbiolspec.arba-0009-2017" TargetMode="External"/><Relationship Id="rId33" Type="http://schemas.openxmlformats.org/officeDocument/2006/relationships/hyperlink" Target="http://localhost/xmlui/handle/123456789/5993" TargetMode="External"/><Relationship Id="rId38" Type="http://schemas.openxmlformats.org/officeDocument/2006/relationships/hyperlink" Target="http://doi.101088/17551315/1465/1/012018" TargetMode="External"/><Relationship Id="rId46" Type="http://schemas.openxmlformats.org/officeDocument/2006/relationships/hyperlink" Target="http://hdl.handle.net/2263/98366" TargetMode="External"/><Relationship Id="rId20" Type="http://schemas.openxmlformats.org/officeDocument/2006/relationships/hyperlink" Target="https://doi.org/10.4314/ajcem.v25i3.9" TargetMode="External"/><Relationship Id="rId41" Type="http://schemas.openxmlformats.org/officeDocument/2006/relationships/hyperlink" Target="http://dx.doi.org/10.1080/23144599.2019.1708577"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repository.uonbi.ac.ke/handle/11295/153645" TargetMode="External"/><Relationship Id="rId23" Type="http://schemas.openxmlformats.org/officeDocument/2006/relationships/hyperlink" Target="https://doi.org/10.1186/s13104-021-05456-4" TargetMode="External"/><Relationship Id="rId28" Type="http://schemas.openxmlformats.org/officeDocument/2006/relationships/hyperlink" Target="https://doi.org/10.3390/antibiotics12050905" TargetMode="External"/><Relationship Id="rId36" Type="http://schemas.openxmlformats.org/officeDocument/2006/relationships/hyperlink" Target="https://doi.org/10.1016/S0147-9571(96)00024-0" TargetMode="External"/><Relationship Id="rId49" Type="http://schemas.openxmlformats.org/officeDocument/2006/relationships/hyperlink" Target="https://doi.org/10.1016/j.psj.2024.103560"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4202/vetworld.2022.397-402" TargetMode="External"/><Relationship Id="rId44" Type="http://schemas.openxmlformats.org/officeDocument/2006/relationships/hyperlink" Target="https://doi.org/10.3390/antibiotics10070784"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617D-C033-46D5-92A0-BBA2D607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10</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cp:revision>
  <cp:lastPrinted>1999-07-06T11:00:00Z</cp:lastPrinted>
  <dcterms:created xsi:type="dcterms:W3CDTF">2025-07-17T09:34:00Z</dcterms:created>
  <dcterms:modified xsi:type="dcterms:W3CDTF">2025-07-18T06:42:00Z</dcterms:modified>
</cp:coreProperties>
</file>