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99E" w:rsidRDefault="002C790E">
      <w:pPr>
        <w:spacing w:line="240" w:lineRule="auto"/>
        <w:ind w:left="90" w:hanging="180"/>
        <w:jc w:val="center"/>
        <w:rPr>
          <w:rFonts w:ascii="Times New Roman" w:hAnsi="Times New Roman" w:cs="Times New Roman"/>
          <w:b/>
          <w:sz w:val="24"/>
          <w:szCs w:val="24"/>
        </w:rPr>
      </w:pPr>
      <w:r>
        <w:rPr>
          <w:rFonts w:ascii="Times New Roman" w:hAnsi="Times New Roman" w:cs="Times New Roman"/>
          <w:b/>
          <w:sz w:val="24"/>
          <w:szCs w:val="24"/>
          <w:lang w:val="en-GB"/>
        </w:rPr>
        <w:t xml:space="preserve">Coping Strategies </w:t>
      </w:r>
      <w:r>
        <w:rPr>
          <w:rFonts w:ascii="Times New Roman" w:hAnsi="Times New Roman" w:cs="Times New Roman"/>
          <w:b/>
          <w:sz w:val="24"/>
          <w:szCs w:val="24"/>
        </w:rPr>
        <w:t xml:space="preserve">adopted by </w:t>
      </w:r>
      <w:r>
        <w:rPr>
          <w:rFonts w:ascii="Times New Roman" w:hAnsi="Times New Roman" w:cs="Times New Roman"/>
          <w:b/>
          <w:sz w:val="24"/>
          <w:szCs w:val="24"/>
          <w:lang w:val="en-GB"/>
        </w:rPr>
        <w:t xml:space="preserve">Arable Crop Farmers against </w:t>
      </w:r>
      <w:r>
        <w:rPr>
          <w:rFonts w:ascii="Times New Roman" w:hAnsi="Times New Roman" w:cs="Times New Roman"/>
          <w:b/>
          <w:sz w:val="24"/>
          <w:szCs w:val="24"/>
        </w:rPr>
        <w:t>Pastoralists’ Activities in Oyo State, Nigeria</w:t>
      </w:r>
    </w:p>
    <w:p w:rsidR="008B3EDA" w:rsidRDefault="008B3EDA">
      <w:pPr>
        <w:spacing w:after="0" w:line="360" w:lineRule="auto"/>
        <w:jc w:val="both"/>
        <w:rPr>
          <w:rFonts w:ascii="Times New Roman" w:hAnsi="Times New Roman" w:cs="Times New Roman"/>
          <w:b/>
          <w:sz w:val="24"/>
          <w:szCs w:val="24"/>
        </w:rPr>
      </w:pPr>
    </w:p>
    <w:p w:rsidR="008B3EDA" w:rsidRDefault="008B3EDA">
      <w:pPr>
        <w:spacing w:after="0" w:line="360" w:lineRule="auto"/>
        <w:jc w:val="both"/>
        <w:rPr>
          <w:rFonts w:ascii="Times New Roman" w:hAnsi="Times New Roman" w:cs="Times New Roman"/>
          <w:b/>
          <w:sz w:val="24"/>
          <w:szCs w:val="24"/>
        </w:rPr>
      </w:pPr>
    </w:p>
    <w:p w:rsidR="008F099E" w:rsidRDefault="002C790E">
      <w:pPr>
        <w:spacing w:after="0" w:line="360" w:lineRule="auto"/>
        <w:jc w:val="both"/>
        <w:rPr>
          <w:rFonts w:ascii="Times New Roman" w:hAnsi="Times New Roman" w:cs="Times New Roman"/>
          <w:i/>
          <w:sz w:val="24"/>
          <w:szCs w:val="24"/>
        </w:rPr>
      </w:pPr>
      <w:bookmarkStart w:id="0" w:name="_GoBack"/>
      <w:bookmarkEnd w:id="0"/>
      <w:r>
        <w:rPr>
          <w:rFonts w:ascii="Times New Roman" w:hAnsi="Times New Roman" w:cs="Times New Roman"/>
          <w:b/>
          <w:sz w:val="24"/>
          <w:szCs w:val="24"/>
        </w:rPr>
        <w:t>Abstract</w:t>
      </w:r>
    </w:p>
    <w:p w:rsidR="008F099E" w:rsidRDefault="002C790E">
      <w:pPr>
        <w:spacing w:line="240" w:lineRule="auto"/>
        <w:jc w:val="both"/>
        <w:rPr>
          <w:rFonts w:ascii="Times New Roman" w:hAnsi="Times New Roman" w:cs="Times New Roman"/>
          <w:i/>
          <w:sz w:val="24"/>
          <w:szCs w:val="24"/>
        </w:rPr>
      </w:pPr>
      <w:r>
        <w:rPr>
          <w:rFonts w:ascii="Times New Roman" w:hAnsi="Times New Roman" w:cs="Times New Roman"/>
          <w:i/>
          <w:iCs/>
          <w:sz w:val="24"/>
          <w:szCs w:val="24"/>
        </w:rPr>
        <w:t>Conflicts between arable crop farmers and pastoralists have become a major threat to food security and rural livelihoods in Nigeria. Thi</w:t>
      </w:r>
      <w:r>
        <w:rPr>
          <w:rFonts w:ascii="Times New Roman" w:hAnsi="Times New Roman" w:cs="Times New Roman"/>
          <w:i/>
          <w:iCs/>
          <w:sz w:val="24"/>
          <w:szCs w:val="24"/>
        </w:rPr>
        <w:t>s study examined the coping strategies adopted by arable crop farmers in Oyo State, with emphasis on their socio-economic and institutional characteristics. A multistage sampling technique was used to select 160 respondents from four conflict-prone Local G</w:t>
      </w:r>
      <w:r>
        <w:rPr>
          <w:rFonts w:ascii="Times New Roman" w:hAnsi="Times New Roman" w:cs="Times New Roman"/>
          <w:i/>
          <w:iCs/>
          <w:sz w:val="24"/>
          <w:szCs w:val="24"/>
        </w:rPr>
        <w:t>overnment Areas. Data were collected through structured interviews and analyzed using descriptive statistics and Chi-square tests. Findings revealed that most respondents were male, married, within the economically active age group, and possessed secondary</w:t>
      </w:r>
      <w:r>
        <w:rPr>
          <w:rFonts w:ascii="Times New Roman" w:hAnsi="Times New Roman" w:cs="Times New Roman"/>
          <w:i/>
          <w:iCs/>
          <w:sz w:val="24"/>
          <w:szCs w:val="24"/>
        </w:rPr>
        <w:t xml:space="preserve"> or tertiary education. The majority cultivated small farm sizes and had over </w:t>
      </w:r>
      <w:r>
        <w:rPr>
          <w:rFonts w:ascii="Times New Roman" w:hAnsi="Times New Roman" w:cs="Times New Roman"/>
          <w:i/>
          <w:iCs/>
          <w:sz w:val="24"/>
          <w:szCs w:val="24"/>
        </w:rPr>
        <w:t xml:space="preserve">10 </w:t>
      </w:r>
      <w:r>
        <w:rPr>
          <w:rFonts w:ascii="Times New Roman" w:hAnsi="Times New Roman" w:cs="Times New Roman"/>
          <w:i/>
          <w:iCs/>
          <w:sz w:val="24"/>
          <w:szCs w:val="24"/>
        </w:rPr>
        <w:t xml:space="preserve">years of farming experience. These socio-economic characteristics showed a significant association (p &lt; 0.05) with the coping strategies adopted. Institutionally, while 72.5% </w:t>
      </w:r>
      <w:r>
        <w:rPr>
          <w:rFonts w:ascii="Times New Roman" w:hAnsi="Times New Roman" w:cs="Times New Roman"/>
          <w:i/>
          <w:iCs/>
          <w:sz w:val="24"/>
          <w:szCs w:val="24"/>
        </w:rPr>
        <w:t>of farmers were members of cooperative societies that supported access to credit and information, access to extension services (41.2%) and participation in agricultural insurance were limited. Pastoralist activities identified as most disruptive included f</w:t>
      </w:r>
      <w:r>
        <w:rPr>
          <w:rFonts w:ascii="Times New Roman" w:hAnsi="Times New Roman" w:cs="Times New Roman"/>
          <w:i/>
          <w:iCs/>
          <w:sz w:val="24"/>
          <w:szCs w:val="24"/>
        </w:rPr>
        <w:t xml:space="preserve">armland grazing, crop destruction, bush burning, and water pollution. In response, farmers adopted a range of coping strategies such as early harvesting, partial fencing, dialogue with settled pastoralists, planting restraining crops, diversification into </w:t>
      </w:r>
      <w:r>
        <w:rPr>
          <w:rFonts w:ascii="Times New Roman" w:hAnsi="Times New Roman" w:cs="Times New Roman"/>
          <w:i/>
          <w:iCs/>
          <w:sz w:val="24"/>
          <w:szCs w:val="24"/>
        </w:rPr>
        <w:t>secondary occupations, and use of multiple farm plots. Despite these efforts, limited institutional support continues to constrain adaptive capacity. The study recommends strengthening extension services, improving access to credit and insurance, and promo</w:t>
      </w:r>
      <w:r>
        <w:rPr>
          <w:rFonts w:ascii="Times New Roman" w:hAnsi="Times New Roman" w:cs="Times New Roman"/>
          <w:i/>
          <w:iCs/>
          <w:sz w:val="24"/>
          <w:szCs w:val="24"/>
        </w:rPr>
        <w:t>ting community-based conflict resolution mechanisms to enhance farmer resilience and foster peaceful coexistence in conflict-prone agricultural areas.</w:t>
      </w:r>
    </w:p>
    <w:p w:rsidR="008F099E" w:rsidRDefault="002C790E">
      <w:pPr>
        <w:spacing w:line="240" w:lineRule="auto"/>
        <w:jc w:val="both"/>
        <w:rPr>
          <w:rFonts w:ascii="Times New Roman" w:hAnsi="Times New Roman" w:cs="Times New Roman"/>
          <w:sz w:val="24"/>
          <w:szCs w:val="24"/>
        </w:rPr>
      </w:pPr>
      <w:r>
        <w:rPr>
          <w:rFonts w:ascii="Times New Roman" w:hAnsi="Times New Roman" w:cs="Times New Roman"/>
          <w:b/>
          <w:bCs/>
          <w:i/>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 xml:space="preserve">Arable crop farmers, pastoralists, coping strategies, conflict, Oyo State, </w:t>
      </w:r>
    </w:p>
    <w:p w:rsidR="008F099E" w:rsidRDefault="002C79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resilience, </w:t>
      </w:r>
      <w:r>
        <w:rPr>
          <w:rFonts w:ascii="Times New Roman" w:hAnsi="Times New Roman" w:cs="Times New Roman"/>
          <w:sz w:val="24"/>
          <w:szCs w:val="24"/>
        </w:rPr>
        <w:t>agriculture, Nigeria.</w:t>
      </w:r>
    </w:p>
    <w:p w:rsidR="008F099E" w:rsidRDefault="002C7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Agriculture was once the backbone of Nigeria's economy, serving as the primary source of revenue, employment, and food security prior to the discovery of crude oil in commercial quantity in </w:t>
      </w:r>
      <w:r>
        <w:rPr>
          <w:rFonts w:ascii="Times New Roman" w:hAnsi="Times New Roman" w:cs="Times New Roman"/>
          <w:sz w:val="24"/>
          <w:szCs w:val="24"/>
        </w:rPr>
        <w:t xml:space="preserve">the  country </w:t>
      </w:r>
      <w:r>
        <w:rPr>
          <w:rFonts w:ascii="Times New Roman" w:hAnsi="Times New Roman" w:cs="Times New Roman"/>
          <w:sz w:val="24"/>
          <w:szCs w:val="24"/>
        </w:rPr>
        <w:t>(Micah, 2020). Dur</w:t>
      </w:r>
      <w:r>
        <w:rPr>
          <w:rFonts w:ascii="Times New Roman" w:hAnsi="Times New Roman" w:cs="Times New Roman"/>
          <w:sz w:val="24"/>
          <w:szCs w:val="24"/>
        </w:rPr>
        <w:t>ing this period, farming activities flourished, particularly in rural communities where subsistence and smallholder farming were predominant. In parallel, pastoralism especially nomadic and semi-nomadic cattle rearing played a critical role in providing me</w:t>
      </w:r>
      <w:r>
        <w:rPr>
          <w:rFonts w:ascii="Times New Roman" w:hAnsi="Times New Roman" w:cs="Times New Roman"/>
          <w:sz w:val="24"/>
          <w:szCs w:val="24"/>
        </w:rPr>
        <w:t>at, milk, and other animal products, while also contributing to national food systems and livelihoods. Historically, a symbiotic relationship existed between arable crop farmers and pastoralist herders across many regions in Nigeria. The relationship was g</w:t>
      </w:r>
      <w:r>
        <w:rPr>
          <w:rFonts w:ascii="Times New Roman" w:hAnsi="Times New Roman" w:cs="Times New Roman"/>
          <w:sz w:val="24"/>
          <w:szCs w:val="24"/>
        </w:rPr>
        <w:t>uided by indigenous norms, customary institutions, and mutual understanding. Herders traditionally grazed their livestock on harvested farmlands, contributing to soil fertility through animal droppings, while farmers, in return, permitted seasonal access t</w:t>
      </w:r>
      <w:r>
        <w:rPr>
          <w:rFonts w:ascii="Times New Roman" w:hAnsi="Times New Roman" w:cs="Times New Roman"/>
          <w:sz w:val="24"/>
          <w:szCs w:val="24"/>
        </w:rPr>
        <w:t xml:space="preserve">o land after the crop season (Alexander, 2021). In </w:t>
      </w:r>
      <w:r>
        <w:rPr>
          <w:rFonts w:ascii="Times New Roman" w:hAnsi="Times New Roman" w:cs="Times New Roman"/>
          <w:sz w:val="24"/>
          <w:szCs w:val="24"/>
        </w:rPr>
        <w:lastRenderedPageBreak/>
        <w:t>many rural areas, this coexistence extended to economic exchange through barter systems, where livestock products were traded for grains and other farm produce. This arrangement not only promoted environme</w:t>
      </w:r>
      <w:r>
        <w:rPr>
          <w:rFonts w:ascii="Times New Roman" w:hAnsi="Times New Roman" w:cs="Times New Roman"/>
          <w:sz w:val="24"/>
          <w:szCs w:val="24"/>
        </w:rPr>
        <w:t>ntal sustainability but also strengthened inter-community trust, social cohesion, and economic interdependence.</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in recent decades, this once peaceful relationship has drastically eroded. The farmer-herder dynamic in Nigeria has become increasingly</w:t>
      </w:r>
      <w:r>
        <w:rPr>
          <w:rFonts w:ascii="Times New Roman" w:hAnsi="Times New Roman" w:cs="Times New Roman"/>
          <w:sz w:val="24"/>
          <w:szCs w:val="24"/>
        </w:rPr>
        <w:t xml:space="preserve"> characterized by tension, competition, and, in extreme cases, violence. Escalating clashes between pastoralists and arable crop farmers are now a persistent threat to national food security, rural livelihoods, and socio political stability. Several interr</w:t>
      </w:r>
      <w:r>
        <w:rPr>
          <w:rFonts w:ascii="Times New Roman" w:hAnsi="Times New Roman" w:cs="Times New Roman"/>
          <w:sz w:val="24"/>
          <w:szCs w:val="24"/>
        </w:rPr>
        <w:t>elated factors have contributed to the breakdown of this traditional alliance. These include climate change, population growth, land degradation, desertification in the northern regions and expansion of sedentary farming and land tenure systems (Adedapo, 2</w:t>
      </w:r>
      <w:r>
        <w:rPr>
          <w:rFonts w:ascii="Times New Roman" w:hAnsi="Times New Roman" w:cs="Times New Roman"/>
          <w:sz w:val="24"/>
          <w:szCs w:val="24"/>
        </w:rPr>
        <w:t>020). As pastoral lands in the Sahel and northern savannah zones continue to shrink due to drought and desert encroachment, herders are forced to migrate southward in search of grazing pastures and water for their animals. This migratory movement often bri</w:t>
      </w:r>
      <w:r>
        <w:rPr>
          <w:rFonts w:ascii="Times New Roman" w:hAnsi="Times New Roman" w:cs="Times New Roman"/>
          <w:sz w:val="24"/>
          <w:szCs w:val="24"/>
        </w:rPr>
        <w:t>ngs them into conflict with settled farming communities in the Middle Belt and southwest Nigeria, where land is increasingly scarce and intensively cultivated. In many cases, herders’ cattle trespass on cultivated farmlands, leading to crop destruction and</w:t>
      </w:r>
      <w:r>
        <w:rPr>
          <w:rFonts w:ascii="Times New Roman" w:hAnsi="Times New Roman" w:cs="Times New Roman"/>
          <w:sz w:val="24"/>
          <w:szCs w:val="24"/>
        </w:rPr>
        <w:t xml:space="preserve"> heightened tensions. These interactions have frequently escalated into violent confrontations among the two groups (Akinpeloye et al., 2020).</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these persistent threats, farmers have adopted various coping strategies to sustain their liveliho</w:t>
      </w:r>
      <w:r>
        <w:rPr>
          <w:rFonts w:ascii="Times New Roman" w:hAnsi="Times New Roman" w:cs="Times New Roman"/>
          <w:sz w:val="24"/>
          <w:szCs w:val="24"/>
        </w:rPr>
        <w:t>ods. Coping strategies are defined as the conscious and adaptive responses employed by individuals or communities to manage stress, uncertainty, and resource scarcity. According to Sulaiman (2020), coping strategies encompass psychological, economic, socia</w:t>
      </w:r>
      <w:r>
        <w:rPr>
          <w:rFonts w:ascii="Times New Roman" w:hAnsi="Times New Roman" w:cs="Times New Roman"/>
          <w:sz w:val="24"/>
          <w:szCs w:val="24"/>
        </w:rPr>
        <w:t xml:space="preserve">l, and political dimensions, and are shaped by contextual realities and institutional frameworks. Empirical studies have shown that farmers across Nigeria rely on collective strategies to mitigate the impact of pastoralists’ invasion on farmland. Thornton </w:t>
      </w:r>
      <w:r>
        <w:rPr>
          <w:rFonts w:ascii="Times New Roman" w:hAnsi="Times New Roman" w:cs="Times New Roman"/>
          <w:sz w:val="24"/>
          <w:szCs w:val="24"/>
        </w:rPr>
        <w:t>and Lipper (2020) identify livelihood diversification as a core resilience mechanism. This includes combining on-farm and off-farm income activities, such as petty trading, artisanal labor, or seasonal migration. Adebayo et al., (2021) note that farmers wi</w:t>
      </w:r>
      <w:r>
        <w:rPr>
          <w:rFonts w:ascii="Times New Roman" w:hAnsi="Times New Roman" w:cs="Times New Roman"/>
          <w:sz w:val="24"/>
          <w:szCs w:val="24"/>
        </w:rPr>
        <w:t>th access to extension services, membership in cooperatives or farmer associations and higher levels of education tend to adopt more effective coping mechanisms. In states like Nasarawa and Benue, where the conflict has been particularly severe, Yikwabs an</w:t>
      </w:r>
      <w:r>
        <w:rPr>
          <w:rFonts w:ascii="Times New Roman" w:hAnsi="Times New Roman" w:cs="Times New Roman"/>
          <w:sz w:val="24"/>
          <w:szCs w:val="24"/>
        </w:rPr>
        <w:t xml:space="preserve">d Tade (2021) observed that farmers resort to job switching, relocation to safer areas, establishing local vigilance groups, and strengthening kinship networks for security and economic support. While </w:t>
      </w:r>
      <w:r>
        <w:rPr>
          <w:rFonts w:ascii="Times New Roman" w:hAnsi="Times New Roman" w:cs="Times New Roman"/>
          <w:sz w:val="24"/>
          <w:szCs w:val="24"/>
        </w:rPr>
        <w:lastRenderedPageBreak/>
        <w:t>considerable work has been done on the causes and conse</w:t>
      </w:r>
      <w:r>
        <w:rPr>
          <w:rFonts w:ascii="Times New Roman" w:hAnsi="Times New Roman" w:cs="Times New Roman"/>
          <w:sz w:val="24"/>
          <w:szCs w:val="24"/>
        </w:rPr>
        <w:t>quences of the farmer-herder conflict (Adedapo, 2020; Alexander, 2021), there is a need for studies that explore the nature of pastoralists’ activities and coping strategies adopted by farmers incorporating the voices of those most affected by the activiti</w:t>
      </w:r>
      <w:r>
        <w:rPr>
          <w:rFonts w:ascii="Times New Roman" w:hAnsi="Times New Roman" w:cs="Times New Roman"/>
          <w:sz w:val="24"/>
          <w:szCs w:val="24"/>
        </w:rPr>
        <w:t>es.</w:t>
      </w:r>
    </w:p>
    <w:p w:rsidR="008F099E" w:rsidRDefault="002C790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the Study</w:t>
      </w:r>
    </w:p>
    <w:p w:rsidR="008F099E" w:rsidRDefault="002C790E">
      <w:pPr>
        <w:spacing w:line="360" w:lineRule="auto"/>
        <w:rPr>
          <w:rFonts w:ascii="Times New Roman" w:hAnsi="Times New Roman" w:cs="Times New Roman"/>
          <w:sz w:val="24"/>
          <w:szCs w:val="24"/>
        </w:rPr>
      </w:pPr>
      <w:r>
        <w:rPr>
          <w:rFonts w:ascii="Times New Roman" w:hAnsi="Times New Roman" w:cs="Times New Roman"/>
          <w:sz w:val="24"/>
          <w:szCs w:val="24"/>
        </w:rPr>
        <w:t>The study investigated the coping strategies adopted by arable crop farmers to mitigate pastoralists’ activities in Oyo state, Nigeria</w:t>
      </w:r>
    </w:p>
    <w:p w:rsidR="008F099E" w:rsidRDefault="002C790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study:</w:t>
      </w:r>
    </w:p>
    <w:p w:rsidR="008F099E" w:rsidRDefault="002C790E">
      <w:pPr>
        <w:pStyle w:val="BodyText"/>
        <w:numPr>
          <w:ilvl w:val="0"/>
          <w:numId w:val="1"/>
        </w:numPr>
        <w:spacing w:line="360" w:lineRule="auto"/>
        <w:ind w:right="116"/>
        <w:jc w:val="both"/>
        <w:rPr>
          <w:b/>
        </w:rPr>
      </w:pPr>
      <w:r>
        <w:t>ascertain the socio-economic and institutional</w:t>
      </w:r>
      <w:r>
        <w:t xml:space="preserve"> characteristics of the respondents in the study area</w:t>
      </w:r>
    </w:p>
    <w:p w:rsidR="008F099E" w:rsidRDefault="002C790E">
      <w:pPr>
        <w:pStyle w:val="BodyText"/>
        <w:numPr>
          <w:ilvl w:val="0"/>
          <w:numId w:val="1"/>
        </w:numPr>
        <w:spacing w:line="360" w:lineRule="auto"/>
        <w:ind w:right="116"/>
        <w:jc w:val="both"/>
        <w:rPr>
          <w:b/>
        </w:rPr>
      </w:pPr>
      <w:r>
        <w:t>identify the pastoralists’ activities that affect soil and arable crop production in the study area and</w:t>
      </w:r>
    </w:p>
    <w:p w:rsidR="008F099E" w:rsidRDefault="002C790E">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hAnsi="Times New Roman" w:cs="Times New Roman"/>
          <w:sz w:val="24"/>
          <w:szCs w:val="24"/>
        </w:rPr>
        <w:t>determine the arable crop farmers coping strategies adopted against pastoralists activities in the</w:t>
      </w:r>
      <w:r>
        <w:rPr>
          <w:rFonts w:ascii="Times New Roman" w:hAnsi="Times New Roman" w:cs="Times New Roman"/>
          <w:sz w:val="24"/>
          <w:szCs w:val="24"/>
        </w:rPr>
        <w:t xml:space="preserve"> study area.</w:t>
      </w:r>
    </w:p>
    <w:p w:rsidR="008F099E" w:rsidRDefault="002C790E">
      <w:pPr>
        <w:pStyle w:val="BodyText"/>
        <w:spacing w:line="360" w:lineRule="auto"/>
        <w:ind w:right="116"/>
        <w:jc w:val="both"/>
      </w:pPr>
      <w:r>
        <w:rPr>
          <w:b/>
        </w:rPr>
        <w:t>Hypotheses of the Study</w:t>
      </w:r>
      <w:r>
        <w:rPr>
          <w:b/>
        </w:rPr>
        <w:tab/>
      </w:r>
      <w:r>
        <w:rPr>
          <w:b/>
        </w:rPr>
        <w:tab/>
      </w:r>
    </w:p>
    <w:p w:rsidR="008F099E" w:rsidRDefault="002C790E">
      <w:pPr>
        <w:pStyle w:val="CommentText"/>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There is no significant association between selected socioeconomic characteristics of the respondents and the coping strategies adopted against  pastoralists’ activities in</w:t>
      </w:r>
      <w:r>
        <w:rPr>
          <w:rFonts w:ascii="Times New Roman" w:eastAsia="Times New Roman" w:hAnsi="Times New Roman" w:cs="Times New Roman"/>
          <w:sz w:val="24"/>
          <w:szCs w:val="24"/>
        </w:rPr>
        <w:t xml:space="preserve"> the study area.</w:t>
      </w:r>
    </w:p>
    <w:p w:rsidR="008F099E" w:rsidRDefault="002C790E">
      <w:pPr>
        <w:pStyle w:val="CommentText"/>
        <w:spacing w:before="240"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METHODOLOGY </w:t>
      </w:r>
    </w:p>
    <w:p w:rsidR="008F099E" w:rsidRDefault="002C790E">
      <w:pPr>
        <w:pStyle w:val="BodyText"/>
        <w:spacing w:line="360" w:lineRule="auto"/>
        <w:jc w:val="both"/>
      </w:pPr>
      <w:r>
        <w:rPr>
          <w:b/>
        </w:rPr>
        <w:t xml:space="preserve">3.1  </w:t>
      </w:r>
      <w:r>
        <w:rPr>
          <w:b/>
        </w:rPr>
        <w:t xml:space="preserve">Study area </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the derived savannah zone of Oyo State, Nigeria. This agroecological zone is characterized by a mixture of Guinea savannah and semi-deciduous forest, supporting both arable crop cultivation and livestock grazing. The </w:t>
      </w:r>
      <w:r>
        <w:rPr>
          <w:rFonts w:ascii="Times New Roman" w:hAnsi="Times New Roman" w:cs="Times New Roman"/>
          <w:sz w:val="24"/>
          <w:szCs w:val="24"/>
        </w:rPr>
        <w:t>area experiences a bimodal rainfall pattern ranging from 1000 to 1350 mm annually, with a mean temperature of 22–31°C. The predominant soil type is sandy loam, suitable for cultivating crops such as maize, cassava, yam, and sorghum. Oyo State is strategica</w:t>
      </w:r>
      <w:r>
        <w:rPr>
          <w:rFonts w:ascii="Times New Roman" w:hAnsi="Times New Roman" w:cs="Times New Roman"/>
          <w:sz w:val="24"/>
          <w:szCs w:val="24"/>
        </w:rPr>
        <w:t>lly significant due to its frequent farmer-pastoralist interactions and recurring conflict hotspots.</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employed a descriptive survey design aimed at collecting detailed, firsthand data on the coping strategies adopted by arable </w:t>
      </w:r>
      <w:r>
        <w:rPr>
          <w:rFonts w:ascii="Times New Roman" w:hAnsi="Times New Roman" w:cs="Times New Roman"/>
          <w:sz w:val="24"/>
          <w:szCs w:val="24"/>
        </w:rPr>
        <w:t xml:space="preserve">crop farmers against pastoralist activities. This design was </w:t>
      </w:r>
      <w:r>
        <w:rPr>
          <w:rFonts w:ascii="Times New Roman" w:hAnsi="Times New Roman" w:cs="Times New Roman"/>
          <w:sz w:val="24"/>
          <w:szCs w:val="24"/>
        </w:rPr>
        <w:lastRenderedPageBreak/>
        <w:t>appropriate for examining respondents’ experiences, behaviors, and perspectives in a natural setting.</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Sampling Procedure</w:t>
      </w:r>
      <w:r>
        <w:rPr>
          <w:rFonts w:ascii="Times New Roman" w:hAnsi="Times New Roman" w:cs="Times New Roman"/>
          <w:sz w:val="24"/>
          <w:szCs w:val="24"/>
        </w:rPr>
        <w:t xml:space="preserve"> </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multi-stage sampling technique was employed in selecting respondents fo</w:t>
      </w:r>
      <w:r>
        <w:rPr>
          <w:rFonts w:ascii="Times New Roman" w:hAnsi="Times New Roman" w:cs="Times New Roman"/>
          <w:sz w:val="24"/>
          <w:szCs w:val="24"/>
        </w:rPr>
        <w:t>r the study. In the first stage, four conflict-prone Local Government Areas (LGAs) in Oyo State namely Ibarapa North, Iseyin, Oorelope, and Saki East — were purposively selected based on documented evidence and local reports of frequent clashes between ara</w:t>
      </w:r>
      <w:r>
        <w:rPr>
          <w:rFonts w:ascii="Times New Roman" w:hAnsi="Times New Roman" w:cs="Times New Roman"/>
          <w:sz w:val="24"/>
          <w:szCs w:val="24"/>
        </w:rPr>
        <w:t>ble crop farmers and pastoralists. In the second stage, two farming communities were purposively selected from each of the chosen LGAs. The selection was based on the communities’ history of significant interactions and conflicts with pastoralists, which m</w:t>
      </w:r>
      <w:r>
        <w:rPr>
          <w:rFonts w:ascii="Times New Roman" w:hAnsi="Times New Roman" w:cs="Times New Roman"/>
          <w:sz w:val="24"/>
          <w:szCs w:val="24"/>
        </w:rPr>
        <w:t>ade them suitable for the study's objectives. Finally, in the third stage, a simple random sampling technique was used to select 20 arable crop farmers from each of the eight communities. This brought the total number of respondents to 160, ensuring a repr</w:t>
      </w:r>
      <w:r>
        <w:rPr>
          <w:rFonts w:ascii="Times New Roman" w:hAnsi="Times New Roman" w:cs="Times New Roman"/>
          <w:sz w:val="24"/>
          <w:szCs w:val="24"/>
        </w:rPr>
        <w:t>esentative sample for meaningful data analysis.</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 Data Collection Instruments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were collected through a structured and pre-tested interview schedule designed in line with the study objectives. The instrument was validated by agricultural exte</w:t>
      </w:r>
      <w:r>
        <w:rPr>
          <w:rFonts w:ascii="Times New Roman" w:hAnsi="Times New Roman" w:cs="Times New Roman"/>
          <w:sz w:val="24"/>
          <w:szCs w:val="24"/>
        </w:rPr>
        <w:t>nsion experts at the Federal University of Technology, Akure. A test-retest reliability method yielded a Cronbach’s alpha coefficient of 0.80, indicating high reliability. Secondary data were sourced from peer-reviewed journals, conference proceedings, gov</w:t>
      </w:r>
      <w:r>
        <w:rPr>
          <w:rFonts w:ascii="Times New Roman" w:hAnsi="Times New Roman" w:cs="Times New Roman"/>
          <w:sz w:val="24"/>
          <w:szCs w:val="24"/>
        </w:rPr>
        <w:t>ernment reports, textbooks, and internet-based scholarly resources.</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 Data Analysis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were analyzed using both descriptive and inferential statistical techniques: Descriptive statistics (frequency, percentages, mean, and standard deviation) were used </w:t>
      </w:r>
      <w:r>
        <w:rPr>
          <w:rFonts w:ascii="Times New Roman" w:hAnsi="Times New Roman" w:cs="Times New Roman"/>
          <w:sz w:val="24"/>
          <w:szCs w:val="24"/>
        </w:rPr>
        <w:t>to summarize respondents’ socio-economic and institutional characteristics, as well as  coping strategies. Inferential statistics: Chi-square (χ²) tests were employed todetermine the relationship between selected socio-economic variables (age, marital stat</w:t>
      </w:r>
      <w:r>
        <w:rPr>
          <w:rFonts w:ascii="Times New Roman" w:hAnsi="Times New Roman" w:cs="Times New Roman"/>
          <w:sz w:val="24"/>
          <w:szCs w:val="24"/>
        </w:rPr>
        <w:t>us, education, household size, farm size, and farming experience) and the coping strategies adopted. The significance level was set at p &lt; 0.05.</w:t>
      </w:r>
    </w:p>
    <w:p w:rsidR="008F099E" w:rsidRDefault="008F099E">
      <w:pPr>
        <w:spacing w:line="360" w:lineRule="auto"/>
        <w:jc w:val="both"/>
        <w:rPr>
          <w:rFonts w:ascii="Times New Roman" w:hAnsi="Times New Roman" w:cs="Times New Roman"/>
          <w:sz w:val="24"/>
          <w:szCs w:val="24"/>
        </w:rPr>
      </w:pPr>
    </w:p>
    <w:p w:rsidR="008F099E" w:rsidRDefault="002C790E">
      <w:pPr>
        <w:shd w:val="clear" w:color="FFFFFF" w:fill="FFFFFF"/>
        <w:spacing w:after="0" w:line="360" w:lineRule="auto"/>
        <w:rPr>
          <w:rFonts w:ascii="Times New Roman" w:hAnsi="Times New Roman" w:cs="Times New Roman"/>
          <w:b/>
          <w:sz w:val="24"/>
          <w:szCs w:val="24"/>
        </w:rPr>
      </w:pPr>
      <w:r>
        <w:rPr>
          <w:rFonts w:ascii="Times New Roman" w:hAnsi="Times New Roman" w:cs="Times New Roman"/>
          <w:b/>
          <w:sz w:val="24"/>
          <w:szCs w:val="24"/>
        </w:rPr>
        <w:t>RESULTS AND DISCUSSIONS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Socio-Economic Characteristics of the Respondents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presents the distribution of</w:t>
      </w:r>
      <w:r>
        <w:rPr>
          <w:rFonts w:ascii="Times New Roman" w:hAnsi="Times New Roman" w:cs="Times New Roman"/>
          <w:sz w:val="24"/>
          <w:szCs w:val="24"/>
        </w:rPr>
        <w:t xml:space="preserve"> arable crop farmers based on key demographic and economic variables.</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Distribution:</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 majority of the respondents (66.3%) were male, while 33.8% were female. This indicates that arable farming in the study area is male-dominated. The gender disparit</w:t>
      </w:r>
      <w:r>
        <w:rPr>
          <w:rFonts w:ascii="Times New Roman" w:hAnsi="Times New Roman" w:cs="Times New Roman"/>
          <w:sz w:val="24"/>
          <w:szCs w:val="24"/>
        </w:rPr>
        <w:t>y could be attributed to the labor-intensive nature of crop farming, land tenure systems, and cultural norms that often limit women’s access to land and production inputs.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r>
        <w:rPr>
          <w:rFonts w:ascii="Times New Roman" w:hAnsi="Times New Roman" w:cs="Times New Roman"/>
          <w:sz w:val="24"/>
          <w:szCs w:val="24"/>
        </w:rPr>
        <w:t>:</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Results revealed that 83.1% of respondents cultivated between 0.1–5 hecta</w:t>
      </w:r>
      <w:r>
        <w:rPr>
          <w:rFonts w:ascii="Times New Roman" w:hAnsi="Times New Roman" w:cs="Times New Roman"/>
          <w:sz w:val="24"/>
          <w:szCs w:val="24"/>
        </w:rPr>
        <w:t>res, while only 16.9% operated farms above 5 hectares. The average farm size was 4.1 hectares. This indicates the dominance of smallholder farmers in the study area. Access to land remains a key constraint in rural Nigeria, particularly in regions experien</w:t>
      </w:r>
      <w:r>
        <w:rPr>
          <w:rFonts w:ascii="Times New Roman" w:hAnsi="Times New Roman" w:cs="Times New Roman"/>
          <w:sz w:val="24"/>
          <w:szCs w:val="24"/>
        </w:rPr>
        <w:t>cing conflicts with pastoralists (Akinyemi et al., 2021).</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Marital Status</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About 90.6% of respondents were married, 6.9% widowed, and only 2.5% single. This high rate of marriage is typical of rural agrarian communities, where farming is often a family-base</w:t>
      </w:r>
      <w:r>
        <w:rPr>
          <w:rFonts w:ascii="Times New Roman" w:hAnsi="Times New Roman" w:cs="Times New Roman"/>
          <w:sz w:val="24"/>
          <w:szCs w:val="24"/>
        </w:rPr>
        <w:t>d occupation. Larger family sizes typically serve as an internal labor source, reducing reliance on hired labor.</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Age Distribution</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highest proportion of respondents (42.5%) were aged 40–49 years, with a mean age of 47.5 years. This suggests that the fa</w:t>
      </w:r>
      <w:r>
        <w:rPr>
          <w:rFonts w:ascii="Times New Roman" w:hAnsi="Times New Roman" w:cs="Times New Roman"/>
          <w:sz w:val="24"/>
          <w:szCs w:val="24"/>
        </w:rPr>
        <w:t>rmers are within the economically productive age group. Younger farmers tend to be more energetic and adaptable to innovations, while older farmers often bring valuable experience. However, the low proportion of respondents aged 20–29 (4.4%) may reflect th</w:t>
      </w:r>
      <w:r>
        <w:rPr>
          <w:rFonts w:ascii="Times New Roman" w:hAnsi="Times New Roman" w:cs="Times New Roman"/>
          <w:sz w:val="24"/>
          <w:szCs w:val="24"/>
        </w:rPr>
        <w:t>e declining interest of youth in farming, which has implications for the future sustainability of agriculture (FAO, 2021).</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Educational Level</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Educational attainment was relatively high among the respondents, with 52.5% having completed secondary education </w:t>
      </w:r>
      <w:r>
        <w:rPr>
          <w:rFonts w:ascii="Times New Roman" w:hAnsi="Times New Roman" w:cs="Times New Roman"/>
          <w:sz w:val="24"/>
          <w:szCs w:val="24"/>
        </w:rPr>
        <w:t>and 25% having tertiary education. Only 6.9% had completed primary education, and none lacked formal education entirely. This level of literacy can positively influence the adoption of new technologies and farm management practices (Sulaiman et al., 2020).</w:t>
      </w:r>
      <w:r>
        <w:rPr>
          <w:rFonts w:ascii="Times New Roman" w:hAnsi="Times New Roman" w:cs="Times New Roman"/>
          <w:sz w:val="24"/>
          <w:szCs w:val="24"/>
        </w:rPr>
        <w:t xml:space="preserve"> </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Farming Experience</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of the respondents (51.9%) had 11–20 years of farming experience, with an average of 20 years. This extensive experience suggests a deep knowledge of local agricultural systems and a higher likelihood of resilience to challenges,</w:t>
      </w:r>
      <w:r>
        <w:rPr>
          <w:rFonts w:ascii="Times New Roman" w:hAnsi="Times New Roman" w:cs="Times New Roman"/>
          <w:sz w:val="24"/>
          <w:szCs w:val="24"/>
        </w:rPr>
        <w:t xml:space="preserve"> including pastoralist interference.  These may influence their awareness, perception, and response to pastoralist activities in their communities.</w:t>
      </w:r>
    </w:p>
    <w:p w:rsidR="008F099E" w:rsidRDefault="008F099E">
      <w:pPr>
        <w:spacing w:after="0" w:line="360" w:lineRule="auto"/>
        <w:jc w:val="both"/>
        <w:rPr>
          <w:rFonts w:ascii="Times New Roman" w:hAnsi="Times New Roman" w:cs="Times New Roman"/>
          <w:sz w:val="24"/>
          <w:szCs w:val="24"/>
        </w:rPr>
      </w:pPr>
    </w:p>
    <w:p w:rsidR="008F099E" w:rsidRDefault="002C79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Distribution of Respondents according to their Socio-Economic Characteristics</w:t>
      </w:r>
    </w:p>
    <w:tbl>
      <w:tblPr>
        <w:tblStyle w:val="TableGrid"/>
        <w:tblW w:w="936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980"/>
        <w:gridCol w:w="2340"/>
        <w:gridCol w:w="1350"/>
      </w:tblGrid>
      <w:tr w:rsidR="008F099E">
        <w:trPr>
          <w:trHeight w:val="20"/>
        </w:trPr>
        <w:tc>
          <w:tcPr>
            <w:tcW w:w="3690" w:type="dxa"/>
            <w:tcBorders>
              <w:top w:val="single" w:sz="4" w:space="0" w:color="auto"/>
              <w:bottom w:val="nil"/>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4320" w:type="dxa"/>
            <w:gridSpan w:val="2"/>
            <w:tcBorders>
              <w:top w:val="single" w:sz="4" w:space="0" w:color="auto"/>
              <w:bottom w:val="nil"/>
            </w:tcBorders>
          </w:tcPr>
          <w:p w:rsidR="008F099E" w:rsidRDefault="008F099E">
            <w:pPr>
              <w:spacing w:before="100" w:beforeAutospacing="1" w:after="100" w:afterAutospacing="1" w:line="240" w:lineRule="auto"/>
              <w:rPr>
                <w:rFonts w:ascii="Times New Roman" w:eastAsia="Times New Roman" w:hAnsi="Times New Roman" w:cs="Times New Roman"/>
              </w:rPr>
            </w:pPr>
          </w:p>
        </w:tc>
        <w:tc>
          <w:tcPr>
            <w:tcW w:w="1350" w:type="dxa"/>
            <w:tcBorders>
              <w:top w:val="single" w:sz="4" w:space="0" w:color="auto"/>
              <w:bottom w:val="nil"/>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Variable</w:t>
            </w:r>
          </w:p>
        </w:tc>
        <w:tc>
          <w:tcPr>
            <w:tcW w:w="1980" w:type="dxa"/>
            <w:tcBorders>
              <w:top w:val="nil"/>
              <w:bottom w:val="single" w:sz="4" w:space="0" w:color="auto"/>
            </w:tcBorders>
          </w:tcPr>
          <w:p w:rsidR="008F099E" w:rsidRDefault="002C790E">
            <w:pPr>
              <w:spacing w:before="240" w:beforeAutospacing="1" w:after="100" w:afterAutospacing="1" w:line="240" w:lineRule="auto"/>
              <w:jc w:val="both"/>
              <w:rPr>
                <w:rFonts w:ascii="Times New Roman" w:eastAsia="Times New Roman" w:hAnsi="Times New Roman" w:cs="Times New Roman"/>
              </w:rPr>
            </w:pPr>
            <w:r>
              <w:rPr>
                <w:rFonts w:ascii="Times New Roman" w:hAnsi="Times New Roman" w:cs="Times New Roman"/>
                <w:b/>
              </w:rPr>
              <w:t>Frequency</w:t>
            </w:r>
          </w:p>
        </w:tc>
        <w:tc>
          <w:tcPr>
            <w:tcW w:w="234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Percentage </w:t>
            </w:r>
            <w:r>
              <w:rPr>
                <w:rFonts w:ascii="Times New Roman" w:hAnsi="Times New Roman" w:cs="Times New Roman"/>
                <w:b/>
              </w:rPr>
              <w:t xml:space="preserve">(% )  </w:t>
            </w:r>
          </w:p>
        </w:tc>
        <w:tc>
          <w:tcPr>
            <w:tcW w:w="135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Mean</w:t>
            </w:r>
          </w:p>
        </w:tc>
      </w:tr>
      <w:tr w:rsidR="008F099E">
        <w:trPr>
          <w:trHeight w:val="20"/>
        </w:trPr>
        <w:tc>
          <w:tcPr>
            <w:tcW w:w="3690" w:type="dxa"/>
            <w:tcBorders>
              <w:top w:val="single" w:sz="4" w:space="0" w:color="auto"/>
            </w:tcBorders>
          </w:tcPr>
          <w:p w:rsidR="008F099E" w:rsidRDefault="002C790E">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Sex</w:t>
            </w:r>
          </w:p>
        </w:tc>
        <w:tc>
          <w:tcPr>
            <w:tcW w:w="198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Male </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106</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66.3</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168"/>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33.8</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Farm Size </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after="0" w:line="240" w:lineRule="auto"/>
              <w:rPr>
                <w:rFonts w:ascii="Times New Roman" w:hAnsi="Times New Roman" w:cs="Times New Roman"/>
              </w:rPr>
            </w:pPr>
            <w:r>
              <w:rPr>
                <w:rFonts w:ascii="Times New Roman" w:hAnsi="Times New Roman" w:cs="Times New Roman"/>
              </w:rPr>
              <w:t>0.1- 5 Ha</w:t>
            </w:r>
          </w:p>
        </w:tc>
        <w:tc>
          <w:tcPr>
            <w:tcW w:w="1980" w:type="dxa"/>
          </w:tcPr>
          <w:p w:rsidR="008F099E" w:rsidRDefault="002C790E">
            <w:pPr>
              <w:spacing w:after="0" w:line="240" w:lineRule="auto"/>
              <w:rPr>
                <w:rFonts w:ascii="Times New Roman" w:hAnsi="Times New Roman" w:cs="Times New Roman"/>
              </w:rPr>
            </w:pPr>
            <w:r>
              <w:rPr>
                <w:rFonts w:ascii="Times New Roman" w:hAnsi="Times New Roman" w:cs="Times New Roman"/>
              </w:rPr>
              <w:t>133</w:t>
            </w:r>
          </w:p>
        </w:tc>
        <w:tc>
          <w:tcPr>
            <w:tcW w:w="2340" w:type="dxa"/>
          </w:tcPr>
          <w:p w:rsidR="008F099E" w:rsidRDefault="002C790E">
            <w:pPr>
              <w:spacing w:after="0" w:line="240" w:lineRule="auto"/>
              <w:rPr>
                <w:rFonts w:ascii="Times New Roman" w:hAnsi="Times New Roman" w:cs="Times New Roman"/>
              </w:rPr>
            </w:pPr>
            <w:r>
              <w:rPr>
                <w:rFonts w:ascii="Times New Roman" w:hAnsi="Times New Roman" w:cs="Times New Roman"/>
              </w:rPr>
              <w:t>83.1</w:t>
            </w:r>
          </w:p>
        </w:tc>
        <w:tc>
          <w:tcPr>
            <w:tcW w:w="1350" w:type="dxa"/>
          </w:tcPr>
          <w:p w:rsidR="008F099E" w:rsidRDefault="002C790E">
            <w:pPr>
              <w:spacing w:after="0" w:line="240" w:lineRule="auto"/>
              <w:rPr>
                <w:rFonts w:ascii="Times New Roman" w:hAnsi="Times New Roman" w:cs="Times New Roman"/>
              </w:rPr>
            </w:pPr>
            <w:r>
              <w:rPr>
                <w:rFonts w:ascii="Times New Roman" w:hAnsi="Times New Roman" w:cs="Times New Roman"/>
              </w:rPr>
              <w:t>4.1</w:t>
            </w:r>
          </w:p>
        </w:tc>
      </w:tr>
      <w:tr w:rsidR="008F099E">
        <w:trPr>
          <w:trHeight w:val="20"/>
        </w:trPr>
        <w:tc>
          <w:tcPr>
            <w:tcW w:w="3690" w:type="dxa"/>
          </w:tcPr>
          <w:p w:rsidR="008F099E" w:rsidRDefault="002C790E">
            <w:pPr>
              <w:spacing w:after="0" w:line="240" w:lineRule="auto"/>
              <w:rPr>
                <w:rFonts w:ascii="Times New Roman" w:hAnsi="Times New Roman" w:cs="Times New Roman"/>
              </w:rPr>
            </w:pPr>
            <w:r>
              <w:rPr>
                <w:rFonts w:ascii="Times New Roman" w:hAnsi="Times New Roman" w:cs="Times New Roman"/>
              </w:rPr>
              <w:t>Above 5Ha</w:t>
            </w:r>
          </w:p>
        </w:tc>
        <w:tc>
          <w:tcPr>
            <w:tcW w:w="1980" w:type="dxa"/>
          </w:tcPr>
          <w:p w:rsidR="008F099E" w:rsidRDefault="002C790E">
            <w:pPr>
              <w:spacing w:after="0" w:line="240" w:lineRule="auto"/>
              <w:rPr>
                <w:rFonts w:ascii="Times New Roman" w:hAnsi="Times New Roman" w:cs="Times New Roman"/>
              </w:rPr>
            </w:pPr>
            <w:r>
              <w:rPr>
                <w:rFonts w:ascii="Times New Roman" w:hAnsi="Times New Roman" w:cs="Times New Roman"/>
              </w:rPr>
              <w:t>27</w:t>
            </w:r>
          </w:p>
        </w:tc>
        <w:tc>
          <w:tcPr>
            <w:tcW w:w="2340" w:type="dxa"/>
          </w:tcPr>
          <w:p w:rsidR="008F099E" w:rsidRDefault="008F099E">
            <w:pPr>
              <w:spacing w:after="0" w:line="240" w:lineRule="auto"/>
              <w:rPr>
                <w:rFonts w:ascii="Times New Roman" w:hAnsi="Times New Roman" w:cs="Times New Roman"/>
              </w:rPr>
            </w:pPr>
          </w:p>
        </w:tc>
        <w:tc>
          <w:tcPr>
            <w:tcW w:w="1350" w:type="dxa"/>
          </w:tcPr>
          <w:p w:rsidR="008F099E" w:rsidRDefault="008F099E">
            <w:pPr>
              <w:spacing w:after="0" w:line="240" w:lineRule="auto"/>
              <w:rPr>
                <w:rFonts w:ascii="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Single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Married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145</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90.6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Widowed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Age</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20-29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30-39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36</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40-49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68</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42.5</w:t>
            </w:r>
          </w:p>
        </w:tc>
        <w:tc>
          <w:tcPr>
            <w:tcW w:w="135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 47.5</w:t>
            </w: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50-59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19.4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60 and above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11.3</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Level of Education</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No Formal Education</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Primary School Completed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Pr>
          <w:p w:rsidR="008F099E" w:rsidRDefault="002C790E">
            <w:pPr>
              <w:tabs>
                <w:tab w:val="left" w:pos="1216"/>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r>
              <w:rPr>
                <w:rFonts w:ascii="Times New Roman" w:eastAsia="Times New Roman" w:hAnsi="Times New Roman" w:cs="Times New Roman"/>
              </w:rPr>
              <w:tab/>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Secondary School Attempted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15.6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Secondary Completed School </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Tertiary</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Work Experience</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18.1</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11-20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83</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51.9</w:t>
            </w:r>
          </w:p>
        </w:tc>
        <w:tc>
          <w:tcPr>
            <w:tcW w:w="135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21-30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31-4</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bl>
    <w:p w:rsidR="008F099E" w:rsidRDefault="002C790E">
      <w:pPr>
        <w:shd w:val="clear" w:color="FFFFFF" w:fill="FFFFFF"/>
        <w:rPr>
          <w:rFonts w:ascii="Times New Roman" w:hAnsi="Times New Roman" w:cs="Times New Roman"/>
          <w:b/>
          <w:sz w:val="24"/>
          <w:szCs w:val="24"/>
        </w:rPr>
      </w:pPr>
      <w:r>
        <w:rPr>
          <w:rFonts w:ascii="Times New Roman" w:hAnsi="Times New Roman" w:cs="Times New Roman"/>
          <w:b/>
          <w:sz w:val="24"/>
          <w:szCs w:val="24"/>
        </w:rPr>
        <w:t>Source: Field Survey, 2024</w:t>
      </w:r>
    </w:p>
    <w:p w:rsidR="008F099E" w:rsidRDefault="002C790E">
      <w:pPr>
        <w:shd w:val="clear" w:color="FFFFFF" w:fill="FFFFFF"/>
        <w:spacing w:before="240" w:line="240" w:lineRule="auto"/>
        <w:rPr>
          <w:rFonts w:ascii="Times New Roman" w:hAnsi="Times New Roman" w:cs="Times New Roman"/>
          <w:b/>
          <w:sz w:val="24"/>
          <w:szCs w:val="24"/>
        </w:rPr>
      </w:pPr>
      <w:r>
        <w:rPr>
          <w:rFonts w:ascii="Times New Roman" w:hAnsi="Times New Roman" w:cs="Times New Roman"/>
          <w:b/>
          <w:sz w:val="24"/>
          <w:szCs w:val="24"/>
        </w:rPr>
        <w:t xml:space="preserve">Institutional Characteristics of the Respondents </w:t>
      </w:r>
    </w:p>
    <w:p w:rsidR="008F099E" w:rsidRDefault="002C790E">
      <w:pPr>
        <w:shd w:val="clear" w:color="FFFFFF" w:fill="FFFFFF"/>
        <w:spacing w:line="240" w:lineRule="auto"/>
        <w:rPr>
          <w:rFonts w:ascii="Times New Roman" w:hAnsi="Times New Roman" w:cs="Times New Roman"/>
          <w:b/>
          <w:sz w:val="24"/>
          <w:szCs w:val="24"/>
        </w:rPr>
      </w:pPr>
      <w:r>
        <w:rPr>
          <w:rFonts w:ascii="Times New Roman" w:hAnsi="Times New Roman" w:cs="Times New Roman"/>
          <w:b/>
          <w:sz w:val="24"/>
          <w:szCs w:val="24"/>
        </w:rPr>
        <w:t>Membership of Cooperative society</w:t>
      </w:r>
    </w:p>
    <w:p w:rsidR="008F099E" w:rsidRDefault="002C790E">
      <w:pPr>
        <w:shd w:val="clear" w:color="FFFFFF"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data in figure 1, majority (72.5%) of the farmers</w:t>
      </w:r>
      <w:r>
        <w:rPr>
          <w:rFonts w:ascii="Times New Roman" w:hAnsi="Times New Roman" w:cs="Times New Roman"/>
          <w:sz w:val="24"/>
          <w:szCs w:val="24"/>
        </w:rPr>
        <w:t xml:space="preserve"> belong to </w:t>
      </w:r>
      <w:r>
        <w:rPr>
          <w:rFonts w:ascii="Times New Roman" w:hAnsi="Times New Roman" w:cs="Times New Roman"/>
          <w:sz w:val="24"/>
          <w:szCs w:val="24"/>
        </w:rPr>
        <w:t xml:space="preserve">cooperative societies </w:t>
      </w:r>
      <w:r>
        <w:rPr>
          <w:rFonts w:ascii="Times New Roman" w:hAnsi="Times New Roman" w:cs="Times New Roman"/>
          <w:sz w:val="24"/>
          <w:szCs w:val="24"/>
        </w:rPr>
        <w:t>while 27.5% of the farmers do not</w:t>
      </w:r>
      <w:r>
        <w:rPr>
          <w:rFonts w:ascii="Times New Roman" w:hAnsi="Times New Roman" w:cs="Times New Roman"/>
          <w:sz w:val="24"/>
          <w:szCs w:val="24"/>
        </w:rPr>
        <w:t xml:space="preserve"> belong to </w:t>
      </w:r>
      <w:r>
        <w:rPr>
          <w:rFonts w:ascii="Times New Roman" w:hAnsi="Times New Roman" w:cs="Times New Roman"/>
          <w:sz w:val="24"/>
          <w:szCs w:val="24"/>
        </w:rPr>
        <w:t xml:space="preserve">these groups. Cooperative societies play a vital role in strengthening farmers' resilience to pastoralists’ activities. This implies that those that participated </w:t>
      </w:r>
      <w:r>
        <w:rPr>
          <w:rFonts w:ascii="Times New Roman" w:hAnsi="Times New Roman" w:cs="Times New Roman"/>
          <w:sz w:val="24"/>
          <w:szCs w:val="24"/>
        </w:rPr>
        <w:lastRenderedPageBreak/>
        <w:t>benefit from improved access to credit, external s</w:t>
      </w:r>
      <w:r>
        <w:rPr>
          <w:rFonts w:ascii="Times New Roman" w:hAnsi="Times New Roman" w:cs="Times New Roman"/>
          <w:sz w:val="24"/>
          <w:szCs w:val="24"/>
        </w:rPr>
        <w:t>upport, and agricultural information compared to those that did not participate.</w:t>
      </w:r>
    </w:p>
    <w:p w:rsidR="008F099E" w:rsidRDefault="002C790E">
      <w:pPr>
        <w:shd w:val="clear" w:color="FFFFFF" w:fill="FFFFFF"/>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 behindDoc="0" locked="0" layoutInCell="1" allowOverlap="1">
            <wp:simplePos x="0" y="0"/>
            <wp:positionH relativeFrom="column">
              <wp:posOffset>0</wp:posOffset>
            </wp:positionH>
            <wp:positionV relativeFrom="paragraph">
              <wp:posOffset>23495</wp:posOffset>
            </wp:positionV>
            <wp:extent cx="5644515" cy="90043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F099E" w:rsidRDefault="008F099E">
      <w:pPr>
        <w:shd w:val="clear" w:color="FFFFFF" w:fill="FFFFFF"/>
        <w:spacing w:after="0" w:line="360" w:lineRule="auto"/>
        <w:ind w:left="-270"/>
        <w:jc w:val="both"/>
        <w:rPr>
          <w:rFonts w:ascii="Times New Roman" w:hAnsi="Times New Roman" w:cs="Times New Roman"/>
          <w:b/>
          <w:sz w:val="24"/>
          <w:szCs w:val="24"/>
        </w:rPr>
      </w:pPr>
    </w:p>
    <w:p w:rsidR="008F099E" w:rsidRDefault="008F099E">
      <w:pPr>
        <w:shd w:val="clear" w:color="FFFFFF" w:fill="FFFFFF"/>
        <w:spacing w:after="0" w:line="360" w:lineRule="auto"/>
        <w:ind w:left="-270"/>
        <w:jc w:val="both"/>
        <w:rPr>
          <w:rFonts w:ascii="Times New Roman" w:hAnsi="Times New Roman" w:cs="Times New Roman"/>
          <w:b/>
          <w:sz w:val="24"/>
          <w:szCs w:val="24"/>
        </w:rPr>
      </w:pPr>
    </w:p>
    <w:p w:rsidR="008F099E" w:rsidRDefault="008F099E">
      <w:pPr>
        <w:shd w:val="clear" w:color="FFFFFF" w:fill="FFFFFF"/>
        <w:spacing w:after="0" w:line="360" w:lineRule="auto"/>
        <w:jc w:val="both"/>
        <w:rPr>
          <w:rFonts w:ascii="Times New Roman" w:hAnsi="Times New Roman" w:cs="Times New Roman"/>
          <w:b/>
          <w:sz w:val="14"/>
          <w:szCs w:val="24"/>
        </w:rPr>
      </w:pPr>
    </w:p>
    <w:p w:rsidR="008F099E" w:rsidRDefault="002C790E">
      <w:pPr>
        <w:spacing w:after="0" w:line="240" w:lineRule="auto"/>
        <w:jc w:val="both"/>
        <w:rPr>
          <w:rFonts w:ascii="Times New Roman" w:hAnsi="Times New Roman" w:cs="Times New Roman"/>
          <w:sz w:val="24"/>
          <w:szCs w:val="24"/>
        </w:rPr>
      </w:pPr>
      <w:r>
        <w:rPr>
          <w:rFonts w:ascii="Times New Roman" w:hAnsi="Times New Roman"/>
          <w:sz w:val="24"/>
          <w:szCs w:val="24"/>
        </w:rPr>
        <w:t xml:space="preserve">Figure 1: </w:t>
      </w:r>
      <w:r>
        <w:rPr>
          <w:rFonts w:ascii="Times New Roman" w:hAnsi="Times New Roman" w:cs="Times New Roman"/>
          <w:sz w:val="24"/>
          <w:szCs w:val="24"/>
        </w:rPr>
        <w:t>Distribution of the Respondents according to</w:t>
      </w:r>
      <w:r>
        <w:rPr>
          <w:rFonts w:ascii="Times New Roman" w:hAnsi="Times New Roman" w:cs="Times New Roman"/>
          <w:b/>
          <w:sz w:val="24"/>
          <w:szCs w:val="24"/>
        </w:rPr>
        <w:t xml:space="preserve"> </w:t>
      </w:r>
      <w:r>
        <w:rPr>
          <w:rFonts w:ascii="Times New Roman" w:hAnsi="Times New Roman" w:cs="Times New Roman"/>
          <w:sz w:val="24"/>
          <w:szCs w:val="24"/>
        </w:rPr>
        <w:t>Membership of Cooperative society</w:t>
      </w:r>
    </w:p>
    <w:p w:rsidR="008F099E" w:rsidRDefault="002C790E">
      <w:pPr>
        <w:tabs>
          <w:tab w:val="left" w:pos="4191"/>
        </w:tabs>
        <w:spacing w:after="0"/>
        <w:ind w:hanging="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8F099E" w:rsidRDefault="002C7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Sources of Credit</w:t>
      </w:r>
    </w:p>
    <w:p w:rsidR="008F099E" w:rsidRDefault="002C79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Figure 2 revealed that More than half of arable crop farmers</w:t>
      </w:r>
      <w:r>
        <w:rPr>
          <w:rFonts w:ascii="Times New Roman" w:hAnsi="Times New Roman" w:cs="Times New Roman"/>
          <w:sz w:val="24"/>
          <w:szCs w:val="24"/>
        </w:rPr>
        <w:t xml:space="preserve"> (52.6%) get credit from cooperative societies, which provide easy and low collateral loans that help them recover from losses caused by pastoralists grazing on their crops. Significant portion (33.7%) access formal loans from money lenders, while few acce</w:t>
      </w:r>
      <w:r>
        <w:rPr>
          <w:rFonts w:ascii="Times New Roman" w:hAnsi="Times New Roman" w:cs="Times New Roman"/>
          <w:sz w:val="24"/>
          <w:szCs w:val="24"/>
        </w:rPr>
        <w:t>ss loans from agricultural institutions (10.5%) or commercial banks (2.1%). This shows that cooperative societies are vital in supporting farmers’ financial resilience against the impacts of pastoralist activities</w:t>
      </w:r>
      <w:r>
        <w:rPr>
          <w:rFonts w:ascii="Times New Roman" w:hAnsi="Times New Roman" w:cs="Times New Roman"/>
          <w:b/>
          <w:sz w:val="24"/>
          <w:szCs w:val="24"/>
        </w:rPr>
        <w:t>.</w:t>
      </w:r>
    </w:p>
    <w:p w:rsidR="008F099E" w:rsidRDefault="002C79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114300" distR="114300">
            <wp:extent cx="5866130" cy="124690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099E" w:rsidRDefault="002C790E">
      <w:pPr>
        <w:jc w:val="both"/>
        <w:rPr>
          <w:rFonts w:ascii="Times New Roman" w:hAnsi="Times New Roman" w:cs="Times New Roman"/>
          <w:sz w:val="24"/>
          <w:szCs w:val="24"/>
        </w:rPr>
      </w:pPr>
      <w:r>
        <w:rPr>
          <w:rFonts w:ascii="Times New Roman" w:hAnsi="Times New Roman"/>
          <w:sz w:val="24"/>
          <w:szCs w:val="24"/>
        </w:rPr>
        <w:t xml:space="preserve">Figure 2: </w:t>
      </w:r>
      <w:r>
        <w:rPr>
          <w:rFonts w:ascii="Times New Roman" w:hAnsi="Times New Roman" w:cs="Times New Roman"/>
          <w:sz w:val="24"/>
          <w:szCs w:val="24"/>
        </w:rPr>
        <w:t>Distribution of the Responden</w:t>
      </w:r>
      <w:r>
        <w:rPr>
          <w:rFonts w:ascii="Times New Roman" w:hAnsi="Times New Roman" w:cs="Times New Roman"/>
          <w:sz w:val="24"/>
          <w:szCs w:val="24"/>
        </w:rPr>
        <w:t>ts according to Sources of Credit</w:t>
      </w:r>
    </w:p>
    <w:p w:rsidR="008F099E" w:rsidRDefault="002C790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eastAsia="Times New Roman" w:hAnsi="Times New Roman" w:cs="Times New Roman"/>
          <w:b/>
          <w:sz w:val="24"/>
          <w:szCs w:val="24"/>
        </w:rPr>
        <w:t xml:space="preserve"> and Participation in Agricultural Insurance</w:t>
      </w:r>
    </w:p>
    <w:p w:rsidR="008F099E" w:rsidRDefault="002C790E">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Figure 3 shows farmers’ awareness and participation in agricultural insurance. The findings revealed that (72.5%) of the farmers were aware of agricultural insurance. H</w:t>
      </w:r>
      <w:r>
        <w:rPr>
          <w:rFonts w:ascii="Times New Roman" w:eastAsia="Times New Roman" w:hAnsi="Times New Roman" w:cs="Times New Roman"/>
          <w:sz w:val="24"/>
          <w:szCs w:val="24"/>
        </w:rPr>
        <w:t>owever, despite the high awareness, only 64% of those aware of agricultural insurance actively participated, while 36% chose not to engage. The lack of participation could be attributed to various factors, including lack of interest, perceived stress, time</w:t>
      </w:r>
      <w:r>
        <w:rPr>
          <w:rFonts w:ascii="Times New Roman" w:eastAsia="Times New Roman" w:hAnsi="Times New Roman" w:cs="Times New Roman"/>
          <w:sz w:val="24"/>
          <w:szCs w:val="24"/>
        </w:rPr>
        <w:t xml:space="preserve"> constraints, or ideological differences.</w:t>
      </w:r>
    </w:p>
    <w:p w:rsidR="008F099E" w:rsidRDefault="002C790E">
      <w:pPr>
        <w:spacing w:after="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br w:type="textWrapping" w:clear="all"/>
      </w:r>
      <w:r>
        <w:rPr>
          <w:rFonts w:ascii="Times New Roman" w:eastAsia="Times New Roman" w:hAnsi="Times New Roman" w:cs="Times New Roman"/>
          <w:b/>
          <w:noProof/>
          <w:color w:val="000000"/>
          <w:sz w:val="24"/>
          <w:szCs w:val="24"/>
          <w:lang w:val="en-GB" w:eastAsia="en-GB"/>
        </w:rPr>
        <w:drawing>
          <wp:inline distT="0" distB="0" distL="114300" distR="114300">
            <wp:extent cx="3146961" cy="91884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eastAsia="Times New Roman" w:hAnsi="Times New Roman" w:cs="Times New Roman"/>
          <w:b/>
          <w:noProof/>
          <w:color w:val="000000"/>
          <w:sz w:val="24"/>
          <w:szCs w:val="24"/>
          <w:lang w:val="en-GB" w:eastAsia="en-GB"/>
        </w:rPr>
        <w:drawing>
          <wp:inline distT="0" distB="0" distL="114300" distR="114300">
            <wp:extent cx="2778826" cy="914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099E" w:rsidRDefault="002C790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Figure 3: Distribution of the Respondents according to Awareness &amp; Participation Agric. Insurance</w:t>
      </w:r>
    </w:p>
    <w:p w:rsidR="008F099E" w:rsidRDefault="002C790E">
      <w:pPr>
        <w:pStyle w:val="NoSpacing"/>
        <w:spacing w:before="240"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E</w:t>
      </w:r>
      <w:r>
        <w:rPr>
          <w:rFonts w:ascii="Times New Roman" w:eastAsia="Times New Roman" w:hAnsi="Times New Roman" w:cs="Times New Roman"/>
          <w:b/>
          <w:bCs/>
          <w:sz w:val="24"/>
          <w:szCs w:val="24"/>
        </w:rPr>
        <w:t>xtension Agent visits</w:t>
      </w: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shows that 58.8% of arable crop farmers did not receive visit </w:t>
      </w:r>
      <w:r>
        <w:rPr>
          <w:rFonts w:ascii="Times New Roman" w:eastAsia="Times New Roman" w:hAnsi="Times New Roman" w:cs="Times New Roman"/>
          <w:sz w:val="24"/>
          <w:szCs w:val="24"/>
        </w:rPr>
        <w:t>from extension agents in 2024. While only 41.2% reported receiving visits. This limited interaction suggests that agricultural information dissemination is inadequate, which may negatively impact farming practices and productivity. Improving extension outr</w:t>
      </w:r>
      <w:r>
        <w:rPr>
          <w:rFonts w:ascii="Times New Roman" w:eastAsia="Times New Roman" w:hAnsi="Times New Roman" w:cs="Times New Roman"/>
          <w:sz w:val="24"/>
          <w:szCs w:val="24"/>
        </w:rPr>
        <w:t>each is key to strengthening farmers’ resilience in areas affected by pastoralist activity.</w:t>
      </w:r>
    </w:p>
    <w:p w:rsidR="008F099E" w:rsidRDefault="002C790E">
      <w:p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114300" distR="114300">
            <wp:extent cx="4037611" cy="1009402"/>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099E" w:rsidRDefault="002C790E">
      <w:pPr>
        <w:pStyle w:val="NoSpacing"/>
        <w:spacing w:line="276" w:lineRule="auto"/>
        <w:jc w:val="both"/>
        <w:rPr>
          <w:rFonts w:ascii="Times New Roman" w:eastAsia="Times New Roman" w:hAnsi="Times New Roman" w:cs="Times New Roman"/>
          <w:b/>
          <w:bCs/>
          <w:sz w:val="24"/>
          <w:szCs w:val="24"/>
        </w:rPr>
      </w:pPr>
      <w:r>
        <w:rPr>
          <w:rFonts w:ascii="Times New Roman" w:hAnsi="Times New Roman"/>
          <w:sz w:val="24"/>
          <w:szCs w:val="24"/>
        </w:rPr>
        <w:t xml:space="preserve">Figure 4: </w:t>
      </w:r>
      <w:r>
        <w:rPr>
          <w:rFonts w:ascii="Times New Roman" w:hAnsi="Times New Roman" w:cs="Times New Roman"/>
          <w:sz w:val="24"/>
          <w:szCs w:val="24"/>
        </w:rPr>
        <w:t>Distribution of the Respondents to E</w:t>
      </w:r>
      <w:r>
        <w:rPr>
          <w:rFonts w:ascii="Times New Roman" w:eastAsia="Times New Roman" w:hAnsi="Times New Roman" w:cs="Times New Roman"/>
          <w:bCs/>
          <w:sz w:val="24"/>
          <w:szCs w:val="24"/>
        </w:rPr>
        <w:t>xtension Agent visits</w:t>
      </w:r>
      <w:r>
        <w:rPr>
          <w:rFonts w:ascii="Times New Roman" w:eastAsia="Times New Roman" w:hAnsi="Times New Roman" w:cs="Times New Roman"/>
          <w:bCs/>
          <w:sz w:val="24"/>
          <w:szCs w:val="24"/>
        </w:rPr>
        <w:tab/>
      </w:r>
    </w:p>
    <w:p w:rsidR="008F099E" w:rsidRDefault="002C790E">
      <w:pPr>
        <w:pStyle w:val="NoSpacing"/>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Information disseminated by Extension Agents during Visit</w:t>
      </w:r>
    </w:p>
    <w:p w:rsidR="008F099E" w:rsidRDefault="002C79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r>
        <w:rPr>
          <w:rFonts w:ascii="Times New Roman" w:hAnsi="Times New Roman" w:cs="Times New Roman"/>
          <w:sz w:val="24"/>
          <w:szCs w:val="24"/>
        </w:rPr>
        <w:t xml:space="preserve">shows various information </w:t>
      </w:r>
      <w:r>
        <w:rPr>
          <w:rFonts w:ascii="Times New Roman" w:hAnsi="Times New Roman" w:cs="Times New Roman"/>
          <w:sz w:val="24"/>
          <w:szCs w:val="24"/>
        </w:rPr>
        <w:t>disseminated by extension agents during visit</w:t>
      </w:r>
      <w:r>
        <w:rPr>
          <w:rFonts w:ascii="Times New Roman" w:eastAsia="Times New Roman" w:hAnsi="Times New Roman" w:cs="Times New Roman"/>
          <w:sz w:val="24"/>
          <w:szCs w:val="24"/>
        </w:rPr>
        <w:t>. Extension agents primarily provide training on improved farming techniques (31.8%) and dissemination of new technologies (25.6%), awareness creation (22.7%), problem diagnosis (15.3%) and linkages</w:t>
      </w:r>
      <w:r>
        <w:rPr>
          <w:rFonts w:ascii="Times New Roman" w:eastAsia="Times New Roman" w:hAnsi="Times New Roman" w:cs="Times New Roman"/>
          <w:sz w:val="24"/>
          <w:szCs w:val="24"/>
        </w:rPr>
        <w:t xml:space="preserve"> to input dealers (4.5%). Overall, these efforts enhance farmers’ ability to cope with pastoralists' grazing activities and reduce land-use conflicts.</w:t>
      </w:r>
    </w:p>
    <w:p w:rsidR="008F099E" w:rsidRDefault="002C790E">
      <w:pPr>
        <w:spacing w:after="0"/>
        <w:jc w:val="both"/>
        <w:rPr>
          <w:rFonts w:ascii="Times New Roman" w:hAnsi="Times New Roman" w:cs="Times New Roman"/>
          <w:b/>
          <w:sz w:val="24"/>
          <w:szCs w:val="24"/>
        </w:rPr>
      </w:pPr>
      <w:r>
        <w:rPr>
          <w:rFonts w:ascii="Times New Roman" w:hAnsi="Times New Roman" w:cs="Times New Roman"/>
          <w:noProof/>
          <w:sz w:val="24"/>
          <w:szCs w:val="24"/>
          <w:lang w:val="en-GB" w:eastAsia="en-GB"/>
        </w:rPr>
        <w:drawing>
          <wp:inline distT="0" distB="0" distL="114300" distR="114300">
            <wp:extent cx="5925185" cy="144879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099E" w:rsidRDefault="002C790E">
      <w:pPr>
        <w:spacing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Figure 5: Distribution of the Respondents according to </w:t>
      </w:r>
      <w:r>
        <w:rPr>
          <w:rFonts w:ascii="Times New Roman" w:eastAsia="Times New Roman" w:hAnsi="Times New Roman" w:cs="Times New Roman"/>
          <w:bCs/>
          <w:sz w:val="24"/>
          <w:szCs w:val="24"/>
        </w:rPr>
        <w:t>Information Disseminated by Extension Agents</w:t>
      </w:r>
      <w:r>
        <w:rPr>
          <w:rFonts w:ascii="Times New Roman" w:eastAsia="Times New Roman" w:hAnsi="Times New Roman" w:cs="Times New Roman"/>
          <w:bCs/>
          <w:sz w:val="24"/>
          <w:szCs w:val="24"/>
        </w:rPr>
        <w:t>.</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astoralists’ Herding Activities Affecting Soil and Crop Production Among Respondents</w:t>
      </w: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reveals that several pastoralist herding activities significantly impact both soil quality and crop production in the study area. The most severe among these inclu</w:t>
      </w:r>
      <w:r>
        <w:rPr>
          <w:rFonts w:ascii="Times New Roman" w:eastAsia="Times New Roman" w:hAnsi="Times New Roman" w:cs="Times New Roman"/>
          <w:sz w:val="24"/>
          <w:szCs w:val="24"/>
        </w:rPr>
        <w:t xml:space="preserve">de: grazing on farmlands (x̄ = 3.88), destruction of planted crops (x̄ = 3.73), pollution of water bodies (x̄ = 3.71), destruction </w:t>
      </w:r>
      <w:r>
        <w:rPr>
          <w:rFonts w:ascii="Times New Roman" w:eastAsia="Times New Roman" w:hAnsi="Times New Roman" w:cs="Times New Roman"/>
          <w:sz w:val="24"/>
          <w:szCs w:val="24"/>
        </w:rPr>
        <w:lastRenderedPageBreak/>
        <w:t>of ridges (x̄ = 3.67), indiscriminate defecation by cattle along footpaths (x̄ = 3.57), bush burning (x̄ = 3.56), and the una</w:t>
      </w:r>
      <w:r>
        <w:rPr>
          <w:rFonts w:ascii="Times New Roman" w:eastAsia="Times New Roman" w:hAnsi="Times New Roman" w:cs="Times New Roman"/>
          <w:sz w:val="24"/>
          <w:szCs w:val="24"/>
        </w:rPr>
        <w:t xml:space="preserve">uthorized harvesting of crops for livestock feed (x̄ = 3.50). These activities collectively contribute to substantial agricultural and environmental challenges. Uncontrolled cattle movement often leads to trampling, which causes soil compaction, increases </w:t>
      </w:r>
      <w:r>
        <w:rPr>
          <w:rFonts w:ascii="Times New Roman" w:eastAsia="Times New Roman" w:hAnsi="Times New Roman" w:cs="Times New Roman"/>
          <w:sz w:val="24"/>
          <w:szCs w:val="24"/>
        </w:rPr>
        <w:t>erosion, and reduces soil fertility all of which negatively affect crop yield. Respondents also reported frequent destruction of their crops by livestock, resulting in severe economic losses and heightened food insecurity. In addition, the pollution of wat</w:t>
      </w:r>
      <w:r>
        <w:rPr>
          <w:rFonts w:ascii="Times New Roman" w:eastAsia="Times New Roman" w:hAnsi="Times New Roman" w:cs="Times New Roman"/>
          <w:sz w:val="24"/>
          <w:szCs w:val="24"/>
        </w:rPr>
        <w:t>er bodies through cattle defecation was highlighted as a major concern, posing threats not only to crop health but also to human and animal well-being. Bush burning, often practiced to regenerate grazing areas, depletes soil organic matter and essential nu</w:t>
      </w:r>
      <w:r>
        <w:rPr>
          <w:rFonts w:ascii="Times New Roman" w:eastAsia="Times New Roman" w:hAnsi="Times New Roman" w:cs="Times New Roman"/>
          <w:sz w:val="24"/>
          <w:szCs w:val="24"/>
        </w:rPr>
        <w:t>trients, thereby further degrading soil productivity. The unauthorized harvesting of crops by herders, alongside indiscriminate defecation around farmlands, was reported to intensify farmer-pastoralist tensions and environmental degradation. These findings</w:t>
      </w:r>
      <w:r>
        <w:rPr>
          <w:rFonts w:ascii="Times New Roman" w:eastAsia="Times New Roman" w:hAnsi="Times New Roman" w:cs="Times New Roman"/>
          <w:sz w:val="24"/>
          <w:szCs w:val="24"/>
        </w:rPr>
        <w:t xml:space="preserve"> are consistent with Gyang (2022), who noted that farmland encroachment, cattle grazing, and crop destruction are prevalent among pastoralist activities, and continue to disrupt farming livelihoods.</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mitigate these impacts, there is an urgent need for e</w:t>
      </w:r>
      <w:r>
        <w:rPr>
          <w:rFonts w:ascii="Times New Roman" w:eastAsia="Times New Roman" w:hAnsi="Times New Roman" w:cs="Times New Roman"/>
          <w:sz w:val="24"/>
          <w:szCs w:val="24"/>
        </w:rPr>
        <w:t>ffective land use regulations, the promotion of sustainable pastoral management practices, and the adoption of community-based conflict resolution mechanisms. Furthermore, improving traceability systems for livestock products, as recommended by the Europea</w:t>
      </w:r>
      <w:r>
        <w:rPr>
          <w:rFonts w:ascii="Times New Roman" w:eastAsia="Times New Roman" w:hAnsi="Times New Roman" w:cs="Times New Roman"/>
          <w:sz w:val="24"/>
          <w:szCs w:val="24"/>
        </w:rPr>
        <w:t>n Commission (2023), could incentivize responsible grazing behavior and encourage herders to adopt environmentally sustainable practices that protect soil resources and secure agricultural productivity in the region.</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Table 2: </w:t>
      </w:r>
      <w:r>
        <w:rPr>
          <w:rFonts w:ascii="Times New Roman" w:hAnsi="Times New Roman" w:cs="Times New Roman"/>
          <w:b/>
          <w:sz w:val="24"/>
          <w:szCs w:val="24"/>
        </w:rPr>
        <w:t>Distribution of Respondents a</w:t>
      </w:r>
      <w:r>
        <w:rPr>
          <w:rFonts w:ascii="Times New Roman" w:hAnsi="Times New Roman" w:cs="Times New Roman"/>
          <w:b/>
          <w:sz w:val="24"/>
          <w:szCs w:val="24"/>
        </w:rPr>
        <w:t>ccording</w:t>
      </w:r>
      <w:r>
        <w:rPr>
          <w:rFonts w:ascii="Times New Roman" w:eastAsia="Times New Roman" w:hAnsi="Times New Roman" w:cs="Times New Roman"/>
          <w:b/>
          <w:sz w:val="24"/>
          <w:szCs w:val="24"/>
        </w:rPr>
        <w:t xml:space="preserve"> to </w:t>
      </w:r>
      <w:r>
        <w:rPr>
          <w:rFonts w:ascii="Times New Roman" w:hAnsi="Times New Roman" w:cs="Times New Roman"/>
          <w:b/>
          <w:sz w:val="24"/>
          <w:szCs w:val="24"/>
        </w:rPr>
        <w:t>Pastoralists Herding Activities that Affects Soil and Crop Production</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6"/>
        <w:gridCol w:w="1861"/>
        <w:gridCol w:w="1191"/>
        <w:gridCol w:w="900"/>
      </w:tblGrid>
      <w:tr w:rsidR="008F099E">
        <w:trPr>
          <w:trHeight w:val="20"/>
        </w:trPr>
        <w:tc>
          <w:tcPr>
            <w:tcW w:w="6146" w:type="dxa"/>
            <w:tcBorders>
              <w:top w:val="single" w:sz="4" w:space="0" w:color="auto"/>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Pastoralists herding activities that affects soil and crop production</w:t>
            </w:r>
          </w:p>
        </w:tc>
        <w:tc>
          <w:tcPr>
            <w:tcW w:w="1861" w:type="dxa"/>
            <w:tcBorders>
              <w:top w:val="single" w:sz="4" w:space="0" w:color="auto"/>
              <w:bottom w:val="single" w:sz="4" w:space="0" w:color="auto"/>
            </w:tcBorders>
          </w:tcPr>
          <w:p w:rsidR="008F099E" w:rsidRDefault="002C790E">
            <w:pPr>
              <w:pStyle w:val="NoSpacing"/>
              <w:ind w:left="-206"/>
              <w:jc w:val="both"/>
              <w:rPr>
                <w:rFonts w:ascii="Times New Roman" w:hAnsi="Times New Roman" w:cs="Times New Roman"/>
                <w:sz w:val="24"/>
                <w:szCs w:val="24"/>
              </w:rPr>
            </w:pPr>
            <w:r>
              <w:rPr>
                <w:rFonts w:ascii="Times New Roman" w:hAnsi="Times New Roman" w:cs="Times New Roman"/>
                <w:sz w:val="24"/>
                <w:szCs w:val="24"/>
              </w:rPr>
              <w:t>Farmers</w:t>
            </w: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Mean</w:t>
            </w:r>
          </w:p>
        </w:tc>
        <w:tc>
          <w:tcPr>
            <w:tcW w:w="1191" w:type="dxa"/>
            <w:tcBorders>
              <w:top w:val="single" w:sz="4" w:space="0" w:color="auto"/>
              <w:bottom w:val="single" w:sz="4" w:space="0" w:color="auto"/>
            </w:tcBorders>
          </w:tcPr>
          <w:p w:rsidR="008F099E" w:rsidRDefault="008F099E">
            <w:pPr>
              <w:pStyle w:val="NoSpacing"/>
              <w:jc w:val="both"/>
              <w:rPr>
                <w:rFonts w:ascii="Times New Roman" w:hAnsi="Times New Roman" w:cs="Times New Roman"/>
                <w:sz w:val="24"/>
                <w:szCs w:val="24"/>
              </w:rPr>
            </w:pP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SD</w:t>
            </w:r>
          </w:p>
        </w:tc>
        <w:tc>
          <w:tcPr>
            <w:tcW w:w="900" w:type="dxa"/>
            <w:tcBorders>
              <w:top w:val="single" w:sz="4" w:space="0" w:color="auto"/>
              <w:bottom w:val="single" w:sz="4" w:space="0" w:color="auto"/>
            </w:tcBorders>
          </w:tcPr>
          <w:p w:rsidR="008F099E" w:rsidRDefault="008F099E">
            <w:pPr>
              <w:pStyle w:val="NoSpacing"/>
              <w:jc w:val="both"/>
              <w:rPr>
                <w:rFonts w:ascii="Times New Roman" w:hAnsi="Times New Roman" w:cs="Times New Roman"/>
                <w:sz w:val="24"/>
                <w:szCs w:val="24"/>
              </w:rPr>
            </w:pP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Rank</w:t>
            </w:r>
          </w:p>
        </w:tc>
      </w:tr>
      <w:tr w:rsidR="008F099E">
        <w:trPr>
          <w:trHeight w:val="20"/>
        </w:trPr>
        <w:tc>
          <w:tcPr>
            <w:tcW w:w="6146"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Grazing on farm land</w:t>
            </w:r>
          </w:p>
        </w:tc>
        <w:tc>
          <w:tcPr>
            <w:tcW w:w="1861"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3.88*</w:t>
            </w:r>
          </w:p>
        </w:tc>
        <w:tc>
          <w:tcPr>
            <w:tcW w:w="1191"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0.71</w:t>
            </w:r>
          </w:p>
        </w:tc>
        <w:tc>
          <w:tcPr>
            <w:tcW w:w="900"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Destruction of planted crops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3.73*</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Pollution of water bodies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3.71*</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0.50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w:t>
            </w:r>
          </w:p>
        </w:tc>
      </w:tr>
      <w:tr w:rsidR="008F099E">
        <w:trPr>
          <w:trHeight w:val="20"/>
        </w:trPr>
        <w:tc>
          <w:tcPr>
            <w:tcW w:w="6146" w:type="dxa"/>
          </w:tcPr>
          <w:p w:rsidR="008F099E" w:rsidRDefault="002C790E">
            <w:pPr>
              <w:pStyle w:val="NoSpacing"/>
              <w:tabs>
                <w:tab w:val="right" w:pos="4110"/>
              </w:tabs>
              <w:jc w:val="both"/>
              <w:rPr>
                <w:rFonts w:ascii="Times New Roman" w:hAnsi="Times New Roman" w:cs="Times New Roman"/>
                <w:sz w:val="24"/>
                <w:szCs w:val="24"/>
              </w:rPr>
            </w:pPr>
            <w:r>
              <w:rPr>
                <w:rFonts w:ascii="Times New Roman" w:hAnsi="Times New Roman" w:cs="Times New Roman"/>
                <w:sz w:val="24"/>
                <w:szCs w:val="24"/>
              </w:rPr>
              <w:t xml:space="preserve">Destruction of ridges </w:t>
            </w:r>
            <w:r>
              <w:rPr>
                <w:rFonts w:ascii="Times New Roman" w:hAnsi="Times New Roman" w:cs="Times New Roman"/>
                <w:sz w:val="24"/>
                <w:szCs w:val="24"/>
              </w:rPr>
              <w:tab/>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3.67*</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0.57</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4</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Pollution of roads with defecations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3.57*</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0.82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5</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Soil trampling</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3.56*</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0.64</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6</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Bush burning</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3.54*</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7</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lastRenderedPageBreak/>
              <w:t>Harvesting crops to feed their Animals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3.50*</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8</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 xml:space="preserve">Grazing on crop </w:t>
            </w:r>
            <w:r>
              <w:rPr>
                <w:rFonts w:ascii="Times New Roman" w:eastAsia="Times" w:hAnsi="Times New Roman" w:cs="Times New Roman"/>
                <w:sz w:val="24"/>
                <w:szCs w:val="24"/>
              </w:rPr>
              <w:t>residue</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color w:val="000000"/>
                <w:sz w:val="24"/>
                <w:szCs w:val="24"/>
              </w:rPr>
              <w:t>3.13</w:t>
            </w:r>
            <w:r>
              <w:rPr>
                <w:rFonts w:ascii="Times New Roman" w:hAnsi="Times New Roman" w:cs="Times New Roman"/>
                <w:sz w:val="24"/>
                <w:szCs w:val="24"/>
              </w:rPr>
              <w:t>*</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9</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Passing through farmland</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0.74</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10</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Harvesting crops to feed themselves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2.98</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11</w:t>
            </w:r>
          </w:p>
        </w:tc>
      </w:tr>
      <w:tr w:rsidR="008F099E">
        <w:trPr>
          <w:trHeight w:val="20"/>
        </w:trPr>
        <w:tc>
          <w:tcPr>
            <w:tcW w:w="6146"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Cutting and carrying grasses/forage</w:t>
            </w:r>
          </w:p>
        </w:tc>
        <w:tc>
          <w:tcPr>
            <w:tcW w:w="1861"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2.06</w:t>
            </w:r>
          </w:p>
        </w:tc>
        <w:tc>
          <w:tcPr>
            <w:tcW w:w="1191"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w:t>
            </w:r>
          </w:p>
        </w:tc>
        <w:tc>
          <w:tcPr>
            <w:tcW w:w="900"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12</w:t>
            </w:r>
          </w:p>
        </w:tc>
      </w:tr>
    </w:tbl>
    <w:p w:rsidR="008F099E" w:rsidRDefault="002C790E">
      <w:pPr>
        <w:spacing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 xml:space="preserve">Source: Field Survey, 2024       </w:t>
      </w:r>
      <w:r>
        <w:rPr>
          <w:rFonts w:ascii="Times New Roman" w:eastAsia="Times New Roman" w:hAnsi="Times New Roman" w:cs="Times New Roman"/>
          <w:b/>
          <w:bCs/>
          <w:sz w:val="24"/>
          <w:szCs w:val="24"/>
        </w:rPr>
        <w:t>GM: 3. 36</w:t>
      </w:r>
    </w:p>
    <w:p w:rsidR="008F099E" w:rsidRDefault="002C790E">
      <w:pPr>
        <w:spacing w:before="100" w:beforeAutospacing="1" w:after="0" w:line="360" w:lineRule="auto"/>
        <w:jc w:val="both"/>
        <w:rPr>
          <w:rFonts w:ascii="Times New Roman" w:eastAsia="Times New Roman" w:hAnsi="Times New Roman" w:cs="Times New Roman"/>
          <w:sz w:val="24"/>
          <w:szCs w:val="24"/>
        </w:rPr>
      </w:pPr>
      <w:r>
        <w:rPr>
          <w:rFonts w:ascii="Times New Roman" w:eastAsia="Times" w:hAnsi="Times New Roman" w:cs="Times New Roman"/>
          <w:b/>
          <w:sz w:val="24"/>
          <w:szCs w:val="24"/>
        </w:rPr>
        <w:t>Coping Strategies Utilized by Crop Farmers</w:t>
      </w:r>
    </w:p>
    <w:p w:rsidR="008F099E" w:rsidRDefault="002C790E">
      <w:pPr>
        <w:spacing w:after="100" w:afterAutospacing="1" w:line="360" w:lineRule="auto"/>
        <w:jc w:val="both"/>
        <w:rPr>
          <w:rFonts w:ascii="Times New Roman" w:eastAsia="Times New Roman" w:hAnsi="Times New Roman" w:cs="Times New Roman"/>
          <w:sz w:val="24"/>
          <w:szCs w:val="24"/>
        </w:rPr>
      </w:pPr>
      <w:r>
        <w:t>The results</w:t>
      </w:r>
      <w:r>
        <w:t xml:space="preserve"> presented in Table 3 </w:t>
      </w:r>
      <w:r>
        <w:rPr>
          <w:rFonts w:ascii="Times New Roman" w:eastAsia="Times New Roman" w:hAnsi="Times New Roman" w:cs="Times New Roman"/>
          <w:sz w:val="24"/>
          <w:szCs w:val="24"/>
        </w:rPr>
        <w:t>revealed that arable crop farmers in Oyo State adopt a wide range of coping strategies to mitigate the effects of pastoralist activities on their farms. The most frequently adopted strategies includes monitoring and chasing animals (6</w:t>
      </w:r>
      <w:r>
        <w:rPr>
          <w:rFonts w:ascii="Times New Roman" w:eastAsia="Times New Roman" w:hAnsi="Times New Roman" w:cs="Times New Roman"/>
          <w:sz w:val="24"/>
          <w:szCs w:val="24"/>
        </w:rPr>
        <w:t>5.5%), dialogue with settled pastoralists (94.4%), partial fencing (93.4%), early harvesting (89.4%), and planting of restraining crops (68.1%). These strategies are locally developed measures that are grounded in indigenous knowledge systems and community</w:t>
      </w:r>
      <w:r>
        <w:rPr>
          <w:rFonts w:ascii="Times New Roman" w:eastAsia="Times New Roman" w:hAnsi="Times New Roman" w:cs="Times New Roman"/>
          <w:sz w:val="24"/>
          <w:szCs w:val="24"/>
        </w:rPr>
        <w:t xml:space="preserve">-based conflict management traditions. These findings support earlier studies by Adedapo (2020), who advocated for the adoption of bio-physical deterrents as cost-effective alternatives to expensive conventional fencing. Similarly, Lawal et al. (2020) and </w:t>
      </w:r>
      <w:r>
        <w:rPr>
          <w:rFonts w:ascii="Times New Roman" w:eastAsia="Times New Roman" w:hAnsi="Times New Roman" w:cs="Times New Roman"/>
          <w:sz w:val="24"/>
          <w:szCs w:val="24"/>
        </w:rPr>
        <w:t>Ajayi et al. (2019) emphasized the effectiveness of community-led conflict mitigation strategies in rural settings, where formal state interventions are often inadequate or absent.</w:t>
      </w:r>
    </w:p>
    <w:p w:rsidR="008F099E" w:rsidRDefault="002C790E">
      <w:pPr>
        <w:spacing w:after="100" w:afterAutospacing="1" w:line="360" w:lineRule="auto"/>
        <w:jc w:val="both"/>
      </w:pPr>
      <w:r>
        <w:rPr>
          <w:rFonts w:ascii="Times New Roman" w:eastAsia="Times New Roman" w:hAnsi="Times New Roman" w:cs="Times New Roman"/>
          <w:sz w:val="24"/>
          <w:szCs w:val="24"/>
        </w:rPr>
        <w:t xml:space="preserve">Social dialogue and interpersonal relationships were also highlighted as </w:t>
      </w:r>
      <w:r>
        <w:rPr>
          <w:rFonts w:ascii="Times New Roman" w:eastAsia="Times New Roman" w:hAnsi="Times New Roman" w:cs="Times New Roman"/>
          <w:sz w:val="24"/>
          <w:szCs w:val="24"/>
        </w:rPr>
        <w:t>critical tools for conflict prevention. Evidence from focus group discussions revealed the importance of informal social diplomacy. One respondent recounted:</w:t>
      </w:r>
      <w:r>
        <w:rPr>
          <w:rFonts w:ascii="Times New Roman" w:eastAsia="Times New Roman" w:hAnsi="Times New Roman" w:cs="Times New Roman"/>
          <w:i/>
          <w:iCs/>
          <w:sz w:val="24"/>
          <w:szCs w:val="24"/>
        </w:rPr>
        <w:t xml:space="preserve"> “I met with the settled pastoralists, distributed wrappers to their wives, and showed them my farm</w:t>
      </w:r>
      <w:r>
        <w:rPr>
          <w:rFonts w:ascii="Times New Roman" w:eastAsia="Times New Roman" w:hAnsi="Times New Roman" w:cs="Times New Roman"/>
          <w:i/>
          <w:iCs/>
          <w:sz w:val="24"/>
          <w:szCs w:val="24"/>
        </w:rPr>
        <w:t xml:space="preserve">s both within and outside the community. I pleaded with them not to invade my farm anymore, and for the past three years, no invasion has occurred on my farms.” </w:t>
      </w:r>
      <w:r>
        <w:rPr>
          <w:rFonts w:ascii="Times New Roman" w:eastAsia="Times New Roman" w:hAnsi="Times New Roman" w:cs="Times New Roman"/>
          <w:sz w:val="24"/>
          <w:szCs w:val="24"/>
        </w:rPr>
        <w:t>This information aligns with Akinyemi and Nwankwo (2023), who argue that mutual recognition are</w:t>
      </w:r>
      <w:r>
        <w:rPr>
          <w:rFonts w:ascii="Times New Roman" w:eastAsia="Times New Roman" w:hAnsi="Times New Roman" w:cs="Times New Roman"/>
          <w:sz w:val="24"/>
          <w:szCs w:val="24"/>
        </w:rPr>
        <w:t xml:space="preserve"> essential components of sustainable conflict resolution in agrarian communities. Such informal and relational approaches often compensate for the weaknesses of formal institutions and ineffective law enforcement in rural Nigeria.</w:t>
      </w:r>
    </w:p>
    <w:p w:rsidR="008F099E" w:rsidRDefault="002C790E">
      <w:pPr>
        <w:pStyle w:val="NormalWeb"/>
        <w:spacing w:before="0" w:beforeAutospacing="0" w:line="360" w:lineRule="auto"/>
        <w:jc w:val="both"/>
      </w:pPr>
      <w:r>
        <w:t>Furthermore, the adoption</w:t>
      </w:r>
      <w:r>
        <w:t xml:space="preserve"> of livelihood diversification strategies</w:t>
      </w:r>
      <w:r>
        <w:t xml:space="preserve"> </w:t>
      </w:r>
      <w:r>
        <w:t>s</w:t>
      </w:r>
      <w:r>
        <w:t>u</w:t>
      </w:r>
      <w:r>
        <w:t>uch as engagement in secondary occupations (96.3%) and off-farm economic activities</w:t>
      </w:r>
      <w:r>
        <w:t xml:space="preserve"> </w:t>
      </w:r>
      <w:r>
        <w:t>demonstrates an effort by farmers to build resilience. These strategies reduce their dependence on farming alone and help buffer</w:t>
      </w:r>
      <w:r>
        <w:t xml:space="preserve"> against shocks resulting from pastoralist incursions. This is consistent with the work of Thornton and Lipper (2020), who identified livelihood diversification as a key resilience strategy </w:t>
      </w:r>
      <w:r>
        <w:lastRenderedPageBreak/>
        <w:t xml:space="preserve">in climate-vulnerable and conflict-prone regions. Sulaiman (2020) </w:t>
      </w:r>
      <w:r>
        <w:t>similarly noted that economically constrained farmers in northern Nigeria often diversify income sources as a way of managing environmental and human-induced risks.</w:t>
      </w:r>
      <w:r>
        <w:t xml:space="preserve"> </w:t>
      </w:r>
      <w:r>
        <w:t xml:space="preserve">Additionally, coping strategies such as </w:t>
      </w:r>
      <w:r>
        <w:t xml:space="preserve">demand for </w:t>
      </w:r>
      <w:r>
        <w:t>compensation (82.5%) and the use of stak</w:t>
      </w:r>
      <w:r>
        <w:t>eholder engagement mechanisms (68.1%) suggest the emergence of local governance models.</w:t>
      </w:r>
      <w:r>
        <w:t>These methods often involve traditional leaders, like village heads, who help settle disputes and make sure compensation agreements are followed. This reflects a form of</w:t>
      </w:r>
      <w:r>
        <w:t xml:space="preserve"> restorative justice, similar to the "community accountability system" described by Ahmed (2024), and works well in rural areas.</w:t>
      </w:r>
    </w:p>
    <w:p w:rsidR="008F099E" w:rsidRDefault="008F099E">
      <w:pPr>
        <w:pStyle w:val="NormalWeb"/>
        <w:spacing w:before="0" w:beforeAutospacing="0" w:line="360" w:lineRule="auto"/>
        <w:jc w:val="both"/>
      </w:pPr>
    </w:p>
    <w:p w:rsidR="008F099E" w:rsidRDefault="008F099E">
      <w:pPr>
        <w:pStyle w:val="NormalWeb"/>
        <w:spacing w:before="0" w:beforeAutospacing="0" w:line="360" w:lineRule="auto"/>
        <w:jc w:val="both"/>
      </w:pPr>
    </w:p>
    <w:p w:rsidR="008F099E" w:rsidRDefault="002C790E">
      <w:pPr>
        <w:pStyle w:val="NormalWeb"/>
        <w:spacing w:before="0" w:beforeAutospacing="0" w:line="360" w:lineRule="auto"/>
        <w:jc w:val="both"/>
      </w:pPr>
      <w:r>
        <w:t>Conversely, strategies like the use of charms (17.5%), spraying cattle dung (3.8%), and staying late on the farm (0%) were th</w:t>
      </w:r>
      <w:r>
        <w:t>e least adopted. This suggests that farmers generally fav</w:t>
      </w:r>
      <w:r>
        <w:t xml:space="preserve">or </w:t>
      </w:r>
      <w:r>
        <w:t>practical, socially accepted, and evidence</w:t>
      </w:r>
      <w:r>
        <w:t xml:space="preserve"> </w:t>
      </w:r>
      <w:r>
        <w:t>based approaches over superstitious or hazardous practices.</w:t>
      </w:r>
    </w:p>
    <w:p w:rsidR="008F099E" w:rsidRDefault="002C790E">
      <w:pPr>
        <w:pStyle w:val="NormalWeb"/>
        <w:spacing w:before="0" w:beforeAutospacing="0" w:line="360" w:lineRule="auto"/>
        <w:jc w:val="both"/>
      </w:pPr>
      <w:r>
        <w:t>Despite the widespread adoption of these coping mechanisms, their overall effectiveness is li</w:t>
      </w:r>
      <w:r>
        <w:t xml:space="preserve">mited by structural challenges. Only 41.2% of respondents reported access to extension services in 2024, which hampers knowledge dissemination and the uptake of improved farming or conflict mitigation techniques. Inadequate access to credit facilities and </w:t>
      </w:r>
      <w:r>
        <w:t xml:space="preserve">low participation in agricultural insurance schemes further constrain the adaptive capacity of farmers. These limitations underscore the urgent need for institutional and policy support, particularly in enhancing access to information, extension services, </w:t>
      </w:r>
      <w:r>
        <w:t>credit, and insurance. Strengthening these areas will not only improve farmers’ resilience but also foster peaceful coexistence between arable farmers and pastoralists in Oyo State</w:t>
      </w:r>
      <w:r>
        <w:t>.</w:t>
      </w:r>
    </w:p>
    <w:p w:rsidR="008F099E" w:rsidRDefault="002C790E">
      <w:pPr>
        <w:spacing w:after="0" w:line="240" w:lineRule="auto"/>
        <w:jc w:val="both"/>
        <w:rPr>
          <w:rFonts w:ascii="Times New Roman" w:eastAsia="Times" w:hAnsi="Times New Roman" w:cs="Times New Roman"/>
          <w:b/>
        </w:rPr>
      </w:pPr>
      <w:r>
        <w:rPr>
          <w:rFonts w:ascii="Times New Roman" w:eastAsia="Times" w:hAnsi="Times New Roman" w:cs="Times New Roman"/>
          <w:b/>
        </w:rPr>
        <w:t>Table 3:  Coping Strategies Utilized by Crop Farmers in</w:t>
      </w:r>
      <w:r>
        <w:rPr>
          <w:rFonts w:ascii="Times New Roman" w:hAnsi="Times New Roman" w:cs="Times New Roman"/>
          <w:b/>
        </w:rPr>
        <w:t xml:space="preserve"> the Study Area</w:t>
      </w:r>
    </w:p>
    <w:tbl>
      <w:tblPr>
        <w:tblStyle w:val="TableGrid"/>
        <w:tblW w:w="949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42"/>
        <w:gridCol w:w="1843"/>
        <w:gridCol w:w="1417"/>
      </w:tblGrid>
      <w:tr w:rsidR="008F099E">
        <w:trPr>
          <w:trHeight w:val="20"/>
        </w:trPr>
        <w:tc>
          <w:tcPr>
            <w:tcW w:w="4395"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Mit</w:t>
            </w:r>
            <w:r>
              <w:rPr>
                <w:rFonts w:ascii="Times New Roman" w:hAnsi="Times New Roman" w:cs="Times New Roman"/>
                <w:b/>
              </w:rPr>
              <w:t>igating Strategy</w:t>
            </w:r>
          </w:p>
        </w:tc>
        <w:tc>
          <w:tcPr>
            <w:tcW w:w="1842"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Utilized (%)</w:t>
            </w:r>
          </w:p>
        </w:tc>
        <w:tc>
          <w:tcPr>
            <w:tcW w:w="1843"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Not Utilized (%)</w:t>
            </w:r>
          </w:p>
        </w:tc>
        <w:tc>
          <w:tcPr>
            <w:tcW w:w="1417"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Decision</w:t>
            </w:r>
          </w:p>
        </w:tc>
      </w:tr>
      <w:tr w:rsidR="008F099E">
        <w:trPr>
          <w:trHeight w:val="20"/>
        </w:trPr>
        <w:tc>
          <w:tcPr>
            <w:tcW w:w="4395" w:type="dxa"/>
            <w:tcBorders>
              <w:top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Monitoring and chasing</w:t>
            </w:r>
          </w:p>
        </w:tc>
        <w:tc>
          <w:tcPr>
            <w:tcW w:w="1842" w:type="dxa"/>
            <w:tcBorders>
              <w:top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rPr>
              <w:t>105(65.5)</w:t>
            </w:r>
          </w:p>
        </w:tc>
        <w:tc>
          <w:tcPr>
            <w:tcW w:w="1843" w:type="dxa"/>
            <w:tcBorders>
              <w:top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rPr>
              <w:t>55(34.5)</w:t>
            </w:r>
          </w:p>
        </w:tc>
        <w:tc>
          <w:tcPr>
            <w:tcW w:w="1417" w:type="dxa"/>
            <w:tcBorders>
              <w:top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planting/ weeding</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86(9.6)</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74(90.4)</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Harvest</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143(89.4)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17( 10.6)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Spraying cattle dungs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Staying late on Farm</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0</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160(100.0)</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Planting of restraining crop</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tabs>
                <w:tab w:val="right" w:pos="3402"/>
              </w:tabs>
              <w:spacing w:after="0" w:line="240" w:lineRule="auto"/>
              <w:jc w:val="both"/>
              <w:rPr>
                <w:rFonts w:ascii="Times New Roman" w:hAnsi="Times New Roman" w:cs="Times New Roman"/>
              </w:rPr>
            </w:pPr>
            <w:r>
              <w:rPr>
                <w:rFonts w:ascii="Times New Roman" w:eastAsia="Times" w:hAnsi="Times New Roman" w:cs="Times New Roman"/>
                <w:color w:val="000000"/>
              </w:rPr>
              <w:t xml:space="preserve">Used of charms </w:t>
            </w:r>
            <w:r>
              <w:rPr>
                <w:rFonts w:ascii="Times New Roman" w:eastAsia="Times" w:hAnsi="Times New Roman" w:cs="Times New Roman"/>
                <w:color w:val="000000"/>
              </w:rPr>
              <w:tab/>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Going to farm in group</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eastAsia="Times" w:hAnsi="Times New Roman" w:cs="Times New Roman"/>
                <w:color w:val="000000"/>
              </w:rPr>
            </w:pPr>
            <w:r>
              <w:rPr>
                <w:rFonts w:ascii="Times New Roman" w:eastAsia="Times" w:hAnsi="Times New Roman" w:cs="Times New Roman"/>
                <w:color w:val="000000"/>
              </w:rPr>
              <w:t>Dialogue with settled pastoralists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lastRenderedPageBreak/>
              <w:t>Partial fencing of farm</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150(93.4)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10(6.6)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b/>
              </w:rPr>
            </w:pPr>
            <w:r>
              <w:rPr>
                <w:rFonts w:ascii="Times New Roman" w:hAnsi="Times New Roman" w:cs="Times New Roman"/>
                <w:b/>
              </w:rPr>
              <w:t>Coping Strategies</w:t>
            </w:r>
          </w:p>
        </w:tc>
        <w:tc>
          <w:tcPr>
            <w:tcW w:w="1842" w:type="dxa"/>
          </w:tcPr>
          <w:p w:rsidR="008F099E" w:rsidRDefault="008F099E">
            <w:pPr>
              <w:pBdr>
                <w:between w:val="single" w:sz="4" w:space="1" w:color="auto"/>
              </w:pBdr>
              <w:spacing w:after="0" w:line="240" w:lineRule="auto"/>
              <w:jc w:val="both"/>
              <w:rPr>
                <w:rFonts w:ascii="Times New Roman" w:hAnsi="Times New Roman" w:cs="Times New Roman"/>
              </w:rPr>
            </w:pPr>
          </w:p>
        </w:tc>
        <w:tc>
          <w:tcPr>
            <w:tcW w:w="1843" w:type="dxa"/>
          </w:tcPr>
          <w:p w:rsidR="008F099E" w:rsidRDefault="008F099E">
            <w:pPr>
              <w:pBdr>
                <w:between w:val="single" w:sz="4" w:space="1" w:color="auto"/>
              </w:pBdr>
              <w:spacing w:after="0" w:line="240" w:lineRule="auto"/>
              <w:jc w:val="both"/>
              <w:rPr>
                <w:rFonts w:ascii="Times New Roman" w:hAnsi="Times New Roman" w:cs="Times New Roman"/>
              </w:rPr>
            </w:pPr>
          </w:p>
        </w:tc>
        <w:tc>
          <w:tcPr>
            <w:tcW w:w="1417" w:type="dxa"/>
          </w:tcPr>
          <w:p w:rsidR="008F099E" w:rsidRDefault="008F099E">
            <w:pPr>
              <w:pBdr>
                <w:between w:val="single" w:sz="4" w:space="1" w:color="auto"/>
              </w:pBdr>
              <w:spacing w:after="0" w:line="240" w:lineRule="auto"/>
              <w:jc w:val="both"/>
              <w:rPr>
                <w:rFonts w:ascii="Times New Roman" w:hAnsi="Times New Roman" w:cs="Times New Roman"/>
              </w:rPr>
            </w:pP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Diversification</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color w:val="000000"/>
              </w:rPr>
              <w:t>Multiple farm plots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Adopting peaceful settlements (Dialogue)</w:t>
            </w:r>
          </w:p>
        </w:tc>
        <w:tc>
          <w:tcPr>
            <w:tcW w:w="1842"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152(95.0)</w:t>
            </w:r>
          </w:p>
        </w:tc>
        <w:tc>
          <w:tcPr>
            <w:tcW w:w="1843"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8(5.0)</w:t>
            </w:r>
          </w:p>
        </w:tc>
        <w:tc>
          <w:tcPr>
            <w:tcW w:w="1417"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 xml:space="preserve">Secondary occupations </w:t>
            </w:r>
          </w:p>
        </w:tc>
        <w:tc>
          <w:tcPr>
            <w:tcW w:w="1842"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Payment of compensation</w:t>
            </w:r>
          </w:p>
        </w:tc>
        <w:tc>
          <w:tcPr>
            <w:tcW w:w="1842"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843"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417"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rPr>
              <w:t>Setting up of stakeholders to tackle invasion</w:t>
            </w:r>
          </w:p>
        </w:tc>
        <w:tc>
          <w:tcPr>
            <w:tcW w:w="1842"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109(68.1)  </w:t>
            </w:r>
          </w:p>
        </w:tc>
        <w:tc>
          <w:tcPr>
            <w:tcW w:w="1843"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bl>
    <w:p w:rsidR="008F099E" w:rsidRDefault="002C790E">
      <w:pPr>
        <w:jc w:val="both"/>
        <w:rPr>
          <w:rFonts w:ascii="Times New Roman" w:hAnsi="Times New Roman" w:cs="Times New Roman"/>
          <w:sz w:val="24"/>
          <w:szCs w:val="24"/>
        </w:rPr>
      </w:pPr>
      <w:r>
        <w:rPr>
          <w:rFonts w:ascii="Times New Roman" w:hAnsi="Times New Roman" w:cs="Times New Roman"/>
          <w:b/>
          <w:sz w:val="24"/>
          <w:szCs w:val="24"/>
        </w:rPr>
        <w:t>Source: Field Survey, 2024</w:t>
      </w:r>
    </w:p>
    <w:p w:rsidR="008F099E" w:rsidRDefault="002C790E">
      <w:pPr>
        <w:pStyle w:val="NoSpacing"/>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w:t>
      </w:r>
    </w:p>
    <w:p w:rsidR="008F099E" w:rsidRDefault="002C790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one: </w:t>
      </w:r>
      <w:r>
        <w:rPr>
          <w:rFonts w:ascii="Times New Roman" w:hAnsi="Times New Roman" w:cs="Times New Roman"/>
          <w:b/>
          <w:sz w:val="24"/>
          <w:szCs w:val="24"/>
        </w:rPr>
        <w:t>Association between Selected Socio-Economic Characteristics of Arable Crop Farmers and their Coping Strategies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Chi-square analysis revealed a significant association (p &lt; 0.05) between the following variables and coping strategies: age (χ² = 154.28), marit</w:t>
      </w:r>
      <w:r>
        <w:rPr>
          <w:rFonts w:ascii="Times New Roman" w:hAnsi="Times New Roman" w:cs="Times New Roman"/>
          <w:sz w:val="24"/>
          <w:szCs w:val="24"/>
        </w:rPr>
        <w:t>al status (χ² = 236.78), education level (χ² = 132.06), household size (χ² = 161.20), farm size (χ² = 131.82) and years of farming experience (χ² = 69.95). This confirms that socio-economic factors significantly influence the selection and effectiveness of</w:t>
      </w:r>
      <w:r>
        <w:rPr>
          <w:rFonts w:ascii="Times New Roman" w:hAnsi="Times New Roman" w:cs="Times New Roman"/>
          <w:sz w:val="24"/>
          <w:szCs w:val="24"/>
        </w:rPr>
        <w:t xml:space="preserve"> coping strategies</w:t>
      </w:r>
      <w:r>
        <w:rPr>
          <w:rFonts w:ascii="Times New Roman" w:hAnsi="Times New Roman" w:cs="Times New Roman"/>
          <w:sz w:val="24"/>
          <w:szCs w:val="24"/>
        </w:rPr>
        <w:t xml:space="preserve">. </w:t>
      </w:r>
      <w:r>
        <w:rPr>
          <w:rFonts w:ascii="Times New Roman" w:hAnsi="Times New Roman" w:cs="Times New Roman"/>
          <w:sz w:val="24"/>
          <w:szCs w:val="24"/>
        </w:rPr>
        <w:t>For example, educated and more experienced farmers were more likely to adopt proactive and diverse strategies, such as early harvesting, farm fencing, and engaging in dialogue with pastoralists. Larger households provided more labor sup</w:t>
      </w:r>
      <w:r>
        <w:rPr>
          <w:rFonts w:ascii="Times New Roman" w:hAnsi="Times New Roman" w:cs="Times New Roman"/>
          <w:sz w:val="24"/>
          <w:szCs w:val="24"/>
        </w:rPr>
        <w:t xml:space="preserve">port, while those with larger farms tended to invest more in protective measures. These findings highlight that farmers' personal and socio-economic backgrounds significantly shape their responses to conflict. </w:t>
      </w:r>
      <w:r>
        <w:rPr>
          <w:rFonts w:ascii="Times New Roman" w:hAnsi="Times New Roman" w:cs="Times New Roman"/>
          <w:sz w:val="24"/>
          <w:szCs w:val="24"/>
        </w:rPr>
        <w:t xml:space="preserve">the null hypothesis is rejected. This finding </w:t>
      </w:r>
      <w:r>
        <w:rPr>
          <w:rFonts w:ascii="Times New Roman" w:hAnsi="Times New Roman" w:cs="Times New Roman"/>
          <w:sz w:val="24"/>
          <w:szCs w:val="24"/>
        </w:rPr>
        <w:t xml:space="preserve">supports the work of </w:t>
      </w:r>
      <w:r>
        <w:rPr>
          <w:rStyle w:val="Strong"/>
          <w:rFonts w:ascii="Times New Roman" w:hAnsi="Times New Roman" w:cs="Times New Roman"/>
          <w:b w:val="0"/>
          <w:bCs w:val="0"/>
          <w:sz w:val="24"/>
          <w:szCs w:val="24"/>
        </w:rPr>
        <w:t>Adebayo et al. (2021</w:t>
      </w:r>
      <w:r>
        <w:rPr>
          <w:rStyle w:val="Strong"/>
          <w:rFonts w:ascii="Times New Roman" w:hAnsi="Times New Roman" w:cs="Times New Roman"/>
          <w:sz w:val="24"/>
          <w:szCs w:val="24"/>
        </w:rPr>
        <w:t>)</w:t>
      </w:r>
      <w:r>
        <w:rPr>
          <w:rFonts w:ascii="Times New Roman" w:hAnsi="Times New Roman" w:cs="Times New Roman"/>
          <w:sz w:val="24"/>
          <w:szCs w:val="24"/>
        </w:rPr>
        <w:t xml:space="preserve">, who concluded that </w:t>
      </w:r>
      <w:r>
        <w:rPr>
          <w:rStyle w:val="Strong"/>
          <w:rFonts w:ascii="Times New Roman" w:hAnsi="Times New Roman" w:cs="Times New Roman"/>
          <w:b w:val="0"/>
          <w:bCs w:val="0"/>
          <w:sz w:val="24"/>
          <w:szCs w:val="24"/>
        </w:rPr>
        <w:t>farmers' socio-economic status affects their level of resilience, production capacity, and adaptation to external agricultural pressures.</w:t>
      </w:r>
      <w:r>
        <w:rPr>
          <w:rFonts w:ascii="Times New Roman" w:hAnsi="Times New Roman" w:cs="Times New Roman"/>
          <w:b/>
          <w:bCs/>
          <w:sz w:val="24"/>
          <w:szCs w:val="24"/>
        </w:rPr>
        <w:t xml:space="preserve"> </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Chi-square result of selected socio-economic </w:t>
      </w:r>
      <w:r>
        <w:rPr>
          <w:rFonts w:ascii="Times New Roman" w:hAnsi="Times New Roman" w:cs="Times New Roman"/>
          <w:sz w:val="24"/>
          <w:szCs w:val="24"/>
        </w:rPr>
        <w:t>characteristics of farmers and their coping strategies</w:t>
      </w:r>
    </w:p>
    <w:tbl>
      <w:tblPr>
        <w:tblW w:w="9475" w:type="dxa"/>
        <w:tblInd w:w="83" w:type="dxa"/>
        <w:tblLook w:val="04A0" w:firstRow="1" w:lastRow="0" w:firstColumn="1" w:lastColumn="0" w:noHBand="0" w:noVBand="1"/>
      </w:tblPr>
      <w:tblGrid>
        <w:gridCol w:w="4165"/>
        <w:gridCol w:w="1530"/>
        <w:gridCol w:w="990"/>
        <w:gridCol w:w="990"/>
        <w:gridCol w:w="1800"/>
      </w:tblGrid>
      <w:tr w:rsidR="008F099E">
        <w:trPr>
          <w:trHeight w:val="20"/>
        </w:trPr>
        <w:tc>
          <w:tcPr>
            <w:tcW w:w="4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3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w:t>
            </w:r>
          </w:p>
        </w:tc>
        <w:tc>
          <w:tcPr>
            <w:tcW w:w="99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99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800" w:type="dxa"/>
            <w:tcBorders>
              <w:top w:val="single" w:sz="4" w:space="0" w:color="auto"/>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154.28</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236.78</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132.06</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161.20</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Farmsize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131.82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Farming Experience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69.95</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bl>
    <w:p w:rsidR="008F099E" w:rsidRDefault="002C790E">
      <w:pPr>
        <w:jc w:val="both"/>
        <w:rPr>
          <w:rFonts w:ascii="Times New Roman" w:hAnsi="Times New Roman" w:cs="Times New Roman"/>
          <w:sz w:val="24"/>
          <w:szCs w:val="24"/>
        </w:rPr>
      </w:pPr>
      <w:r>
        <w:rPr>
          <w:rFonts w:ascii="Times New Roman" w:hAnsi="Times New Roman" w:cs="Times New Roman"/>
          <w:sz w:val="24"/>
          <w:szCs w:val="24"/>
        </w:rPr>
        <w:t>Source: Field survey, 2024*Significant at 0.05%</w:t>
      </w:r>
    </w:p>
    <w:p w:rsidR="008F099E" w:rsidRDefault="002C790E">
      <w:pPr>
        <w:pStyle w:val="NormalWeb"/>
        <w:spacing w:after="0" w:afterAutospacing="0" w:line="360" w:lineRule="auto"/>
        <w:jc w:val="both"/>
        <w:rPr>
          <w:b/>
        </w:rPr>
      </w:pPr>
      <w:r>
        <w:rPr>
          <w:b/>
        </w:rPr>
        <w:t>Conclusion</w:t>
      </w:r>
    </w:p>
    <w:p w:rsidR="008F099E" w:rsidRDefault="002C790E">
      <w:pPr>
        <w:pStyle w:val="NormalWeb"/>
        <w:spacing w:before="0" w:beforeAutospacing="0" w:line="360" w:lineRule="auto"/>
        <w:jc w:val="both"/>
        <w:rPr>
          <w:b/>
        </w:rPr>
      </w:pPr>
      <w:r>
        <w:lastRenderedPageBreak/>
        <w:t xml:space="preserve">This study revealed that arable crop farmers in Oyo State are predominantly male, married, educated, and experienced, with most </w:t>
      </w:r>
      <w:r>
        <w:t xml:space="preserve">cultivating small farm sizes and belonging to large households. These socio-economic characteristics significantly shaped their coping strategies against pastoralist activities. Institutionally, most farmers belonged to cooperative societies, which served </w:t>
      </w:r>
      <w:r>
        <w:t>as vital sources of credit and support, although access to extension services and participation in agricultural insurance remained limited.</w:t>
      </w:r>
      <w:r>
        <w:t xml:space="preserve"> </w:t>
      </w:r>
      <w:r>
        <w:t>In response to persistent threats from pastoralist activities</w:t>
      </w:r>
      <w:r>
        <w:t xml:space="preserve">, </w:t>
      </w:r>
      <w:r>
        <w:t xml:space="preserve">farmers employed diverse coping strategies including </w:t>
      </w:r>
      <w:r>
        <w:t>early harvesting, partial fencing, stakeholder dialogues, and diversification of income sources. The study found a significant association between farmers’ socio-economic attributes and the effectiveness of these coping strategies.</w:t>
      </w:r>
      <w:r>
        <w:t xml:space="preserve"> </w:t>
      </w:r>
      <w:r>
        <w:t>In conclusion, enhancing</w:t>
      </w:r>
      <w:r>
        <w:t xml:space="preserve"> farmers’ resilience requires strengthening institutional support such as agricultural extension, cooperative structures, and access to insurance. </w:t>
      </w:r>
    </w:p>
    <w:p w:rsidR="008F099E" w:rsidRDefault="002C790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rPr>
        <w:t xml:space="preserve">Recommendations </w:t>
      </w:r>
      <w:r>
        <w:rPr>
          <w:rFonts w:ascii="Times New Roman" w:hAnsi="Times New Roman" w:cs="Times New Roman"/>
          <w:b/>
        </w:rPr>
        <w:tab/>
        <w:t xml:space="preserve"> </w:t>
      </w:r>
    </w:p>
    <w:p w:rsidR="008F099E" w:rsidRDefault="002C790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In light of the findings, the study recommends the implementation of targeted interventio</w:t>
      </w:r>
      <w:r>
        <w:rPr>
          <w:rFonts w:ascii="Times New Roman" w:hAnsi="Times New Roman" w:cs="Times New Roman"/>
          <w:sz w:val="24"/>
          <w:szCs w:val="24"/>
        </w:rPr>
        <w:t>ns that align with the socio-economic characteristics of arable crop farmers. These should include enhancing access to agricultural extension services, credit facilities, and agricultural insurance. Strengthening cooperative societies and local conflict re</w:t>
      </w:r>
      <w:r>
        <w:rPr>
          <w:rFonts w:ascii="Times New Roman" w:hAnsi="Times New Roman" w:cs="Times New Roman"/>
          <w:sz w:val="24"/>
          <w:szCs w:val="24"/>
        </w:rPr>
        <w:t>solution mechanisms such as community dialogues and stakeholder engagement will help reinforce sustainable coping strategies. Finally, policy efforts should focus on promoting peaceful coexistence between farmers and pastoralists through integrated land-us</w:t>
      </w:r>
      <w:r>
        <w:rPr>
          <w:rFonts w:ascii="Times New Roman" w:hAnsi="Times New Roman" w:cs="Times New Roman"/>
          <w:sz w:val="24"/>
          <w:szCs w:val="24"/>
        </w:rPr>
        <w:t>e planning, education, and the adoption of locally acceptable conflict mitigation practices.</w:t>
      </w:r>
    </w:p>
    <w:p w:rsidR="008F099E" w:rsidRDefault="002C790E">
      <w:pPr>
        <w:pStyle w:val="NormalWeb"/>
        <w:spacing w:after="0" w:afterAutospacing="0"/>
        <w:jc w:val="both"/>
        <w:rPr>
          <w:b/>
        </w:rPr>
      </w:pPr>
      <w:r>
        <w:rPr>
          <w:b/>
        </w:rPr>
        <w:t>References</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Adebayo, F. F. (2023, March 10). Farmers-herders conflict: 4,000 lives lost in seven years. Punch Newspaper. https://punchng.com</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Adedapo, A. O. </w:t>
      </w:r>
      <w:r>
        <w:rPr>
          <w:rFonts w:ascii="Times New Roman" w:hAnsi="Times New Roman" w:cs="Times New Roman"/>
          <w:bCs/>
          <w:sz w:val="24"/>
          <w:szCs w:val="24"/>
        </w:rPr>
        <w:t>(2020). Utilization of repellant crops by smallholder farmers to mitigate farmers-herdsmen conflicts in Oyo State, Nigeria. World Rural Observations, 12(4), 45–52.</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Adetunji, A., &amp; Olayemi, R. (2019). Mitigating conflicts between farmers and pastoralists: </w:t>
      </w:r>
      <w:r>
        <w:rPr>
          <w:rFonts w:ascii="Times New Roman" w:hAnsi="Times New Roman" w:cs="Times New Roman"/>
          <w:bCs/>
          <w:sz w:val="24"/>
          <w:szCs w:val="24"/>
        </w:rPr>
        <w:t>An integrated approach. Journal of Agricultural Research, 15(2), 45–60.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lastRenderedPageBreak/>
        <w:t>Ahmed, M. A. (2024). Arable farmers–pastoralists conflicts: Emerging resolution mechanisms. In Proceedings of the 36th FAMAN Conference (pp. 67–71).</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Ajayi, M. O., Akintola, A. J., &amp; </w:t>
      </w:r>
      <w:r>
        <w:rPr>
          <w:rFonts w:ascii="Times New Roman" w:hAnsi="Times New Roman" w:cs="Times New Roman"/>
          <w:bCs/>
          <w:sz w:val="24"/>
          <w:szCs w:val="24"/>
        </w:rPr>
        <w:t>Babayemi, O. J. (2019). Coping strategy among crop and livestock farmers in agrarian community of Fashola, Oyo State, Nigeria. Nigerian Journal of Animal Science, 21(3), 160–171.</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Akinpeloye, T. J., Fatufe, O. O., &amp; Oladeji, J. O. (2020). Perception of ara</w:t>
      </w:r>
      <w:r>
        <w:rPr>
          <w:rFonts w:ascii="Times New Roman" w:hAnsi="Times New Roman" w:cs="Times New Roman"/>
          <w:bCs/>
          <w:sz w:val="24"/>
          <w:szCs w:val="24"/>
        </w:rPr>
        <w:t>ble crop farmers on herdsmen activities in Ibadan/Ibarapa Agricultural Zone of Oyo State. Nigerian Journal of Rural Sociology, 20(1), 99–104.</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Akinyemi, T., &amp; Nwankwo, C. (2023). Social and interpersonal strategies for conflict resolution in agrarian commu</w:t>
      </w:r>
      <w:r>
        <w:rPr>
          <w:rFonts w:ascii="Times New Roman" w:hAnsi="Times New Roman" w:cs="Times New Roman"/>
          <w:bCs/>
          <w:sz w:val="24"/>
          <w:szCs w:val="24"/>
        </w:rPr>
        <w:t>nities. Nigerian Journal of Rural Studies, 18(3), 88–105.</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Bello, M. (2021). Grazing activities and their impact on arable crop farming in Nigeria. African Journal of Environmental Management, 9(1), 23–37.</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European Commission. (2023). Common Agricultural </w:t>
      </w:r>
      <w:r>
        <w:rPr>
          <w:rFonts w:ascii="Times New Roman" w:hAnsi="Times New Roman" w:cs="Times New Roman"/>
          <w:bCs/>
          <w:sz w:val="24"/>
          <w:szCs w:val="24"/>
        </w:rPr>
        <w:t>Policy (CAP): Objectives and rules. https://agriculture.ec.europa.eu</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Food and Agriculture Organization [FAO]. (2021). Food security and agricultural resilience in conflict zones. Rome: FAO.</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Gyang, S. D. (2022). Pastoralist encroachment and its implicatio</w:t>
      </w:r>
      <w:r>
        <w:rPr>
          <w:rFonts w:ascii="Times New Roman" w:hAnsi="Times New Roman" w:cs="Times New Roman"/>
          <w:bCs/>
          <w:sz w:val="24"/>
          <w:szCs w:val="24"/>
        </w:rPr>
        <w:t>ns for sustainable crop production in Nigeria. Journal of Environmental Management and Agriculture, 14(2), 112–120.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Ibrahim, R. O., Alabi, K. A., &amp; Olawepo, R. A. (2023). Household size and rural farming productivity in North-Central Nigeria. Journal of A</w:t>
      </w:r>
      <w:r>
        <w:rPr>
          <w:rFonts w:ascii="Times New Roman" w:hAnsi="Times New Roman" w:cs="Times New Roman"/>
          <w:bCs/>
          <w:sz w:val="24"/>
          <w:szCs w:val="24"/>
        </w:rPr>
        <w:t>gricultural Extension and Rural Development, 15(1), 17–25.</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Isumonah, K. T., &amp; Olajide, O. A. (2021). Political economy of farmer-herder conflicts in Nigeria. University of Nigeria Journal of Political Economy, 11(2), 355–368.</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Lawal, A. O., Ayinde, K., &amp; </w:t>
      </w:r>
      <w:r>
        <w:rPr>
          <w:rFonts w:ascii="Times New Roman" w:hAnsi="Times New Roman" w:cs="Times New Roman"/>
          <w:bCs/>
          <w:sz w:val="24"/>
          <w:szCs w:val="24"/>
        </w:rPr>
        <w:t>Abdulraheem, T. (2020). Mitigating farmer–herder conflicts through local innovations: Evidence from Kwara State. Journal of Peace and Development Studies, 8(1), 59–70.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Micah, D. J. (2020). Food security: Mainstreaming mobile telecommunication services for</w:t>
      </w:r>
      <w:r>
        <w:rPr>
          <w:rFonts w:ascii="Times New Roman" w:hAnsi="Times New Roman" w:cs="Times New Roman"/>
          <w:bCs/>
          <w:sz w:val="24"/>
          <w:szCs w:val="24"/>
        </w:rPr>
        <w:t xml:space="preserve"> sustainability. Covenant Journal of Social Sciences, 11(4), 23–26.</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National Bureau of Statistics. (2022). The economic cost of farmer-herder conflicts in southwestern Nigeria. National Economic Report, 15(2), 45–60.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Oyebode, A. F. (2024). Multifaceted </w:t>
      </w:r>
      <w:r>
        <w:rPr>
          <w:rFonts w:ascii="Times New Roman" w:hAnsi="Times New Roman" w:cs="Times New Roman"/>
          <w:bCs/>
          <w:sz w:val="24"/>
          <w:szCs w:val="24"/>
        </w:rPr>
        <w:t>strategies for mitigating pastoralist herding conflict in southwest Nigeria. Agricultural Research Review, 22(1), 56–72.</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Sulaiman, M. G. (2020). Socio-economic analysis of crop farmers and nomadic pastoralists conflict in Zamfara State, Nigeria [Master’s </w:t>
      </w:r>
      <w:r>
        <w:rPr>
          <w:rFonts w:ascii="Times New Roman" w:hAnsi="Times New Roman" w:cs="Times New Roman"/>
          <w:bCs/>
          <w:sz w:val="24"/>
          <w:szCs w:val="24"/>
        </w:rPr>
        <w:t>thesis, Bayero University, Kano].</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Thornton, P., &amp; Lipper, L. (2020). How resilience thinking can inform the development of climate-smart agriculture. Current Opinion in Environmental Sustainability, 12, 30–36. https://doi.org/10.1016/j.cosust.2020.02.004</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Yikwabs, M. L., &amp; Tade, M. A. (2021). Farmer-herder conflict and coping strategies in Benue and Nasarawa States, Nigeria. Journal of Conflict and Development Studies, 10(2), 105–123.</w:t>
      </w:r>
    </w:p>
    <w:p w:rsidR="008F099E" w:rsidRDefault="008F099E">
      <w:pPr>
        <w:spacing w:after="0" w:line="360" w:lineRule="auto"/>
        <w:ind w:left="851" w:hanging="851"/>
        <w:jc w:val="both"/>
        <w:rPr>
          <w:rFonts w:ascii="Times New Roman" w:hAnsi="Times New Roman" w:cs="Times New Roman"/>
          <w:bCs/>
          <w:sz w:val="24"/>
          <w:szCs w:val="24"/>
        </w:rPr>
      </w:pPr>
    </w:p>
    <w:sectPr w:rsidR="008F099E">
      <w:headerReference w:type="even" r:id="rId13"/>
      <w:headerReference w:type="default" r:id="rId14"/>
      <w:footerReference w:type="even" r:id="rId15"/>
      <w:footerReference w:type="default" r:id="rId16"/>
      <w:headerReference w:type="first" r:id="rId17"/>
      <w:footerReference w:type="first" r:id="rId18"/>
      <w:pgSz w:w="12240" w:h="15840"/>
      <w:pgMar w:top="851" w:right="1440" w:bottom="1440" w:left="13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90E" w:rsidRDefault="002C790E">
      <w:pPr>
        <w:spacing w:after="0" w:line="240" w:lineRule="auto"/>
      </w:pPr>
      <w:r>
        <w:separator/>
      </w:r>
    </w:p>
  </w:endnote>
  <w:endnote w:type="continuationSeparator" w:id="0">
    <w:p w:rsidR="002C790E" w:rsidRDefault="002C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DA" w:rsidRDefault="008B3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9E" w:rsidRDefault="008F099E">
    <w:pPr>
      <w:pStyle w:val="Footer"/>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DA" w:rsidRDefault="008B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90E" w:rsidRDefault="002C790E">
      <w:pPr>
        <w:spacing w:after="0" w:line="240" w:lineRule="auto"/>
      </w:pPr>
      <w:r>
        <w:separator/>
      </w:r>
    </w:p>
  </w:footnote>
  <w:footnote w:type="continuationSeparator" w:id="0">
    <w:p w:rsidR="002C790E" w:rsidRDefault="002C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DA" w:rsidRDefault="008B3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1"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DA" w:rsidRDefault="008B3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2"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DA" w:rsidRDefault="008B3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0"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E5D4A9BA"/>
    <w:lvl w:ilvl="0">
      <w:start w:val="1"/>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405" w:hanging="360"/>
      </w:pPr>
      <w:rPr>
        <w:rFonts w:ascii="Times New Roman" w:hAnsi="Times New Roman" w:cs="Times New Roman" w:hint="default"/>
        <w:sz w:val="24"/>
      </w:rPr>
    </w:lvl>
    <w:lvl w:ilvl="2">
      <w:start w:val="1"/>
      <w:numFmt w:val="decimal"/>
      <w:lvlText w:val="%1.%2.%3"/>
      <w:lvlJc w:val="left"/>
      <w:pPr>
        <w:ind w:left="810" w:hanging="720"/>
      </w:pPr>
      <w:rPr>
        <w:rFonts w:ascii="Times New Roman" w:hAnsi="Times New Roman" w:cs="Times New Roman" w:hint="default"/>
        <w:sz w:val="24"/>
      </w:rPr>
    </w:lvl>
    <w:lvl w:ilvl="3">
      <w:start w:val="1"/>
      <w:numFmt w:val="decimal"/>
      <w:lvlText w:val="%1.%2.%3.%4"/>
      <w:lvlJc w:val="left"/>
      <w:pPr>
        <w:ind w:left="855" w:hanging="720"/>
      </w:pPr>
      <w:rPr>
        <w:rFonts w:ascii="Times New Roman" w:hAnsi="Times New Roman" w:cs="Times New Roman" w:hint="default"/>
        <w:sz w:val="24"/>
      </w:rPr>
    </w:lvl>
    <w:lvl w:ilvl="4">
      <w:start w:val="1"/>
      <w:numFmt w:val="decimal"/>
      <w:lvlText w:val="%1.%2.%3.%4.%5"/>
      <w:lvlJc w:val="left"/>
      <w:pPr>
        <w:ind w:left="1260" w:hanging="1080"/>
      </w:pPr>
      <w:rPr>
        <w:rFonts w:ascii="Times New Roman" w:hAnsi="Times New Roman" w:cs="Times New Roman" w:hint="default"/>
        <w:sz w:val="24"/>
      </w:rPr>
    </w:lvl>
    <w:lvl w:ilvl="5">
      <w:start w:val="1"/>
      <w:numFmt w:val="decimal"/>
      <w:lvlText w:val="%1.%2.%3.%4.%5.%6"/>
      <w:lvlJc w:val="left"/>
      <w:pPr>
        <w:ind w:left="1305" w:hanging="1080"/>
      </w:pPr>
      <w:rPr>
        <w:rFonts w:ascii="Times New Roman" w:hAnsi="Times New Roman" w:cs="Times New Roman" w:hint="default"/>
        <w:sz w:val="24"/>
      </w:rPr>
    </w:lvl>
    <w:lvl w:ilvl="6">
      <w:start w:val="1"/>
      <w:numFmt w:val="decimal"/>
      <w:lvlText w:val="%1.%2.%3.%4.%5.%6.%7"/>
      <w:lvlJc w:val="left"/>
      <w:pPr>
        <w:ind w:left="1710" w:hanging="1440"/>
      </w:pPr>
      <w:rPr>
        <w:rFonts w:ascii="Times New Roman" w:hAnsi="Times New Roman" w:cs="Times New Roman" w:hint="default"/>
        <w:sz w:val="24"/>
      </w:rPr>
    </w:lvl>
    <w:lvl w:ilvl="7">
      <w:start w:val="1"/>
      <w:numFmt w:val="decimal"/>
      <w:lvlText w:val="%1.%2.%3.%4.%5.%6.%7.%8"/>
      <w:lvlJc w:val="left"/>
      <w:pPr>
        <w:ind w:left="1755" w:hanging="1440"/>
      </w:pPr>
      <w:rPr>
        <w:rFonts w:ascii="Times New Roman" w:hAnsi="Times New Roman" w:cs="Times New Roman" w:hint="default"/>
        <w:sz w:val="24"/>
      </w:rPr>
    </w:lvl>
    <w:lvl w:ilvl="8">
      <w:start w:val="1"/>
      <w:numFmt w:val="decimal"/>
      <w:lvlText w:val="%1.%2.%3.%4.%5.%6.%7.%8.%9"/>
      <w:lvlJc w:val="left"/>
      <w:pPr>
        <w:ind w:left="2160" w:hanging="1800"/>
      </w:pPr>
      <w:rPr>
        <w:rFonts w:ascii="Times New Roman" w:hAnsi="Times New Roman" w:cs="Times New Roman" w:hint="default"/>
        <w:sz w:val="24"/>
      </w:rPr>
    </w:lvl>
  </w:abstractNum>
  <w:abstractNum w:abstractNumId="1" w15:restartNumberingAfterBreak="0">
    <w:nsid w:val="00000001"/>
    <w:multiLevelType w:val="hybridMultilevel"/>
    <w:tmpl w:val="688056DA"/>
    <w:lvl w:ilvl="0" w:tplc="99AE4E76">
      <w:start w:val="1"/>
      <w:numFmt w:val="decimal"/>
      <w:lvlText w:val="%1."/>
      <w:lvlJc w:val="left"/>
      <w:pPr>
        <w:ind w:left="765" w:hanging="360"/>
      </w:pPr>
      <w:rPr>
        <w:rFonts w:ascii="Times New Roman" w:eastAsia="SimSun" w:hAnsi="Times New Roman" w:cs="Times New Roman" w:hint="default"/>
        <w:b w:val="0"/>
        <w:sz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0000002"/>
    <w:multiLevelType w:val="multilevel"/>
    <w:tmpl w:val="9E42E634"/>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B456CD5C"/>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hybridMultilevel"/>
    <w:tmpl w:val="B2A0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04D6E5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99E"/>
    <w:rsid w:val="002C790E"/>
    <w:rsid w:val="008B3EDA"/>
    <w:rsid w:val="008F0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07413"/>
  <w15:docId w15:val="{AA18DF07-12FC-4F99-8CE9-F4C38C6B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uiPriority w:val="9"/>
    <w:qFormat/>
    <w:pPr>
      <w:widowControl w:val="0"/>
      <w:autoSpaceDE w:val="0"/>
      <w:autoSpaceDN w:val="0"/>
      <w:spacing w:after="0" w:line="240" w:lineRule="auto"/>
      <w:ind w:left="1100" w:hanging="72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SimSu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link w:val="NoSpacing"/>
    <w:uiPriority w:val="1"/>
    <w:rPr>
      <w:rFonts w:ascii="Calibri" w:eastAsia="SimSun" w:hAnsi="Calibri" w:cs="SimSun"/>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styleId="Hyperlink">
    <w:name w:val="Hyperlink"/>
    <w:basedOn w:val="DefaultParagraphFont"/>
    <w:uiPriority w:val="99"/>
    <w:rPr>
      <w:color w:val="0563C1"/>
      <w:u w:val="single"/>
    </w:rPr>
  </w:style>
  <w:style w:type="character" w:styleId="HTMLCite">
    <w:name w:val="HTML Cite"/>
    <w:basedOn w:val="DefaultParagraphFont"/>
    <w:rPr>
      <w:rFonts w:ascii="Times New Roman" w:eastAsia="SimSun" w:hAnsi="Times New Roman" w:cs="Times New Roman"/>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1.8102462156969448E-4"/>
          <c:w val="1"/>
          <c:h val="0.90616031960874921"/>
        </c:manualLayout>
      </c:layout>
      <c:pie3DChart>
        <c:varyColors val="1"/>
        <c:ser>
          <c:idx val="0"/>
          <c:order val="0"/>
          <c:explosion val="25"/>
          <c:dPt>
            <c:idx val="0"/>
            <c:bubble3D val="0"/>
            <c:explosion val="0"/>
            <c:extLst>
              <c:ext xmlns:c16="http://schemas.microsoft.com/office/drawing/2014/chart" uri="{C3380CC4-5D6E-409C-BE32-E72D297353CC}">
                <c16:uniqueId val="{00000000-17F2-4B40-89F1-2E3537F5FA7F}"/>
              </c:ext>
            </c:extLst>
          </c:dPt>
          <c:dPt>
            <c:idx val="1"/>
            <c:bubble3D val="0"/>
            <c:explosion val="0"/>
            <c:extLst>
              <c:ext xmlns:c16="http://schemas.microsoft.com/office/drawing/2014/chart" uri="{C3380CC4-5D6E-409C-BE32-E72D297353CC}">
                <c16:uniqueId val="{00000001-17F2-4B40-89F1-2E3537F5FA7F}"/>
              </c:ext>
            </c:extLst>
          </c:dPt>
          <c:dLbls>
            <c:dLbl>
              <c:idx val="0"/>
              <c:layout>
                <c:manualLayout>
                  <c:x val="-6.2999212509843625E-2"/>
                  <c:y val="1.1938740379596332E-3"/>
                </c:manualLayout>
              </c:layout>
              <c:tx>
                <c:rich>
                  <a:bodyPr wrap="square" lIns="38100" tIns="19050" rIns="38100" bIns="19050" anchor="ctr">
                    <a:noAutofit/>
                  </a:bodyPr>
                  <a:lstStyle/>
                  <a:p>
                    <a:pPr>
                      <a:defRPr/>
                    </a:pPr>
                    <a:fld id="{1B4A14FA-A481-482A-9020-9ACBA358B845}" type="CATEGORYNAME">
                      <a:rPr lang="en-US" sz="800"/>
                      <a:pPr>
                        <a:defRPr/>
                      </a:pPr>
                      <a:t>[CATEGORY NAME]</a:t>
                    </a:fld>
                    <a:r>
                      <a:rPr lang="en-US" sz="800" baseline="0"/>
                      <a:t>
</a:t>
                    </a:r>
                    <a:fld id="{AF1E1FB3-EF79-47FF-B4A4-7CE835F9E48F}" type="PERCENTAGE">
                      <a:rPr lang="en-US" sz="800" baseline="0"/>
                      <a:pPr>
                        <a:defRPr/>
                      </a:pPr>
                      <a:t>[PERCENTAGE]</a:t>
                    </a:fld>
                    <a:endParaRPr lang="en-US" sz="800" baseline="0"/>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1211795876173595"/>
                      <c:h val="0.39980898015392646"/>
                    </c:manualLayout>
                  </c15:layout>
                  <c15:dlblFieldTable/>
                  <c15:showDataLabelsRange val="0"/>
                </c:ext>
                <c:ext xmlns:c16="http://schemas.microsoft.com/office/drawing/2014/chart" uri="{C3380CC4-5D6E-409C-BE32-E72D297353CC}">
                  <c16:uniqueId val="{00000000-17F2-4B40-89F1-2E3537F5FA7F}"/>
                </c:ext>
              </c:extLst>
            </c:dLbl>
            <c:dLbl>
              <c:idx val="1"/>
              <c:layout>
                <c:manualLayout>
                  <c:x val="6.5349990211736528E-2"/>
                  <c:y val="-0.33646591073153936"/>
                </c:manualLayout>
              </c:layout>
              <c:tx>
                <c:rich>
                  <a:bodyPr/>
                  <a:lstStyle/>
                  <a:p>
                    <a:fld id="{FF068862-159B-4F7E-9AE0-F370922E4318}" type="CATEGORYNAME">
                      <a:rPr lang="en-US" sz="800"/>
                      <a:pPr/>
                      <a:t>[CATEGORY NAME]</a:t>
                    </a:fld>
                    <a:r>
                      <a:rPr lang="en-US" sz="800" baseline="0"/>
                      <a:t>
</a:t>
                    </a:r>
                    <a:fld id="{392FB314-365F-4E19-8B75-5B00BA6E2DF0}" type="PERCENTAGE">
                      <a:rPr lang="en-US" sz="800" baseline="0"/>
                      <a:pPr/>
                      <a:t>[PERCENTAGE]</a:t>
                    </a:fld>
                    <a:endParaRPr lang="en-US" sz="8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F2-4B40-89F1-2E3537F5FA7F}"/>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'[Book2 ym.xlsx]Sheet1'!$A$34:$A$35</c:f>
              <c:strCache>
                <c:ptCount val="2"/>
                <c:pt idx="0">
                  <c:v>Do not belong</c:v>
                </c:pt>
                <c:pt idx="1">
                  <c:v>Belong</c:v>
                </c:pt>
              </c:strCache>
            </c:strRef>
          </c:cat>
          <c:val>
            <c:numRef>
              <c:f>'[Book2 ym.xlsx]Sheet1'!$B$34:$B$35</c:f>
              <c:numCache>
                <c:formatCode>General</c:formatCode>
                <c:ptCount val="2"/>
                <c:pt idx="0">
                  <c:v>27.5</c:v>
                </c:pt>
                <c:pt idx="1">
                  <c:v>72.5</c:v>
                </c:pt>
              </c:numCache>
            </c:numRef>
          </c:val>
          <c:extLst>
            <c:ext xmlns:c16="http://schemas.microsoft.com/office/drawing/2014/chart" uri="{C3380CC4-5D6E-409C-BE32-E72D297353CC}">
              <c16:uniqueId val="{00000002-17F2-4B40-89F1-2E3537F5FA7F}"/>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1"/>
          <c:h val="1"/>
        </c:manualLayout>
      </c:layout>
      <c:pie3DChart>
        <c:varyColors val="1"/>
        <c:ser>
          <c:idx val="0"/>
          <c:order val="0"/>
          <c:dLbls>
            <c:dLbl>
              <c:idx val="0"/>
              <c:layout>
                <c:manualLayout>
                  <c:x val="-0.10069509199421084"/>
                  <c:y val="0.14113256589814241"/>
                </c:manualLayout>
              </c:layout>
              <c:tx>
                <c:rich>
                  <a:bodyPr/>
                  <a:lstStyle/>
                  <a:p>
                    <a:fld id="{4EEE9B4E-AE6B-4107-A153-1EC30EDFAEC0}" type="CATEGORYNAME">
                      <a:rPr lang="en-US" sz="800"/>
                      <a:pPr/>
                      <a:t>[CATEGORY NAME]</a:t>
                    </a:fld>
                    <a:r>
                      <a:rPr lang="en-US" baseline="0"/>
                      <a:t>
</a:t>
                    </a:r>
                    <a:fld id="{35807F28-F9C8-4ED3-A533-2A5C27CD0116}"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623-4FF9-BEE3-D4B5B3A97781}"/>
                </c:ext>
              </c:extLst>
            </c:dLbl>
            <c:dLbl>
              <c:idx val="1"/>
              <c:layout>
                <c:manualLayout>
                  <c:x val="-0.10018777285876719"/>
                  <c:y val="-0.24933148916551406"/>
                </c:manualLayout>
              </c:layout>
              <c:tx>
                <c:rich>
                  <a:bodyPr/>
                  <a:lstStyle/>
                  <a:p>
                    <a:fld id="{B90BBD91-DC04-4A2D-BDE0-07BBC99A75B6}" type="CATEGORYNAME">
                      <a:rPr lang="en-US" sz="800"/>
                      <a:pPr/>
                      <a:t>[CATEGORY NAME]</a:t>
                    </a:fld>
                    <a:r>
                      <a:rPr lang="en-US" baseline="0"/>
                      <a:t>
</a:t>
                    </a:r>
                    <a:fld id="{9267CE2C-F90B-4E75-8860-1726C889F3D7}"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623-4FF9-BEE3-D4B5B3A97781}"/>
                </c:ext>
              </c:extLst>
            </c:dLbl>
            <c:dLbl>
              <c:idx val="2"/>
              <c:layout>
                <c:manualLayout>
                  <c:x val="0.18560328530053033"/>
                  <c:y val="-0.10303380127276622"/>
                </c:manualLayout>
              </c:layout>
              <c:tx>
                <c:rich>
                  <a:bodyPr/>
                  <a:lstStyle/>
                  <a:p>
                    <a:fld id="{F4EC9082-CF84-4042-9F1A-DE67A382BFDA}" type="CATEGORYNAME">
                      <a:rPr lang="en-US" sz="800"/>
                      <a:pPr/>
                      <a:t>[CATEGORY NAME]</a:t>
                    </a:fld>
                    <a:r>
                      <a:rPr lang="en-US" baseline="0"/>
                      <a:t>
</a:t>
                    </a:r>
                    <a:fld id="{AE48CE95-6C5B-4782-88D8-AF119816AF41}"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623-4FF9-BEE3-D4B5B3A97781}"/>
                </c:ext>
              </c:extLst>
            </c:dLbl>
            <c:dLbl>
              <c:idx val="3"/>
              <c:layout>
                <c:manualLayout>
                  <c:x val="4.0806289666270618E-2"/>
                  <c:y val="3.6112349485618089E-2"/>
                </c:manualLayout>
              </c:layout>
              <c:tx>
                <c:rich>
                  <a:bodyPr wrap="square" lIns="38100" tIns="19050" rIns="38100" bIns="19050" anchor="ctr">
                    <a:noAutofit/>
                  </a:bodyPr>
                  <a:lstStyle/>
                  <a:p>
                    <a:pPr>
                      <a:defRPr/>
                    </a:pPr>
                    <a:fld id="{15920FF2-7BCA-46B3-B018-743063DFAF07}" type="CATEGORYNAME">
                      <a:rPr lang="en-US" sz="800"/>
                      <a:pPr>
                        <a:defRPr/>
                      </a:pPr>
                      <a:t>[CATEGORY NAME]</a:t>
                    </a:fld>
                    <a:r>
                      <a:rPr lang="en-US" sz="800" baseline="0"/>
                      <a:t>
</a:t>
                    </a:r>
                    <a:fld id="{A8DBEE74-1F45-4960-8A4C-52A9030B6D57}" type="PERCENTAGE">
                      <a:rPr lang="en-US" baseline="0"/>
                      <a:pPr>
                        <a:defRPr/>
                      </a:pPr>
                      <a:t>[PERCENTAGE]</a:t>
                    </a:fld>
                    <a:endParaRPr lang="en-US" sz="800" baseline="0"/>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4980915867872005"/>
                      <c:h val="0.29804212578369116"/>
                    </c:manualLayout>
                  </c15:layout>
                  <c15:dlblFieldTable/>
                  <c15:showDataLabelsRange val="0"/>
                </c:ext>
                <c:ext xmlns:c16="http://schemas.microsoft.com/office/drawing/2014/chart" uri="{C3380CC4-5D6E-409C-BE32-E72D297353CC}">
                  <c16:uniqueId val="{00000003-2623-4FF9-BEE3-D4B5B3A97781}"/>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'[Book2 ym.xlsx]Sheet1'!$A$29:$A$32</c:f>
              <c:strCache>
                <c:ptCount val="4"/>
                <c:pt idx="0">
                  <c:v>Money lender</c:v>
                </c:pt>
                <c:pt idx="1">
                  <c:v>Agric. credit</c:v>
                </c:pt>
                <c:pt idx="2">
                  <c:v>Cooperative society</c:v>
                </c:pt>
                <c:pt idx="3">
                  <c:v>Commercial bank</c:v>
                </c:pt>
              </c:strCache>
            </c:strRef>
          </c:cat>
          <c:val>
            <c:numRef>
              <c:f>'[Book2 ym.xlsx]Sheet1'!$B$29:$B$32</c:f>
              <c:numCache>
                <c:formatCode>General</c:formatCode>
                <c:ptCount val="4"/>
                <c:pt idx="0">
                  <c:v>34.700000000000003</c:v>
                </c:pt>
                <c:pt idx="1">
                  <c:v>10.5</c:v>
                </c:pt>
                <c:pt idx="2">
                  <c:v>52.6</c:v>
                </c:pt>
                <c:pt idx="3">
                  <c:v>2.1</c:v>
                </c:pt>
              </c:numCache>
            </c:numRef>
          </c:val>
          <c:extLst>
            <c:ext xmlns:c16="http://schemas.microsoft.com/office/drawing/2014/chart" uri="{C3380CC4-5D6E-409C-BE32-E72D297353CC}">
              <c16:uniqueId val="{00000004-2623-4FF9-BEE3-D4B5B3A97781}"/>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ofPieChart>
        <c:ofPieType val="bar"/>
        <c:varyColors val="1"/>
        <c:ser>
          <c:idx val="0"/>
          <c:order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'[Book2 ym.xlsx]Sheet2'!$A$5:$A$6</c:f>
              <c:strCache>
                <c:ptCount val="2"/>
                <c:pt idx="0">
                  <c:v>Aware of Agricultural Insurance</c:v>
                </c:pt>
                <c:pt idx="1">
                  <c:v>Not Aware</c:v>
                </c:pt>
              </c:strCache>
            </c:strRef>
          </c:cat>
          <c:val>
            <c:numRef>
              <c:f>'[Book2 ym.xlsx]Sheet2'!$B$5:$B$6</c:f>
              <c:numCache>
                <c:formatCode>General</c:formatCode>
                <c:ptCount val="2"/>
                <c:pt idx="0">
                  <c:v>72.5</c:v>
                </c:pt>
                <c:pt idx="1">
                  <c:v>27.5</c:v>
                </c:pt>
              </c:numCache>
            </c:numRef>
          </c:val>
          <c:extLst>
            <c:ext xmlns:c16="http://schemas.microsoft.com/office/drawing/2014/chart" uri="{C3380CC4-5D6E-409C-BE32-E72D297353CC}">
              <c16:uniqueId val="{00000000-4CCF-4262-8FA4-175BEFA45F5C}"/>
            </c:ext>
          </c:extLst>
        </c:ser>
        <c:dLbls>
          <c:showLegendKey val="0"/>
          <c:showVal val="1"/>
          <c:showCatName val="0"/>
          <c:showSerName val="0"/>
          <c:showPercent val="0"/>
          <c:showBubbleSize val="0"/>
          <c:showLeaderLines val="0"/>
        </c:dLbls>
        <c:gapWidth val="100"/>
        <c:secondPieSize val="75"/>
        <c:serLines/>
      </c:ofPieChart>
    </c:plotArea>
    <c:legend>
      <c:legendPos val="r"/>
      <c:layout>
        <c:manualLayout>
          <c:xMode val="edge"/>
          <c:yMode val="edge"/>
          <c:x val="0.66010154381560027"/>
          <c:y val="9.6878145933209633E-2"/>
          <c:w val="0.33586212924191744"/>
          <c:h val="0.90312185406679024"/>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ofPieChart>
        <c:ofPieType val="pie"/>
        <c:varyColors val="1"/>
        <c:ser>
          <c:idx val="0"/>
          <c:order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'[Book2 ym.xlsx]Sheet2'!$A$7:$A$8</c:f>
              <c:strCache>
                <c:ptCount val="2"/>
                <c:pt idx="0">
                  <c:v>Participating in Agricultural Insurance</c:v>
                </c:pt>
                <c:pt idx="1">
                  <c:v>Not Participating</c:v>
                </c:pt>
              </c:strCache>
            </c:strRef>
          </c:cat>
          <c:val>
            <c:numRef>
              <c:f>'[Book2 ym.xlsx]Sheet2'!$B$7:$B$8</c:f>
              <c:numCache>
                <c:formatCode>General</c:formatCode>
                <c:ptCount val="2"/>
                <c:pt idx="0">
                  <c:v>64</c:v>
                </c:pt>
                <c:pt idx="1">
                  <c:v>36</c:v>
                </c:pt>
              </c:numCache>
            </c:numRef>
          </c:val>
          <c:extLst>
            <c:ext xmlns:c16="http://schemas.microsoft.com/office/drawing/2014/chart" uri="{C3380CC4-5D6E-409C-BE32-E72D297353CC}">
              <c16:uniqueId val="{00000000-1934-47F3-B1D5-D172235FE114}"/>
            </c:ext>
          </c:extLst>
        </c:ser>
        <c:dLbls>
          <c:showLegendKey val="0"/>
          <c:showVal val="1"/>
          <c:showCatName val="0"/>
          <c:showSerName val="0"/>
          <c:showPercent val="0"/>
          <c:showBubbleSize val="0"/>
          <c:showLeaderLines val="0"/>
        </c:dLbls>
        <c:gapWidth val="100"/>
        <c:secondPieSize val="75"/>
        <c:serLines/>
      </c:ofPieChart>
    </c:plotArea>
    <c:legend>
      <c:legendPos val="r"/>
      <c:layout>
        <c:manualLayout>
          <c:xMode val="edge"/>
          <c:yMode val="edge"/>
          <c:x val="0.66146338654651726"/>
          <c:y val="6.5944881889763787E-2"/>
          <c:w val="0.33462657554245301"/>
          <c:h val="0.91429803179158053"/>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0-593B-4E26-8C09-8BF1D374C382}"/>
              </c:ext>
            </c:extLst>
          </c:dPt>
          <c:dPt>
            <c:idx val="1"/>
            <c:bubble3D val="0"/>
            <c:explosion val="0"/>
            <c:extLst>
              <c:ext xmlns:c16="http://schemas.microsoft.com/office/drawing/2014/chart" uri="{C3380CC4-5D6E-409C-BE32-E72D297353CC}">
                <c16:uniqueId val="{00000001-593B-4E26-8C09-8BF1D374C382}"/>
              </c:ext>
            </c:extLst>
          </c:dPt>
          <c:dLbls>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'[Book2 ym.xlsx]Sheet2'!$A$1:$A$2</c:f>
              <c:strCache>
                <c:ptCount val="2"/>
                <c:pt idx="0">
                  <c:v>No Contact</c:v>
                </c:pt>
                <c:pt idx="1">
                  <c:v>Contact Received</c:v>
                </c:pt>
              </c:strCache>
            </c:strRef>
          </c:cat>
          <c:val>
            <c:numRef>
              <c:f>'[Book2 ym.xlsx]Sheet2'!$B$1:$B$2</c:f>
              <c:numCache>
                <c:formatCode>General</c:formatCode>
                <c:ptCount val="2"/>
                <c:pt idx="0">
                  <c:v>58.8</c:v>
                </c:pt>
                <c:pt idx="1">
                  <c:v>41.2</c:v>
                </c:pt>
              </c:numCache>
            </c:numRef>
          </c:val>
          <c:extLst>
            <c:ext xmlns:c16="http://schemas.microsoft.com/office/drawing/2014/chart" uri="{C3380CC4-5D6E-409C-BE32-E72D297353CC}">
              <c16:uniqueId val="{00000002-593B-4E26-8C09-8BF1D374C382}"/>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manualLayout>
          <c:layoutTarget val="inner"/>
          <c:xMode val="edge"/>
          <c:yMode val="edge"/>
          <c:x val="9.1325459317585525E-2"/>
          <c:y val="2.8252405949256338E-2"/>
          <c:w val="0.90867454068241471"/>
          <c:h val="0.57536453776611252"/>
        </c:manualLayout>
      </c:layout>
      <c:bar3DChart>
        <c:barDir val="col"/>
        <c:grouping val="clustered"/>
        <c:varyColors val="0"/>
        <c:ser>
          <c:idx val="0"/>
          <c:order val="0"/>
          <c:tx>
            <c:strRef>
              <c:f>'[Book2 ym.xlsx]Sheet1'!$B$21</c:f>
              <c:strCache>
                <c:ptCount val="1"/>
                <c:pt idx="0">
                  <c:v>Percentage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'[Book2 ym.xlsx]Sheet1'!$A$22:$A$26</c:f>
              <c:strCache>
                <c:ptCount val="5"/>
                <c:pt idx="0">
                  <c:v>Awareness Creation</c:v>
                </c:pt>
                <c:pt idx="1">
                  <c:v>Training on Improved Farming</c:v>
                </c:pt>
                <c:pt idx="2">
                  <c:v>Dissemination of Improved Tech</c:v>
                </c:pt>
                <c:pt idx="3">
                  <c:v>Problem Diagnosis</c:v>
                </c:pt>
                <c:pt idx="4">
                  <c:v>Linkage to Input Dealers</c:v>
                </c:pt>
              </c:strCache>
            </c:strRef>
          </c:cat>
          <c:val>
            <c:numRef>
              <c:f>'[Book2 ym.xlsx]Sheet1'!$B$22:$B$26</c:f>
              <c:numCache>
                <c:formatCode>General</c:formatCode>
                <c:ptCount val="5"/>
                <c:pt idx="0">
                  <c:v>22.7</c:v>
                </c:pt>
                <c:pt idx="1">
                  <c:v>31.8</c:v>
                </c:pt>
                <c:pt idx="2">
                  <c:v>25.6</c:v>
                </c:pt>
                <c:pt idx="3">
                  <c:v>15.3</c:v>
                </c:pt>
                <c:pt idx="4">
                  <c:v>4.5</c:v>
                </c:pt>
              </c:numCache>
            </c:numRef>
          </c:val>
          <c:extLst>
            <c:ext xmlns:c16="http://schemas.microsoft.com/office/drawing/2014/chart" uri="{C3380CC4-5D6E-409C-BE32-E72D297353CC}">
              <c16:uniqueId val="{00000000-9D2E-4828-99CC-503C9CD7B188}"/>
            </c:ext>
          </c:extLst>
        </c:ser>
        <c:dLbls>
          <c:showLegendKey val="0"/>
          <c:showVal val="1"/>
          <c:showCatName val="0"/>
          <c:showSerName val="0"/>
          <c:showPercent val="0"/>
          <c:showBubbleSize val="0"/>
        </c:dLbls>
        <c:gapWidth val="150"/>
        <c:shape val="cylinder"/>
        <c:axId val="214814720"/>
        <c:axId val="214816256"/>
        <c:axId val="0"/>
      </c:bar3DChart>
      <c:catAx>
        <c:axId val="214814720"/>
        <c:scaling>
          <c:orientation val="minMax"/>
        </c:scaling>
        <c:delete val="0"/>
        <c:axPos val="b"/>
        <c:numFmt formatCode="General" sourceLinked="0"/>
        <c:majorTickMark val="out"/>
        <c:minorTickMark val="none"/>
        <c:tickLblPos val="nextTo"/>
        <c:spPr>
          <a:ln w="6350"/>
        </c:spPr>
        <c:crossAx val="214816256"/>
        <c:crosses val="autoZero"/>
        <c:auto val="1"/>
        <c:lblAlgn val="ctr"/>
        <c:lblOffset val="100"/>
        <c:noMultiLvlLbl val="0"/>
      </c:catAx>
      <c:valAx>
        <c:axId val="214816256"/>
        <c:scaling>
          <c:orientation val="minMax"/>
        </c:scaling>
        <c:delete val="0"/>
        <c:axPos val="l"/>
        <c:numFmt formatCode="General" sourceLinked="1"/>
        <c:majorTickMark val="out"/>
        <c:minorTickMark val="none"/>
        <c:tickLblPos val="nextTo"/>
        <c:crossAx val="214814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15</Pages>
  <Words>4672</Words>
  <Characters>26631</Characters>
  <Application>Microsoft Office Word</Application>
  <DocSecurity>0</DocSecurity>
  <Lines>221</Lines>
  <Paragraphs>62</Paragraphs>
  <ScaleCrop>false</ScaleCrop>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cp:lastPrinted>2025-06-11T12:46:00Z</cp:lastPrinted>
  <dcterms:created xsi:type="dcterms:W3CDTF">2025-05-16T12:24:00Z</dcterms:created>
  <dcterms:modified xsi:type="dcterms:W3CDTF">2025-08-09T10:30:00Z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e6b7c2c1ec644a47b5edfc1e07767620</vt:lpwstr>
  </property>
</Properties>
</file>