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AED63" w14:textId="28512F7C" w:rsidR="003768D5" w:rsidRPr="004328EB" w:rsidRDefault="004328EB">
      <w:pPr>
        <w:pStyle w:val="Title"/>
        <w:spacing w:after="0"/>
        <w:jc w:val="both"/>
        <w:rPr>
          <w:rFonts w:ascii="Arial" w:hAnsi="Arial" w:cs="Arial"/>
          <w:u w:val="single"/>
        </w:rPr>
      </w:pPr>
      <w:r w:rsidRPr="004328EB">
        <w:rPr>
          <w:rFonts w:ascii="Arial" w:hAnsi="Arial" w:cs="Arial"/>
          <w:u w:val="single"/>
        </w:rPr>
        <w:t>Original Research Article</w:t>
      </w:r>
    </w:p>
    <w:p w14:paraId="4B76DF2D" w14:textId="77777777" w:rsidR="004328EB" w:rsidRDefault="004328EB">
      <w:pPr>
        <w:pStyle w:val="Author"/>
        <w:spacing w:line="240" w:lineRule="auto"/>
        <w:rPr>
          <w:rFonts w:ascii="Arial" w:eastAsia="SimSun" w:hAnsi="Arial" w:cs="Arial"/>
          <w:bCs/>
          <w:iCs/>
          <w:kern w:val="28"/>
          <w:sz w:val="36"/>
          <w:lang w:eastAsia="zh-CN"/>
        </w:rPr>
      </w:pPr>
    </w:p>
    <w:p w14:paraId="67F1D70A" w14:textId="3A96EFB6" w:rsidR="003768D5" w:rsidRDefault="005468AB">
      <w:pPr>
        <w:pStyle w:val="Author"/>
        <w:spacing w:line="240" w:lineRule="auto"/>
        <w:rPr>
          <w:rFonts w:ascii="Arial" w:hAnsi="Arial" w:cs="Arial"/>
          <w:bCs/>
          <w:iCs/>
          <w:kern w:val="28"/>
          <w:sz w:val="36"/>
        </w:rPr>
      </w:pPr>
      <w:r>
        <w:rPr>
          <w:rFonts w:ascii="Arial" w:eastAsia="SimSun" w:hAnsi="Arial" w:cs="Arial" w:hint="eastAsia"/>
          <w:bCs/>
          <w:iCs/>
          <w:kern w:val="28"/>
          <w:sz w:val="36"/>
          <w:lang w:eastAsia="zh-CN"/>
        </w:rPr>
        <w:t>Forecasting Rubber Prices in Malaysia</w:t>
      </w:r>
      <w:r>
        <w:rPr>
          <w:rFonts w:ascii="Arial" w:hAnsi="Arial" w:cs="Arial"/>
          <w:bCs/>
          <w:iCs/>
          <w:kern w:val="28"/>
          <w:sz w:val="36"/>
        </w:rPr>
        <w:t xml:space="preserve"> </w:t>
      </w:r>
    </w:p>
    <w:p w14:paraId="43D37FF0" w14:textId="77777777" w:rsidR="003768D5" w:rsidRDefault="003768D5">
      <w:pPr>
        <w:pStyle w:val="Author"/>
        <w:spacing w:line="240" w:lineRule="auto"/>
        <w:jc w:val="both"/>
        <w:rPr>
          <w:rFonts w:ascii="Arial" w:hAnsi="Arial" w:cs="Arial"/>
          <w:sz w:val="36"/>
        </w:rPr>
      </w:pPr>
    </w:p>
    <w:p w14:paraId="1A03A1B7" w14:textId="77777777" w:rsidR="003768D5" w:rsidRDefault="003768D5">
      <w:pPr>
        <w:pStyle w:val="Affiliation"/>
        <w:spacing w:after="0" w:line="240" w:lineRule="auto"/>
        <w:jc w:val="both"/>
        <w:rPr>
          <w:rFonts w:ascii="Arial" w:hAnsi="Arial" w:cs="Arial"/>
        </w:rPr>
      </w:pPr>
      <w:bookmarkStart w:id="0" w:name="_GoBack"/>
      <w:bookmarkEnd w:id="0"/>
    </w:p>
    <w:p w14:paraId="185F9B33" w14:textId="77777777" w:rsidR="003768D5" w:rsidRDefault="005468AB">
      <w:pPr>
        <w:pStyle w:val="Copyright"/>
        <w:spacing w:after="0" w:line="240" w:lineRule="auto"/>
        <w:jc w:val="both"/>
        <w:rPr>
          <w:rFonts w:ascii="Arial" w:hAnsi="Arial" w:cs="Arial"/>
        </w:rPr>
        <w:sectPr w:rsidR="003768D5" w:rsidSect="00CE67C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3D6543FD" wp14:editId="70EE1713">
                <wp:extent cx="5303520" cy="0"/>
                <wp:effectExtent l="0" t="9525" r="1905" b="9525"/>
                <wp:docPr id="1"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1CE854D6" id="_x0000_t32" coordsize="21600,21600" o:spt="32" o:oned="t" path="m,l21600,21600e" filled="f">
                <v:path arrowok="t" fillok="f" o:connecttype="none"/>
                <o:lock v:ext="edit" shapetype="t"/>
              </v:shapetype>
              <v:shape id="自选图形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" strokeweight="1.5pt">
                <w10:anchorlock/>
              </v:shape>
            </w:pict>
          </mc:Fallback>
        </mc:AlternateContent>
      </w:r>
      <w:r>
        <w:rPr>
          <w:rFonts w:ascii="Arial" w:hAnsi="Arial" w:cs="Arial"/>
        </w:rPr>
        <w:t>.</w:t>
      </w:r>
    </w:p>
    <w:p w14:paraId="26D1A7B7" w14:textId="77777777" w:rsidR="003768D5" w:rsidRDefault="005468AB">
      <w:pPr>
        <w:pStyle w:val="AbstHead"/>
        <w:spacing w:after="0"/>
        <w:jc w:val="both"/>
        <w:rPr>
          <w:rFonts w:ascii="Arial" w:hAnsi="Arial" w:cs="Arial"/>
        </w:rPr>
      </w:pPr>
      <w:r>
        <w:rPr>
          <w:rFonts w:ascii="Arial" w:hAnsi="Arial" w:cs="Arial"/>
        </w:rPr>
        <w:t xml:space="preserve">ABSTRACT </w:t>
      </w:r>
    </w:p>
    <w:p w14:paraId="541BF1CE" w14:textId="77777777" w:rsidR="003768D5" w:rsidRDefault="003768D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3768D5" w14:paraId="63487B74" w14:textId="77777777">
        <w:tc>
          <w:tcPr>
            <w:tcW w:w="9576" w:type="dxa"/>
            <w:shd w:val="clear" w:color="auto" w:fill="F2F2F2"/>
          </w:tcPr>
          <w:p w14:paraId="4F18579F" w14:textId="77777777" w:rsidR="003768D5" w:rsidRDefault="005468AB">
            <w:pPr>
              <w:pStyle w:val="Body"/>
              <w:spacing w:after="0"/>
              <w:rPr>
                <w:rFonts w:ascii="Arial" w:eastAsia="Calibri" w:hAnsi="Arial" w:cs="Arial"/>
                <w:szCs w:val="22"/>
              </w:rPr>
            </w:pPr>
            <w:r>
              <w:rPr>
                <w:rFonts w:ascii="Arial" w:eastAsia="Calibri" w:hAnsi="Arial" w:cs="Arial" w:hint="eastAsia"/>
                <w:szCs w:val="22"/>
              </w:rPr>
              <w:t>The rubber industry has been one of the major contributors to the growth of the Malaysian economy; however, the volatility of rubber prices has created great uncertainty in decision-making, production and trade.</w:t>
            </w:r>
            <w:r>
              <w:rPr>
                <w:rFonts w:ascii="Arial" w:eastAsia="SimSun" w:hAnsi="Arial" w:cs="Arial" w:hint="eastAsia"/>
                <w:szCs w:val="22"/>
                <w:lang w:eastAsia="zh-CN"/>
              </w:rPr>
              <w:t xml:space="preserve"> </w:t>
            </w:r>
            <w:r>
              <w:rPr>
                <w:rFonts w:ascii="Arial" w:eastAsia="Calibri" w:hAnsi="Arial" w:cs="Arial" w:hint="eastAsia"/>
                <w:szCs w:val="22"/>
              </w:rPr>
              <w:t xml:space="preserve">This study is </w:t>
            </w:r>
            <w:r>
              <w:rPr>
                <w:rFonts w:ascii="Arial" w:eastAsia="Calibri" w:hAnsi="Arial" w:cs="Arial" w:hint="eastAsia"/>
                <w:szCs w:val="22"/>
              </w:rPr>
              <w:t xml:space="preserve">based on Malaysian rubber price data for the period from January 2016 to December 2024. The aim of this study is to forecast the future rubber price trend in Malaysia from 2025 to 2026 by using time series analysis method. The study used three common time </w:t>
            </w:r>
            <w:r>
              <w:rPr>
                <w:rFonts w:ascii="Arial" w:eastAsia="Calibri" w:hAnsi="Arial" w:cs="Arial" w:hint="eastAsia"/>
                <w:szCs w:val="22"/>
              </w:rPr>
              <w:t xml:space="preserve">series forecasting methods, namely </w:t>
            </w:r>
            <w:proofErr w:type="spellStart"/>
            <w:r>
              <w:rPr>
                <w:rFonts w:ascii="Arial" w:eastAsia="SimSun" w:hAnsi="Arial" w:cs="Arial" w:hint="eastAsia"/>
                <w:szCs w:val="22"/>
                <w:lang w:eastAsia="zh-CN"/>
              </w:rPr>
              <w:t>A</w:t>
            </w:r>
            <w:r>
              <w:rPr>
                <w:rFonts w:ascii="Arial" w:eastAsia="Calibri" w:hAnsi="Arial" w:cs="Arial" w:hint="eastAsia"/>
                <w:szCs w:val="22"/>
              </w:rPr>
              <w:t>uto</w:t>
            </w:r>
            <w:r>
              <w:rPr>
                <w:rFonts w:ascii="Arial" w:eastAsia="SimSun" w:hAnsi="Arial" w:cs="Arial" w:hint="eastAsia"/>
                <w:szCs w:val="22"/>
                <w:lang w:eastAsia="zh-CN"/>
              </w:rPr>
              <w:t>R</w:t>
            </w:r>
            <w:r>
              <w:rPr>
                <w:rFonts w:ascii="Arial" w:eastAsia="Calibri" w:hAnsi="Arial" w:cs="Arial" w:hint="eastAsia"/>
                <w:szCs w:val="22"/>
              </w:rPr>
              <w:t>egressive</w:t>
            </w:r>
            <w:proofErr w:type="spellEnd"/>
            <w:r>
              <w:rPr>
                <w:rFonts w:ascii="Arial" w:eastAsia="Calibri" w:hAnsi="Arial" w:cs="Arial" w:hint="eastAsia"/>
                <w:szCs w:val="22"/>
              </w:rPr>
              <w:t xml:space="preserve"> </w:t>
            </w:r>
            <w:r>
              <w:rPr>
                <w:rFonts w:ascii="Arial" w:eastAsia="SimSun" w:hAnsi="Arial" w:cs="Arial" w:hint="eastAsia"/>
                <w:szCs w:val="22"/>
                <w:lang w:eastAsia="zh-CN"/>
              </w:rPr>
              <w:t>I</w:t>
            </w:r>
            <w:r>
              <w:rPr>
                <w:rFonts w:ascii="Arial" w:eastAsia="Calibri" w:hAnsi="Arial" w:cs="Arial" w:hint="eastAsia"/>
                <w:szCs w:val="22"/>
              </w:rPr>
              <w:t xml:space="preserve">ntegrated </w:t>
            </w:r>
            <w:r>
              <w:rPr>
                <w:rFonts w:ascii="Arial" w:eastAsia="SimSun" w:hAnsi="Arial" w:cs="Arial" w:hint="eastAsia"/>
                <w:szCs w:val="22"/>
                <w:lang w:eastAsia="zh-CN"/>
              </w:rPr>
              <w:t>M</w:t>
            </w:r>
            <w:r>
              <w:rPr>
                <w:rFonts w:ascii="Arial" w:eastAsia="Calibri" w:hAnsi="Arial" w:cs="Arial" w:hint="eastAsia"/>
                <w:szCs w:val="22"/>
              </w:rPr>
              <w:t xml:space="preserve">oving </w:t>
            </w:r>
            <w:r>
              <w:rPr>
                <w:rFonts w:ascii="Arial" w:eastAsia="SimSun" w:hAnsi="Arial" w:cs="Arial" w:hint="eastAsia"/>
                <w:szCs w:val="22"/>
                <w:lang w:eastAsia="zh-CN"/>
              </w:rPr>
              <w:t>A</w:t>
            </w:r>
            <w:r>
              <w:rPr>
                <w:rFonts w:ascii="Arial" w:eastAsia="Calibri" w:hAnsi="Arial" w:cs="Arial" w:hint="eastAsia"/>
                <w:szCs w:val="22"/>
              </w:rPr>
              <w:t>verage</w:t>
            </w:r>
            <w:r>
              <w:rPr>
                <w:rFonts w:ascii="Arial" w:eastAsia="SimSun" w:hAnsi="Arial" w:cs="Arial" w:hint="eastAsia"/>
                <w:szCs w:val="22"/>
                <w:lang w:eastAsia="zh-CN"/>
              </w:rPr>
              <w:t xml:space="preserve"> (</w:t>
            </w:r>
            <w:r>
              <w:rPr>
                <w:rFonts w:ascii="Arial" w:eastAsia="Calibri" w:hAnsi="Arial" w:cs="Arial" w:hint="eastAsia"/>
                <w:szCs w:val="22"/>
              </w:rPr>
              <w:t>ARIMA</w:t>
            </w:r>
            <w:r>
              <w:rPr>
                <w:rFonts w:ascii="Arial" w:eastAsia="SimSun" w:hAnsi="Arial" w:cs="Arial" w:hint="eastAsia"/>
                <w:szCs w:val="22"/>
                <w:lang w:eastAsia="zh-CN"/>
              </w:rPr>
              <w:t>)</w:t>
            </w:r>
            <w:r>
              <w:rPr>
                <w:rFonts w:ascii="Arial" w:eastAsia="Calibri" w:hAnsi="Arial" w:cs="Arial" w:hint="eastAsia"/>
                <w:szCs w:val="22"/>
              </w:rPr>
              <w:t>, Exponential Smoothing and Double Moving Average (DMA), to construct nine forecasting models and compared the forecasting accuracy of the models by using error evaluation m</w:t>
            </w:r>
            <w:r>
              <w:rPr>
                <w:rFonts w:ascii="Arial" w:eastAsia="Calibri" w:hAnsi="Arial" w:cs="Arial" w:hint="eastAsia"/>
                <w:szCs w:val="22"/>
              </w:rPr>
              <w:t>etrics including Mean Absolute Error</w:t>
            </w:r>
            <w:r>
              <w:rPr>
                <w:rFonts w:ascii="Arial" w:eastAsia="SimSun" w:hAnsi="Arial" w:cs="Arial" w:hint="eastAsia"/>
                <w:szCs w:val="22"/>
                <w:lang w:eastAsia="zh-CN"/>
              </w:rPr>
              <w:t xml:space="preserve"> (</w:t>
            </w:r>
            <w:r>
              <w:rPr>
                <w:rFonts w:ascii="Arial" w:eastAsia="Calibri" w:hAnsi="Arial" w:cs="Arial" w:hint="eastAsia"/>
                <w:szCs w:val="22"/>
              </w:rPr>
              <w:t>MAE</w:t>
            </w:r>
            <w:r>
              <w:rPr>
                <w:rFonts w:ascii="Arial" w:eastAsia="SimSun" w:hAnsi="Arial" w:cs="Arial" w:hint="eastAsia"/>
                <w:szCs w:val="22"/>
                <w:lang w:eastAsia="zh-CN"/>
              </w:rPr>
              <w:t>)</w:t>
            </w:r>
            <w:r>
              <w:rPr>
                <w:rFonts w:ascii="Arial" w:eastAsia="Calibri" w:hAnsi="Arial" w:cs="Arial" w:hint="eastAsia"/>
                <w:szCs w:val="22"/>
              </w:rPr>
              <w:t>, Mean Square Error</w:t>
            </w:r>
            <w:r>
              <w:rPr>
                <w:rFonts w:ascii="Arial" w:eastAsia="SimSun" w:hAnsi="Arial" w:cs="Arial" w:hint="eastAsia"/>
                <w:szCs w:val="22"/>
                <w:lang w:eastAsia="zh-CN"/>
              </w:rPr>
              <w:t xml:space="preserve"> (</w:t>
            </w:r>
            <w:r>
              <w:rPr>
                <w:rFonts w:ascii="Arial" w:eastAsia="Calibri" w:hAnsi="Arial" w:cs="Arial" w:hint="eastAsia"/>
                <w:szCs w:val="22"/>
              </w:rPr>
              <w:t>MSE</w:t>
            </w:r>
            <w:r>
              <w:rPr>
                <w:rFonts w:ascii="Arial" w:eastAsia="SimSun" w:hAnsi="Arial" w:cs="Arial" w:hint="eastAsia"/>
                <w:szCs w:val="22"/>
                <w:lang w:eastAsia="zh-CN"/>
              </w:rPr>
              <w:t>)</w:t>
            </w:r>
            <w:r>
              <w:rPr>
                <w:rFonts w:ascii="Arial" w:eastAsia="Calibri" w:hAnsi="Arial" w:cs="Arial" w:hint="eastAsia"/>
                <w:szCs w:val="22"/>
              </w:rPr>
              <w:t>, Root Mean Square Error</w:t>
            </w:r>
            <w:r>
              <w:rPr>
                <w:rFonts w:ascii="Arial" w:eastAsia="SimSun" w:hAnsi="Arial" w:cs="Arial" w:hint="eastAsia"/>
                <w:szCs w:val="22"/>
                <w:lang w:eastAsia="zh-CN"/>
              </w:rPr>
              <w:t xml:space="preserve"> (</w:t>
            </w:r>
            <w:r>
              <w:rPr>
                <w:rFonts w:ascii="Arial" w:eastAsia="Calibri" w:hAnsi="Arial" w:cs="Arial" w:hint="eastAsia"/>
                <w:szCs w:val="22"/>
              </w:rPr>
              <w:t>RMSE</w:t>
            </w:r>
            <w:r>
              <w:rPr>
                <w:rFonts w:ascii="Arial" w:eastAsia="SimSun" w:hAnsi="Arial" w:cs="Arial" w:hint="eastAsia"/>
                <w:szCs w:val="22"/>
                <w:lang w:eastAsia="zh-CN"/>
              </w:rPr>
              <w:t>)</w:t>
            </w:r>
            <w:r>
              <w:rPr>
                <w:rFonts w:ascii="Arial" w:eastAsia="Calibri" w:hAnsi="Arial" w:cs="Arial" w:hint="eastAsia"/>
                <w:szCs w:val="22"/>
              </w:rPr>
              <w:t xml:space="preserve"> and Mean Absolute Percentage Error</w:t>
            </w:r>
            <w:r>
              <w:rPr>
                <w:rFonts w:ascii="Arial" w:eastAsia="SimSun" w:hAnsi="Arial" w:cs="Arial" w:hint="eastAsia"/>
                <w:szCs w:val="22"/>
                <w:lang w:eastAsia="zh-CN"/>
              </w:rPr>
              <w:t xml:space="preserve"> (</w:t>
            </w:r>
            <w:r>
              <w:rPr>
                <w:rFonts w:ascii="Arial" w:eastAsia="Calibri" w:hAnsi="Arial" w:cs="Arial" w:hint="eastAsia"/>
                <w:szCs w:val="22"/>
              </w:rPr>
              <w:t>MAPE</w:t>
            </w:r>
            <w:r>
              <w:rPr>
                <w:rFonts w:ascii="Arial" w:eastAsia="SimSun" w:hAnsi="Arial" w:cs="Arial" w:hint="eastAsia"/>
                <w:szCs w:val="22"/>
                <w:lang w:eastAsia="zh-CN"/>
              </w:rPr>
              <w:t>)</w:t>
            </w:r>
            <w:r>
              <w:rPr>
                <w:rFonts w:ascii="Arial" w:eastAsia="Calibri" w:hAnsi="Arial" w:cs="Arial" w:hint="eastAsia"/>
                <w:szCs w:val="22"/>
              </w:rPr>
              <w:t xml:space="preserve">. The results show that the ARIMA (1,1,3) model performs the best among all the evaluation metrics and is able to </w:t>
            </w:r>
            <w:r>
              <w:rPr>
                <w:rFonts w:ascii="Arial" w:eastAsia="Calibri" w:hAnsi="Arial" w:cs="Arial" w:hint="eastAsia"/>
                <w:szCs w:val="22"/>
              </w:rPr>
              <w:t xml:space="preserve">capture the long-term trend and short-term fluctuations of rubber prices more accurately. Forecasts based on the model show that rubber prices will fluctuate between RM800 and RM900 during the period from 2025 to 2026, showing a smooth and moderate upward </w:t>
            </w:r>
            <w:r>
              <w:rPr>
                <w:rFonts w:ascii="Arial" w:eastAsia="Calibri" w:hAnsi="Arial" w:cs="Arial" w:hint="eastAsia"/>
                <w:szCs w:val="22"/>
              </w:rPr>
              <w:t>trend with low market volatility. This study provides scientific modelling support for price forecasting in the Malaysian rubber industry, as well as important data support and decision-making reference.</w:t>
            </w:r>
          </w:p>
          <w:p w14:paraId="73E64095" w14:textId="77777777" w:rsidR="003768D5" w:rsidRDefault="003768D5">
            <w:pPr>
              <w:pStyle w:val="Body"/>
              <w:spacing w:after="0"/>
              <w:rPr>
                <w:rFonts w:ascii="Arial" w:eastAsia="Calibri" w:hAnsi="Arial" w:cs="Arial"/>
                <w:szCs w:val="22"/>
              </w:rPr>
            </w:pPr>
          </w:p>
        </w:tc>
      </w:tr>
    </w:tbl>
    <w:p w14:paraId="6EB4FD8F" w14:textId="77777777" w:rsidR="003768D5" w:rsidRDefault="003768D5">
      <w:pPr>
        <w:pStyle w:val="Body"/>
        <w:spacing w:after="0"/>
        <w:rPr>
          <w:rFonts w:ascii="Arial" w:hAnsi="Arial" w:cs="Arial"/>
          <w:i/>
        </w:rPr>
      </w:pPr>
    </w:p>
    <w:p w14:paraId="307050C9" w14:textId="77777777" w:rsidR="003768D5" w:rsidRDefault="005468AB">
      <w:pPr>
        <w:pStyle w:val="Body"/>
        <w:spacing w:after="0"/>
        <w:rPr>
          <w:rFonts w:ascii="Arial" w:hAnsi="Arial" w:cs="Arial"/>
          <w:i/>
          <w:sz w:val="18"/>
        </w:rPr>
      </w:pPr>
      <w:r>
        <w:rPr>
          <w:rFonts w:ascii="Arial" w:hAnsi="Arial" w:cs="Arial"/>
          <w:i/>
        </w:rPr>
        <w:t xml:space="preserve">Keywords: </w:t>
      </w:r>
      <w:r>
        <w:rPr>
          <w:rFonts w:ascii="Arial" w:eastAsia="SimSun" w:hAnsi="Arial" w:cs="Arial" w:hint="eastAsia"/>
          <w:i/>
          <w:lang w:eastAsia="zh-CN"/>
        </w:rPr>
        <w:t xml:space="preserve">Malaysia Rubber Price; time series </w:t>
      </w:r>
      <w:r>
        <w:rPr>
          <w:rFonts w:ascii="Arial" w:eastAsia="SimSun" w:hAnsi="Arial" w:cs="Arial" w:hint="eastAsia"/>
          <w:i/>
          <w:lang w:eastAsia="zh-CN"/>
        </w:rPr>
        <w:t>analysis; forecasting model; ARIMA; exponential smoothing method; double moving average.</w:t>
      </w:r>
    </w:p>
    <w:p w14:paraId="5FD7EFFB" w14:textId="77777777" w:rsidR="003768D5" w:rsidRDefault="003768D5">
      <w:pPr>
        <w:pStyle w:val="Body"/>
        <w:spacing w:after="0"/>
        <w:rPr>
          <w:rFonts w:ascii="Arial" w:hAnsi="Arial" w:cs="Arial"/>
          <w:i/>
        </w:rPr>
      </w:pPr>
    </w:p>
    <w:p w14:paraId="7A1E5C87" w14:textId="77777777" w:rsidR="003768D5" w:rsidRDefault="005468AB">
      <w:pPr>
        <w:pStyle w:val="AbstHead"/>
        <w:numPr>
          <w:ilvl w:val="0"/>
          <w:numId w:val="3"/>
        </w:numPr>
        <w:spacing w:after="0"/>
        <w:jc w:val="both"/>
        <w:rPr>
          <w:rFonts w:ascii="Arial" w:hAnsi="Arial" w:cs="Arial"/>
        </w:rPr>
      </w:pPr>
      <w:r>
        <w:rPr>
          <w:rFonts w:ascii="Arial" w:hAnsi="Arial" w:cs="Arial"/>
        </w:rPr>
        <w:t>INTRODUCTION</w:t>
      </w:r>
    </w:p>
    <w:p w14:paraId="79D099E8" w14:textId="77777777" w:rsidR="003768D5" w:rsidRDefault="003768D5">
      <w:pPr>
        <w:pStyle w:val="AbstHead"/>
        <w:spacing w:after="0"/>
        <w:jc w:val="both"/>
        <w:rPr>
          <w:rFonts w:ascii="Arial" w:hAnsi="Arial" w:cs="Arial"/>
        </w:rPr>
      </w:pPr>
    </w:p>
    <w:p w14:paraId="52AD44A7" w14:textId="77777777" w:rsidR="003768D5" w:rsidRDefault="005468AB">
      <w:pPr>
        <w:pStyle w:val="Body"/>
        <w:spacing w:after="0"/>
        <w:rPr>
          <w:rFonts w:ascii="Arial" w:hAnsi="Arial" w:cs="Arial"/>
        </w:rPr>
      </w:pPr>
      <w:r>
        <w:rPr>
          <w:rFonts w:ascii="Arial" w:hAnsi="Arial" w:cs="Arial" w:hint="eastAsia"/>
        </w:rPr>
        <w:t>Malaysia is the fifth largest rubber producer in the world, accounting for more than 90 per cent of global rubber production together with Thailand, Ind</w:t>
      </w:r>
      <w:r>
        <w:rPr>
          <w:rFonts w:ascii="Arial" w:hAnsi="Arial" w:cs="Arial" w:hint="eastAsia"/>
        </w:rPr>
        <w:t>onesia, Vietnam and India (Fox &amp; Castella, 2013). The rubber industry is an important part of Malaysia's national economy and contributes significantly to the Gross Domestic Product (GDP), especially playing a key role in export earnings and employment (Ba</w:t>
      </w:r>
      <w:r>
        <w:rPr>
          <w:rFonts w:ascii="Arial" w:hAnsi="Arial" w:cs="Arial" w:hint="eastAsia"/>
        </w:rPr>
        <w:t xml:space="preserve">shier et al., 2022). In remote and rural areas, rubber cultivation provides employment opportunities for a large </w:t>
      </w:r>
      <w:proofErr w:type="spellStart"/>
      <w:r>
        <w:rPr>
          <w:rFonts w:ascii="Arial" w:hAnsi="Arial" w:cs="Arial" w:hint="eastAsia"/>
        </w:rPr>
        <w:t>labour</w:t>
      </w:r>
      <w:proofErr w:type="spellEnd"/>
      <w:r>
        <w:rPr>
          <w:rFonts w:ascii="Arial" w:hAnsi="Arial" w:cs="Arial" w:hint="eastAsia"/>
        </w:rPr>
        <w:t xml:space="preserve"> force and boosts the local economy. However, while the economic importance of the rubber industry cannot be ignored, the volatility of r</w:t>
      </w:r>
      <w:r>
        <w:rPr>
          <w:rFonts w:ascii="Arial" w:hAnsi="Arial" w:cs="Arial" w:hint="eastAsia"/>
        </w:rPr>
        <w:t xml:space="preserve">ubber prices and changes in global demand create great uncertainty for the industry. Rubber prices are affected by a variety of factors, including global economic trends, oil price fluctuations, exchange rate changes, and natural disasters (Hashim et al., </w:t>
      </w:r>
      <w:r>
        <w:rPr>
          <w:rFonts w:ascii="Arial" w:hAnsi="Arial" w:cs="Arial" w:hint="eastAsia"/>
        </w:rPr>
        <w:t>2023). In addition, changes in demand for rubber in the global market have a direct impact on the export performance of producing countries (</w:t>
      </w:r>
      <w:proofErr w:type="spellStart"/>
      <w:r>
        <w:rPr>
          <w:rFonts w:ascii="Arial" w:hAnsi="Arial" w:cs="Arial" w:hint="eastAsia"/>
        </w:rPr>
        <w:t>Zuhdi</w:t>
      </w:r>
      <w:proofErr w:type="spellEnd"/>
      <w:r>
        <w:rPr>
          <w:rFonts w:ascii="Arial" w:hAnsi="Arial" w:cs="Arial" w:hint="eastAsia"/>
        </w:rPr>
        <w:t xml:space="preserve">, 2021). Therefore, accurate prediction of rubber prices in the complex and changing international context is </w:t>
      </w:r>
      <w:r>
        <w:rPr>
          <w:rFonts w:ascii="Arial" w:hAnsi="Arial" w:cs="Arial" w:hint="eastAsia"/>
        </w:rPr>
        <w:t xml:space="preserve">important for the stable development of </w:t>
      </w:r>
      <w:r>
        <w:rPr>
          <w:rFonts w:ascii="Arial" w:hAnsi="Arial" w:cs="Arial"/>
        </w:rPr>
        <w:t>industry</w:t>
      </w:r>
      <w:r>
        <w:rPr>
          <w:rFonts w:ascii="Arial" w:hAnsi="Arial" w:cs="Arial" w:hint="eastAsia"/>
        </w:rPr>
        <w:t xml:space="preserve"> and policy formulation.</w:t>
      </w:r>
    </w:p>
    <w:p w14:paraId="5C2F9FBF" w14:textId="77777777" w:rsidR="003768D5" w:rsidRDefault="003768D5">
      <w:pPr>
        <w:pStyle w:val="Body"/>
        <w:spacing w:after="0"/>
        <w:rPr>
          <w:rFonts w:ascii="Arial" w:hAnsi="Arial" w:cs="Arial"/>
        </w:rPr>
      </w:pPr>
    </w:p>
    <w:p w14:paraId="2A103D80" w14:textId="77777777" w:rsidR="003768D5" w:rsidRDefault="005468AB">
      <w:pPr>
        <w:pStyle w:val="Body"/>
        <w:spacing w:after="0"/>
        <w:rPr>
          <w:rFonts w:ascii="Arial" w:hAnsi="Arial" w:cs="Arial"/>
        </w:rPr>
      </w:pPr>
      <w:r>
        <w:rPr>
          <w:rFonts w:ascii="Arial" w:hAnsi="Arial" w:cs="Arial" w:hint="eastAsia"/>
        </w:rPr>
        <w:t>The volatility of rubber prices in Malaysia has had a serious impact on policy formulation, production planning and export trade, making it challenging for the industry to control co</w:t>
      </w:r>
      <w:r>
        <w:rPr>
          <w:rFonts w:ascii="Arial" w:hAnsi="Arial" w:cs="Arial" w:hint="eastAsia"/>
        </w:rPr>
        <w:t>sts and make strategic adjustments, which not only threatens the stability of the chain, but also affects the profitability of farmers and enterprises that depend on the rubber industry for their livelihoods (Ali et al., 2021). During periods of high price</w:t>
      </w:r>
      <w:r>
        <w:rPr>
          <w:rFonts w:ascii="Arial" w:hAnsi="Arial" w:cs="Arial" w:hint="eastAsia"/>
        </w:rPr>
        <w:t xml:space="preserve"> volatility, rubber producers and exporters often find it difficult to respond effectively and in a timely manner, resulting in economic losses. Despite the importance of the rubber industry in the Malaysian economy, there are still few studies on rubber p</w:t>
      </w:r>
      <w:r>
        <w:rPr>
          <w:rFonts w:ascii="Arial" w:hAnsi="Arial" w:cs="Arial" w:hint="eastAsia"/>
        </w:rPr>
        <w:t>rice forecasting, especially the lack of systematic exploration of time series models. Although existing studies have achieved some results, they mainly rely on older historical data, which is difficult to reflect recent market changes. At the same time, t</w:t>
      </w:r>
      <w:r>
        <w:rPr>
          <w:rFonts w:ascii="Arial" w:hAnsi="Arial" w:cs="Arial" w:hint="eastAsia"/>
        </w:rPr>
        <w:t xml:space="preserve">here is a lack of comparative </w:t>
      </w:r>
      <w:r>
        <w:rPr>
          <w:rFonts w:ascii="Arial" w:hAnsi="Arial" w:cs="Arial" w:hint="eastAsia"/>
        </w:rPr>
        <w:lastRenderedPageBreak/>
        <w:t>research on different forecasting models and a lack of in-depth discussion on the applicability of each model in rubber price forecasting.</w:t>
      </w:r>
    </w:p>
    <w:p w14:paraId="4C142C8B" w14:textId="77777777" w:rsidR="003768D5" w:rsidRDefault="003768D5">
      <w:pPr>
        <w:pStyle w:val="Body"/>
        <w:spacing w:after="0"/>
        <w:rPr>
          <w:rFonts w:ascii="Arial" w:hAnsi="Arial" w:cs="Arial"/>
        </w:rPr>
      </w:pPr>
    </w:p>
    <w:p w14:paraId="3CFDB08E" w14:textId="77777777" w:rsidR="003768D5" w:rsidRDefault="005468AB">
      <w:pPr>
        <w:pStyle w:val="Body"/>
        <w:spacing w:after="0"/>
        <w:rPr>
          <w:rFonts w:ascii="Arial" w:hAnsi="Arial" w:cs="Arial"/>
        </w:rPr>
      </w:pPr>
      <w:r>
        <w:rPr>
          <w:rFonts w:ascii="Arial" w:hAnsi="Arial" w:cs="Arial" w:hint="eastAsia"/>
        </w:rPr>
        <w:t xml:space="preserve">The main objective of this study is to provide a scientific forecast of future rubber </w:t>
      </w:r>
      <w:r>
        <w:rPr>
          <w:rFonts w:ascii="Arial" w:hAnsi="Arial" w:cs="Arial" w:hint="eastAsia"/>
        </w:rPr>
        <w:t xml:space="preserve">prices in Malaysia through a suitable time series forecasting model. To achieve this objective, the study will deeply </w:t>
      </w:r>
      <w:proofErr w:type="spellStart"/>
      <w:r>
        <w:rPr>
          <w:rFonts w:ascii="Arial" w:hAnsi="Arial" w:cs="Arial" w:hint="eastAsia"/>
        </w:rPr>
        <w:t>analyse</w:t>
      </w:r>
      <w:proofErr w:type="spellEnd"/>
      <w:r>
        <w:rPr>
          <w:rFonts w:ascii="Arial" w:hAnsi="Arial" w:cs="Arial" w:hint="eastAsia"/>
        </w:rPr>
        <w:t xml:space="preserve"> the time series characteristics of rubber prices in Malaysia, compare the performance of different forecasting models, and finally</w:t>
      </w:r>
      <w:r>
        <w:rPr>
          <w:rFonts w:ascii="Arial" w:hAnsi="Arial" w:cs="Arial" w:hint="eastAsia"/>
        </w:rPr>
        <w:t xml:space="preserve"> identify the most suitable model for making price forecasts, and accordingly forecast the rubber price trend from 2025 to 2026. Through model construction and application, the study aims to provide accurate price early warning and decision-making support </w:t>
      </w:r>
      <w:r>
        <w:rPr>
          <w:rFonts w:ascii="Arial" w:hAnsi="Arial" w:cs="Arial" w:hint="eastAsia"/>
        </w:rPr>
        <w:t xml:space="preserve">to the government, producers, exporters and other related parties, in order to enhance the ability of the entire rubber industry to respond to market changes and </w:t>
      </w:r>
      <w:proofErr w:type="spellStart"/>
      <w:r>
        <w:rPr>
          <w:rFonts w:ascii="Arial" w:hAnsi="Arial" w:cs="Arial" w:hint="eastAsia"/>
        </w:rPr>
        <w:t>stabilise</w:t>
      </w:r>
      <w:proofErr w:type="spellEnd"/>
      <w:r>
        <w:rPr>
          <w:rFonts w:ascii="Arial" w:hAnsi="Arial" w:cs="Arial" w:hint="eastAsia"/>
        </w:rPr>
        <w:t xml:space="preserve"> the level of development.</w:t>
      </w:r>
    </w:p>
    <w:p w14:paraId="6B6B0C2D" w14:textId="77777777" w:rsidR="003768D5" w:rsidRDefault="003768D5">
      <w:pPr>
        <w:pStyle w:val="Body"/>
        <w:spacing w:after="0"/>
        <w:rPr>
          <w:rFonts w:ascii="Arial" w:hAnsi="Arial" w:cs="Arial"/>
        </w:rPr>
      </w:pPr>
    </w:p>
    <w:p w14:paraId="04BF1D54" w14:textId="77777777" w:rsidR="003768D5" w:rsidRDefault="005468AB">
      <w:pPr>
        <w:pStyle w:val="Body"/>
        <w:spacing w:after="0"/>
        <w:rPr>
          <w:rFonts w:ascii="Arial" w:hAnsi="Arial" w:cs="Arial"/>
        </w:rPr>
      </w:pPr>
      <w:r>
        <w:rPr>
          <w:rFonts w:ascii="Arial" w:hAnsi="Arial" w:cs="Arial" w:hint="eastAsia"/>
        </w:rPr>
        <w:t>This study provides a new</w:t>
      </w:r>
      <w:r>
        <w:rPr>
          <w:rFonts w:ascii="Arial" w:eastAsia="SimSun" w:hAnsi="Arial" w:cs="Arial" w:hint="eastAsia"/>
          <w:lang w:eastAsia="zh-CN"/>
        </w:rPr>
        <w:t xml:space="preserve"> </w:t>
      </w:r>
      <w:r>
        <w:rPr>
          <w:rFonts w:ascii="Arial" w:hAnsi="Arial" w:cs="Arial" w:hint="eastAsia"/>
        </w:rPr>
        <w:t>reference for exploring the pri</w:t>
      </w:r>
      <w:r>
        <w:rPr>
          <w:rFonts w:ascii="Arial" w:hAnsi="Arial" w:cs="Arial" w:hint="eastAsia"/>
        </w:rPr>
        <w:t>ce fluctuation pattern of Malaysian rubber by applying the time series analysis method to forecast the price. In practice, the government can improve its industrial policies based on the forecast results; producers can adjust their production and trading s</w:t>
      </w:r>
      <w:r>
        <w:rPr>
          <w:rFonts w:ascii="Arial" w:hAnsi="Arial" w:cs="Arial" w:hint="eastAsia"/>
        </w:rPr>
        <w:t>trategies to avoid overproduction or inventory build-up; and investors and financial institutions can use this method to assess the market trend more scientifically, make investment decisions and enhance returns</w:t>
      </w:r>
      <w:r>
        <w:rPr>
          <w:rFonts w:ascii="Arial" w:eastAsia="SimSun" w:hAnsi="Arial" w:cs="Arial" w:hint="eastAsia"/>
          <w:lang w:eastAsia="zh-CN"/>
        </w:rPr>
        <w:t xml:space="preserve"> (</w:t>
      </w:r>
      <w:proofErr w:type="spellStart"/>
      <w:r>
        <w:rPr>
          <w:rFonts w:ascii="Arial" w:eastAsia="SimSun" w:hAnsi="Arial" w:cs="Arial" w:hint="eastAsia"/>
          <w:lang w:eastAsia="zh-CN"/>
        </w:rPr>
        <w:t>Zuhdi</w:t>
      </w:r>
      <w:proofErr w:type="spellEnd"/>
      <w:r>
        <w:rPr>
          <w:rFonts w:ascii="Arial" w:eastAsia="SimSun" w:hAnsi="Arial" w:cs="Arial" w:hint="eastAsia"/>
          <w:lang w:eastAsia="zh-CN"/>
        </w:rPr>
        <w:t>, 2021)</w:t>
      </w:r>
      <w:r>
        <w:rPr>
          <w:rFonts w:ascii="Arial" w:hAnsi="Arial" w:cs="Arial" w:hint="eastAsia"/>
        </w:rPr>
        <w:t xml:space="preserve">. Overall, this study not only </w:t>
      </w:r>
      <w:r>
        <w:rPr>
          <w:rFonts w:ascii="Arial" w:hAnsi="Arial" w:cs="Arial" w:hint="eastAsia"/>
        </w:rPr>
        <w:t xml:space="preserve">provides data support for the Malaysian rubber industry to cope with price </w:t>
      </w:r>
      <w:r>
        <w:rPr>
          <w:rFonts w:ascii="Arial" w:hAnsi="Arial" w:cs="Arial"/>
        </w:rPr>
        <w:t>volatility but</w:t>
      </w:r>
      <w:r>
        <w:rPr>
          <w:rFonts w:ascii="Arial" w:hAnsi="Arial" w:cs="Arial" w:hint="eastAsia"/>
        </w:rPr>
        <w:t xml:space="preserve"> also provides a reference for price forecasting studies of other natural resource commodities.</w:t>
      </w:r>
    </w:p>
    <w:p w14:paraId="32D4C01C" w14:textId="77777777" w:rsidR="003768D5" w:rsidRDefault="003768D5">
      <w:pPr>
        <w:pStyle w:val="Body"/>
        <w:spacing w:after="0"/>
        <w:rPr>
          <w:rFonts w:ascii="Arial" w:hAnsi="Arial" w:cs="Arial"/>
        </w:rPr>
      </w:pPr>
    </w:p>
    <w:p w14:paraId="26DACC8A" w14:textId="77777777" w:rsidR="003768D5" w:rsidRDefault="005468AB">
      <w:pPr>
        <w:pStyle w:val="AbstHead"/>
        <w:spacing w:after="0"/>
        <w:jc w:val="both"/>
        <w:rPr>
          <w:rFonts w:ascii="Arial" w:hAnsi="Arial" w:cs="Arial"/>
        </w:rPr>
      </w:pPr>
      <w:r>
        <w:rPr>
          <w:rFonts w:ascii="Arial" w:hAnsi="Arial" w:cs="Arial"/>
        </w:rPr>
        <w:t>2. methodology</w:t>
      </w:r>
    </w:p>
    <w:p w14:paraId="32E57FDC" w14:textId="77777777" w:rsidR="003768D5" w:rsidRDefault="003768D5">
      <w:pPr>
        <w:pStyle w:val="Body"/>
        <w:spacing w:after="0"/>
        <w:rPr>
          <w:rFonts w:ascii="Arial" w:hAnsi="Arial" w:cs="Arial"/>
        </w:rPr>
      </w:pPr>
    </w:p>
    <w:p w14:paraId="2966D777" w14:textId="77777777" w:rsidR="003768D5" w:rsidRDefault="005468AB">
      <w:pPr>
        <w:pStyle w:val="Body"/>
        <w:spacing w:after="0"/>
        <w:rPr>
          <w:rFonts w:ascii="Arial" w:hAnsi="Arial" w:cs="Arial"/>
        </w:rPr>
      </w:pPr>
      <w:r>
        <w:rPr>
          <w:rFonts w:ascii="Arial" w:hAnsi="Arial" w:cs="Arial"/>
          <w:b/>
          <w:caps/>
          <w:sz w:val="22"/>
        </w:rPr>
        <w:t xml:space="preserve">2.1 </w:t>
      </w:r>
      <w:r>
        <w:rPr>
          <w:rFonts w:ascii="Arial" w:hAnsi="Arial" w:cs="Arial" w:hint="eastAsia"/>
          <w:b/>
          <w:sz w:val="22"/>
        </w:rPr>
        <w:t>Data Collection</w:t>
      </w:r>
      <w:r>
        <w:rPr>
          <w:rFonts w:ascii="Arial" w:hAnsi="Arial" w:cs="Arial"/>
        </w:rPr>
        <w:t xml:space="preserve"> </w:t>
      </w:r>
    </w:p>
    <w:p w14:paraId="6964C113" w14:textId="77777777" w:rsidR="003768D5" w:rsidRDefault="003768D5">
      <w:pPr>
        <w:pStyle w:val="Body"/>
        <w:spacing w:after="0"/>
        <w:rPr>
          <w:rFonts w:ascii="Arial" w:hAnsi="Arial" w:cs="Arial"/>
        </w:rPr>
      </w:pPr>
    </w:p>
    <w:p w14:paraId="594FF5BB" w14:textId="77777777" w:rsidR="003768D5" w:rsidRDefault="005468AB">
      <w:pPr>
        <w:pStyle w:val="Body"/>
        <w:spacing w:after="0"/>
        <w:rPr>
          <w:rFonts w:ascii="Arial" w:hAnsi="Arial" w:cs="Arial"/>
        </w:rPr>
      </w:pPr>
      <w:r>
        <w:rPr>
          <w:rFonts w:ascii="Arial" w:hAnsi="Arial" w:cs="Arial" w:hint="eastAsia"/>
        </w:rPr>
        <w:t xml:space="preserve">The data for this study is the monthly data of rubber prices in Malaysia. This data is secondary data and is obtained from the monthly rubber prices published by the Department of Statistics Malaysia (DOSM). The price is calculated as the average price of </w:t>
      </w:r>
      <w:r>
        <w:rPr>
          <w:rFonts w:ascii="Arial" w:hAnsi="Arial" w:cs="Arial" w:hint="eastAsia"/>
        </w:rPr>
        <w:t xml:space="preserve">the monthly </w:t>
      </w:r>
      <w:r>
        <w:rPr>
          <w:rFonts w:ascii="Arial" w:hAnsi="Arial" w:cs="Arial"/>
        </w:rPr>
        <w:t>deliveries,</w:t>
      </w:r>
      <w:r>
        <w:rPr>
          <w:rFonts w:ascii="Arial" w:hAnsi="Arial" w:cs="Arial" w:hint="eastAsia"/>
        </w:rPr>
        <w:t xml:space="preserve"> and the unit of the rubber price is RM/</w:t>
      </w:r>
      <w:proofErr w:type="spellStart"/>
      <w:r>
        <w:rPr>
          <w:rFonts w:ascii="Arial" w:hAnsi="Arial" w:cs="Arial" w:hint="eastAsia"/>
        </w:rPr>
        <w:t>tonne</w:t>
      </w:r>
      <w:proofErr w:type="spellEnd"/>
      <w:r>
        <w:rPr>
          <w:rFonts w:ascii="Arial" w:hAnsi="Arial" w:cs="Arial" w:hint="eastAsia"/>
        </w:rPr>
        <w:t>. The period of the data ranges from January 2016 to December 2024 with a total of 108 observations.</w:t>
      </w:r>
    </w:p>
    <w:p w14:paraId="6B92DC20" w14:textId="77777777" w:rsidR="003768D5" w:rsidRDefault="003768D5">
      <w:pPr>
        <w:pStyle w:val="Body"/>
        <w:spacing w:after="0"/>
        <w:rPr>
          <w:rFonts w:ascii="Arial" w:hAnsi="Arial" w:cs="Arial"/>
        </w:rPr>
      </w:pPr>
    </w:p>
    <w:p w14:paraId="7C13A59E" w14:textId="77777777" w:rsidR="003768D5" w:rsidRDefault="005468AB">
      <w:pPr>
        <w:pStyle w:val="Body"/>
        <w:spacing w:after="0"/>
        <w:rPr>
          <w:rFonts w:ascii="Arial" w:hAnsi="Arial" w:cs="Arial"/>
          <w:b/>
          <w:sz w:val="22"/>
        </w:rPr>
      </w:pPr>
      <w:r>
        <w:rPr>
          <w:rFonts w:ascii="Arial" w:hAnsi="Arial" w:cs="Arial"/>
          <w:b/>
          <w:caps/>
          <w:sz w:val="22"/>
        </w:rPr>
        <w:t>2.</w:t>
      </w:r>
      <w:r>
        <w:rPr>
          <w:rFonts w:ascii="Arial" w:eastAsia="SimSun" w:hAnsi="Arial" w:cs="Arial" w:hint="eastAsia"/>
          <w:b/>
          <w:caps/>
          <w:sz w:val="22"/>
          <w:lang w:eastAsia="zh-CN"/>
        </w:rPr>
        <w:t>2</w:t>
      </w:r>
      <w:r>
        <w:rPr>
          <w:rFonts w:ascii="Arial" w:hAnsi="Arial" w:cs="Arial"/>
          <w:b/>
          <w:caps/>
          <w:sz w:val="22"/>
        </w:rPr>
        <w:t xml:space="preserve"> </w:t>
      </w:r>
      <w:r>
        <w:rPr>
          <w:rFonts w:ascii="Arial" w:hAnsi="Arial" w:cs="Arial" w:hint="eastAsia"/>
          <w:b/>
          <w:sz w:val="22"/>
        </w:rPr>
        <w:t>Model Selection and Application</w:t>
      </w:r>
    </w:p>
    <w:p w14:paraId="18C5911E" w14:textId="77777777" w:rsidR="003768D5" w:rsidRDefault="003768D5">
      <w:pPr>
        <w:pStyle w:val="Body"/>
        <w:spacing w:after="0"/>
        <w:rPr>
          <w:rFonts w:ascii="Arial" w:hAnsi="Arial" w:cs="Arial"/>
          <w:b/>
          <w:sz w:val="22"/>
        </w:rPr>
      </w:pPr>
    </w:p>
    <w:p w14:paraId="6E5CE2F8" w14:textId="77777777" w:rsidR="003768D5" w:rsidRDefault="005468AB">
      <w:pPr>
        <w:pStyle w:val="Body"/>
        <w:spacing w:after="0"/>
        <w:rPr>
          <w:rFonts w:ascii="Arial" w:eastAsia="SimSun" w:hAnsi="Arial" w:cs="Arial"/>
          <w:b/>
          <w:u w:val="single"/>
          <w:lang w:eastAsia="zh-CN"/>
        </w:rPr>
      </w:pPr>
      <w:r>
        <w:rPr>
          <w:rFonts w:ascii="Arial" w:hAnsi="Arial" w:cs="Arial"/>
          <w:b/>
          <w:u w:val="single"/>
        </w:rPr>
        <w:t>2.</w:t>
      </w:r>
      <w:r>
        <w:rPr>
          <w:rFonts w:ascii="Arial" w:eastAsia="SimSun" w:hAnsi="Arial" w:cs="Arial" w:hint="eastAsia"/>
          <w:b/>
          <w:u w:val="single"/>
          <w:lang w:eastAsia="zh-CN"/>
        </w:rPr>
        <w:t>2</w:t>
      </w:r>
      <w:r>
        <w:rPr>
          <w:rFonts w:ascii="Arial" w:hAnsi="Arial" w:cs="Arial"/>
          <w:b/>
          <w:u w:val="single"/>
        </w:rPr>
        <w:t xml:space="preserve">.1 </w:t>
      </w:r>
      <w:proofErr w:type="spellStart"/>
      <w:r>
        <w:rPr>
          <w:rFonts w:ascii="Arial" w:hAnsi="Arial" w:cs="Arial" w:hint="eastAsia"/>
          <w:b/>
          <w:u w:val="single"/>
        </w:rPr>
        <w:t>AutoReressive</w:t>
      </w:r>
      <w:proofErr w:type="spellEnd"/>
      <w:r>
        <w:rPr>
          <w:rFonts w:ascii="Arial" w:hAnsi="Arial" w:cs="Arial" w:hint="eastAsia"/>
          <w:b/>
          <w:u w:val="single"/>
        </w:rPr>
        <w:t xml:space="preserve"> Integrated Moving Average (ARIMA)</w:t>
      </w:r>
      <w:r>
        <w:rPr>
          <w:rFonts w:ascii="Arial" w:eastAsia="SimSun" w:hAnsi="Arial" w:cs="Arial" w:hint="eastAsia"/>
          <w:b/>
          <w:u w:val="single"/>
          <w:lang w:eastAsia="zh-CN"/>
        </w:rPr>
        <w:t xml:space="preserve"> Model</w:t>
      </w:r>
    </w:p>
    <w:p w14:paraId="7C7C3156" w14:textId="77777777" w:rsidR="003768D5" w:rsidRDefault="003768D5">
      <w:pPr>
        <w:pStyle w:val="Body"/>
        <w:spacing w:after="0"/>
        <w:rPr>
          <w:rFonts w:ascii="Arial" w:eastAsia="SimSun" w:hAnsi="Arial" w:cs="Arial"/>
          <w:b/>
          <w:u w:val="single"/>
          <w:lang w:eastAsia="zh-CN"/>
        </w:rPr>
      </w:pPr>
    </w:p>
    <w:p w14:paraId="437DAA27" w14:textId="77777777" w:rsidR="003768D5" w:rsidRDefault="005468AB">
      <w:pPr>
        <w:pStyle w:val="Body"/>
        <w:spacing w:after="0"/>
        <w:rPr>
          <w:rFonts w:ascii="Arial" w:eastAsia="SimSun" w:hAnsi="Arial" w:cs="Arial"/>
          <w:lang w:eastAsia="zh-CN"/>
        </w:rPr>
      </w:pPr>
      <w:r>
        <w:rPr>
          <w:rFonts w:ascii="Arial" w:hAnsi="Arial" w:cs="Arial"/>
        </w:rPr>
        <w:t xml:space="preserve">The </w:t>
      </w:r>
      <w:proofErr w:type="spellStart"/>
      <w:r>
        <w:rPr>
          <w:rFonts w:ascii="Arial" w:hAnsi="Arial" w:cs="Arial"/>
        </w:rPr>
        <w:t>AutoReressive</w:t>
      </w:r>
      <w:proofErr w:type="spellEnd"/>
      <w:r>
        <w:rPr>
          <w:rFonts w:ascii="Arial" w:hAnsi="Arial" w:cs="Arial" w:hint="eastAsia"/>
        </w:rPr>
        <w:t xml:space="preserve"> Integrated Moving Average (ARIMA) model is a widely used time series forecasting method for both smooth and non-smooth data. The model consists of three components, the </w:t>
      </w:r>
      <w:proofErr w:type="spellStart"/>
      <w:r>
        <w:rPr>
          <w:rFonts w:ascii="Arial" w:hAnsi="Arial" w:cs="Arial" w:hint="eastAsia"/>
        </w:rPr>
        <w:t>AutoReressive</w:t>
      </w:r>
      <w:proofErr w:type="spellEnd"/>
      <w:r>
        <w:rPr>
          <w:rFonts w:ascii="Arial" w:hAnsi="Arial" w:cs="Arial" w:hint="eastAsia"/>
        </w:rPr>
        <w:t xml:space="preserve"> (AR) componen</w:t>
      </w:r>
      <w:r>
        <w:rPr>
          <w:rFonts w:ascii="Arial" w:hAnsi="Arial" w:cs="Arial" w:hint="eastAsia"/>
        </w:rPr>
        <w:t xml:space="preserve">t, which indicates that the current values are dependent on past observations; the Integrated (I) component, which makes the time series smooth by differencing it; and the Moving Average (MA) component, which indicates that the current values are affected </w:t>
      </w:r>
      <w:r>
        <w:rPr>
          <w:rFonts w:ascii="Arial" w:hAnsi="Arial" w:cs="Arial" w:hint="eastAsia"/>
        </w:rPr>
        <w:t>by the past error terms.</w:t>
      </w:r>
      <w:r>
        <w:rPr>
          <w:rFonts w:ascii="Arial" w:eastAsia="SimSun" w:hAnsi="Arial" w:cs="Arial" w:hint="eastAsia"/>
          <w:lang w:eastAsia="zh-CN"/>
        </w:rPr>
        <w:t xml:space="preserve"> </w:t>
      </w:r>
      <m:oMath>
        <m:r>
          <w:rPr>
            <w:rFonts w:ascii="Cambria Math" w:eastAsia="SimSun" w:hAnsi="Cambria Math" w:cs="Arial"/>
            <w:lang w:eastAsia="zh-CN"/>
          </w:rPr>
          <m:t>ARIMA</m:t>
        </m:r>
        <m:r>
          <w:rPr>
            <w:rFonts w:ascii="Cambria Math" w:eastAsia="SimSun" w:hAnsi="Cambria Math" w:cs="Arial"/>
            <w:lang w:eastAsia="zh-CN"/>
          </w:rPr>
          <m:t>(</m:t>
        </m:r>
        <m:r>
          <w:rPr>
            <w:rFonts w:ascii="Cambria Math" w:eastAsia="SimSun" w:hAnsi="Cambria Math" w:cs="Arial"/>
            <w:lang w:eastAsia="zh-CN"/>
          </w:rPr>
          <m:t>p</m:t>
        </m:r>
        <m:r>
          <w:rPr>
            <w:rFonts w:ascii="Cambria Math" w:eastAsia="SimSun" w:hAnsi="Cambria Math" w:cs="Arial"/>
            <w:lang w:eastAsia="zh-CN"/>
          </w:rPr>
          <m:t xml:space="preserve">, </m:t>
        </m:r>
        <m:r>
          <w:rPr>
            <w:rFonts w:ascii="Cambria Math" w:eastAsia="SimSun" w:hAnsi="Cambria Math" w:cs="Arial"/>
            <w:lang w:eastAsia="zh-CN"/>
          </w:rPr>
          <m:t>d</m:t>
        </m:r>
        <m:r>
          <w:rPr>
            <w:rFonts w:ascii="Cambria Math" w:eastAsia="SimSun" w:hAnsi="Cambria Math" w:cs="Arial"/>
            <w:lang w:eastAsia="zh-CN"/>
          </w:rPr>
          <m:t xml:space="preserve">, </m:t>
        </m:r>
        <m:r>
          <w:rPr>
            <w:rFonts w:ascii="Cambria Math" w:eastAsia="SimSun" w:hAnsi="Cambria Math" w:cs="Arial"/>
            <w:lang w:eastAsia="zh-CN"/>
          </w:rPr>
          <m:t>q</m:t>
        </m:r>
        <m:r>
          <w:rPr>
            <w:rFonts w:ascii="Cambria Math" w:eastAsia="SimSun" w:hAnsi="Cambria Math" w:cs="Arial"/>
            <w:lang w:eastAsia="zh-CN"/>
          </w:rPr>
          <m:t>)</m:t>
        </m:r>
      </m:oMath>
      <w:r>
        <w:rPr>
          <w:rFonts w:ascii="Arial" w:eastAsia="SimSun" w:hAnsi="Arial" w:cs="Arial" w:hint="eastAsia"/>
          <w:lang w:eastAsia="zh-CN"/>
        </w:rPr>
        <w:t xml:space="preserve"> is the mathematical expression of the ARIMA model, where </w:t>
      </w:r>
      <m:oMath>
        <m:r>
          <w:rPr>
            <w:rFonts w:ascii="Cambria Math" w:eastAsia="SimSun" w:hAnsi="Cambria Math" w:cs="Arial"/>
            <w:lang w:eastAsia="zh-CN"/>
          </w:rPr>
          <m:t>p</m:t>
        </m:r>
      </m:oMath>
      <w:r>
        <w:rPr>
          <w:rFonts w:ascii="Arial" w:eastAsia="SimSun" w:hAnsi="Arial" w:cs="Arial" w:hint="eastAsia"/>
          <w:lang w:eastAsia="zh-CN"/>
        </w:rPr>
        <w:t xml:space="preserve"> denotes the order of the autoregressive term, which indicates that the current value is related to the value at the previous </w:t>
      </w:r>
      <m:oMath>
        <m:r>
          <w:rPr>
            <w:rFonts w:ascii="Cambria Math" w:eastAsia="SimSun" w:hAnsi="Cambria Math" w:cs="Arial"/>
            <w:lang w:eastAsia="zh-CN"/>
          </w:rPr>
          <m:t>p</m:t>
        </m:r>
      </m:oMath>
      <w:r>
        <w:rPr>
          <w:rFonts w:ascii="Arial" w:eastAsia="SimSun" w:hAnsi="Arial" w:cs="Arial" w:hint="eastAsia"/>
          <w:lang w:eastAsia="zh-CN"/>
        </w:rPr>
        <w:t xml:space="preserve"> time points; </w:t>
      </w:r>
      <m:oMath>
        <m:r>
          <w:rPr>
            <w:rFonts w:ascii="Cambria Math" w:eastAsia="SimSun" w:hAnsi="Cambria Math" w:cs="Arial"/>
            <w:lang w:eastAsia="zh-CN"/>
          </w:rPr>
          <m:t>d</m:t>
        </m:r>
      </m:oMath>
      <w:r>
        <w:rPr>
          <w:rFonts w:ascii="Arial" w:eastAsia="SimSun" w:hAnsi="Arial" w:cs="Arial" w:hint="eastAsia"/>
          <w:lang w:eastAsia="zh-CN"/>
        </w:rPr>
        <w:t xml:space="preserve"> deno</w:t>
      </w:r>
      <w:r>
        <w:rPr>
          <w:rFonts w:ascii="Arial" w:eastAsia="SimSun" w:hAnsi="Arial" w:cs="Arial" w:hint="eastAsia"/>
          <w:lang w:eastAsia="zh-CN"/>
        </w:rPr>
        <w:t xml:space="preserve">tes the order of the difference, which is used to transform a non-smooth series into a smooth series; and </w:t>
      </w:r>
      <m:oMath>
        <m:r>
          <w:rPr>
            <w:rFonts w:ascii="Cambria Math" w:eastAsia="SimSun" w:hAnsi="Cambria Math" w:cs="Arial"/>
            <w:lang w:eastAsia="zh-CN"/>
          </w:rPr>
          <m:t>q</m:t>
        </m:r>
      </m:oMath>
      <w:r>
        <w:rPr>
          <w:rFonts w:ascii="Arial" w:eastAsia="SimSun" w:hAnsi="Arial" w:cs="Arial" w:hint="eastAsia"/>
          <w:lang w:eastAsia="zh-CN"/>
        </w:rPr>
        <w:t xml:space="preserve"> denotes the order of the moving average term, which reflects that the current value is affected by the previous </w:t>
      </w:r>
      <m:oMath>
        <m:r>
          <w:rPr>
            <w:rFonts w:ascii="Cambria Math" w:eastAsia="SimSun" w:hAnsi="Cambria Math" w:cs="Arial"/>
            <w:lang w:eastAsia="zh-CN"/>
          </w:rPr>
          <m:t>q</m:t>
        </m:r>
      </m:oMath>
      <w:r>
        <w:rPr>
          <w:rFonts w:ascii="Arial" w:eastAsia="SimSun" w:hAnsi="Arial" w:cs="Arial" w:hint="eastAsia"/>
          <w:lang w:eastAsia="zh-CN"/>
        </w:rPr>
        <w:t xml:space="preserve"> error terms (Sukiyono et al., 2019). The formula for the ARIMA model is as follows:</w:t>
      </w:r>
    </w:p>
    <w:p w14:paraId="46F56206" w14:textId="77777777" w:rsidR="003768D5" w:rsidRDefault="003768D5">
      <w:pPr>
        <w:pStyle w:val="Body"/>
        <w:spacing w:after="0"/>
        <w:rPr>
          <w:rFonts w:ascii="Arial" w:eastAsia="SimSun" w:hAnsi="Arial" w:cs="Arial"/>
          <w:lang w:eastAsia="zh-CN"/>
        </w:rPr>
      </w:pPr>
    </w:p>
    <w:p w14:paraId="4EBE6170" w14:textId="77777777" w:rsidR="003768D5" w:rsidRDefault="005468AB">
      <w:pPr>
        <w:pStyle w:val="Body"/>
        <w:spacing w:after="0"/>
        <w:rPr>
          <w:rFonts w:ascii="Arial" w:eastAsia="SimSun" w:hAnsi="Arial" w:cs="Arial"/>
          <w:lang w:eastAsia="zh-CN"/>
        </w:rPr>
      </w:pPr>
      <m:oMath>
        <m:sSub>
          <m:sSubPr>
            <m:ctrlPr>
              <w:rPr>
                <w:rFonts w:ascii="Cambria Math" w:eastAsiaTheme="minorHAnsi" w:hAnsi="Cambria Math"/>
                <w:i/>
                <w:iCs/>
                <w:szCs w:val="24"/>
              </w:rPr>
            </m:ctrlPr>
          </m:sSubPr>
          <m:e>
            <m:r>
              <w:rPr>
                <w:rFonts w:ascii="Cambria Math" w:eastAsia="SimSun" w:hAnsi="Cambria Math"/>
                <w:szCs w:val="24"/>
                <w:lang w:eastAsia="zh-CN"/>
              </w:rPr>
              <m:t xml:space="preserve">      </m:t>
            </m:r>
            <m:r>
              <w:rPr>
                <w:rFonts w:ascii="Cambria Math" w:eastAsia="SimSun" w:hAnsi="Cambria Math"/>
                <w:szCs w:val="24"/>
                <w:lang w:eastAsia="zh-CN"/>
              </w:rPr>
              <m:t>Y</m:t>
            </m:r>
          </m:e>
          <m:sub>
            <m:r>
              <w:rPr>
                <w:rFonts w:ascii="Cambria Math" w:eastAsia="SimSun" w:hAnsi="Cambria Math"/>
                <w:szCs w:val="24"/>
                <w:lang w:eastAsia="zh-CN"/>
              </w:rPr>
              <m:t>t</m:t>
            </m:r>
          </m:sub>
        </m:sSub>
        <m:r>
          <w:rPr>
            <w:rFonts w:ascii="Cambria Math" w:eastAsia="SimSun" w:hAnsi="Cambria Math"/>
            <w:szCs w:val="24"/>
            <w:lang w:eastAsia="zh-CN"/>
          </w:rPr>
          <m:t>=</m:t>
        </m:r>
        <m:r>
          <w:rPr>
            <w:rFonts w:ascii="Cambria Math" w:hAnsi="Cambria Math"/>
            <w:szCs w:val="24"/>
          </w:rPr>
          <m:t>μ</m:t>
        </m:r>
        <m:r>
          <w:rPr>
            <w:rFonts w:ascii="Cambria Math" w:eastAsia="SimSun" w:hAnsi="Cambria Math"/>
            <w:szCs w:val="24"/>
            <w:lang w:eastAsia="zh-CN"/>
          </w:rPr>
          <m:t>+</m:t>
        </m:r>
        <m:nary>
          <m:naryPr>
            <m:chr m:val="∑"/>
            <m:limLoc m:val="undOvr"/>
            <m:ctrlPr>
              <w:rPr>
                <w:rFonts w:ascii="Cambria Math" w:eastAsia="SimSun" w:hAnsi="Cambria Math"/>
                <w:i/>
                <w:iCs/>
                <w:szCs w:val="24"/>
                <w:lang w:eastAsia="zh-CN"/>
              </w:rPr>
            </m:ctrlPr>
          </m:naryPr>
          <m:sub>
            <m:r>
              <w:rPr>
                <w:rFonts w:ascii="Cambria Math" w:eastAsia="SimSun" w:hAnsi="Cambria Math"/>
                <w:szCs w:val="24"/>
                <w:lang w:eastAsia="zh-CN"/>
              </w:rPr>
              <m:t>i</m:t>
            </m:r>
            <m:r>
              <w:rPr>
                <w:rFonts w:ascii="Cambria Math" w:eastAsia="SimSun" w:hAnsi="Cambria Math"/>
                <w:szCs w:val="24"/>
                <w:lang w:eastAsia="zh-CN"/>
              </w:rPr>
              <m:t>=1</m:t>
            </m:r>
          </m:sub>
          <m:sup>
            <m:r>
              <w:rPr>
                <w:rFonts w:ascii="Cambria Math" w:eastAsia="SimSun" w:hAnsi="Cambria Math"/>
                <w:szCs w:val="24"/>
                <w:lang w:eastAsia="zh-CN"/>
              </w:rPr>
              <m:t>p</m:t>
            </m:r>
          </m:sup>
          <m:e>
            <m:sSub>
              <m:sSubPr>
                <m:ctrlPr>
                  <w:rPr>
                    <w:rFonts w:ascii="Cambria Math" w:eastAsia="SimSun" w:hAnsi="Cambria Math"/>
                    <w:i/>
                    <w:iCs/>
                    <w:szCs w:val="24"/>
                    <w:lang w:eastAsia="zh-CN"/>
                  </w:rPr>
                </m:ctrlPr>
              </m:sSubPr>
              <m:e>
                <m:r>
                  <w:rPr>
                    <w:rFonts w:ascii="Cambria Math" w:hAnsi="Cambria Math"/>
                    <w:szCs w:val="24"/>
                  </w:rPr>
                  <m:t>∅</m:t>
                </m:r>
              </m:e>
              <m:sub>
                <m:r>
                  <w:rPr>
                    <w:rFonts w:ascii="Cambria Math" w:eastAsia="SimSun" w:hAnsi="Cambria Math"/>
                    <w:szCs w:val="24"/>
                    <w:lang w:eastAsia="zh-CN"/>
                  </w:rPr>
                  <m:t>i</m:t>
                </m:r>
              </m:sub>
            </m:sSub>
            <m:sSub>
              <m:sSubPr>
                <m:ctrlPr>
                  <w:rPr>
                    <w:rFonts w:ascii="Cambria Math" w:eastAsia="SimSun" w:hAnsi="Cambria Math"/>
                    <w:i/>
                    <w:iCs/>
                    <w:szCs w:val="24"/>
                    <w:lang w:eastAsia="zh-CN"/>
                  </w:rPr>
                </m:ctrlPr>
              </m:sSubPr>
              <m:e>
                <m:r>
                  <w:rPr>
                    <w:rFonts w:ascii="Cambria Math" w:eastAsia="SimSun" w:hAnsi="Cambria Math"/>
                    <w:szCs w:val="24"/>
                    <w:lang w:eastAsia="zh-CN"/>
                  </w:rPr>
                  <m:t>Y</m:t>
                </m:r>
              </m:e>
              <m:sub>
                <m:r>
                  <w:rPr>
                    <w:rFonts w:ascii="Cambria Math" w:eastAsia="SimSun" w:hAnsi="Cambria Math"/>
                    <w:szCs w:val="24"/>
                    <w:lang w:eastAsia="zh-CN"/>
                  </w:rPr>
                  <m:t>t</m:t>
                </m:r>
                <m:r>
                  <w:rPr>
                    <w:rFonts w:ascii="Cambria Math" w:eastAsia="SimSun" w:hAnsi="Cambria Math"/>
                    <w:szCs w:val="24"/>
                    <w:lang w:eastAsia="zh-CN"/>
                  </w:rPr>
                  <m:t>-</m:t>
                </m:r>
                <m:r>
                  <w:rPr>
                    <w:rFonts w:ascii="Cambria Math" w:eastAsia="SimSun" w:hAnsi="Cambria Math"/>
                    <w:szCs w:val="24"/>
                    <w:lang w:eastAsia="zh-CN"/>
                  </w:rPr>
                  <m:t>i</m:t>
                </m:r>
              </m:sub>
            </m:sSub>
            <m:r>
              <w:rPr>
                <w:rFonts w:ascii="Cambria Math" w:eastAsia="SimSun" w:hAnsi="Cambria Math"/>
                <w:szCs w:val="24"/>
                <w:lang w:eastAsia="zh-CN"/>
              </w:rPr>
              <m:t>+</m:t>
            </m:r>
            <m:nary>
              <m:naryPr>
                <m:chr m:val="∑"/>
                <m:limLoc m:val="undOvr"/>
                <m:ctrlPr>
                  <w:rPr>
                    <w:rFonts w:ascii="Cambria Math" w:eastAsia="SimSun" w:hAnsi="Cambria Math"/>
                    <w:i/>
                    <w:iCs/>
                    <w:szCs w:val="24"/>
                    <w:lang w:eastAsia="zh-CN"/>
                  </w:rPr>
                </m:ctrlPr>
              </m:naryPr>
              <m:sub>
                <m:r>
                  <w:rPr>
                    <w:rFonts w:ascii="Cambria Math" w:eastAsia="SimSun" w:hAnsi="Cambria Math"/>
                    <w:szCs w:val="24"/>
                    <w:lang w:eastAsia="zh-CN"/>
                  </w:rPr>
                  <m:t>j</m:t>
                </m:r>
                <m:r>
                  <w:rPr>
                    <w:rFonts w:ascii="Cambria Math" w:eastAsia="SimSun" w:hAnsi="Cambria Math"/>
                    <w:szCs w:val="24"/>
                    <w:lang w:eastAsia="zh-CN"/>
                  </w:rPr>
                  <m:t>=1</m:t>
                </m:r>
              </m:sub>
              <m:sup>
                <m:r>
                  <w:rPr>
                    <w:rFonts w:ascii="Cambria Math" w:eastAsia="SimSun" w:hAnsi="Cambria Math"/>
                    <w:szCs w:val="24"/>
                    <w:lang w:eastAsia="zh-CN"/>
                  </w:rPr>
                  <m:t>q</m:t>
                </m:r>
              </m:sup>
              <m:e>
                <m:sSub>
                  <m:sSubPr>
                    <m:ctrlPr>
                      <w:rPr>
                        <w:rFonts w:ascii="Cambria Math" w:eastAsia="SimSun" w:hAnsi="Cambria Math"/>
                        <w:i/>
                        <w:iCs/>
                        <w:szCs w:val="24"/>
                        <w:lang w:eastAsia="zh-CN"/>
                      </w:rPr>
                    </m:ctrlPr>
                  </m:sSubPr>
                  <m:e>
                    <m:r>
                      <w:rPr>
                        <w:rFonts w:ascii="Cambria Math" w:hAnsi="Cambria Math"/>
                        <w:szCs w:val="24"/>
                      </w:rPr>
                      <m:t>θ</m:t>
                    </m:r>
                  </m:e>
                  <m:sub>
                    <m:r>
                      <w:rPr>
                        <w:rFonts w:ascii="Cambria Math" w:eastAsia="SimSun" w:hAnsi="Cambria Math"/>
                        <w:szCs w:val="24"/>
                        <w:lang w:eastAsia="zh-CN"/>
                      </w:rPr>
                      <m:t>j</m:t>
                    </m:r>
                  </m:sub>
                </m:sSub>
                <m:sSub>
                  <m:sSubPr>
                    <m:ctrlPr>
                      <w:rPr>
                        <w:rFonts w:ascii="Cambria Math" w:eastAsia="SimSun" w:hAnsi="Cambria Math"/>
                        <w:i/>
                        <w:iCs/>
                        <w:szCs w:val="24"/>
                        <w:lang w:eastAsia="zh-CN"/>
                      </w:rPr>
                    </m:ctrlPr>
                  </m:sSubPr>
                  <m:e>
                    <m:r>
                      <w:rPr>
                        <w:rFonts w:ascii="Cambria Math" w:hAnsi="Cambria Math"/>
                        <w:szCs w:val="24"/>
                      </w:rPr>
                      <m:t>ε</m:t>
                    </m:r>
                  </m:e>
                  <m:sub>
                    <m:r>
                      <w:rPr>
                        <w:rFonts w:ascii="Cambria Math" w:eastAsia="SimSun" w:hAnsi="Cambria Math"/>
                        <w:szCs w:val="24"/>
                        <w:lang w:eastAsia="zh-CN"/>
                      </w:rPr>
                      <m:t>t</m:t>
                    </m:r>
                    <m:r>
                      <w:rPr>
                        <w:rFonts w:ascii="Cambria Math" w:eastAsia="SimSun" w:hAnsi="Cambria Math"/>
                        <w:szCs w:val="24"/>
                        <w:lang w:eastAsia="zh-CN"/>
                      </w:rPr>
                      <m:t>-</m:t>
                    </m:r>
                    <m:r>
                      <w:rPr>
                        <w:rFonts w:ascii="Cambria Math" w:eastAsia="SimSun" w:hAnsi="Cambria Math"/>
                        <w:szCs w:val="24"/>
                        <w:lang w:eastAsia="zh-CN"/>
                      </w:rPr>
                      <m:t>j</m:t>
                    </m:r>
                  </m:sub>
                </m:sSub>
                <m:r>
                  <w:rPr>
                    <w:rFonts w:ascii="Cambria Math" w:eastAsia="SimSun" w:hAnsi="Cambria Math"/>
                    <w:szCs w:val="24"/>
                    <w:lang w:eastAsia="zh-CN"/>
                  </w:rPr>
                  <m:t>+</m:t>
                </m:r>
                <m:sSub>
                  <m:sSubPr>
                    <m:ctrlPr>
                      <w:rPr>
                        <w:rFonts w:ascii="Cambria Math" w:eastAsia="SimSun" w:hAnsi="Cambria Math"/>
                        <w:i/>
                        <w:iCs/>
                        <w:szCs w:val="24"/>
                        <w:lang w:eastAsia="zh-CN"/>
                      </w:rPr>
                    </m:ctrlPr>
                  </m:sSubPr>
                  <m:e>
                    <m:r>
                      <w:rPr>
                        <w:rFonts w:ascii="Cambria Math" w:hAnsi="Cambria Math"/>
                        <w:szCs w:val="24"/>
                      </w:rPr>
                      <m:t>ε</m:t>
                    </m:r>
                  </m:e>
                  <m:sub>
                    <m:r>
                      <w:rPr>
                        <w:rFonts w:ascii="Cambria Math" w:eastAsia="SimSun" w:hAnsi="Cambria Math"/>
                        <w:szCs w:val="24"/>
                        <w:lang w:eastAsia="zh-CN"/>
                      </w:rPr>
                      <m:t>t</m:t>
                    </m:r>
                  </m:sub>
                </m:sSub>
              </m:e>
            </m:nary>
          </m:e>
        </m:nary>
        <m:r>
          <w:rPr>
            <w:rFonts w:ascii="Cambria Math" w:eastAsia="SimSun" w:hAnsi="Cambria Math"/>
            <w:szCs w:val="24"/>
            <w:lang w:eastAsia="zh-CN"/>
          </w:rPr>
          <m:t xml:space="preserve">                                                                                                   (1) </m:t>
        </m:r>
      </m:oMath>
      <w:r>
        <w:rPr>
          <w:rFonts w:eastAsia="SimSun" w:hAnsi="Cambria Math" w:hint="eastAsia"/>
          <w:iCs/>
          <w:szCs w:val="24"/>
          <w:lang w:eastAsia="zh-CN"/>
        </w:rPr>
        <w:t xml:space="preserve">            </w:t>
      </w:r>
    </w:p>
    <w:p w14:paraId="78ACD6AF" w14:textId="77777777" w:rsidR="003768D5" w:rsidRDefault="005468AB">
      <w:pPr>
        <w:pStyle w:val="Body"/>
        <w:spacing w:after="0"/>
        <w:rPr>
          <w:rFonts w:ascii="Arial" w:hAnsi="Arial" w:cs="Arial"/>
        </w:rPr>
      </w:pPr>
      <w:r>
        <w:rPr>
          <w:rFonts w:ascii="Arial" w:hAnsi="Arial" w:cs="Arial" w:hint="eastAsia"/>
        </w:rPr>
        <w:t>W</w:t>
      </w:r>
      <w:r>
        <w:rPr>
          <w:rFonts w:ascii="Arial" w:hAnsi="Arial" w:cs="Arial" w:hint="eastAsia"/>
        </w:rPr>
        <w:t>here</w:t>
      </w:r>
      <w:r>
        <w:rPr>
          <w:rFonts w:ascii="Arial" w:eastAsia="SimSun" w:hAnsi="Arial" w:cs="Arial" w:hint="eastAsia"/>
          <w:lang w:eastAsia="zh-CN"/>
        </w:rPr>
        <w:t xml:space="preserve"> </w:t>
      </w:r>
      <m:oMath>
        <m:sSub>
          <m:sSubPr>
            <m:ctrlPr>
              <w:rPr>
                <w:rFonts w:ascii="Cambria Math" w:eastAsiaTheme="minorHAnsi" w:hAnsi="Cambria Math"/>
                <w:i/>
                <w:iCs/>
                <w:szCs w:val="24"/>
              </w:rPr>
            </m:ctrlPr>
          </m:sSubPr>
          <m:e>
            <m:r>
              <w:rPr>
                <w:rFonts w:ascii="Cambria Math" w:eastAsia="SimSun" w:hAnsi="Cambria Math"/>
                <w:szCs w:val="24"/>
                <w:lang w:eastAsia="zh-CN"/>
              </w:rPr>
              <m:t>Y</m:t>
            </m:r>
          </m:e>
          <m:sub>
            <m:r>
              <w:rPr>
                <w:rFonts w:ascii="Cambria Math" w:eastAsia="SimSun" w:hAnsi="Cambria Math"/>
                <w:szCs w:val="24"/>
                <w:lang w:eastAsia="zh-CN"/>
              </w:rPr>
              <m:t>t</m:t>
            </m:r>
          </m:sub>
        </m:sSub>
      </m:oMath>
      <w:r>
        <w:rPr>
          <w:rFonts w:ascii="Arial" w:hAnsi="Arial" w:cs="Arial" w:hint="eastAsia"/>
        </w:rPr>
        <w:t xml:space="preserve"> is the actual value at time </w:t>
      </w:r>
      <m:oMath>
        <m:r>
          <w:rPr>
            <w:rFonts w:ascii="Cambria Math" w:hAnsi="Cambria Math" w:cs="Arial"/>
          </w:rPr>
          <m:t>t</m:t>
        </m:r>
      </m:oMath>
      <w:r>
        <w:rPr>
          <w:rFonts w:ascii="Arial" w:hAnsi="Arial" w:cs="Arial" w:hint="eastAsia"/>
        </w:rPr>
        <w:t>,</w:t>
      </w:r>
      <w:r>
        <w:rPr>
          <w:rFonts w:ascii="Arial" w:eastAsia="SimSun" w:hAnsi="Arial" w:cs="Arial" w:hint="eastAsia"/>
          <w:lang w:eastAsia="zh-CN"/>
        </w:rPr>
        <w:t xml:space="preserve"> </w:t>
      </w:r>
      <m:oMath>
        <m:r>
          <w:rPr>
            <w:rFonts w:ascii="Cambria Math" w:hAnsi="Cambria Math"/>
            <w:szCs w:val="24"/>
          </w:rPr>
          <m:t>μ</m:t>
        </m:r>
      </m:oMath>
      <w:r>
        <w:rPr>
          <w:rFonts w:eastAsia="SimSun" w:hAnsi="Cambria Math" w:hint="eastAsia"/>
          <w:szCs w:val="24"/>
          <w:lang w:eastAsia="zh-CN"/>
        </w:rPr>
        <w:t xml:space="preserve"> </w:t>
      </w:r>
      <w:r>
        <w:rPr>
          <w:rFonts w:ascii="Arial" w:hAnsi="Arial" w:cs="Arial" w:hint="eastAsia"/>
        </w:rPr>
        <w:t>is the constant term,</w:t>
      </w:r>
      <w:r>
        <w:rPr>
          <w:rFonts w:ascii="Arial" w:eastAsia="SimSun" w:hAnsi="Arial" w:cs="Arial" w:hint="eastAsia"/>
          <w:lang w:eastAsia="zh-CN"/>
        </w:rPr>
        <w:t xml:space="preserve"> </w:t>
      </w:r>
      <m:oMath>
        <m:sSub>
          <m:sSubPr>
            <m:ctrlPr>
              <w:rPr>
                <w:rFonts w:ascii="Cambria Math" w:eastAsia="SimSun" w:hAnsi="Cambria Math"/>
                <w:i/>
                <w:iCs/>
                <w:szCs w:val="24"/>
                <w:lang w:eastAsia="zh-CN"/>
              </w:rPr>
            </m:ctrlPr>
          </m:sSubPr>
          <m:e>
            <m:r>
              <w:rPr>
                <w:rFonts w:ascii="Cambria Math" w:hAnsi="Cambria Math"/>
                <w:szCs w:val="24"/>
              </w:rPr>
              <m:t>∅</m:t>
            </m:r>
          </m:e>
          <m:sub>
            <m:r>
              <w:rPr>
                <w:rFonts w:ascii="Cambria Math" w:eastAsia="SimSun" w:hAnsi="Cambria Math"/>
                <w:szCs w:val="24"/>
                <w:lang w:eastAsia="zh-CN"/>
              </w:rPr>
              <m:t>i</m:t>
            </m:r>
          </m:sub>
        </m:sSub>
      </m:oMath>
      <w:r>
        <w:rPr>
          <w:rFonts w:ascii="Arial" w:hAnsi="Arial" w:cs="Arial" w:hint="eastAsia"/>
        </w:rPr>
        <w:t xml:space="preserve"> is the autoregressive coefficient, </w:t>
      </w:r>
      <m:oMath>
        <m:sSub>
          <m:sSubPr>
            <m:ctrlPr>
              <w:rPr>
                <w:rFonts w:ascii="Cambria Math" w:eastAsia="SimSun" w:hAnsi="Cambria Math"/>
                <w:i/>
                <w:iCs/>
                <w:szCs w:val="24"/>
                <w:lang w:eastAsia="zh-CN"/>
              </w:rPr>
            </m:ctrlPr>
          </m:sSubPr>
          <m:e>
            <m:r>
              <w:rPr>
                <w:rFonts w:ascii="Cambria Math" w:hAnsi="Cambria Math"/>
                <w:szCs w:val="24"/>
              </w:rPr>
              <m:t>θ</m:t>
            </m:r>
          </m:e>
          <m:sub>
            <m:r>
              <w:rPr>
                <w:rFonts w:ascii="Cambria Math" w:eastAsia="SimSun" w:hAnsi="Cambria Math"/>
                <w:szCs w:val="24"/>
                <w:lang w:eastAsia="zh-CN"/>
              </w:rPr>
              <m:t>j</m:t>
            </m:r>
          </m:sub>
        </m:sSub>
      </m:oMath>
      <w:r>
        <w:rPr>
          <w:rFonts w:ascii="Arial" w:hAnsi="Arial" w:cs="Arial" w:hint="eastAsia"/>
        </w:rPr>
        <w:t xml:space="preserve"> is the moving average coefficient, and </w:t>
      </w:r>
      <m:oMath>
        <m:sSub>
          <m:sSubPr>
            <m:ctrlPr>
              <w:rPr>
                <w:rFonts w:ascii="Cambria Math" w:eastAsia="SimSun" w:hAnsi="Cambria Math"/>
                <w:i/>
                <w:iCs/>
                <w:szCs w:val="24"/>
                <w:lang w:eastAsia="zh-CN"/>
              </w:rPr>
            </m:ctrlPr>
          </m:sSubPr>
          <m:e>
            <m:r>
              <w:rPr>
                <w:rFonts w:ascii="Cambria Math" w:hAnsi="Cambria Math"/>
                <w:szCs w:val="24"/>
              </w:rPr>
              <m:t>ε</m:t>
            </m:r>
          </m:e>
          <m:sub>
            <m:r>
              <w:rPr>
                <w:rFonts w:ascii="Cambria Math" w:eastAsia="SimSun" w:hAnsi="Cambria Math"/>
                <w:szCs w:val="24"/>
                <w:lang w:eastAsia="zh-CN"/>
              </w:rPr>
              <m:t>t</m:t>
            </m:r>
          </m:sub>
        </m:sSub>
      </m:oMath>
      <w:r>
        <w:rPr>
          <w:rFonts w:ascii="Arial" w:hAnsi="Arial" w:cs="Arial" w:hint="eastAsia"/>
        </w:rPr>
        <w:t xml:space="preserve"> is the error term.</w:t>
      </w:r>
    </w:p>
    <w:p w14:paraId="19B4DEFA" w14:textId="77777777" w:rsidR="003768D5" w:rsidRDefault="005468AB">
      <w:pPr>
        <w:pStyle w:val="Body"/>
        <w:spacing w:after="0"/>
        <w:rPr>
          <w:rFonts w:ascii="Arial" w:hAnsi="Arial" w:cs="Arial"/>
        </w:rPr>
      </w:pPr>
      <w:r>
        <w:rPr>
          <w:rFonts w:ascii="Arial" w:hAnsi="Arial" w:cs="Arial" w:hint="eastAsia"/>
        </w:rPr>
        <w:t>By combining autoregression, differencing and smoothing errors, the ARIMA model is</w:t>
      </w:r>
      <w:r>
        <w:rPr>
          <w:rFonts w:ascii="Arial" w:hAnsi="Arial" w:cs="Arial" w:hint="eastAsia"/>
        </w:rPr>
        <w:t xml:space="preserve"> able to effectively model non-stationary but non-significantly seasonal time series, providing support for trend analysis and future forecasting.</w:t>
      </w:r>
    </w:p>
    <w:p w14:paraId="4ADAE9C5" w14:textId="77777777" w:rsidR="003768D5" w:rsidRDefault="003768D5">
      <w:pPr>
        <w:pStyle w:val="Body"/>
        <w:spacing w:after="0"/>
        <w:rPr>
          <w:rFonts w:ascii="Arial" w:hAnsi="Arial" w:cs="Arial"/>
        </w:rPr>
      </w:pPr>
    </w:p>
    <w:p w14:paraId="4B47194F" w14:textId="77777777" w:rsidR="003768D5" w:rsidRDefault="005468AB">
      <w:pPr>
        <w:pStyle w:val="Body"/>
        <w:spacing w:after="0"/>
        <w:rPr>
          <w:rFonts w:ascii="Arial" w:eastAsia="SimSun" w:hAnsi="Arial" w:cs="Arial"/>
          <w:b/>
          <w:u w:val="single"/>
          <w:lang w:eastAsia="zh-CN"/>
        </w:rPr>
      </w:pPr>
      <w:r>
        <w:rPr>
          <w:rFonts w:ascii="Arial" w:hAnsi="Arial" w:cs="Arial"/>
          <w:b/>
          <w:u w:val="single"/>
        </w:rPr>
        <w:t>2.</w:t>
      </w:r>
      <w:r>
        <w:rPr>
          <w:rFonts w:ascii="Arial" w:eastAsia="SimSun" w:hAnsi="Arial" w:cs="Arial" w:hint="eastAsia"/>
          <w:b/>
          <w:u w:val="single"/>
          <w:lang w:eastAsia="zh-CN"/>
        </w:rPr>
        <w:t>2</w:t>
      </w:r>
      <w:r>
        <w:rPr>
          <w:rFonts w:ascii="Arial" w:hAnsi="Arial" w:cs="Arial"/>
          <w:b/>
          <w:u w:val="single"/>
        </w:rPr>
        <w:t>.</w:t>
      </w:r>
      <w:r>
        <w:rPr>
          <w:rFonts w:ascii="Arial" w:eastAsia="SimSun" w:hAnsi="Arial" w:cs="Arial" w:hint="eastAsia"/>
          <w:b/>
          <w:u w:val="single"/>
          <w:lang w:eastAsia="zh-CN"/>
        </w:rPr>
        <w:t>2</w:t>
      </w:r>
      <w:r>
        <w:rPr>
          <w:rFonts w:ascii="Arial" w:hAnsi="Arial" w:cs="Arial"/>
          <w:b/>
          <w:u w:val="single"/>
        </w:rPr>
        <w:t xml:space="preserve"> </w:t>
      </w:r>
      <w:r>
        <w:rPr>
          <w:rFonts w:ascii="Arial" w:eastAsia="SimSun" w:hAnsi="Arial" w:cs="Arial" w:hint="eastAsia"/>
          <w:b/>
          <w:u w:val="single"/>
          <w:lang w:eastAsia="zh-CN"/>
        </w:rPr>
        <w:t>Exponential Smoothing Model</w:t>
      </w:r>
    </w:p>
    <w:p w14:paraId="01A2D760" w14:textId="77777777" w:rsidR="003768D5" w:rsidRDefault="003768D5">
      <w:pPr>
        <w:pStyle w:val="Body"/>
        <w:spacing w:after="0"/>
        <w:rPr>
          <w:rFonts w:ascii="Arial" w:eastAsia="SimSun" w:hAnsi="Arial" w:cs="Arial"/>
          <w:b/>
          <w:u w:val="single"/>
          <w:lang w:eastAsia="zh-CN"/>
        </w:rPr>
      </w:pPr>
    </w:p>
    <w:p w14:paraId="5F2D3206" w14:textId="77777777" w:rsidR="003768D5" w:rsidRDefault="005468AB">
      <w:pPr>
        <w:pStyle w:val="Body"/>
        <w:spacing w:after="0"/>
        <w:rPr>
          <w:rFonts w:ascii="Arial" w:eastAsia="SimSun" w:hAnsi="Arial" w:cs="Arial"/>
          <w:lang w:eastAsia="zh-CN"/>
        </w:rPr>
      </w:pPr>
      <w:r>
        <w:rPr>
          <w:rFonts w:ascii="Arial" w:eastAsia="SimSun" w:hAnsi="Arial" w:cs="Arial" w:hint="eastAsia"/>
          <w:lang w:eastAsia="zh-CN"/>
        </w:rPr>
        <w:t xml:space="preserve">The Exponential Smoothing (ES) model is a time series forecasting method </w:t>
      </w:r>
      <w:r>
        <w:rPr>
          <w:rFonts w:ascii="Arial" w:eastAsia="SimSun" w:hAnsi="Arial" w:cs="Arial" w:hint="eastAsia"/>
          <w:lang w:eastAsia="zh-CN"/>
        </w:rPr>
        <w:t>based on weighted averaging, which assigns a greater weight to the most recent data and a lesser weight to the earlier data, making the forecasts more sensitive to the most recent changes (</w:t>
      </w:r>
      <w:proofErr w:type="spellStart"/>
      <w:r>
        <w:rPr>
          <w:rFonts w:ascii="Arial" w:eastAsia="SimSun" w:hAnsi="Arial" w:cs="Arial" w:hint="eastAsia"/>
          <w:lang w:eastAsia="zh-CN"/>
        </w:rPr>
        <w:t>Ajiono</w:t>
      </w:r>
      <w:proofErr w:type="spellEnd"/>
      <w:r>
        <w:rPr>
          <w:rFonts w:ascii="Arial" w:eastAsia="SimSun" w:hAnsi="Arial" w:cs="Arial" w:hint="eastAsia"/>
          <w:lang w:eastAsia="zh-CN"/>
        </w:rPr>
        <w:t xml:space="preserve"> &amp; </w:t>
      </w:r>
      <w:proofErr w:type="spellStart"/>
      <w:r>
        <w:rPr>
          <w:rFonts w:ascii="Arial" w:eastAsia="SimSun" w:hAnsi="Arial" w:cs="Arial" w:hint="eastAsia"/>
          <w:lang w:eastAsia="zh-CN"/>
        </w:rPr>
        <w:t>Hariguna</w:t>
      </w:r>
      <w:proofErr w:type="spellEnd"/>
      <w:r>
        <w:rPr>
          <w:rFonts w:ascii="Arial" w:eastAsia="SimSun" w:hAnsi="Arial" w:cs="Arial" w:hint="eastAsia"/>
          <w:lang w:eastAsia="zh-CN"/>
        </w:rPr>
        <w:t>, 2023). Holt-Winter's exponential smoothing model</w:t>
      </w:r>
      <w:r>
        <w:rPr>
          <w:rFonts w:ascii="Arial" w:eastAsia="SimSun" w:hAnsi="Arial" w:cs="Arial" w:hint="eastAsia"/>
          <w:lang w:eastAsia="zh-CN"/>
        </w:rPr>
        <w:t xml:space="preserve"> and Brown's exponential smoothing model are two commonly used extensions of the exponential smoothing </w:t>
      </w:r>
      <w:proofErr w:type="spellStart"/>
      <w:proofErr w:type="gramStart"/>
      <w:r>
        <w:rPr>
          <w:rFonts w:ascii="Arial" w:eastAsia="SimSun" w:hAnsi="Arial" w:cs="Arial" w:hint="eastAsia"/>
          <w:lang w:eastAsia="zh-CN"/>
        </w:rPr>
        <w:t>methods.The</w:t>
      </w:r>
      <w:proofErr w:type="spellEnd"/>
      <w:proofErr w:type="gramEnd"/>
      <w:r>
        <w:rPr>
          <w:rFonts w:ascii="Arial" w:eastAsia="SimSun" w:hAnsi="Arial" w:cs="Arial" w:hint="eastAsia"/>
          <w:lang w:eastAsia="zh-CN"/>
        </w:rPr>
        <w:t xml:space="preserve"> Holt-Winter's method can effectively deal with time series that contain both trend and seasonality by adding trend and seasonal terms on top </w:t>
      </w:r>
      <w:r>
        <w:rPr>
          <w:rFonts w:ascii="Arial" w:eastAsia="SimSun" w:hAnsi="Arial" w:cs="Arial" w:hint="eastAsia"/>
          <w:lang w:eastAsia="zh-CN"/>
        </w:rPr>
        <w:t>of the single exponential smoothing. The Brown</w:t>
      </w:r>
      <w:r>
        <w:rPr>
          <w:rFonts w:ascii="Arial" w:eastAsia="SimSun" w:hAnsi="Arial" w:cs="Arial"/>
          <w:lang w:eastAsia="zh-CN"/>
        </w:rPr>
        <w:t>’</w:t>
      </w:r>
      <w:r>
        <w:rPr>
          <w:rFonts w:ascii="Arial" w:eastAsia="SimSun" w:hAnsi="Arial" w:cs="Arial" w:hint="eastAsia"/>
          <w:lang w:eastAsia="zh-CN"/>
        </w:rPr>
        <w:t>s method is a double-exponential smoothing method, which is suitable for time series with only a trend but not significant seasonality, and captures the trend changes through two exponential smoothing of the d</w:t>
      </w:r>
      <w:r>
        <w:rPr>
          <w:rFonts w:ascii="Arial" w:eastAsia="SimSun" w:hAnsi="Arial" w:cs="Arial" w:hint="eastAsia"/>
          <w:lang w:eastAsia="zh-CN"/>
        </w:rPr>
        <w:t>ata.</w:t>
      </w:r>
    </w:p>
    <w:p w14:paraId="63E4FA34" w14:textId="77777777" w:rsidR="003768D5" w:rsidRDefault="003768D5">
      <w:pPr>
        <w:pStyle w:val="Body"/>
        <w:spacing w:after="0"/>
        <w:rPr>
          <w:rFonts w:ascii="Arial" w:hAnsi="Arial" w:cs="Arial"/>
        </w:rPr>
      </w:pPr>
    </w:p>
    <w:p w14:paraId="625F8304" w14:textId="77777777" w:rsidR="003768D5" w:rsidRDefault="005468AB">
      <w:pPr>
        <w:pStyle w:val="Body"/>
        <w:spacing w:after="0"/>
        <w:rPr>
          <w:rFonts w:ascii="Arial" w:eastAsia="SimSun" w:hAnsi="Arial" w:cs="Arial"/>
          <w:b/>
          <w:u w:val="single"/>
          <w:lang w:eastAsia="zh-CN"/>
        </w:rPr>
      </w:pPr>
      <w:r>
        <w:rPr>
          <w:rFonts w:ascii="Arial" w:hAnsi="Arial" w:cs="Arial"/>
          <w:b/>
          <w:u w:val="single"/>
        </w:rPr>
        <w:lastRenderedPageBreak/>
        <w:t>2.</w:t>
      </w:r>
      <w:r>
        <w:rPr>
          <w:rFonts w:ascii="Arial" w:eastAsia="SimSun" w:hAnsi="Arial" w:cs="Arial" w:hint="eastAsia"/>
          <w:b/>
          <w:u w:val="single"/>
          <w:lang w:eastAsia="zh-CN"/>
        </w:rPr>
        <w:t>2</w:t>
      </w:r>
      <w:r>
        <w:rPr>
          <w:rFonts w:ascii="Arial" w:hAnsi="Arial" w:cs="Arial"/>
          <w:b/>
          <w:u w:val="single"/>
        </w:rPr>
        <w:t>.</w:t>
      </w:r>
      <w:r>
        <w:rPr>
          <w:rFonts w:ascii="Arial" w:eastAsia="SimSun" w:hAnsi="Arial" w:cs="Arial" w:hint="eastAsia"/>
          <w:b/>
          <w:u w:val="single"/>
          <w:lang w:eastAsia="zh-CN"/>
        </w:rPr>
        <w:t>3</w:t>
      </w:r>
      <w:r>
        <w:rPr>
          <w:rFonts w:ascii="Arial" w:hAnsi="Arial" w:cs="Arial"/>
          <w:b/>
          <w:u w:val="single"/>
        </w:rPr>
        <w:t xml:space="preserve"> </w:t>
      </w:r>
      <w:r>
        <w:rPr>
          <w:rFonts w:ascii="Arial" w:eastAsia="SimSun" w:hAnsi="Arial" w:cs="Arial" w:hint="eastAsia"/>
          <w:b/>
          <w:u w:val="single"/>
          <w:lang w:eastAsia="zh-CN"/>
        </w:rPr>
        <w:t>Double Moving Average (DMA) Model</w:t>
      </w:r>
    </w:p>
    <w:p w14:paraId="05322066" w14:textId="77777777" w:rsidR="003768D5" w:rsidRDefault="003768D5">
      <w:pPr>
        <w:pStyle w:val="Body"/>
        <w:spacing w:after="0"/>
        <w:rPr>
          <w:rFonts w:ascii="Arial" w:eastAsia="SimSun" w:hAnsi="Arial" w:cs="Arial"/>
          <w:b/>
          <w:u w:val="single"/>
          <w:lang w:eastAsia="zh-CN"/>
        </w:rPr>
      </w:pPr>
    </w:p>
    <w:p w14:paraId="6F11AAC4" w14:textId="77777777" w:rsidR="003768D5" w:rsidRDefault="005468AB">
      <w:pPr>
        <w:pStyle w:val="Body"/>
        <w:spacing w:after="0"/>
        <w:rPr>
          <w:rFonts w:ascii="Arial" w:hAnsi="Arial" w:cs="Arial"/>
        </w:rPr>
      </w:pPr>
      <w:r>
        <w:rPr>
          <w:rFonts w:ascii="Arial" w:hAnsi="Arial" w:cs="Arial" w:hint="eastAsia"/>
        </w:rPr>
        <w:t>Double Moving Average (DMA) is a classic time series smoothing method that removes short-term fluctuations and noise by moving the data twice in order to forecast the trend more consistently. The DMA is suitab</w:t>
      </w:r>
      <w:r>
        <w:rPr>
          <w:rFonts w:ascii="Arial" w:hAnsi="Arial" w:cs="Arial" w:hint="eastAsia"/>
        </w:rPr>
        <w:t xml:space="preserve">le for series with low seasonal fluctuations and a smooth trend and is effective in attenuating the effects of extreme values, providing smooth and reliable forecasts (Mohammed et al., 2022). </w:t>
      </w:r>
    </w:p>
    <w:p w14:paraId="13D10682" w14:textId="77777777" w:rsidR="003768D5" w:rsidRDefault="005468AB">
      <w:pPr>
        <w:pStyle w:val="Body"/>
        <w:spacing w:after="0"/>
        <w:rPr>
          <w:rFonts w:ascii="Arial" w:hAnsi="Arial" w:cs="Arial"/>
        </w:rPr>
      </w:pPr>
      <w:r>
        <w:rPr>
          <w:rFonts w:ascii="Arial" w:hAnsi="Arial" w:cs="Arial" w:hint="eastAsia"/>
        </w:rPr>
        <w:t xml:space="preserve">Compared with simple moving average and exponential smoothing, </w:t>
      </w:r>
      <w:r>
        <w:rPr>
          <w:rFonts w:ascii="Arial" w:hAnsi="Arial" w:cs="Arial" w:hint="eastAsia"/>
        </w:rPr>
        <w:t>DMA further reduces random disturbances and improves model stability through double smoothing (Syed et al., 2020). The method is computationally simple and easy to implement and is suitable for short-term forecasting, such as stock and commodity prices, an</w:t>
      </w:r>
      <w:r>
        <w:rPr>
          <w:rFonts w:ascii="Arial" w:hAnsi="Arial" w:cs="Arial" w:hint="eastAsia"/>
        </w:rPr>
        <w:t>d performs particularly well when markets are relatively stable.</w:t>
      </w:r>
    </w:p>
    <w:p w14:paraId="54F372E1" w14:textId="77777777" w:rsidR="003768D5" w:rsidRDefault="003768D5">
      <w:pPr>
        <w:pStyle w:val="Body"/>
        <w:spacing w:after="0"/>
        <w:rPr>
          <w:rFonts w:ascii="Arial" w:hAnsi="Arial" w:cs="Arial"/>
        </w:rPr>
      </w:pPr>
    </w:p>
    <w:p w14:paraId="1A8B10C9" w14:textId="77777777" w:rsidR="003768D5" w:rsidRDefault="005468AB">
      <w:pPr>
        <w:pStyle w:val="Body"/>
        <w:spacing w:after="0"/>
        <w:rPr>
          <w:rFonts w:ascii="Arial" w:hAnsi="Arial" w:cs="Arial"/>
          <w:b/>
          <w:sz w:val="22"/>
        </w:rPr>
      </w:pPr>
      <w:r>
        <w:rPr>
          <w:rFonts w:ascii="Arial" w:hAnsi="Arial" w:cs="Arial"/>
          <w:b/>
          <w:caps/>
          <w:sz w:val="22"/>
        </w:rPr>
        <w:t>2.</w:t>
      </w:r>
      <w:r>
        <w:rPr>
          <w:rFonts w:ascii="Arial" w:eastAsia="SimSun" w:hAnsi="Arial" w:cs="Arial" w:hint="eastAsia"/>
          <w:b/>
          <w:caps/>
          <w:sz w:val="22"/>
          <w:lang w:eastAsia="zh-CN"/>
        </w:rPr>
        <w:t>3</w:t>
      </w:r>
      <w:r>
        <w:rPr>
          <w:rFonts w:ascii="Arial" w:hAnsi="Arial" w:cs="Arial"/>
          <w:b/>
          <w:caps/>
          <w:sz w:val="22"/>
        </w:rPr>
        <w:t xml:space="preserve"> </w:t>
      </w:r>
      <w:r>
        <w:rPr>
          <w:rFonts w:ascii="Arial" w:hAnsi="Arial" w:cs="Arial" w:hint="eastAsia"/>
          <w:b/>
          <w:sz w:val="22"/>
        </w:rPr>
        <w:t>Model Evaluation</w:t>
      </w:r>
    </w:p>
    <w:p w14:paraId="640FA9D6" w14:textId="77777777" w:rsidR="003768D5" w:rsidRDefault="003768D5">
      <w:pPr>
        <w:pStyle w:val="Body"/>
        <w:spacing w:after="0"/>
        <w:rPr>
          <w:rFonts w:ascii="Arial" w:hAnsi="Arial" w:cs="Arial"/>
          <w:b/>
          <w:sz w:val="22"/>
        </w:rPr>
      </w:pPr>
    </w:p>
    <w:p w14:paraId="47F36722" w14:textId="77777777" w:rsidR="003768D5" w:rsidRDefault="005468AB">
      <w:pPr>
        <w:pStyle w:val="Body"/>
        <w:spacing w:after="0"/>
        <w:rPr>
          <w:rFonts w:ascii="Arial" w:eastAsia="SimSun" w:hAnsi="Arial" w:cs="Arial"/>
          <w:b/>
          <w:u w:val="single"/>
          <w:lang w:eastAsia="zh-CN"/>
        </w:rPr>
      </w:pPr>
      <w:r>
        <w:rPr>
          <w:rFonts w:ascii="Arial" w:hAnsi="Arial" w:cs="Arial"/>
          <w:b/>
          <w:u w:val="single"/>
        </w:rPr>
        <w:t>2.</w:t>
      </w:r>
      <w:r>
        <w:rPr>
          <w:rFonts w:ascii="Arial" w:eastAsia="SimSun" w:hAnsi="Arial" w:cs="Arial" w:hint="eastAsia"/>
          <w:b/>
          <w:u w:val="single"/>
          <w:lang w:eastAsia="zh-CN"/>
        </w:rPr>
        <w:t>3</w:t>
      </w:r>
      <w:r>
        <w:rPr>
          <w:rFonts w:ascii="Arial" w:hAnsi="Arial" w:cs="Arial"/>
          <w:b/>
          <w:u w:val="single"/>
        </w:rPr>
        <w:t xml:space="preserve">.1 </w:t>
      </w:r>
      <w:r>
        <w:rPr>
          <w:rFonts w:ascii="Arial" w:eastAsia="SimSun" w:hAnsi="Arial" w:cs="Arial" w:hint="eastAsia"/>
          <w:b/>
          <w:u w:val="single"/>
          <w:lang w:eastAsia="zh-CN"/>
        </w:rPr>
        <w:t>Mean Squared Error (MSE)</w:t>
      </w:r>
    </w:p>
    <w:p w14:paraId="5FC86EDF" w14:textId="77777777" w:rsidR="003768D5" w:rsidRDefault="003768D5">
      <w:pPr>
        <w:pStyle w:val="Body"/>
        <w:spacing w:after="0"/>
        <w:rPr>
          <w:rFonts w:ascii="Arial" w:eastAsia="SimSun" w:hAnsi="Arial" w:cs="Arial"/>
          <w:b/>
          <w:u w:val="single"/>
          <w:lang w:eastAsia="zh-CN"/>
        </w:rPr>
      </w:pPr>
    </w:p>
    <w:p w14:paraId="275253F4" w14:textId="77777777" w:rsidR="003768D5" w:rsidRDefault="005468AB">
      <w:pPr>
        <w:pStyle w:val="Body"/>
        <w:spacing w:after="0"/>
        <w:rPr>
          <w:rFonts w:ascii="Arial" w:eastAsia="SimSun" w:hAnsi="Arial" w:cs="Arial"/>
          <w:lang w:eastAsia="zh-CN"/>
        </w:rPr>
      </w:pPr>
      <w:r>
        <w:rPr>
          <w:rFonts w:ascii="Arial" w:hAnsi="Arial" w:cs="Arial" w:hint="eastAsia"/>
        </w:rPr>
        <w:t xml:space="preserve">Mean Squared Error (MSE) is one of the most used evaluation metrics in time series forecasting and regression analysis. It measures the </w:t>
      </w:r>
      <w:r>
        <w:rPr>
          <w:rFonts w:ascii="Arial" w:hAnsi="Arial" w:cs="Arial" w:hint="eastAsia"/>
        </w:rPr>
        <w:t xml:space="preserve">average of the squared differences between the predicted values and the actual observed values (Chicco et al., 2021). The formula for MSE is as </w:t>
      </w:r>
      <w:r>
        <w:rPr>
          <w:rFonts w:ascii="Arial" w:eastAsia="SimSun" w:hAnsi="Arial" w:cs="Arial" w:hint="eastAsia"/>
          <w:lang w:eastAsia="zh-CN"/>
        </w:rPr>
        <w:t>follows:</w:t>
      </w:r>
    </w:p>
    <w:p w14:paraId="1C6B838C" w14:textId="77777777" w:rsidR="003768D5" w:rsidRDefault="003768D5">
      <w:pPr>
        <w:pStyle w:val="Body"/>
        <w:spacing w:after="0"/>
        <w:rPr>
          <w:rFonts w:ascii="Arial" w:eastAsia="SimSun" w:hAnsi="Arial" w:cs="Arial"/>
          <w:lang w:eastAsia="zh-CN"/>
        </w:rPr>
      </w:pPr>
    </w:p>
    <w:p w14:paraId="63A24568" w14:textId="77777777" w:rsidR="003768D5" w:rsidRDefault="005468AB">
      <w:pPr>
        <w:pStyle w:val="Body"/>
        <w:spacing w:after="0"/>
        <w:rPr>
          <w:rFonts w:ascii="Arial" w:eastAsia="SimSun" w:hAnsi="Arial" w:cs="Arial"/>
          <w:lang w:eastAsia="zh-CN"/>
        </w:rPr>
      </w:pPr>
      <m:oMath>
        <m:r>
          <w:rPr>
            <w:rFonts w:ascii="Cambria Math" w:eastAsia="SimSun" w:hAnsi="Cambria Math"/>
            <w:szCs w:val="24"/>
            <w:lang w:eastAsia="zh-CN"/>
          </w:rPr>
          <m:t xml:space="preserve">      </m:t>
        </m:r>
        <m:r>
          <w:rPr>
            <w:rFonts w:ascii="Cambria Math" w:eastAsia="SimSun" w:hAnsi="Cambria Math"/>
            <w:szCs w:val="24"/>
            <w:lang w:eastAsia="zh-CN"/>
          </w:rPr>
          <m:t>MSE</m:t>
        </m:r>
        <m:r>
          <w:rPr>
            <w:rFonts w:ascii="Cambria Math" w:eastAsiaTheme="minorHAnsi" w:hAnsi="Cambria Math"/>
            <w:szCs w:val="24"/>
          </w:rPr>
          <m:t>=</m:t>
        </m:r>
        <m:f>
          <m:fPr>
            <m:ctrlPr>
              <w:rPr>
                <w:rFonts w:ascii="Cambria Math" w:eastAsiaTheme="minorHAnsi" w:hAnsi="Cambria Math"/>
                <w:i/>
                <w:szCs w:val="24"/>
              </w:rPr>
            </m:ctrlPr>
          </m:fPr>
          <m:num>
            <m:r>
              <w:rPr>
                <w:rFonts w:ascii="Cambria Math" w:eastAsia="SimSun" w:hAnsi="Cambria Math"/>
                <w:szCs w:val="24"/>
                <w:lang w:eastAsia="zh-CN"/>
              </w:rPr>
              <m:t>1</m:t>
            </m:r>
          </m:num>
          <m:den>
            <m:r>
              <w:rPr>
                <w:rFonts w:ascii="Cambria Math" w:eastAsia="SimSun" w:hAnsi="Cambria Math"/>
                <w:szCs w:val="24"/>
                <w:lang w:eastAsia="zh-CN"/>
              </w:rPr>
              <m:t>n</m:t>
            </m:r>
          </m:den>
        </m:f>
        <m:nary>
          <m:naryPr>
            <m:chr m:val="∑"/>
            <m:limLoc m:val="undOvr"/>
            <m:ctrlPr>
              <w:rPr>
                <w:rFonts w:ascii="Cambria Math" w:eastAsiaTheme="minorHAnsi" w:hAnsi="Cambria Math"/>
                <w:i/>
                <w:szCs w:val="24"/>
              </w:rPr>
            </m:ctrlPr>
          </m:naryPr>
          <m:sub>
            <m:r>
              <w:rPr>
                <w:rFonts w:ascii="Cambria Math" w:eastAsia="SimSun" w:hAnsi="Cambria Math"/>
                <w:szCs w:val="24"/>
                <w:lang w:eastAsia="zh-CN"/>
              </w:rPr>
              <m:t>i</m:t>
            </m:r>
            <m:r>
              <w:rPr>
                <w:rFonts w:ascii="Cambria Math" w:eastAsia="SimSun" w:hAnsi="Cambria Math"/>
                <w:szCs w:val="24"/>
                <w:lang w:eastAsia="zh-CN"/>
              </w:rPr>
              <m:t>=1</m:t>
            </m:r>
          </m:sub>
          <m:sup>
            <m:r>
              <w:rPr>
                <w:rFonts w:ascii="Cambria Math" w:eastAsia="SimSun" w:hAnsi="Cambria Math"/>
                <w:szCs w:val="24"/>
                <w:lang w:eastAsia="zh-CN"/>
              </w:rPr>
              <m:t>n</m:t>
            </m:r>
          </m:sup>
          <m:e>
            <m:sSup>
              <m:sSupPr>
                <m:ctrlPr>
                  <w:rPr>
                    <w:rFonts w:ascii="Cambria Math" w:eastAsiaTheme="minorHAnsi" w:hAnsi="Cambria Math"/>
                    <w:i/>
                    <w:szCs w:val="24"/>
                  </w:rPr>
                </m:ctrlPr>
              </m:sSupPr>
              <m:e>
                <m:r>
                  <w:rPr>
                    <w:rFonts w:ascii="Cambria Math" w:eastAsia="SimSun" w:hAnsi="Cambria Math"/>
                    <w:szCs w:val="24"/>
                    <w:lang w:eastAsia="zh-CN"/>
                  </w:rPr>
                  <m:t>(</m:t>
                </m:r>
                <m:sSub>
                  <m:sSubPr>
                    <m:ctrlPr>
                      <w:rPr>
                        <w:rFonts w:ascii="Cambria Math" w:eastAsia="SimSun" w:hAnsi="Cambria Math"/>
                        <w:i/>
                        <w:szCs w:val="24"/>
                        <w:lang w:eastAsia="zh-CN"/>
                      </w:rPr>
                    </m:ctrlPr>
                  </m:sSubPr>
                  <m:e>
                    <m:r>
                      <w:rPr>
                        <w:rFonts w:ascii="Cambria Math" w:eastAsia="SimSun" w:hAnsi="Cambria Math"/>
                        <w:szCs w:val="24"/>
                        <w:lang w:eastAsia="zh-CN"/>
                      </w:rPr>
                      <m:t>Y</m:t>
                    </m:r>
                  </m:e>
                  <m:sub>
                    <m:r>
                      <w:rPr>
                        <w:rFonts w:ascii="Cambria Math" w:eastAsia="SimSun" w:hAnsi="Cambria Math"/>
                        <w:szCs w:val="24"/>
                        <w:lang w:eastAsia="zh-CN"/>
                      </w:rPr>
                      <m:t>i</m:t>
                    </m:r>
                  </m:sub>
                </m:sSub>
                <m:r>
                  <w:rPr>
                    <w:rFonts w:ascii="Cambria Math" w:eastAsia="SimSun" w:hAnsi="Cambria Math"/>
                    <w:szCs w:val="24"/>
                    <w:lang w:eastAsia="zh-CN"/>
                  </w:rPr>
                  <m:t>-</m:t>
                </m:r>
                <m:acc>
                  <m:accPr>
                    <m:ctrlPr>
                      <w:rPr>
                        <w:rFonts w:ascii="Cambria Math" w:eastAsia="SimSun" w:hAnsi="Cambria Math"/>
                        <w:i/>
                        <w:szCs w:val="24"/>
                        <w:lang w:eastAsia="zh-CN"/>
                      </w:rPr>
                    </m:ctrlPr>
                  </m:accPr>
                  <m:e>
                    <m:sSub>
                      <m:sSubPr>
                        <m:ctrlPr>
                          <w:rPr>
                            <w:rFonts w:ascii="Cambria Math" w:eastAsia="SimSun" w:hAnsi="Cambria Math"/>
                            <w:i/>
                            <w:szCs w:val="24"/>
                            <w:lang w:eastAsia="zh-CN"/>
                          </w:rPr>
                        </m:ctrlPr>
                      </m:sSubPr>
                      <m:e>
                        <m:r>
                          <w:rPr>
                            <w:rFonts w:ascii="Cambria Math" w:eastAsia="SimSun" w:hAnsi="Cambria Math"/>
                            <w:szCs w:val="24"/>
                            <w:lang w:eastAsia="zh-CN"/>
                          </w:rPr>
                          <m:t>Y</m:t>
                        </m:r>
                      </m:e>
                      <m:sub>
                        <m:r>
                          <w:rPr>
                            <w:rFonts w:ascii="Cambria Math" w:eastAsia="SimSun" w:hAnsi="Cambria Math"/>
                            <w:szCs w:val="24"/>
                            <w:lang w:eastAsia="zh-CN"/>
                          </w:rPr>
                          <m:t>i</m:t>
                        </m:r>
                      </m:sub>
                    </m:sSub>
                  </m:e>
                </m:acc>
                <m:r>
                  <w:rPr>
                    <w:rFonts w:ascii="Cambria Math" w:eastAsia="SimSun" w:hAnsi="Cambria Math"/>
                    <w:szCs w:val="24"/>
                    <w:lang w:eastAsia="zh-CN"/>
                  </w:rPr>
                  <m:t>)</m:t>
                </m:r>
              </m:e>
              <m:sup>
                <m:r>
                  <w:rPr>
                    <w:rFonts w:ascii="Cambria Math" w:eastAsia="SimSun" w:hAnsi="Cambria Math"/>
                    <w:szCs w:val="24"/>
                    <w:lang w:eastAsia="zh-CN"/>
                  </w:rPr>
                  <m:t>2</m:t>
                </m:r>
              </m:sup>
            </m:sSup>
          </m:e>
        </m:nary>
        <m:r>
          <w:rPr>
            <w:rFonts w:ascii="Cambria Math" w:eastAsia="SimSun" w:hAnsi="Cambria Math"/>
            <w:szCs w:val="24"/>
            <w:lang w:eastAsia="zh-CN"/>
          </w:rPr>
          <m:t xml:space="preserve">                                                                                                                             (2) </m:t>
        </m:r>
      </m:oMath>
      <w:r>
        <w:rPr>
          <w:rFonts w:eastAsia="SimSun" w:hAnsi="Cambria Math" w:hint="eastAsia"/>
          <w:iCs/>
          <w:szCs w:val="24"/>
          <w:lang w:eastAsia="zh-CN"/>
        </w:rPr>
        <w:t xml:space="preserve">            </w:t>
      </w:r>
    </w:p>
    <w:p w14:paraId="634DA5C8" w14:textId="77777777" w:rsidR="003768D5" w:rsidRDefault="005468AB">
      <w:pPr>
        <w:rPr>
          <w:lang w:eastAsia="zh-CN"/>
        </w:rPr>
      </w:pPr>
      <w:r>
        <w:rPr>
          <w:rFonts w:hint="eastAsia"/>
          <w:lang w:eastAsia="zh-CN"/>
        </w:rPr>
        <w:t>W</w:t>
      </w:r>
      <w:r>
        <w:rPr>
          <w:lang w:eastAsia="zh-CN"/>
        </w:rPr>
        <w:t xml:space="preserve">here </w:t>
      </w:r>
      <m:oMath>
        <m:sSub>
          <m:sSubPr>
            <m:ctrlPr>
              <w:rPr>
                <w:rFonts w:ascii="Cambria Math" w:eastAsia="SimSun" w:hAnsi="Cambria Math"/>
                <w:i/>
                <w:szCs w:val="24"/>
                <w:lang w:eastAsia="zh-CN"/>
              </w:rPr>
            </m:ctrlPr>
          </m:sSubPr>
          <m:e>
            <m:r>
              <w:rPr>
                <w:rFonts w:ascii="Cambria Math" w:eastAsia="SimSun" w:hAnsi="Cambria Math"/>
                <w:szCs w:val="24"/>
                <w:lang w:eastAsia="zh-CN"/>
              </w:rPr>
              <m:t>Y</m:t>
            </m:r>
          </m:e>
          <m:sub>
            <m:r>
              <w:rPr>
                <w:rFonts w:ascii="Cambria Math" w:eastAsia="SimSun" w:hAnsi="Cambria Math"/>
                <w:szCs w:val="24"/>
                <w:lang w:eastAsia="zh-CN"/>
              </w:rPr>
              <m:t>i</m:t>
            </m:r>
          </m:sub>
        </m:sSub>
      </m:oMath>
      <w:r>
        <w:rPr>
          <w:rFonts w:eastAsia="SimSun" w:hAnsi="Cambria Math" w:hint="eastAsia"/>
          <w:szCs w:val="24"/>
          <w:lang w:eastAsia="zh-CN"/>
        </w:rPr>
        <w:t xml:space="preserve"> </w:t>
      </w:r>
      <w:r>
        <w:rPr>
          <w:lang w:eastAsia="zh-CN"/>
        </w:rPr>
        <w:t xml:space="preserve">represents the actual value, </w:t>
      </w:r>
      <m:oMath>
        <m:acc>
          <m:accPr>
            <m:ctrlPr>
              <w:rPr>
                <w:rFonts w:ascii="Cambria Math" w:eastAsia="SimSun" w:hAnsi="Cambria Math"/>
                <w:i/>
                <w:szCs w:val="24"/>
                <w:lang w:eastAsia="zh-CN"/>
              </w:rPr>
            </m:ctrlPr>
          </m:accPr>
          <m:e>
            <m:sSub>
              <m:sSubPr>
                <m:ctrlPr>
                  <w:rPr>
                    <w:rFonts w:ascii="Cambria Math" w:eastAsia="SimSun" w:hAnsi="Cambria Math"/>
                    <w:i/>
                    <w:szCs w:val="24"/>
                    <w:lang w:eastAsia="zh-CN"/>
                  </w:rPr>
                </m:ctrlPr>
              </m:sSubPr>
              <m:e>
                <m:r>
                  <w:rPr>
                    <w:rFonts w:ascii="Cambria Math" w:eastAsia="SimSun" w:hAnsi="Cambria Math"/>
                    <w:szCs w:val="24"/>
                    <w:lang w:eastAsia="zh-CN"/>
                  </w:rPr>
                  <m:t>Y</m:t>
                </m:r>
              </m:e>
              <m:sub>
                <m:r>
                  <w:rPr>
                    <w:rFonts w:ascii="Cambria Math" w:eastAsia="SimSun" w:hAnsi="Cambria Math"/>
                    <w:szCs w:val="24"/>
                    <w:lang w:eastAsia="zh-CN"/>
                  </w:rPr>
                  <m:t>i</m:t>
                </m:r>
              </m:sub>
            </m:sSub>
          </m:e>
        </m:acc>
      </m:oMath>
      <w:r>
        <w:rPr>
          <w:lang w:eastAsia="zh-CN"/>
        </w:rPr>
        <w:t xml:space="preserve"> is the predicted value, and </w:t>
      </w:r>
      <w:r>
        <w:rPr>
          <w:i/>
          <w:iCs/>
          <w:lang w:eastAsia="zh-CN"/>
        </w:rPr>
        <w:t>n</w:t>
      </w:r>
      <w:r>
        <w:rPr>
          <w:lang w:eastAsia="zh-CN"/>
        </w:rPr>
        <w:t xml:space="preserve"> is the number of observations. </w:t>
      </w:r>
    </w:p>
    <w:p w14:paraId="34DDE54A" w14:textId="77777777" w:rsidR="003768D5" w:rsidRDefault="005468AB">
      <w:pPr>
        <w:rPr>
          <w:lang w:eastAsia="zh-CN"/>
        </w:rPr>
      </w:pPr>
      <w:r>
        <w:rPr>
          <w:rFonts w:hint="eastAsia"/>
          <w:lang w:eastAsia="zh-CN"/>
        </w:rPr>
        <w:t>Since e</w:t>
      </w:r>
      <w:r>
        <w:rPr>
          <w:rFonts w:hint="eastAsia"/>
          <w:lang w:eastAsia="zh-CN"/>
        </w:rPr>
        <w:t xml:space="preserve">rrors are squared before being averaged, MSE gives higher weight to bigger errors, which makes it particularly susceptible to outliers. MSE is widely used because of its straightforward interpretation and strong mathematical properties. However, MSE is </w:t>
      </w:r>
      <w:r>
        <w:rPr>
          <w:lang w:eastAsia="zh-CN"/>
        </w:rPr>
        <w:t>sen</w:t>
      </w:r>
      <w:r>
        <w:rPr>
          <w:lang w:eastAsia="zh-CN"/>
        </w:rPr>
        <w:t>sitive</w:t>
      </w:r>
      <w:r>
        <w:rPr>
          <w:rFonts w:hint="eastAsia"/>
          <w:lang w:eastAsia="zh-CN"/>
        </w:rPr>
        <w:t xml:space="preserve"> to extreme values can sometimes distort model evaluation, especially when outliers are present in the dataset. Therefore, it is often used in combination with other metrics such as RMSE and MAE to provide a more complete evaluation of model </w:t>
      </w:r>
      <w:proofErr w:type="spellStart"/>
      <w:r>
        <w:rPr>
          <w:rFonts w:hint="eastAsia"/>
          <w:lang w:eastAsia="zh-CN"/>
        </w:rPr>
        <w:t>behaviou</w:t>
      </w:r>
      <w:r>
        <w:rPr>
          <w:rFonts w:hint="eastAsia"/>
          <w:lang w:eastAsia="zh-CN"/>
        </w:rPr>
        <w:t>r</w:t>
      </w:r>
      <w:proofErr w:type="spellEnd"/>
      <w:r>
        <w:rPr>
          <w:rFonts w:hint="eastAsia"/>
          <w:lang w:eastAsia="zh-CN"/>
        </w:rPr>
        <w:t xml:space="preserve"> (Chicco et al., 2021).</w:t>
      </w:r>
    </w:p>
    <w:p w14:paraId="3FB2167C" w14:textId="77777777" w:rsidR="003768D5" w:rsidRDefault="003768D5">
      <w:pPr>
        <w:pStyle w:val="Body"/>
        <w:spacing w:after="0"/>
        <w:rPr>
          <w:rFonts w:ascii="Arial" w:hAnsi="Arial" w:cs="Arial"/>
        </w:rPr>
      </w:pPr>
    </w:p>
    <w:p w14:paraId="2E155B47" w14:textId="77777777" w:rsidR="003768D5" w:rsidRDefault="005468AB">
      <w:pPr>
        <w:pStyle w:val="Body"/>
        <w:spacing w:after="0"/>
        <w:rPr>
          <w:rFonts w:ascii="Arial" w:eastAsia="SimSun" w:hAnsi="Arial" w:cs="Arial"/>
          <w:b/>
          <w:u w:val="single"/>
          <w:lang w:eastAsia="zh-CN"/>
        </w:rPr>
      </w:pPr>
      <w:r>
        <w:rPr>
          <w:rFonts w:ascii="Arial" w:hAnsi="Arial" w:cs="Arial"/>
          <w:b/>
          <w:u w:val="single"/>
        </w:rPr>
        <w:t>2.</w:t>
      </w:r>
      <w:r>
        <w:rPr>
          <w:rFonts w:ascii="Arial" w:eastAsia="SimSun" w:hAnsi="Arial" w:cs="Arial" w:hint="eastAsia"/>
          <w:b/>
          <w:u w:val="single"/>
          <w:lang w:eastAsia="zh-CN"/>
        </w:rPr>
        <w:t>3</w:t>
      </w:r>
      <w:r>
        <w:rPr>
          <w:rFonts w:ascii="Arial" w:hAnsi="Arial" w:cs="Arial"/>
          <w:b/>
          <w:u w:val="single"/>
        </w:rPr>
        <w:t>.</w:t>
      </w:r>
      <w:r>
        <w:rPr>
          <w:rFonts w:ascii="Arial" w:eastAsia="SimSun" w:hAnsi="Arial" w:cs="Arial" w:hint="eastAsia"/>
          <w:b/>
          <w:u w:val="single"/>
          <w:lang w:eastAsia="zh-CN"/>
        </w:rPr>
        <w:t>2</w:t>
      </w:r>
      <w:r>
        <w:rPr>
          <w:rFonts w:ascii="Arial" w:hAnsi="Arial" w:cs="Arial"/>
          <w:b/>
          <w:u w:val="single"/>
        </w:rPr>
        <w:t xml:space="preserve"> </w:t>
      </w:r>
      <w:r>
        <w:rPr>
          <w:rFonts w:ascii="Arial" w:eastAsia="SimSun" w:hAnsi="Arial" w:cs="Arial" w:hint="eastAsia"/>
          <w:b/>
          <w:u w:val="single"/>
          <w:lang w:eastAsia="zh-CN"/>
        </w:rPr>
        <w:t>Root Mean Squared Error (RMSE)</w:t>
      </w:r>
    </w:p>
    <w:p w14:paraId="045B9088" w14:textId="77777777" w:rsidR="003768D5" w:rsidRDefault="003768D5">
      <w:pPr>
        <w:pStyle w:val="Body"/>
        <w:spacing w:after="0"/>
        <w:rPr>
          <w:rFonts w:ascii="Arial" w:eastAsia="SimSun" w:hAnsi="Arial" w:cs="Arial"/>
          <w:b/>
          <w:u w:val="single"/>
          <w:lang w:eastAsia="zh-CN"/>
        </w:rPr>
      </w:pPr>
    </w:p>
    <w:p w14:paraId="47C46DCC" w14:textId="77777777" w:rsidR="003768D5" w:rsidRDefault="005468AB">
      <w:pPr>
        <w:pStyle w:val="Body"/>
        <w:spacing w:after="0"/>
        <w:rPr>
          <w:rFonts w:ascii="Arial" w:eastAsia="SimSun" w:hAnsi="Arial" w:cs="Arial"/>
          <w:lang w:eastAsia="zh-CN"/>
        </w:rPr>
      </w:pPr>
      <w:r>
        <w:rPr>
          <w:rFonts w:ascii="Arial" w:hAnsi="Arial" w:cs="Arial" w:hint="eastAsia"/>
        </w:rPr>
        <w:t>Root Mean Squared Error (RMSE) is a widely used metric for evaluating the accuracy of time series forecasting and regression models. It measures the square root of the average squared differences between actual and predicted values, which helps quantify th</w:t>
      </w:r>
      <w:r>
        <w:rPr>
          <w:rFonts w:ascii="Arial" w:hAnsi="Arial" w:cs="Arial" w:hint="eastAsia"/>
        </w:rPr>
        <w:t xml:space="preserve">e magnitude of prediction errors (Martínez et al., 2020). The formula for RMSE is as </w:t>
      </w:r>
      <w:r>
        <w:rPr>
          <w:rFonts w:ascii="Arial" w:eastAsia="SimSun" w:hAnsi="Arial" w:cs="Arial" w:hint="eastAsia"/>
          <w:lang w:eastAsia="zh-CN"/>
        </w:rPr>
        <w:t>follows:</w:t>
      </w:r>
    </w:p>
    <w:p w14:paraId="55B51462" w14:textId="77777777" w:rsidR="003768D5" w:rsidRDefault="003768D5">
      <w:pPr>
        <w:pStyle w:val="Body"/>
        <w:spacing w:after="0"/>
        <w:rPr>
          <w:rFonts w:ascii="Arial" w:eastAsia="SimSun" w:hAnsi="Arial" w:cs="Arial"/>
          <w:lang w:eastAsia="zh-CN"/>
        </w:rPr>
      </w:pPr>
    </w:p>
    <w:p w14:paraId="1EDBD54F" w14:textId="77777777" w:rsidR="003768D5" w:rsidRDefault="005468AB">
      <w:pPr>
        <w:pStyle w:val="Body"/>
        <w:spacing w:after="0"/>
        <w:rPr>
          <w:rFonts w:ascii="Arial" w:hAnsi="Arial" w:cs="Arial"/>
        </w:rPr>
      </w:pPr>
      <m:oMath>
        <m:r>
          <w:rPr>
            <w:rFonts w:ascii="Cambria Math" w:eastAsia="SimSun" w:hAnsi="Cambria Math"/>
            <w:szCs w:val="24"/>
            <w:lang w:eastAsia="zh-CN"/>
          </w:rPr>
          <m:t xml:space="preserve">    </m:t>
        </m:r>
        <m:r>
          <w:rPr>
            <w:rFonts w:ascii="Cambria Math" w:eastAsia="SimSun" w:hAnsi="Cambria Math"/>
            <w:szCs w:val="24"/>
            <w:lang w:eastAsia="zh-CN"/>
          </w:rPr>
          <m:t>RMSE</m:t>
        </m:r>
        <m:r>
          <w:rPr>
            <w:rFonts w:ascii="Cambria Math" w:eastAsiaTheme="minorHAnsi" w:hAnsi="Cambria Math"/>
            <w:szCs w:val="24"/>
          </w:rPr>
          <m:t>=</m:t>
        </m:r>
        <m:rad>
          <m:radPr>
            <m:degHide m:val="1"/>
            <m:ctrlPr>
              <w:rPr>
                <w:rFonts w:ascii="Cambria Math" w:eastAsiaTheme="minorHAnsi" w:hAnsi="Cambria Math"/>
                <w:i/>
                <w:szCs w:val="24"/>
              </w:rPr>
            </m:ctrlPr>
          </m:radPr>
          <m:deg/>
          <m:e>
            <m:f>
              <m:fPr>
                <m:ctrlPr>
                  <w:rPr>
                    <w:rFonts w:ascii="Cambria Math" w:eastAsiaTheme="minorHAnsi" w:hAnsi="Cambria Math"/>
                    <w:i/>
                    <w:szCs w:val="24"/>
                  </w:rPr>
                </m:ctrlPr>
              </m:fPr>
              <m:num>
                <m:r>
                  <w:rPr>
                    <w:rFonts w:ascii="Cambria Math" w:eastAsia="SimSun" w:hAnsi="Cambria Math"/>
                    <w:szCs w:val="24"/>
                    <w:lang w:eastAsia="zh-CN"/>
                  </w:rPr>
                  <m:t>1</m:t>
                </m:r>
              </m:num>
              <m:den>
                <m:r>
                  <w:rPr>
                    <w:rFonts w:ascii="Cambria Math" w:eastAsia="SimSun" w:hAnsi="Cambria Math"/>
                    <w:szCs w:val="24"/>
                    <w:lang w:eastAsia="zh-CN"/>
                  </w:rPr>
                  <m:t>n</m:t>
                </m:r>
              </m:den>
            </m:f>
            <m:nary>
              <m:naryPr>
                <m:chr m:val="∑"/>
                <m:limLoc m:val="undOvr"/>
                <m:ctrlPr>
                  <w:rPr>
                    <w:rFonts w:ascii="Cambria Math" w:eastAsiaTheme="minorHAnsi" w:hAnsi="Cambria Math"/>
                    <w:i/>
                    <w:szCs w:val="24"/>
                  </w:rPr>
                </m:ctrlPr>
              </m:naryPr>
              <m:sub>
                <m:r>
                  <w:rPr>
                    <w:rFonts w:ascii="Cambria Math" w:eastAsia="SimSun" w:hAnsi="Cambria Math"/>
                    <w:szCs w:val="24"/>
                    <w:lang w:eastAsia="zh-CN"/>
                  </w:rPr>
                  <m:t>i</m:t>
                </m:r>
                <m:r>
                  <w:rPr>
                    <w:rFonts w:ascii="Cambria Math" w:eastAsia="SimSun" w:hAnsi="Cambria Math"/>
                    <w:szCs w:val="24"/>
                    <w:lang w:eastAsia="zh-CN"/>
                  </w:rPr>
                  <m:t>=1</m:t>
                </m:r>
              </m:sub>
              <m:sup>
                <m:r>
                  <w:rPr>
                    <w:rFonts w:ascii="Cambria Math" w:eastAsia="SimSun" w:hAnsi="Cambria Math"/>
                    <w:szCs w:val="24"/>
                    <w:lang w:eastAsia="zh-CN"/>
                  </w:rPr>
                  <m:t>n</m:t>
                </m:r>
              </m:sup>
              <m:e>
                <m:sSup>
                  <m:sSupPr>
                    <m:ctrlPr>
                      <w:rPr>
                        <w:rFonts w:ascii="Cambria Math" w:eastAsiaTheme="minorHAnsi" w:hAnsi="Cambria Math"/>
                        <w:i/>
                        <w:szCs w:val="24"/>
                      </w:rPr>
                    </m:ctrlPr>
                  </m:sSupPr>
                  <m:e>
                    <m:r>
                      <w:rPr>
                        <w:rFonts w:ascii="Cambria Math" w:eastAsia="SimSun" w:hAnsi="Cambria Math"/>
                        <w:szCs w:val="24"/>
                        <w:lang w:eastAsia="zh-CN"/>
                      </w:rPr>
                      <m:t>(</m:t>
                    </m:r>
                    <m:sSub>
                      <m:sSubPr>
                        <m:ctrlPr>
                          <w:rPr>
                            <w:rFonts w:ascii="Cambria Math" w:eastAsia="SimSun" w:hAnsi="Cambria Math"/>
                            <w:i/>
                            <w:szCs w:val="24"/>
                            <w:lang w:eastAsia="zh-CN"/>
                          </w:rPr>
                        </m:ctrlPr>
                      </m:sSubPr>
                      <m:e>
                        <m:r>
                          <w:rPr>
                            <w:rFonts w:ascii="Cambria Math" w:eastAsia="SimSun" w:hAnsi="Cambria Math"/>
                            <w:szCs w:val="24"/>
                            <w:lang w:eastAsia="zh-CN"/>
                          </w:rPr>
                          <m:t>Y</m:t>
                        </m:r>
                      </m:e>
                      <m:sub>
                        <m:r>
                          <w:rPr>
                            <w:rFonts w:ascii="Cambria Math" w:eastAsia="SimSun" w:hAnsi="Cambria Math"/>
                            <w:szCs w:val="24"/>
                            <w:lang w:eastAsia="zh-CN"/>
                          </w:rPr>
                          <m:t>i</m:t>
                        </m:r>
                      </m:sub>
                    </m:sSub>
                    <m:r>
                      <w:rPr>
                        <w:rFonts w:ascii="Cambria Math" w:eastAsia="SimSun" w:hAnsi="Cambria Math"/>
                        <w:szCs w:val="24"/>
                        <w:lang w:eastAsia="zh-CN"/>
                      </w:rPr>
                      <m:t>-</m:t>
                    </m:r>
                    <m:acc>
                      <m:accPr>
                        <m:ctrlPr>
                          <w:rPr>
                            <w:rFonts w:ascii="Cambria Math" w:eastAsia="SimSun" w:hAnsi="Cambria Math"/>
                            <w:i/>
                            <w:szCs w:val="24"/>
                            <w:lang w:eastAsia="zh-CN"/>
                          </w:rPr>
                        </m:ctrlPr>
                      </m:accPr>
                      <m:e>
                        <m:sSub>
                          <m:sSubPr>
                            <m:ctrlPr>
                              <w:rPr>
                                <w:rFonts w:ascii="Cambria Math" w:eastAsia="SimSun" w:hAnsi="Cambria Math"/>
                                <w:i/>
                                <w:szCs w:val="24"/>
                                <w:lang w:eastAsia="zh-CN"/>
                              </w:rPr>
                            </m:ctrlPr>
                          </m:sSubPr>
                          <m:e>
                            <m:r>
                              <w:rPr>
                                <w:rFonts w:ascii="Cambria Math" w:eastAsia="SimSun" w:hAnsi="Cambria Math"/>
                                <w:szCs w:val="24"/>
                                <w:lang w:eastAsia="zh-CN"/>
                              </w:rPr>
                              <m:t>Y</m:t>
                            </m:r>
                          </m:e>
                          <m:sub>
                            <m:r>
                              <w:rPr>
                                <w:rFonts w:ascii="Cambria Math" w:eastAsia="SimSun" w:hAnsi="Cambria Math"/>
                                <w:szCs w:val="24"/>
                                <w:lang w:eastAsia="zh-CN"/>
                              </w:rPr>
                              <m:t>i</m:t>
                            </m:r>
                          </m:sub>
                        </m:sSub>
                      </m:e>
                    </m:acc>
                    <m:r>
                      <w:rPr>
                        <w:rFonts w:ascii="Cambria Math" w:eastAsia="SimSun" w:hAnsi="Cambria Math"/>
                        <w:szCs w:val="24"/>
                        <w:lang w:eastAsia="zh-CN"/>
                      </w:rPr>
                      <m:t>)</m:t>
                    </m:r>
                  </m:e>
                  <m:sup>
                    <m:r>
                      <w:rPr>
                        <w:rFonts w:ascii="Cambria Math" w:eastAsia="SimSun" w:hAnsi="Cambria Math"/>
                        <w:szCs w:val="24"/>
                        <w:lang w:eastAsia="zh-CN"/>
                      </w:rPr>
                      <m:t>2</m:t>
                    </m:r>
                  </m:sup>
                </m:sSup>
              </m:e>
            </m:nary>
          </m:e>
        </m:rad>
        <m:r>
          <w:rPr>
            <w:rFonts w:ascii="Cambria Math" w:eastAsia="SimSun" w:hAnsi="Cambria Math"/>
            <w:szCs w:val="24"/>
            <w:lang w:eastAsia="zh-CN"/>
          </w:rPr>
          <m:t xml:space="preserve">                                                                                                                          (3) </m:t>
        </m:r>
      </m:oMath>
      <w:r>
        <w:rPr>
          <w:rFonts w:eastAsia="SimSun" w:hAnsi="Cambria Math" w:hint="eastAsia"/>
          <w:iCs/>
          <w:szCs w:val="24"/>
          <w:lang w:eastAsia="zh-CN"/>
        </w:rPr>
        <w:t xml:space="preserve"> </w:t>
      </w:r>
      <w:r>
        <w:rPr>
          <w:rFonts w:eastAsia="SimSun" w:hAnsi="Cambria Math" w:hint="eastAsia"/>
          <w:iCs/>
          <w:szCs w:val="24"/>
          <w:lang w:eastAsia="zh-CN"/>
        </w:rPr>
        <w:t xml:space="preserve">   </w:t>
      </w:r>
    </w:p>
    <w:p w14:paraId="72930C24" w14:textId="77777777" w:rsidR="003768D5" w:rsidRDefault="005468AB">
      <w:pPr>
        <w:rPr>
          <w:lang w:eastAsia="zh-CN"/>
        </w:rPr>
      </w:pPr>
      <w:r>
        <w:rPr>
          <w:rFonts w:ascii="Arial" w:hAnsi="Arial" w:cs="Arial"/>
          <w:lang w:eastAsia="zh-CN"/>
        </w:rPr>
        <w:t>Where</w:t>
      </w:r>
      <w:r>
        <w:rPr>
          <w:lang w:eastAsia="zh-CN"/>
        </w:rPr>
        <w:t xml:space="preserve"> </w:t>
      </w:r>
      <m:oMath>
        <m:sSub>
          <m:sSubPr>
            <m:ctrlPr>
              <w:rPr>
                <w:rFonts w:ascii="Cambria Math" w:eastAsia="SimSun" w:hAnsi="Cambria Math"/>
                <w:i/>
                <w:szCs w:val="24"/>
                <w:lang w:eastAsia="zh-CN"/>
              </w:rPr>
            </m:ctrlPr>
          </m:sSubPr>
          <m:e>
            <m:r>
              <w:rPr>
                <w:rFonts w:ascii="Cambria Math" w:eastAsia="SimSun" w:hAnsi="Cambria Math"/>
                <w:szCs w:val="24"/>
                <w:lang w:eastAsia="zh-CN"/>
              </w:rPr>
              <m:t>Y</m:t>
            </m:r>
          </m:e>
          <m:sub>
            <m:r>
              <w:rPr>
                <w:rFonts w:ascii="Cambria Math" w:eastAsia="SimSun" w:hAnsi="Cambria Math"/>
                <w:szCs w:val="24"/>
                <w:lang w:eastAsia="zh-CN"/>
              </w:rPr>
              <m:t>i</m:t>
            </m:r>
          </m:sub>
        </m:sSub>
      </m:oMath>
      <w:r>
        <w:rPr>
          <w:lang w:eastAsia="zh-CN"/>
        </w:rPr>
        <w:t xml:space="preserve"> represents the actual values, </w:t>
      </w:r>
      <m:oMath>
        <m:acc>
          <m:accPr>
            <m:ctrlPr>
              <w:rPr>
                <w:rFonts w:ascii="Cambria Math" w:eastAsia="SimSun" w:hAnsi="Cambria Math"/>
                <w:i/>
                <w:szCs w:val="24"/>
                <w:lang w:eastAsia="zh-CN"/>
              </w:rPr>
            </m:ctrlPr>
          </m:accPr>
          <m:e>
            <m:sSub>
              <m:sSubPr>
                <m:ctrlPr>
                  <w:rPr>
                    <w:rFonts w:ascii="Cambria Math" w:eastAsia="SimSun" w:hAnsi="Cambria Math"/>
                    <w:i/>
                    <w:szCs w:val="24"/>
                    <w:lang w:eastAsia="zh-CN"/>
                  </w:rPr>
                </m:ctrlPr>
              </m:sSubPr>
              <m:e>
                <m:r>
                  <w:rPr>
                    <w:rFonts w:ascii="Cambria Math" w:eastAsia="SimSun" w:hAnsi="Cambria Math"/>
                    <w:szCs w:val="24"/>
                    <w:lang w:eastAsia="zh-CN"/>
                  </w:rPr>
                  <m:t>Y</m:t>
                </m:r>
              </m:e>
              <m:sub>
                <m:r>
                  <w:rPr>
                    <w:rFonts w:ascii="Cambria Math" w:eastAsia="SimSun" w:hAnsi="Cambria Math"/>
                    <w:szCs w:val="24"/>
                    <w:lang w:eastAsia="zh-CN"/>
                  </w:rPr>
                  <m:t>i</m:t>
                </m:r>
              </m:sub>
            </m:sSub>
          </m:e>
        </m:acc>
      </m:oMath>
      <w:r>
        <w:rPr>
          <w:rFonts w:hint="eastAsia"/>
          <w:szCs w:val="24"/>
          <w:lang w:eastAsia="zh-CN"/>
        </w:rPr>
        <w:t xml:space="preserve"> </w:t>
      </w:r>
      <w:r>
        <w:rPr>
          <w:lang w:eastAsia="zh-CN"/>
        </w:rPr>
        <w:t>re</w:t>
      </w:r>
      <w:r>
        <w:rPr>
          <w:rFonts w:ascii="Arial" w:hAnsi="Arial" w:cs="Arial"/>
          <w:lang w:eastAsia="zh-CN"/>
        </w:rPr>
        <w:t>presents the predicted values</w:t>
      </w:r>
      <w:r>
        <w:rPr>
          <w:lang w:eastAsia="zh-CN"/>
        </w:rPr>
        <w:t xml:space="preserve">, and </w:t>
      </w:r>
      <w:r>
        <w:rPr>
          <w:i/>
          <w:iCs/>
          <w:lang w:eastAsia="zh-CN"/>
        </w:rPr>
        <w:t>n</w:t>
      </w:r>
      <w:r>
        <w:rPr>
          <w:lang w:eastAsia="zh-CN"/>
        </w:rPr>
        <w:t xml:space="preserve"> is the total number of observations. </w:t>
      </w:r>
    </w:p>
    <w:p w14:paraId="0E45B61F" w14:textId="77777777" w:rsidR="003768D5" w:rsidRDefault="005468AB">
      <w:pPr>
        <w:rPr>
          <w:lang w:eastAsia="zh-CN"/>
        </w:rPr>
      </w:pPr>
      <w:r>
        <w:rPr>
          <w:rFonts w:hint="eastAsia"/>
          <w:lang w:eastAsia="zh-CN"/>
        </w:rPr>
        <w:t>RMSE is more relevant in practical applications as it provides an intuitive illustration as the units are consistent with the raw</w:t>
      </w:r>
      <w:r>
        <w:rPr>
          <w:rFonts w:hint="eastAsia"/>
          <w:lang w:eastAsia="zh-CN"/>
        </w:rPr>
        <w:t xml:space="preserve"> data. RMSE is particularly useful when larger errors need to be penalized more significantly, as it assigns higher weight to large deviations due to squaring the errors before averaging (Martínez et al., 2020). A lower RMSE value indicates better model ac</w:t>
      </w:r>
      <w:r>
        <w:rPr>
          <w:rFonts w:hint="eastAsia"/>
          <w:lang w:eastAsia="zh-CN"/>
        </w:rPr>
        <w:t>curacy.</w:t>
      </w:r>
    </w:p>
    <w:p w14:paraId="23686C40" w14:textId="77777777" w:rsidR="003768D5" w:rsidRDefault="003768D5">
      <w:pPr>
        <w:rPr>
          <w:lang w:eastAsia="zh-CN"/>
        </w:rPr>
      </w:pPr>
    </w:p>
    <w:p w14:paraId="780D946F" w14:textId="77777777" w:rsidR="003768D5" w:rsidRDefault="005468AB">
      <w:pPr>
        <w:pStyle w:val="Body"/>
        <w:spacing w:after="0"/>
        <w:rPr>
          <w:rFonts w:ascii="Arial" w:eastAsia="SimSun" w:hAnsi="Arial" w:cs="Arial"/>
          <w:b/>
          <w:u w:val="single"/>
          <w:lang w:eastAsia="zh-CN"/>
        </w:rPr>
      </w:pPr>
      <w:r>
        <w:rPr>
          <w:rFonts w:ascii="Arial" w:hAnsi="Arial" w:cs="Arial"/>
          <w:b/>
          <w:u w:val="single"/>
        </w:rPr>
        <w:t>2.</w:t>
      </w:r>
      <w:r>
        <w:rPr>
          <w:rFonts w:ascii="Arial" w:eastAsia="SimSun" w:hAnsi="Arial" w:cs="Arial" w:hint="eastAsia"/>
          <w:b/>
          <w:u w:val="single"/>
          <w:lang w:eastAsia="zh-CN"/>
        </w:rPr>
        <w:t>3</w:t>
      </w:r>
      <w:r>
        <w:rPr>
          <w:rFonts w:ascii="Arial" w:hAnsi="Arial" w:cs="Arial"/>
          <w:b/>
          <w:u w:val="single"/>
        </w:rPr>
        <w:t>.</w:t>
      </w:r>
      <w:r>
        <w:rPr>
          <w:rFonts w:ascii="Arial" w:eastAsia="SimSun" w:hAnsi="Arial" w:cs="Arial" w:hint="eastAsia"/>
          <w:b/>
          <w:u w:val="single"/>
          <w:lang w:eastAsia="zh-CN"/>
        </w:rPr>
        <w:t>3</w:t>
      </w:r>
      <w:r>
        <w:rPr>
          <w:rFonts w:ascii="Arial" w:hAnsi="Arial" w:cs="Arial"/>
          <w:b/>
          <w:u w:val="single"/>
        </w:rPr>
        <w:t xml:space="preserve"> </w:t>
      </w:r>
      <w:r>
        <w:rPr>
          <w:rFonts w:ascii="Arial" w:eastAsia="SimSun" w:hAnsi="Arial" w:cs="Arial" w:hint="eastAsia"/>
          <w:b/>
          <w:u w:val="single"/>
          <w:lang w:eastAsia="zh-CN"/>
        </w:rPr>
        <w:t>Mean Absolute Error (MAE)</w:t>
      </w:r>
    </w:p>
    <w:p w14:paraId="3C046793" w14:textId="77777777" w:rsidR="003768D5" w:rsidRDefault="003768D5">
      <w:pPr>
        <w:pStyle w:val="Body"/>
        <w:spacing w:after="0"/>
        <w:rPr>
          <w:rFonts w:ascii="Arial" w:eastAsia="SimSun" w:hAnsi="Arial" w:cs="Arial"/>
          <w:b/>
          <w:u w:val="single"/>
          <w:lang w:eastAsia="zh-CN"/>
        </w:rPr>
      </w:pPr>
    </w:p>
    <w:p w14:paraId="100658FC" w14:textId="77777777" w:rsidR="003768D5" w:rsidRDefault="005468AB">
      <w:pPr>
        <w:pStyle w:val="Body"/>
        <w:spacing w:after="0"/>
        <w:rPr>
          <w:rFonts w:ascii="Arial" w:eastAsia="SimSun" w:hAnsi="Arial" w:cs="Arial"/>
          <w:lang w:eastAsia="zh-CN"/>
        </w:rPr>
      </w:pPr>
      <w:r>
        <w:rPr>
          <w:rFonts w:ascii="Arial" w:eastAsia="SimSun" w:hAnsi="Arial" w:cs="Arial"/>
          <w:lang w:eastAsia="zh-CN"/>
        </w:rPr>
        <w:t>Mean Absolute Error (MAE) is a widely used criterion for assessing the accuracy of time series forecasting and regression models. It assesses the mean absolute deviation between actual and forecast values, providin</w:t>
      </w:r>
      <w:r>
        <w:rPr>
          <w:rFonts w:ascii="Arial" w:eastAsia="SimSun" w:hAnsi="Arial" w:cs="Arial"/>
          <w:lang w:eastAsia="zh-CN"/>
        </w:rPr>
        <w:t>g an intuitive interpretation of model performance (Hodson, 2022). The formula for MAE is</w:t>
      </w:r>
      <w:r>
        <w:rPr>
          <w:rFonts w:ascii="Arial" w:eastAsia="SimSun" w:hAnsi="Arial" w:cs="Arial" w:hint="eastAsia"/>
          <w:lang w:eastAsia="zh-CN"/>
        </w:rPr>
        <w:t xml:space="preserve"> </w:t>
      </w:r>
      <w:r>
        <w:rPr>
          <w:rFonts w:ascii="Arial" w:eastAsia="SimSun" w:hAnsi="Arial" w:cs="Arial"/>
          <w:lang w:eastAsia="zh-CN"/>
        </w:rPr>
        <w:t xml:space="preserve">as </w:t>
      </w:r>
      <w:r>
        <w:rPr>
          <w:rFonts w:ascii="Arial" w:eastAsia="SimSun" w:hAnsi="Arial" w:cs="Arial" w:hint="eastAsia"/>
          <w:lang w:eastAsia="zh-CN"/>
        </w:rPr>
        <w:t>follows:</w:t>
      </w:r>
    </w:p>
    <w:p w14:paraId="5E906235" w14:textId="77777777" w:rsidR="003768D5" w:rsidRDefault="003768D5">
      <w:pPr>
        <w:pStyle w:val="Body"/>
        <w:spacing w:after="0"/>
        <w:rPr>
          <w:rFonts w:ascii="Arial" w:eastAsia="SimSun" w:hAnsi="Arial" w:cs="Arial"/>
          <w:lang w:eastAsia="zh-CN"/>
        </w:rPr>
      </w:pPr>
    </w:p>
    <w:p w14:paraId="641480F7" w14:textId="77777777" w:rsidR="003768D5" w:rsidRDefault="005468AB">
      <w:pPr>
        <w:pStyle w:val="Body"/>
        <w:spacing w:after="0"/>
        <w:rPr>
          <w:rFonts w:ascii="Arial" w:hAnsi="Arial" w:cs="Arial"/>
        </w:rPr>
      </w:pPr>
      <m:oMath>
        <m:r>
          <w:rPr>
            <w:rFonts w:ascii="Cambria Math" w:eastAsia="SimSun" w:hAnsi="Cambria Math"/>
            <w:szCs w:val="24"/>
            <w:lang w:eastAsia="zh-CN"/>
          </w:rPr>
          <m:t xml:space="preserve">    </m:t>
        </m:r>
        <m:r>
          <w:rPr>
            <w:rFonts w:ascii="Cambria Math" w:eastAsia="SimSun" w:hAnsi="Cambria Math"/>
            <w:szCs w:val="24"/>
            <w:lang w:eastAsia="zh-CN"/>
          </w:rPr>
          <m:t>MAE</m:t>
        </m:r>
        <m:r>
          <w:rPr>
            <w:rFonts w:ascii="Cambria Math" w:eastAsiaTheme="minorHAnsi" w:hAnsi="Cambria Math"/>
            <w:szCs w:val="24"/>
          </w:rPr>
          <m:t>=</m:t>
        </m:r>
        <m:f>
          <m:fPr>
            <m:ctrlPr>
              <w:rPr>
                <w:rFonts w:ascii="Cambria Math" w:eastAsiaTheme="minorHAnsi" w:hAnsi="Cambria Math"/>
                <w:i/>
                <w:szCs w:val="24"/>
              </w:rPr>
            </m:ctrlPr>
          </m:fPr>
          <m:num>
            <m:r>
              <w:rPr>
                <w:rFonts w:ascii="Cambria Math" w:eastAsia="SimSun" w:hAnsi="Cambria Math"/>
                <w:szCs w:val="24"/>
                <w:lang w:eastAsia="zh-CN"/>
              </w:rPr>
              <m:t>1</m:t>
            </m:r>
          </m:num>
          <m:den>
            <m:r>
              <w:rPr>
                <w:rFonts w:ascii="Cambria Math" w:eastAsia="SimSun" w:hAnsi="Cambria Math"/>
                <w:szCs w:val="24"/>
                <w:lang w:eastAsia="zh-CN"/>
              </w:rPr>
              <m:t>n</m:t>
            </m:r>
          </m:den>
        </m:f>
        <m:nary>
          <m:naryPr>
            <m:chr m:val="∑"/>
            <m:limLoc m:val="undOvr"/>
            <m:ctrlPr>
              <w:rPr>
                <w:rFonts w:ascii="Cambria Math" w:eastAsiaTheme="minorHAnsi" w:hAnsi="Cambria Math"/>
                <w:i/>
                <w:szCs w:val="24"/>
              </w:rPr>
            </m:ctrlPr>
          </m:naryPr>
          <m:sub>
            <m:r>
              <w:rPr>
                <w:rFonts w:ascii="Cambria Math" w:eastAsia="SimSun" w:hAnsi="Cambria Math"/>
                <w:szCs w:val="24"/>
                <w:lang w:eastAsia="zh-CN"/>
              </w:rPr>
              <m:t>i</m:t>
            </m:r>
            <m:r>
              <w:rPr>
                <w:rFonts w:ascii="Cambria Math" w:eastAsia="SimSun" w:hAnsi="Cambria Math"/>
                <w:szCs w:val="24"/>
                <w:lang w:eastAsia="zh-CN"/>
              </w:rPr>
              <m:t>=1</m:t>
            </m:r>
          </m:sub>
          <m:sup>
            <m:r>
              <w:rPr>
                <w:rFonts w:ascii="Cambria Math" w:eastAsia="SimSun" w:hAnsi="Cambria Math"/>
                <w:szCs w:val="24"/>
                <w:lang w:eastAsia="zh-CN"/>
              </w:rPr>
              <m:t>n</m:t>
            </m:r>
          </m:sup>
          <m:e>
            <m:d>
              <m:dPr>
                <m:begChr m:val="|"/>
                <m:endChr m:val="|"/>
                <m:ctrlPr>
                  <w:rPr>
                    <w:rFonts w:ascii="Cambria Math" w:eastAsia="SimSun" w:hAnsi="Cambria Math"/>
                    <w:i/>
                    <w:szCs w:val="24"/>
                    <w:lang w:eastAsia="zh-CN"/>
                  </w:rPr>
                </m:ctrlPr>
              </m:dPr>
              <m:e>
                <m:sSub>
                  <m:sSubPr>
                    <m:ctrlPr>
                      <w:rPr>
                        <w:rFonts w:ascii="Cambria Math" w:eastAsia="SimSun" w:hAnsi="Cambria Math"/>
                        <w:i/>
                        <w:szCs w:val="24"/>
                        <w:lang w:eastAsia="zh-CN"/>
                      </w:rPr>
                    </m:ctrlPr>
                  </m:sSubPr>
                  <m:e>
                    <m:r>
                      <w:rPr>
                        <w:rFonts w:ascii="Cambria Math" w:eastAsia="SimSun" w:hAnsi="Cambria Math"/>
                        <w:szCs w:val="24"/>
                        <w:lang w:eastAsia="zh-CN"/>
                      </w:rPr>
                      <m:t>Y</m:t>
                    </m:r>
                  </m:e>
                  <m:sub>
                    <m:r>
                      <w:rPr>
                        <w:rFonts w:ascii="Cambria Math" w:eastAsia="SimSun" w:hAnsi="Cambria Math"/>
                        <w:szCs w:val="24"/>
                        <w:lang w:eastAsia="zh-CN"/>
                      </w:rPr>
                      <m:t>i</m:t>
                    </m:r>
                  </m:sub>
                </m:sSub>
                <m:r>
                  <w:rPr>
                    <w:rFonts w:ascii="Cambria Math" w:eastAsia="SimSun" w:hAnsi="Cambria Math"/>
                    <w:szCs w:val="24"/>
                    <w:lang w:eastAsia="zh-CN"/>
                  </w:rPr>
                  <m:t>-</m:t>
                </m:r>
                <m:acc>
                  <m:accPr>
                    <m:ctrlPr>
                      <w:rPr>
                        <w:rFonts w:ascii="Cambria Math" w:eastAsia="SimSun" w:hAnsi="Cambria Math"/>
                        <w:i/>
                        <w:szCs w:val="24"/>
                        <w:lang w:eastAsia="zh-CN"/>
                      </w:rPr>
                    </m:ctrlPr>
                  </m:accPr>
                  <m:e>
                    <m:sSub>
                      <m:sSubPr>
                        <m:ctrlPr>
                          <w:rPr>
                            <w:rFonts w:ascii="Cambria Math" w:eastAsia="SimSun" w:hAnsi="Cambria Math"/>
                            <w:i/>
                            <w:szCs w:val="24"/>
                            <w:lang w:eastAsia="zh-CN"/>
                          </w:rPr>
                        </m:ctrlPr>
                      </m:sSubPr>
                      <m:e>
                        <m:r>
                          <w:rPr>
                            <w:rFonts w:ascii="Cambria Math" w:eastAsia="SimSun" w:hAnsi="Cambria Math"/>
                            <w:szCs w:val="24"/>
                            <w:lang w:eastAsia="zh-CN"/>
                          </w:rPr>
                          <m:t>Y</m:t>
                        </m:r>
                      </m:e>
                      <m:sub>
                        <m:r>
                          <w:rPr>
                            <w:rFonts w:ascii="Cambria Math" w:eastAsia="SimSun" w:hAnsi="Cambria Math" w:hint="eastAsia"/>
                            <w:szCs w:val="24"/>
                            <w:lang w:eastAsia="zh-CN"/>
                          </w:rPr>
                          <m:t>i</m:t>
                        </m:r>
                      </m:sub>
                    </m:sSub>
                  </m:e>
                </m:acc>
              </m:e>
            </m:d>
          </m:e>
        </m:nary>
        <m:r>
          <w:rPr>
            <w:rFonts w:ascii="Cambria Math" w:eastAsia="SimSun" w:hAnsi="Cambria Math"/>
            <w:szCs w:val="24"/>
            <w:lang w:eastAsia="zh-CN"/>
          </w:rPr>
          <m:t xml:space="preserve">                                                                                                                                (4) </m:t>
        </m:r>
      </m:oMath>
      <w:r>
        <w:rPr>
          <w:rFonts w:eastAsia="SimSun" w:hAnsi="Cambria Math" w:hint="eastAsia"/>
          <w:iCs/>
          <w:szCs w:val="24"/>
          <w:lang w:eastAsia="zh-CN"/>
        </w:rPr>
        <w:t xml:space="preserve">    </w:t>
      </w:r>
    </w:p>
    <w:p w14:paraId="01A46B49" w14:textId="77777777" w:rsidR="003768D5" w:rsidRDefault="005468AB">
      <w:pPr>
        <w:rPr>
          <w:lang w:eastAsia="zh-CN"/>
        </w:rPr>
      </w:pPr>
      <w:r>
        <w:rPr>
          <w:rFonts w:hint="eastAsia"/>
          <w:lang w:eastAsia="zh-CN"/>
        </w:rPr>
        <w:t>W</w:t>
      </w:r>
      <w:r>
        <w:rPr>
          <w:lang w:eastAsia="zh-CN"/>
        </w:rPr>
        <w:t xml:space="preserve">here </w:t>
      </w:r>
      <m:oMath>
        <m:sSub>
          <m:sSubPr>
            <m:ctrlPr>
              <w:rPr>
                <w:rFonts w:ascii="Cambria Math" w:eastAsia="SimSun" w:hAnsi="Cambria Math"/>
                <w:i/>
                <w:szCs w:val="24"/>
                <w:lang w:eastAsia="zh-CN"/>
              </w:rPr>
            </m:ctrlPr>
          </m:sSubPr>
          <m:e>
            <m:r>
              <w:rPr>
                <w:rFonts w:ascii="Cambria Math" w:eastAsia="SimSun" w:hAnsi="Cambria Math"/>
                <w:szCs w:val="24"/>
                <w:lang w:eastAsia="zh-CN"/>
              </w:rPr>
              <m:t>Y</m:t>
            </m:r>
          </m:e>
          <m:sub>
            <m:r>
              <w:rPr>
                <w:rFonts w:ascii="Cambria Math" w:eastAsia="SimSun" w:hAnsi="Cambria Math"/>
                <w:szCs w:val="24"/>
                <w:lang w:eastAsia="zh-CN"/>
              </w:rPr>
              <m:t>i</m:t>
            </m:r>
          </m:sub>
        </m:sSub>
      </m:oMath>
      <w:r>
        <w:rPr>
          <w:rFonts w:eastAsia="SimSun" w:hAnsi="Cambria Math" w:hint="eastAsia"/>
          <w:szCs w:val="24"/>
          <w:lang w:eastAsia="zh-CN"/>
        </w:rPr>
        <w:t xml:space="preserve"> </w:t>
      </w:r>
      <w:r>
        <w:rPr>
          <w:lang w:eastAsia="zh-CN"/>
        </w:rPr>
        <w:t xml:space="preserve">represents the actual values, </w:t>
      </w:r>
      <m:oMath>
        <m:acc>
          <m:accPr>
            <m:ctrlPr>
              <w:rPr>
                <w:rFonts w:ascii="Cambria Math" w:eastAsia="SimSun" w:hAnsi="Cambria Math"/>
                <w:i/>
                <w:szCs w:val="24"/>
                <w:lang w:eastAsia="zh-CN"/>
              </w:rPr>
            </m:ctrlPr>
          </m:accPr>
          <m:e>
            <m:sSub>
              <m:sSubPr>
                <m:ctrlPr>
                  <w:rPr>
                    <w:rFonts w:ascii="Cambria Math" w:eastAsia="SimSun" w:hAnsi="Cambria Math"/>
                    <w:i/>
                    <w:szCs w:val="24"/>
                    <w:lang w:eastAsia="zh-CN"/>
                  </w:rPr>
                </m:ctrlPr>
              </m:sSubPr>
              <m:e>
                <m:r>
                  <w:rPr>
                    <w:rFonts w:ascii="Cambria Math" w:eastAsia="SimSun" w:hAnsi="Cambria Math"/>
                    <w:szCs w:val="24"/>
                    <w:lang w:eastAsia="zh-CN"/>
                  </w:rPr>
                  <m:t>Y</m:t>
                </m:r>
              </m:e>
              <m:sub>
                <m:r>
                  <w:rPr>
                    <w:rFonts w:ascii="Cambria Math" w:eastAsia="SimSun" w:hAnsi="Cambria Math"/>
                    <w:szCs w:val="24"/>
                    <w:lang w:eastAsia="zh-CN"/>
                  </w:rPr>
                  <m:t>i</m:t>
                </m:r>
              </m:sub>
            </m:sSub>
          </m:e>
        </m:acc>
      </m:oMath>
      <w:r>
        <w:rPr>
          <w:rFonts w:eastAsia="SimSun" w:hAnsi="Cambria Math" w:hint="eastAsia"/>
          <w:szCs w:val="24"/>
          <w:lang w:eastAsia="zh-CN"/>
        </w:rPr>
        <w:t xml:space="preserve"> </w:t>
      </w:r>
      <w:r>
        <w:rPr>
          <w:lang w:eastAsia="zh-CN"/>
        </w:rPr>
        <w:t xml:space="preserve">represents the predicted values, and </w:t>
      </w:r>
      <w:r>
        <w:rPr>
          <w:i/>
          <w:iCs/>
          <w:lang w:eastAsia="zh-CN"/>
        </w:rPr>
        <w:t>n</w:t>
      </w:r>
      <w:r>
        <w:rPr>
          <w:lang w:eastAsia="zh-CN"/>
        </w:rPr>
        <w:t xml:space="preserve"> is the number of observations.</w:t>
      </w:r>
    </w:p>
    <w:p w14:paraId="1BB4840C" w14:textId="77777777" w:rsidR="003768D5" w:rsidRDefault="005468AB">
      <w:pPr>
        <w:rPr>
          <w:lang w:eastAsia="zh-CN"/>
        </w:rPr>
      </w:pPr>
      <w:r>
        <w:rPr>
          <w:rFonts w:hint="eastAsia"/>
          <w:lang w:eastAsia="zh-CN"/>
        </w:rPr>
        <w:t>Unl</w:t>
      </w:r>
      <w:r>
        <w:rPr>
          <w:rFonts w:hint="eastAsia"/>
          <w:lang w:eastAsia="zh-CN"/>
        </w:rPr>
        <w:t>ike MSE or RMSE, MAE does not square the errors, making it less sensitive to large deviations and outliers, which can be beneficial when extreme values are present in the data.</w:t>
      </w:r>
    </w:p>
    <w:p w14:paraId="773A807F" w14:textId="77777777" w:rsidR="003768D5" w:rsidRDefault="003768D5">
      <w:pPr>
        <w:pStyle w:val="Body"/>
        <w:spacing w:after="0"/>
        <w:rPr>
          <w:rFonts w:ascii="Arial" w:hAnsi="Arial" w:cs="Arial"/>
        </w:rPr>
      </w:pPr>
    </w:p>
    <w:p w14:paraId="1A608010" w14:textId="77777777" w:rsidR="003768D5" w:rsidRDefault="005468AB">
      <w:pPr>
        <w:pStyle w:val="Body"/>
        <w:spacing w:after="0"/>
        <w:rPr>
          <w:rFonts w:ascii="Arial" w:eastAsia="SimSun" w:hAnsi="Arial" w:cs="Arial"/>
          <w:b/>
          <w:u w:val="single"/>
          <w:lang w:eastAsia="zh-CN"/>
        </w:rPr>
      </w:pPr>
      <w:r>
        <w:rPr>
          <w:rFonts w:ascii="Arial" w:hAnsi="Arial" w:cs="Arial"/>
          <w:b/>
          <w:u w:val="single"/>
        </w:rPr>
        <w:t>2.</w:t>
      </w:r>
      <w:r>
        <w:rPr>
          <w:rFonts w:ascii="Arial" w:eastAsia="SimSun" w:hAnsi="Arial" w:cs="Arial" w:hint="eastAsia"/>
          <w:b/>
          <w:u w:val="single"/>
          <w:lang w:eastAsia="zh-CN"/>
        </w:rPr>
        <w:t>3</w:t>
      </w:r>
      <w:r>
        <w:rPr>
          <w:rFonts w:ascii="Arial" w:hAnsi="Arial" w:cs="Arial"/>
          <w:b/>
          <w:u w:val="single"/>
        </w:rPr>
        <w:t>.</w:t>
      </w:r>
      <w:r>
        <w:rPr>
          <w:rFonts w:ascii="Arial" w:eastAsia="SimSun" w:hAnsi="Arial" w:cs="Arial" w:hint="eastAsia"/>
          <w:b/>
          <w:u w:val="single"/>
          <w:lang w:eastAsia="zh-CN"/>
        </w:rPr>
        <w:t>4</w:t>
      </w:r>
      <w:r>
        <w:rPr>
          <w:rFonts w:ascii="Arial" w:hAnsi="Arial" w:cs="Arial"/>
          <w:b/>
          <w:u w:val="single"/>
        </w:rPr>
        <w:t xml:space="preserve"> </w:t>
      </w:r>
      <w:r>
        <w:rPr>
          <w:rFonts w:ascii="Arial" w:eastAsia="SimSun" w:hAnsi="Arial" w:cs="Arial" w:hint="eastAsia"/>
          <w:b/>
          <w:u w:val="single"/>
          <w:lang w:eastAsia="zh-CN"/>
        </w:rPr>
        <w:t>Mean Absolute Percentage Error (MAPE)</w:t>
      </w:r>
    </w:p>
    <w:p w14:paraId="031DA1AF" w14:textId="77777777" w:rsidR="003768D5" w:rsidRDefault="003768D5">
      <w:pPr>
        <w:pStyle w:val="Body"/>
        <w:spacing w:after="0"/>
        <w:rPr>
          <w:rFonts w:ascii="Arial" w:eastAsia="SimSun" w:hAnsi="Arial" w:cs="Arial"/>
          <w:b/>
          <w:u w:val="single"/>
          <w:lang w:eastAsia="zh-CN"/>
        </w:rPr>
      </w:pPr>
    </w:p>
    <w:p w14:paraId="22D06F12" w14:textId="77777777" w:rsidR="003768D5" w:rsidRDefault="005468AB">
      <w:pPr>
        <w:pStyle w:val="Body"/>
        <w:spacing w:after="0"/>
        <w:rPr>
          <w:rFonts w:ascii="Arial" w:eastAsia="SimSun" w:hAnsi="Arial" w:cs="Arial"/>
          <w:lang w:eastAsia="zh-CN"/>
        </w:rPr>
      </w:pPr>
      <w:r>
        <w:rPr>
          <w:rFonts w:ascii="Arial" w:eastAsia="SimSun" w:hAnsi="Arial" w:cs="Arial"/>
          <w:lang w:eastAsia="zh-CN"/>
        </w:rPr>
        <w:t>Mean Absolute Percentage Error (M</w:t>
      </w:r>
      <w:r>
        <w:rPr>
          <w:rFonts w:ascii="Arial" w:eastAsia="SimSun" w:hAnsi="Arial" w:cs="Arial"/>
          <w:lang w:eastAsia="zh-CN"/>
        </w:rPr>
        <w:t xml:space="preserve">APE) focuses on the average percentage difference between actual and predicted values, providing a scale-independent assessment of forecast accuracy (Estrada et al., 2020). The formula for MAPE is as </w:t>
      </w:r>
      <w:r>
        <w:rPr>
          <w:rFonts w:ascii="Arial" w:eastAsia="SimSun" w:hAnsi="Arial" w:cs="Arial" w:hint="eastAsia"/>
          <w:lang w:eastAsia="zh-CN"/>
        </w:rPr>
        <w:t>follows:</w:t>
      </w:r>
    </w:p>
    <w:p w14:paraId="3141DDBC" w14:textId="77777777" w:rsidR="003768D5" w:rsidRDefault="003768D5">
      <w:pPr>
        <w:pStyle w:val="Body"/>
        <w:spacing w:after="0"/>
        <w:rPr>
          <w:rFonts w:ascii="Arial" w:eastAsia="SimSun" w:hAnsi="Arial" w:cs="Arial"/>
          <w:lang w:eastAsia="zh-CN"/>
        </w:rPr>
      </w:pPr>
    </w:p>
    <w:p w14:paraId="46E437C2" w14:textId="77777777" w:rsidR="003768D5" w:rsidRDefault="005468AB">
      <w:pPr>
        <w:pStyle w:val="Body"/>
        <w:spacing w:after="0"/>
        <w:rPr>
          <w:rFonts w:ascii="Arial" w:hAnsi="Arial" w:cs="Arial"/>
        </w:rPr>
      </w:pPr>
      <m:oMath>
        <m:r>
          <w:rPr>
            <w:rFonts w:ascii="Cambria Math" w:eastAsia="SimSun" w:hAnsi="Cambria Math"/>
            <w:szCs w:val="24"/>
            <w:lang w:eastAsia="zh-CN"/>
          </w:rPr>
          <w:lastRenderedPageBreak/>
          <m:t xml:space="preserve">    </m:t>
        </m:r>
        <m:r>
          <w:rPr>
            <w:rFonts w:ascii="Cambria Math" w:eastAsia="SimSun" w:hAnsi="Cambria Math"/>
            <w:szCs w:val="24"/>
            <w:lang w:eastAsia="zh-CN"/>
          </w:rPr>
          <m:t>MAPE</m:t>
        </m:r>
        <m:r>
          <w:rPr>
            <w:rFonts w:ascii="Cambria Math" w:eastAsiaTheme="minorHAnsi" w:hAnsi="Cambria Math"/>
            <w:szCs w:val="24"/>
          </w:rPr>
          <m:t>=</m:t>
        </m:r>
        <m:f>
          <m:fPr>
            <m:ctrlPr>
              <w:rPr>
                <w:rFonts w:ascii="Cambria Math" w:eastAsiaTheme="minorHAnsi" w:hAnsi="Cambria Math"/>
                <w:i/>
                <w:szCs w:val="24"/>
              </w:rPr>
            </m:ctrlPr>
          </m:fPr>
          <m:num>
            <m:r>
              <w:rPr>
                <w:rFonts w:ascii="Cambria Math" w:eastAsia="SimSun" w:hAnsi="Cambria Math"/>
                <w:szCs w:val="24"/>
                <w:lang w:eastAsia="zh-CN"/>
              </w:rPr>
              <m:t>1</m:t>
            </m:r>
          </m:num>
          <m:den>
            <m:r>
              <w:rPr>
                <w:rFonts w:ascii="Cambria Math" w:eastAsia="SimSun" w:hAnsi="Cambria Math"/>
                <w:szCs w:val="24"/>
                <w:lang w:eastAsia="zh-CN"/>
              </w:rPr>
              <m:t>n</m:t>
            </m:r>
          </m:den>
        </m:f>
        <m:nary>
          <m:naryPr>
            <m:chr m:val="∑"/>
            <m:limLoc m:val="undOvr"/>
            <m:ctrlPr>
              <w:rPr>
                <w:rFonts w:ascii="Cambria Math" w:eastAsiaTheme="minorHAnsi" w:hAnsi="Cambria Math"/>
                <w:i/>
                <w:szCs w:val="24"/>
              </w:rPr>
            </m:ctrlPr>
          </m:naryPr>
          <m:sub>
            <m:r>
              <w:rPr>
                <w:rFonts w:ascii="Cambria Math" w:eastAsia="SimSun" w:hAnsi="Cambria Math"/>
                <w:szCs w:val="24"/>
                <w:lang w:eastAsia="zh-CN"/>
              </w:rPr>
              <m:t>i</m:t>
            </m:r>
            <m:r>
              <w:rPr>
                <w:rFonts w:ascii="Cambria Math" w:eastAsia="SimSun" w:hAnsi="Cambria Math"/>
                <w:szCs w:val="24"/>
                <w:lang w:eastAsia="zh-CN"/>
              </w:rPr>
              <m:t>=1</m:t>
            </m:r>
          </m:sub>
          <m:sup>
            <m:r>
              <w:rPr>
                <w:rFonts w:ascii="Cambria Math" w:eastAsia="SimSun" w:hAnsi="Cambria Math"/>
                <w:szCs w:val="24"/>
                <w:lang w:eastAsia="zh-CN"/>
              </w:rPr>
              <m:t>n</m:t>
            </m:r>
          </m:sup>
          <m:e>
            <m:d>
              <m:dPr>
                <m:begChr m:val="|"/>
                <m:endChr m:val="|"/>
                <m:ctrlPr>
                  <w:rPr>
                    <w:rFonts w:ascii="Cambria Math" w:eastAsia="SimSun" w:hAnsi="Cambria Math"/>
                    <w:i/>
                    <w:szCs w:val="24"/>
                    <w:lang w:eastAsia="zh-CN"/>
                  </w:rPr>
                </m:ctrlPr>
              </m:dPr>
              <m:e>
                <m:f>
                  <m:fPr>
                    <m:ctrlPr>
                      <w:rPr>
                        <w:rFonts w:ascii="Cambria Math" w:eastAsia="SimSun" w:hAnsi="Cambria Math"/>
                        <w:i/>
                        <w:szCs w:val="24"/>
                        <w:lang w:eastAsia="zh-CN"/>
                      </w:rPr>
                    </m:ctrlPr>
                  </m:fPr>
                  <m:num>
                    <m:sSub>
                      <m:sSubPr>
                        <m:ctrlPr>
                          <w:rPr>
                            <w:rFonts w:ascii="Cambria Math" w:eastAsia="SimSun" w:hAnsi="Cambria Math"/>
                            <w:i/>
                            <w:szCs w:val="24"/>
                            <w:lang w:eastAsia="zh-CN"/>
                          </w:rPr>
                        </m:ctrlPr>
                      </m:sSubPr>
                      <m:e>
                        <m:r>
                          <w:rPr>
                            <w:rFonts w:ascii="Cambria Math" w:eastAsia="SimSun" w:hAnsi="Cambria Math"/>
                            <w:szCs w:val="24"/>
                            <w:lang w:eastAsia="zh-CN"/>
                          </w:rPr>
                          <m:t>Y</m:t>
                        </m:r>
                      </m:e>
                      <m:sub>
                        <m:r>
                          <w:rPr>
                            <w:rFonts w:ascii="Cambria Math" w:eastAsia="SimSun" w:hAnsi="Cambria Math"/>
                            <w:szCs w:val="24"/>
                            <w:lang w:eastAsia="zh-CN"/>
                          </w:rPr>
                          <m:t>i</m:t>
                        </m:r>
                      </m:sub>
                    </m:sSub>
                    <m:r>
                      <w:rPr>
                        <w:rFonts w:ascii="Cambria Math" w:eastAsia="SimSun" w:hAnsi="Cambria Math"/>
                        <w:szCs w:val="24"/>
                        <w:lang w:eastAsia="zh-CN"/>
                      </w:rPr>
                      <m:t>-</m:t>
                    </m:r>
                    <m:acc>
                      <m:accPr>
                        <m:ctrlPr>
                          <w:rPr>
                            <w:rFonts w:ascii="Cambria Math" w:eastAsia="SimSun" w:hAnsi="Cambria Math"/>
                            <w:i/>
                            <w:szCs w:val="24"/>
                            <w:lang w:eastAsia="zh-CN"/>
                          </w:rPr>
                        </m:ctrlPr>
                      </m:accPr>
                      <m:e>
                        <m:sSub>
                          <m:sSubPr>
                            <m:ctrlPr>
                              <w:rPr>
                                <w:rFonts w:ascii="Cambria Math" w:eastAsia="SimSun" w:hAnsi="Cambria Math"/>
                                <w:i/>
                                <w:szCs w:val="24"/>
                                <w:lang w:eastAsia="zh-CN"/>
                              </w:rPr>
                            </m:ctrlPr>
                          </m:sSubPr>
                          <m:e>
                            <m:r>
                              <w:rPr>
                                <w:rFonts w:ascii="Cambria Math" w:eastAsia="SimSun" w:hAnsi="Cambria Math"/>
                                <w:szCs w:val="24"/>
                                <w:lang w:eastAsia="zh-CN"/>
                              </w:rPr>
                              <m:t>Y</m:t>
                            </m:r>
                          </m:e>
                          <m:sub>
                            <m:r>
                              <w:rPr>
                                <w:rFonts w:ascii="Cambria Math" w:eastAsia="SimSun" w:hAnsi="Cambria Math"/>
                                <w:szCs w:val="24"/>
                                <w:lang w:eastAsia="zh-CN"/>
                              </w:rPr>
                              <m:t>i</m:t>
                            </m:r>
                          </m:sub>
                        </m:sSub>
                      </m:e>
                    </m:acc>
                  </m:num>
                  <m:den>
                    <m:sSub>
                      <m:sSubPr>
                        <m:ctrlPr>
                          <w:rPr>
                            <w:rFonts w:ascii="Cambria Math" w:eastAsia="SimSun" w:hAnsi="Cambria Math"/>
                            <w:i/>
                            <w:szCs w:val="24"/>
                            <w:lang w:eastAsia="zh-CN"/>
                          </w:rPr>
                        </m:ctrlPr>
                      </m:sSubPr>
                      <m:e>
                        <m:r>
                          <w:rPr>
                            <w:rFonts w:ascii="Cambria Math" w:eastAsia="SimSun" w:hAnsi="Cambria Math"/>
                            <w:szCs w:val="24"/>
                            <w:lang w:eastAsia="zh-CN"/>
                          </w:rPr>
                          <m:t>Y</m:t>
                        </m:r>
                      </m:e>
                      <m:sub>
                        <m:r>
                          <w:rPr>
                            <w:rFonts w:ascii="Cambria Math" w:eastAsia="SimSun" w:hAnsi="Cambria Math"/>
                            <w:szCs w:val="24"/>
                            <w:lang w:eastAsia="zh-CN"/>
                          </w:rPr>
                          <m:t>i</m:t>
                        </m:r>
                      </m:sub>
                    </m:sSub>
                  </m:den>
                </m:f>
              </m:e>
            </m:d>
            <m:r>
              <w:rPr>
                <w:rFonts w:ascii="Cambria Math" w:eastAsia="SimSun" w:hAnsi="Cambria Math" w:hint="eastAsia"/>
                <w:szCs w:val="24"/>
                <w:lang w:eastAsia="zh-CN"/>
              </w:rPr>
              <m:t>×</m:t>
            </m:r>
            <m:r>
              <w:rPr>
                <w:rFonts w:ascii="Cambria Math" w:eastAsia="SimSun" w:hAnsi="Cambria Math"/>
                <w:szCs w:val="24"/>
                <w:lang w:eastAsia="zh-CN"/>
              </w:rPr>
              <m:t>100%</m:t>
            </m:r>
          </m:e>
        </m:nary>
        <m:r>
          <w:rPr>
            <w:rFonts w:ascii="Cambria Math" w:eastAsia="SimSun" w:hAnsi="Cambria Math"/>
            <w:szCs w:val="24"/>
            <w:lang w:eastAsia="zh-CN"/>
          </w:rPr>
          <m:t xml:space="preserve">                                                                                                                (5) </m:t>
        </m:r>
      </m:oMath>
      <w:r>
        <w:rPr>
          <w:rFonts w:eastAsia="SimSun" w:hAnsi="Cambria Math" w:hint="eastAsia"/>
          <w:iCs/>
          <w:szCs w:val="24"/>
          <w:lang w:eastAsia="zh-CN"/>
        </w:rPr>
        <w:t xml:space="preserve">    </w:t>
      </w:r>
    </w:p>
    <w:p w14:paraId="3C3BEBBD" w14:textId="77777777" w:rsidR="003768D5" w:rsidRDefault="005468AB">
      <w:pPr>
        <w:rPr>
          <w:lang w:eastAsia="zh-CN"/>
        </w:rPr>
      </w:pPr>
      <w:r>
        <w:rPr>
          <w:rFonts w:hint="eastAsia"/>
          <w:lang w:eastAsia="zh-CN"/>
        </w:rPr>
        <w:t>W</w:t>
      </w:r>
      <w:r>
        <w:rPr>
          <w:lang w:eastAsia="zh-CN"/>
        </w:rPr>
        <w:t xml:space="preserve">here </w:t>
      </w:r>
      <m:oMath>
        <m:sSub>
          <m:sSubPr>
            <m:ctrlPr>
              <w:rPr>
                <w:rFonts w:ascii="Cambria Math" w:eastAsia="SimSun" w:hAnsi="Cambria Math"/>
                <w:i/>
                <w:szCs w:val="24"/>
                <w:lang w:eastAsia="zh-CN"/>
              </w:rPr>
            </m:ctrlPr>
          </m:sSubPr>
          <m:e>
            <m:r>
              <w:rPr>
                <w:rFonts w:ascii="Cambria Math" w:eastAsia="SimSun" w:hAnsi="Cambria Math"/>
                <w:szCs w:val="24"/>
                <w:lang w:eastAsia="zh-CN"/>
              </w:rPr>
              <m:t>Y</m:t>
            </m:r>
          </m:e>
          <m:sub>
            <m:r>
              <w:rPr>
                <w:rFonts w:ascii="Cambria Math" w:eastAsia="SimSun" w:hAnsi="Cambria Math"/>
                <w:szCs w:val="24"/>
                <w:lang w:eastAsia="zh-CN"/>
              </w:rPr>
              <m:t>i</m:t>
            </m:r>
          </m:sub>
        </m:sSub>
      </m:oMath>
      <w:r>
        <w:rPr>
          <w:lang w:eastAsia="zh-CN"/>
        </w:rPr>
        <w:t xml:space="preserve"> represents the actual values,</w:t>
      </w:r>
      <w:r>
        <w:rPr>
          <w:rFonts w:hint="eastAsia"/>
          <w:lang w:eastAsia="zh-CN"/>
        </w:rPr>
        <w:t xml:space="preserve"> </w:t>
      </w:r>
      <w:r>
        <w:rPr>
          <w:rFonts w:ascii="Cambria Math" w:eastAsia="SimSun" w:hAnsi="Cambria Math"/>
          <w:i/>
          <w:szCs w:val="24"/>
          <w:lang w:eastAsia="zh-CN"/>
        </w:rPr>
        <w:t xml:space="preserve"> </w:t>
      </w:r>
      <m:oMath>
        <m:acc>
          <m:accPr>
            <m:ctrlPr>
              <w:rPr>
                <w:rFonts w:ascii="Cambria Math" w:eastAsia="SimSun" w:hAnsi="Cambria Math"/>
                <w:i/>
                <w:szCs w:val="24"/>
                <w:lang w:eastAsia="zh-CN"/>
              </w:rPr>
            </m:ctrlPr>
          </m:accPr>
          <m:e>
            <m:sSub>
              <m:sSubPr>
                <m:ctrlPr>
                  <w:rPr>
                    <w:rFonts w:ascii="Cambria Math" w:eastAsia="SimSun" w:hAnsi="Cambria Math"/>
                    <w:i/>
                    <w:szCs w:val="24"/>
                    <w:lang w:eastAsia="zh-CN"/>
                  </w:rPr>
                </m:ctrlPr>
              </m:sSubPr>
              <m:e>
                <m:r>
                  <w:rPr>
                    <w:rFonts w:ascii="Cambria Math" w:eastAsia="SimSun" w:hAnsi="Cambria Math"/>
                    <w:szCs w:val="24"/>
                    <w:lang w:eastAsia="zh-CN"/>
                  </w:rPr>
                  <m:t>Y</m:t>
                </m:r>
              </m:e>
              <m:sub>
                <m:r>
                  <w:rPr>
                    <w:rFonts w:ascii="Cambria Math" w:eastAsia="SimSun" w:hAnsi="Cambria Math"/>
                    <w:szCs w:val="24"/>
                    <w:lang w:eastAsia="zh-CN"/>
                  </w:rPr>
                  <m:t>i</m:t>
                </m:r>
              </m:sub>
            </m:sSub>
          </m:e>
        </m:acc>
      </m:oMath>
      <w:r>
        <w:rPr>
          <w:lang w:eastAsia="zh-CN"/>
        </w:rPr>
        <w:t xml:space="preserve"> represents the predicted values, and </w:t>
      </w:r>
      <w:r>
        <w:rPr>
          <w:i/>
          <w:iCs/>
          <w:lang w:eastAsia="zh-CN"/>
        </w:rPr>
        <w:t>n</w:t>
      </w:r>
      <w:r>
        <w:rPr>
          <w:lang w:eastAsia="zh-CN"/>
        </w:rPr>
        <w:t xml:space="preserve"> is the number of observations. </w:t>
      </w:r>
    </w:p>
    <w:p w14:paraId="61CF7877" w14:textId="77777777" w:rsidR="003768D5" w:rsidRDefault="005468AB">
      <w:pPr>
        <w:rPr>
          <w:rFonts w:eastAsiaTheme="minorEastAsia"/>
          <w:lang w:eastAsia="zh-CN"/>
        </w:rPr>
      </w:pPr>
      <w:r>
        <w:rPr>
          <w:rFonts w:hint="eastAsia"/>
          <w:lang w:eastAsia="zh-CN"/>
        </w:rPr>
        <w:t>Since MAPE expres</w:t>
      </w:r>
      <w:r>
        <w:rPr>
          <w:rFonts w:hint="eastAsia"/>
          <w:lang w:eastAsia="zh-CN"/>
        </w:rPr>
        <w:t xml:space="preserve">ses errors as a percentage, it allows for easy interpretation and comparison across different datasets, regardless of their scale or unit of measurement (Estrada et al., 2020). Lower MAPE values indicate higher prediction accuracy and are therefore widely </w:t>
      </w:r>
      <w:r>
        <w:rPr>
          <w:lang w:eastAsia="zh-CN"/>
        </w:rPr>
        <w:t>used.</w:t>
      </w:r>
    </w:p>
    <w:p w14:paraId="6F4D6005" w14:textId="77777777" w:rsidR="003768D5" w:rsidRDefault="003768D5">
      <w:pPr>
        <w:pStyle w:val="Body"/>
        <w:spacing w:after="0"/>
        <w:rPr>
          <w:rFonts w:ascii="Arial" w:hAnsi="Arial" w:cs="Arial"/>
        </w:rPr>
      </w:pPr>
    </w:p>
    <w:p w14:paraId="06698426" w14:textId="77777777" w:rsidR="003768D5" w:rsidRDefault="005468AB">
      <w:pPr>
        <w:pStyle w:val="Body"/>
        <w:spacing w:after="0"/>
        <w:rPr>
          <w:rFonts w:ascii="Arial" w:eastAsia="SimSun" w:hAnsi="Arial" w:cs="Arial"/>
          <w:b/>
          <w:u w:val="single"/>
          <w:lang w:eastAsia="zh-CN"/>
        </w:rPr>
      </w:pPr>
      <w:r>
        <w:rPr>
          <w:rFonts w:ascii="Arial" w:hAnsi="Arial" w:cs="Arial"/>
          <w:b/>
          <w:u w:val="single"/>
        </w:rPr>
        <w:t>2.</w:t>
      </w:r>
      <w:r>
        <w:rPr>
          <w:rFonts w:ascii="Arial" w:eastAsia="SimSun" w:hAnsi="Arial" w:cs="Arial" w:hint="eastAsia"/>
          <w:b/>
          <w:u w:val="single"/>
          <w:lang w:eastAsia="zh-CN"/>
        </w:rPr>
        <w:t>3</w:t>
      </w:r>
      <w:r>
        <w:rPr>
          <w:rFonts w:ascii="Arial" w:hAnsi="Arial" w:cs="Arial"/>
          <w:b/>
          <w:u w:val="single"/>
        </w:rPr>
        <w:t>.</w:t>
      </w:r>
      <w:r>
        <w:rPr>
          <w:rFonts w:ascii="Arial" w:eastAsia="SimSun" w:hAnsi="Arial" w:cs="Arial" w:hint="eastAsia"/>
          <w:b/>
          <w:u w:val="single"/>
          <w:lang w:eastAsia="zh-CN"/>
        </w:rPr>
        <w:t>5</w:t>
      </w:r>
      <w:r>
        <w:rPr>
          <w:rFonts w:ascii="Arial" w:hAnsi="Arial" w:cs="Arial"/>
          <w:b/>
          <w:u w:val="single"/>
        </w:rPr>
        <w:t xml:space="preserve"> </w:t>
      </w:r>
      <w:r>
        <w:rPr>
          <w:rFonts w:ascii="Arial" w:eastAsia="SimSun" w:hAnsi="Arial" w:cs="Arial" w:hint="eastAsia"/>
          <w:b/>
          <w:u w:val="single"/>
          <w:lang w:eastAsia="zh-CN"/>
        </w:rPr>
        <w:t>Comparison of Evaluation Results</w:t>
      </w:r>
    </w:p>
    <w:p w14:paraId="18FF61AD" w14:textId="77777777" w:rsidR="003768D5" w:rsidRDefault="003768D5">
      <w:pPr>
        <w:pStyle w:val="Body"/>
        <w:spacing w:after="0"/>
        <w:rPr>
          <w:rFonts w:ascii="Arial" w:eastAsia="SimSun" w:hAnsi="Arial" w:cs="Arial"/>
          <w:b/>
          <w:u w:val="single"/>
          <w:lang w:eastAsia="zh-CN"/>
        </w:rPr>
      </w:pPr>
    </w:p>
    <w:p w14:paraId="1852E259" w14:textId="77777777" w:rsidR="003768D5" w:rsidRDefault="005468AB">
      <w:pPr>
        <w:rPr>
          <w:lang w:eastAsia="zh-CN"/>
        </w:rPr>
      </w:pPr>
      <w:r>
        <w:rPr>
          <w:rFonts w:hint="eastAsia"/>
          <w:lang w:eastAsia="zh-CN"/>
        </w:rPr>
        <w:t>To evaluate the forecasting models in various aspects, this study will compare the forecasting performance of the exponential smoothing model, the decomposition model and the ARIMA model. In this study, four m</w:t>
      </w:r>
      <w:r>
        <w:rPr>
          <w:rFonts w:hint="eastAsia"/>
          <w:lang w:eastAsia="zh-CN"/>
        </w:rPr>
        <w:t>ain evaluation criteria were used: mean square error (MSE), root mean square error (RMSE), mean absolute error (MAE) and mean absolute percentage error (MAPE).</w:t>
      </w:r>
    </w:p>
    <w:p w14:paraId="3EC22229" w14:textId="77777777" w:rsidR="003768D5" w:rsidRDefault="005468AB">
      <w:pPr>
        <w:rPr>
          <w:lang w:eastAsia="zh-CN"/>
        </w:rPr>
      </w:pPr>
      <w:r>
        <w:rPr>
          <w:rFonts w:hint="eastAsia"/>
          <w:lang w:eastAsia="zh-CN"/>
        </w:rPr>
        <w:t>By comparing the values of MSE, RMSE, MAE and MAPE of each model, the smaller value represents t</w:t>
      </w:r>
      <w:r>
        <w:rPr>
          <w:rFonts w:hint="eastAsia"/>
          <w:lang w:eastAsia="zh-CN"/>
        </w:rPr>
        <w:t>hat the model has better accuracy. Finally, the evaluation results are combined to select a suitable model to forecast the future rubber prices in Malaysia.</w:t>
      </w:r>
    </w:p>
    <w:p w14:paraId="38A550B8" w14:textId="77777777" w:rsidR="003768D5" w:rsidRDefault="003768D5">
      <w:pPr>
        <w:pStyle w:val="Body"/>
        <w:spacing w:after="0"/>
        <w:rPr>
          <w:rFonts w:ascii="Arial" w:hAnsi="Arial" w:cs="Arial"/>
        </w:rPr>
      </w:pPr>
    </w:p>
    <w:p w14:paraId="391663CF" w14:textId="77777777" w:rsidR="003768D5" w:rsidRDefault="005468AB">
      <w:pPr>
        <w:pStyle w:val="Head1"/>
        <w:spacing w:after="0"/>
        <w:jc w:val="both"/>
        <w:rPr>
          <w:rFonts w:ascii="Arial" w:hAnsi="Arial" w:cs="Arial"/>
        </w:rPr>
      </w:pPr>
      <w:r>
        <w:rPr>
          <w:rFonts w:ascii="Arial" w:hAnsi="Arial" w:cs="Arial"/>
        </w:rPr>
        <w:t>3. results and discussion</w:t>
      </w:r>
    </w:p>
    <w:p w14:paraId="2AFFC22F" w14:textId="77777777" w:rsidR="003768D5" w:rsidRDefault="003768D5">
      <w:pPr>
        <w:pStyle w:val="Body"/>
        <w:spacing w:after="0"/>
        <w:rPr>
          <w:rFonts w:ascii="Arial" w:hAnsi="Arial" w:cs="Arial"/>
        </w:rPr>
      </w:pPr>
    </w:p>
    <w:p w14:paraId="30C95194" w14:textId="77777777" w:rsidR="003768D5" w:rsidRDefault="005468AB">
      <w:pPr>
        <w:pStyle w:val="Body"/>
        <w:spacing w:after="0"/>
        <w:rPr>
          <w:rFonts w:ascii="Arial" w:hAnsi="Arial" w:cs="Arial"/>
        </w:rPr>
      </w:pPr>
      <w:r>
        <w:rPr>
          <w:rFonts w:ascii="Arial" w:hAnsi="Arial" w:cs="Arial"/>
          <w:b/>
          <w:caps/>
          <w:sz w:val="22"/>
        </w:rPr>
        <w:t xml:space="preserve">3.1 </w:t>
      </w:r>
      <w:r>
        <w:rPr>
          <w:rFonts w:ascii="Arial" w:hAnsi="Arial" w:cs="Arial" w:hint="eastAsia"/>
          <w:b/>
          <w:sz w:val="22"/>
        </w:rPr>
        <w:t>Overview of Data</w:t>
      </w:r>
    </w:p>
    <w:p w14:paraId="364B5FB3" w14:textId="77777777" w:rsidR="003768D5" w:rsidRDefault="003768D5">
      <w:pPr>
        <w:pStyle w:val="Body"/>
        <w:spacing w:after="0"/>
        <w:rPr>
          <w:rFonts w:ascii="Arial" w:hAnsi="Arial" w:cs="Arial"/>
        </w:rPr>
      </w:pPr>
    </w:p>
    <w:p w14:paraId="04A33411" w14:textId="77777777" w:rsidR="003768D5" w:rsidRDefault="005468AB">
      <w:pPr>
        <w:pStyle w:val="Body"/>
        <w:spacing w:after="0"/>
        <w:rPr>
          <w:rFonts w:ascii="Arial" w:hAnsi="Arial" w:cs="Arial"/>
        </w:rPr>
      </w:pPr>
      <w:r>
        <w:rPr>
          <w:rFonts w:ascii="Arial" w:hAnsi="Arial" w:cs="Arial" w:hint="eastAsia"/>
        </w:rPr>
        <w:t>The rubber price data used in this study is obtained from the Department of Statistics Malaysia (DOSM). The monthly price is the average buyer midday price of the free on board (F.O.B.) price of rubber in Kuala Lumpur for the month, with the unit stated as</w:t>
      </w:r>
      <w:r>
        <w:rPr>
          <w:rFonts w:ascii="Arial" w:hAnsi="Arial" w:cs="Arial" w:hint="eastAsia"/>
        </w:rPr>
        <w:t xml:space="preserve"> RM. The data covers the period from January 2016 to December 2024, with a total of 108 data, as shown in Table </w:t>
      </w:r>
      <w:r>
        <w:rPr>
          <w:rFonts w:ascii="Arial" w:eastAsia="SimSun" w:hAnsi="Arial" w:cs="Arial" w:hint="eastAsia"/>
          <w:lang w:eastAsia="zh-CN"/>
        </w:rPr>
        <w:t>1</w:t>
      </w:r>
      <w:r>
        <w:rPr>
          <w:rFonts w:ascii="Arial" w:hAnsi="Arial" w:cs="Arial" w:hint="eastAsia"/>
        </w:rPr>
        <w:t>.</w:t>
      </w:r>
    </w:p>
    <w:p w14:paraId="04112215" w14:textId="77777777" w:rsidR="003768D5" w:rsidRDefault="003768D5">
      <w:pPr>
        <w:pStyle w:val="Body"/>
        <w:spacing w:after="0"/>
        <w:rPr>
          <w:rFonts w:ascii="Arial" w:hAnsi="Arial" w:cs="Arial"/>
        </w:rPr>
      </w:pPr>
    </w:p>
    <w:p w14:paraId="2055320F" w14:textId="77777777" w:rsidR="003768D5" w:rsidRDefault="005468AB">
      <w:pPr>
        <w:tabs>
          <w:tab w:val="left" w:pos="1080"/>
        </w:tabs>
        <w:jc w:val="both"/>
        <w:rPr>
          <w:rFonts w:ascii="Arial" w:hAnsi="Arial"/>
          <w:b/>
        </w:rPr>
      </w:pPr>
      <w:r>
        <w:rPr>
          <w:rFonts w:ascii="Arial" w:hAnsi="Arial"/>
          <w:b/>
        </w:rPr>
        <w:t>Table 1.</w:t>
      </w:r>
      <w:r>
        <w:rPr>
          <w:rFonts w:ascii="Arial" w:eastAsia="SimSun" w:hAnsi="Arial" w:hint="eastAsia"/>
          <w:b/>
          <w:lang w:eastAsia="zh-CN"/>
        </w:rPr>
        <w:t xml:space="preserve"> </w:t>
      </w:r>
      <w:r>
        <w:rPr>
          <w:rFonts w:ascii="Arial" w:hAnsi="Arial" w:hint="eastAsia"/>
          <w:b/>
        </w:rPr>
        <w:t>Monthly Malaysian Rubber Prices from 2016 to 2024</w:t>
      </w:r>
    </w:p>
    <w:p w14:paraId="7F6E264A" w14:textId="77777777" w:rsidR="003768D5" w:rsidRDefault="003768D5">
      <w:pPr>
        <w:tabs>
          <w:tab w:val="left" w:pos="1080"/>
        </w:tabs>
        <w:jc w:val="both"/>
        <w:rPr>
          <w:rFonts w:ascii="Arial" w:hAnsi="Arial"/>
          <w:b/>
        </w:rPr>
      </w:pPr>
    </w:p>
    <w:tbl>
      <w:tblPr>
        <w:tblW w:w="8133"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008"/>
        <w:gridCol w:w="742"/>
        <w:gridCol w:w="750"/>
        <w:gridCol w:w="713"/>
        <w:gridCol w:w="757"/>
        <w:gridCol w:w="795"/>
        <w:gridCol w:w="818"/>
        <w:gridCol w:w="832"/>
        <w:gridCol w:w="833"/>
        <w:gridCol w:w="885"/>
      </w:tblGrid>
      <w:tr w:rsidR="003768D5" w14:paraId="3B9189BD" w14:textId="77777777">
        <w:trPr>
          <w:jc w:val="center"/>
        </w:trPr>
        <w:tc>
          <w:tcPr>
            <w:tcW w:w="1008" w:type="dxa"/>
            <w:tcBorders>
              <w:bottom w:val="single" w:sz="4" w:space="0" w:color="auto"/>
            </w:tcBorders>
            <w:vAlign w:val="center"/>
          </w:tcPr>
          <w:p w14:paraId="3FBFD19B" w14:textId="77777777" w:rsidR="003768D5" w:rsidRDefault="003768D5">
            <w:pPr>
              <w:widowControl w:val="0"/>
              <w:spacing w:line="360" w:lineRule="auto"/>
              <w:jc w:val="center"/>
              <w:rPr>
                <w:rFonts w:ascii="Arial" w:hAnsi="Arial" w:cs="Arial"/>
                <w:b/>
                <w:bCs/>
                <w:sz w:val="16"/>
                <w:szCs w:val="16"/>
              </w:rPr>
            </w:pPr>
          </w:p>
        </w:tc>
        <w:tc>
          <w:tcPr>
            <w:tcW w:w="742" w:type="dxa"/>
            <w:tcBorders>
              <w:bottom w:val="single" w:sz="4" w:space="0" w:color="auto"/>
            </w:tcBorders>
            <w:vAlign w:val="center"/>
          </w:tcPr>
          <w:p w14:paraId="3CD8F05D" w14:textId="77777777" w:rsidR="003768D5" w:rsidRDefault="005468AB">
            <w:pPr>
              <w:widowControl w:val="0"/>
              <w:spacing w:line="360" w:lineRule="auto"/>
              <w:jc w:val="center"/>
              <w:rPr>
                <w:rFonts w:ascii="Arial" w:hAnsi="Arial" w:cs="Arial"/>
                <w:b/>
                <w:bCs/>
                <w:sz w:val="16"/>
                <w:szCs w:val="16"/>
              </w:rPr>
            </w:pPr>
            <w:r>
              <w:rPr>
                <w:rFonts w:ascii="Arial" w:hAnsi="Arial" w:cs="Arial"/>
                <w:b/>
                <w:bCs/>
                <w:color w:val="000000"/>
                <w:sz w:val="16"/>
                <w:szCs w:val="16"/>
                <w:lang w:eastAsia="zh-CN"/>
              </w:rPr>
              <w:t>2016</w:t>
            </w:r>
          </w:p>
        </w:tc>
        <w:tc>
          <w:tcPr>
            <w:tcW w:w="750" w:type="dxa"/>
            <w:tcBorders>
              <w:bottom w:val="single" w:sz="4" w:space="0" w:color="auto"/>
            </w:tcBorders>
            <w:vAlign w:val="center"/>
          </w:tcPr>
          <w:p w14:paraId="6989FD71" w14:textId="77777777" w:rsidR="003768D5" w:rsidRDefault="005468AB">
            <w:pPr>
              <w:widowControl w:val="0"/>
              <w:spacing w:line="360" w:lineRule="auto"/>
              <w:jc w:val="center"/>
              <w:rPr>
                <w:rFonts w:ascii="Arial" w:hAnsi="Arial" w:cs="Arial"/>
                <w:b/>
                <w:bCs/>
                <w:sz w:val="16"/>
                <w:szCs w:val="16"/>
              </w:rPr>
            </w:pPr>
            <w:r>
              <w:rPr>
                <w:rFonts w:ascii="Arial" w:hAnsi="Arial" w:cs="Arial"/>
                <w:b/>
                <w:bCs/>
                <w:color w:val="000000"/>
                <w:sz w:val="16"/>
                <w:szCs w:val="16"/>
                <w:lang w:eastAsia="zh-CN"/>
              </w:rPr>
              <w:t>2017</w:t>
            </w:r>
          </w:p>
        </w:tc>
        <w:tc>
          <w:tcPr>
            <w:tcW w:w="713" w:type="dxa"/>
            <w:tcBorders>
              <w:bottom w:val="single" w:sz="4" w:space="0" w:color="auto"/>
            </w:tcBorders>
            <w:vAlign w:val="center"/>
          </w:tcPr>
          <w:p w14:paraId="6DCCDA33" w14:textId="77777777" w:rsidR="003768D5" w:rsidRDefault="005468AB">
            <w:pPr>
              <w:widowControl w:val="0"/>
              <w:spacing w:line="360" w:lineRule="auto"/>
              <w:jc w:val="center"/>
              <w:rPr>
                <w:rFonts w:ascii="Arial" w:hAnsi="Arial" w:cs="Arial"/>
                <w:b/>
                <w:bCs/>
                <w:sz w:val="16"/>
                <w:szCs w:val="16"/>
              </w:rPr>
            </w:pPr>
            <w:r>
              <w:rPr>
                <w:rFonts w:ascii="Arial" w:hAnsi="Arial" w:cs="Arial"/>
                <w:b/>
                <w:bCs/>
                <w:color w:val="000000"/>
                <w:sz w:val="16"/>
                <w:szCs w:val="16"/>
                <w:lang w:eastAsia="zh-CN"/>
              </w:rPr>
              <w:t>2018</w:t>
            </w:r>
          </w:p>
        </w:tc>
        <w:tc>
          <w:tcPr>
            <w:tcW w:w="757" w:type="dxa"/>
            <w:tcBorders>
              <w:bottom w:val="single" w:sz="4" w:space="0" w:color="auto"/>
            </w:tcBorders>
            <w:vAlign w:val="center"/>
          </w:tcPr>
          <w:p w14:paraId="66DBC3EC" w14:textId="77777777" w:rsidR="003768D5" w:rsidRDefault="005468AB">
            <w:pPr>
              <w:widowControl w:val="0"/>
              <w:spacing w:line="360" w:lineRule="auto"/>
              <w:jc w:val="center"/>
              <w:rPr>
                <w:rFonts w:ascii="Arial" w:hAnsi="Arial" w:cs="Arial"/>
                <w:b/>
                <w:bCs/>
                <w:sz w:val="16"/>
                <w:szCs w:val="16"/>
              </w:rPr>
            </w:pPr>
            <w:r>
              <w:rPr>
                <w:rFonts w:ascii="Arial" w:hAnsi="Arial" w:cs="Arial"/>
                <w:b/>
                <w:bCs/>
                <w:color w:val="000000"/>
                <w:sz w:val="16"/>
                <w:szCs w:val="16"/>
                <w:lang w:eastAsia="zh-CN"/>
              </w:rPr>
              <w:t>2019</w:t>
            </w:r>
          </w:p>
        </w:tc>
        <w:tc>
          <w:tcPr>
            <w:tcW w:w="795" w:type="dxa"/>
            <w:tcBorders>
              <w:bottom w:val="single" w:sz="4" w:space="0" w:color="auto"/>
            </w:tcBorders>
            <w:vAlign w:val="center"/>
          </w:tcPr>
          <w:p w14:paraId="17F81612" w14:textId="77777777" w:rsidR="003768D5" w:rsidRDefault="005468AB">
            <w:pPr>
              <w:widowControl w:val="0"/>
              <w:spacing w:line="360" w:lineRule="auto"/>
              <w:jc w:val="center"/>
              <w:rPr>
                <w:rFonts w:ascii="Arial" w:hAnsi="Arial" w:cs="Arial"/>
                <w:b/>
                <w:bCs/>
                <w:sz w:val="16"/>
                <w:szCs w:val="16"/>
              </w:rPr>
            </w:pPr>
            <w:r>
              <w:rPr>
                <w:rFonts w:ascii="Arial" w:hAnsi="Arial" w:cs="Arial"/>
                <w:b/>
                <w:bCs/>
                <w:color w:val="000000"/>
                <w:sz w:val="16"/>
                <w:szCs w:val="16"/>
                <w:lang w:eastAsia="zh-CN"/>
              </w:rPr>
              <w:t>2020</w:t>
            </w:r>
          </w:p>
        </w:tc>
        <w:tc>
          <w:tcPr>
            <w:tcW w:w="818" w:type="dxa"/>
            <w:tcBorders>
              <w:bottom w:val="single" w:sz="4" w:space="0" w:color="auto"/>
            </w:tcBorders>
            <w:vAlign w:val="center"/>
          </w:tcPr>
          <w:p w14:paraId="23736225" w14:textId="77777777" w:rsidR="003768D5" w:rsidRDefault="005468AB">
            <w:pPr>
              <w:widowControl w:val="0"/>
              <w:spacing w:line="360" w:lineRule="auto"/>
              <w:jc w:val="center"/>
              <w:rPr>
                <w:rFonts w:ascii="Arial" w:hAnsi="Arial" w:cs="Arial"/>
                <w:b/>
                <w:bCs/>
                <w:sz w:val="16"/>
                <w:szCs w:val="16"/>
              </w:rPr>
            </w:pPr>
            <w:r>
              <w:rPr>
                <w:rFonts w:ascii="Arial" w:hAnsi="Arial" w:cs="Arial"/>
                <w:b/>
                <w:bCs/>
                <w:color w:val="000000"/>
                <w:sz w:val="16"/>
                <w:szCs w:val="16"/>
                <w:lang w:eastAsia="zh-CN"/>
              </w:rPr>
              <w:t>2021</w:t>
            </w:r>
          </w:p>
        </w:tc>
        <w:tc>
          <w:tcPr>
            <w:tcW w:w="832" w:type="dxa"/>
            <w:tcBorders>
              <w:bottom w:val="single" w:sz="4" w:space="0" w:color="auto"/>
            </w:tcBorders>
            <w:vAlign w:val="center"/>
          </w:tcPr>
          <w:p w14:paraId="1C88E25C" w14:textId="77777777" w:rsidR="003768D5" w:rsidRDefault="005468AB">
            <w:pPr>
              <w:widowControl w:val="0"/>
              <w:spacing w:line="360" w:lineRule="auto"/>
              <w:jc w:val="center"/>
              <w:rPr>
                <w:rFonts w:ascii="Arial" w:hAnsi="Arial" w:cs="Arial"/>
                <w:b/>
                <w:bCs/>
                <w:sz w:val="16"/>
                <w:szCs w:val="16"/>
              </w:rPr>
            </w:pPr>
            <w:r>
              <w:rPr>
                <w:rFonts w:ascii="Arial" w:hAnsi="Arial" w:cs="Arial"/>
                <w:b/>
                <w:bCs/>
                <w:color w:val="000000"/>
                <w:sz w:val="16"/>
                <w:szCs w:val="16"/>
                <w:lang w:eastAsia="zh-CN"/>
              </w:rPr>
              <w:t>2022</w:t>
            </w:r>
          </w:p>
        </w:tc>
        <w:tc>
          <w:tcPr>
            <w:tcW w:w="833" w:type="dxa"/>
            <w:tcBorders>
              <w:bottom w:val="single" w:sz="4" w:space="0" w:color="auto"/>
            </w:tcBorders>
            <w:vAlign w:val="center"/>
          </w:tcPr>
          <w:p w14:paraId="4A60B0BF" w14:textId="77777777" w:rsidR="003768D5" w:rsidRDefault="005468AB">
            <w:pPr>
              <w:widowControl w:val="0"/>
              <w:spacing w:line="360" w:lineRule="auto"/>
              <w:jc w:val="center"/>
              <w:rPr>
                <w:rFonts w:ascii="Arial" w:hAnsi="Arial" w:cs="Arial"/>
                <w:b/>
                <w:bCs/>
                <w:sz w:val="16"/>
                <w:szCs w:val="16"/>
              </w:rPr>
            </w:pPr>
            <w:r>
              <w:rPr>
                <w:rFonts w:ascii="Arial" w:hAnsi="Arial" w:cs="Arial"/>
                <w:b/>
                <w:bCs/>
                <w:color w:val="000000"/>
                <w:sz w:val="16"/>
                <w:szCs w:val="16"/>
                <w:lang w:eastAsia="zh-CN"/>
              </w:rPr>
              <w:t>2023</w:t>
            </w:r>
          </w:p>
        </w:tc>
        <w:tc>
          <w:tcPr>
            <w:tcW w:w="885" w:type="dxa"/>
            <w:tcBorders>
              <w:bottom w:val="single" w:sz="4" w:space="0" w:color="auto"/>
            </w:tcBorders>
            <w:vAlign w:val="center"/>
          </w:tcPr>
          <w:p w14:paraId="7A697A9B" w14:textId="77777777" w:rsidR="003768D5" w:rsidRDefault="005468AB">
            <w:pPr>
              <w:widowControl w:val="0"/>
              <w:spacing w:line="360" w:lineRule="auto"/>
              <w:jc w:val="center"/>
              <w:rPr>
                <w:rFonts w:ascii="Arial" w:hAnsi="Arial" w:cs="Arial"/>
                <w:b/>
                <w:bCs/>
                <w:sz w:val="16"/>
                <w:szCs w:val="16"/>
              </w:rPr>
            </w:pPr>
            <w:r>
              <w:rPr>
                <w:rFonts w:ascii="Arial" w:hAnsi="Arial" w:cs="Arial"/>
                <w:b/>
                <w:bCs/>
                <w:color w:val="000000"/>
                <w:sz w:val="16"/>
                <w:szCs w:val="16"/>
                <w:lang w:eastAsia="zh-CN"/>
              </w:rPr>
              <w:t>2024</w:t>
            </w:r>
          </w:p>
        </w:tc>
      </w:tr>
      <w:tr w:rsidR="003768D5" w14:paraId="61BE6BAD" w14:textId="77777777">
        <w:trPr>
          <w:trHeight w:val="225"/>
          <w:jc w:val="center"/>
        </w:trPr>
        <w:tc>
          <w:tcPr>
            <w:tcW w:w="1008" w:type="dxa"/>
            <w:tcBorders>
              <w:bottom w:val="nil"/>
            </w:tcBorders>
            <w:vAlign w:val="center"/>
          </w:tcPr>
          <w:p w14:paraId="595DF432" w14:textId="77777777" w:rsidR="003768D5" w:rsidRDefault="005468AB">
            <w:pPr>
              <w:widowControl w:val="0"/>
              <w:spacing w:line="360" w:lineRule="auto"/>
              <w:jc w:val="center"/>
              <w:rPr>
                <w:rFonts w:ascii="Arial" w:hAnsi="Arial" w:cs="Arial"/>
                <w:b/>
                <w:bCs/>
                <w:sz w:val="16"/>
                <w:szCs w:val="16"/>
              </w:rPr>
            </w:pPr>
            <w:r>
              <w:rPr>
                <w:rFonts w:ascii="Arial" w:hAnsi="Arial" w:cs="Arial"/>
                <w:color w:val="000000"/>
                <w:sz w:val="16"/>
                <w:szCs w:val="16"/>
                <w:lang w:eastAsia="zh-CN"/>
              </w:rPr>
              <w:t>January</w:t>
            </w:r>
          </w:p>
        </w:tc>
        <w:tc>
          <w:tcPr>
            <w:tcW w:w="742" w:type="dxa"/>
            <w:tcBorders>
              <w:bottom w:val="nil"/>
            </w:tcBorders>
            <w:vAlign w:val="center"/>
          </w:tcPr>
          <w:p w14:paraId="046E0885" w14:textId="77777777" w:rsidR="003768D5" w:rsidRDefault="005468AB">
            <w:pPr>
              <w:spacing w:line="360" w:lineRule="auto"/>
              <w:jc w:val="center"/>
              <w:rPr>
                <w:rFonts w:ascii="Arial" w:hAnsi="Arial" w:cs="Arial"/>
                <w:b/>
                <w:bCs/>
                <w:sz w:val="16"/>
                <w:szCs w:val="16"/>
              </w:rPr>
            </w:pPr>
            <w:r>
              <w:rPr>
                <w:rFonts w:ascii="Arial" w:eastAsia="SimSun" w:hAnsi="Arial" w:cs="Arial"/>
                <w:color w:val="000000"/>
                <w:sz w:val="16"/>
                <w:szCs w:val="16"/>
                <w:lang w:eastAsia="zh-CN" w:bidi="ar"/>
              </w:rPr>
              <w:t>466.89</w:t>
            </w:r>
          </w:p>
        </w:tc>
        <w:tc>
          <w:tcPr>
            <w:tcW w:w="750" w:type="dxa"/>
            <w:tcBorders>
              <w:bottom w:val="nil"/>
            </w:tcBorders>
            <w:vAlign w:val="center"/>
          </w:tcPr>
          <w:p w14:paraId="0C498E71" w14:textId="77777777" w:rsidR="003768D5" w:rsidRDefault="005468AB">
            <w:pPr>
              <w:spacing w:line="360" w:lineRule="auto"/>
              <w:jc w:val="center"/>
              <w:rPr>
                <w:rFonts w:ascii="Arial" w:hAnsi="Arial" w:cs="Arial"/>
                <w:b/>
                <w:bCs/>
                <w:sz w:val="16"/>
                <w:szCs w:val="16"/>
              </w:rPr>
            </w:pPr>
            <w:r>
              <w:rPr>
                <w:rFonts w:ascii="Arial" w:eastAsia="SimSun" w:hAnsi="Arial" w:cs="Arial"/>
                <w:color w:val="000000"/>
                <w:sz w:val="16"/>
                <w:szCs w:val="16"/>
                <w:lang w:eastAsia="zh-CN" w:bidi="ar"/>
              </w:rPr>
              <w:t>957.23</w:t>
            </w:r>
          </w:p>
        </w:tc>
        <w:tc>
          <w:tcPr>
            <w:tcW w:w="713" w:type="dxa"/>
            <w:tcBorders>
              <w:bottom w:val="nil"/>
            </w:tcBorders>
            <w:vAlign w:val="center"/>
          </w:tcPr>
          <w:p w14:paraId="7CEA3A65"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587.69</w:t>
            </w:r>
          </w:p>
        </w:tc>
        <w:tc>
          <w:tcPr>
            <w:tcW w:w="757" w:type="dxa"/>
            <w:tcBorders>
              <w:bottom w:val="nil"/>
            </w:tcBorders>
            <w:vAlign w:val="center"/>
          </w:tcPr>
          <w:p w14:paraId="40CF417B"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548.48</w:t>
            </w:r>
          </w:p>
        </w:tc>
        <w:tc>
          <w:tcPr>
            <w:tcW w:w="795" w:type="dxa"/>
            <w:tcBorders>
              <w:bottom w:val="nil"/>
            </w:tcBorders>
            <w:vAlign w:val="center"/>
          </w:tcPr>
          <w:p w14:paraId="6A0FF136"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590.38</w:t>
            </w:r>
          </w:p>
        </w:tc>
        <w:tc>
          <w:tcPr>
            <w:tcW w:w="818" w:type="dxa"/>
            <w:tcBorders>
              <w:bottom w:val="nil"/>
            </w:tcBorders>
            <w:vAlign w:val="center"/>
          </w:tcPr>
          <w:p w14:paraId="00A5832E"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628.58</w:t>
            </w:r>
          </w:p>
        </w:tc>
        <w:tc>
          <w:tcPr>
            <w:tcW w:w="832" w:type="dxa"/>
            <w:tcBorders>
              <w:bottom w:val="nil"/>
            </w:tcBorders>
            <w:vAlign w:val="center"/>
          </w:tcPr>
          <w:p w14:paraId="68A63807"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734.05</w:t>
            </w:r>
          </w:p>
        </w:tc>
        <w:tc>
          <w:tcPr>
            <w:tcW w:w="833" w:type="dxa"/>
            <w:tcBorders>
              <w:bottom w:val="nil"/>
            </w:tcBorders>
            <w:vAlign w:val="center"/>
          </w:tcPr>
          <w:p w14:paraId="4BC046DA"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596.18</w:t>
            </w:r>
          </w:p>
        </w:tc>
        <w:tc>
          <w:tcPr>
            <w:tcW w:w="885" w:type="dxa"/>
            <w:tcBorders>
              <w:bottom w:val="nil"/>
            </w:tcBorders>
            <w:vAlign w:val="center"/>
          </w:tcPr>
          <w:p w14:paraId="2A6AE420"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710.45</w:t>
            </w:r>
          </w:p>
        </w:tc>
      </w:tr>
      <w:tr w:rsidR="003768D5" w14:paraId="731FE5A2" w14:textId="77777777">
        <w:trPr>
          <w:jc w:val="center"/>
        </w:trPr>
        <w:tc>
          <w:tcPr>
            <w:tcW w:w="1008" w:type="dxa"/>
            <w:tcBorders>
              <w:top w:val="nil"/>
              <w:bottom w:val="nil"/>
            </w:tcBorders>
            <w:vAlign w:val="center"/>
          </w:tcPr>
          <w:p w14:paraId="6135B3B2" w14:textId="77777777" w:rsidR="003768D5" w:rsidRDefault="005468AB">
            <w:pPr>
              <w:widowControl w:val="0"/>
              <w:spacing w:line="360" w:lineRule="auto"/>
              <w:jc w:val="center"/>
              <w:rPr>
                <w:rFonts w:ascii="Arial" w:hAnsi="Arial" w:cs="Arial"/>
                <w:sz w:val="16"/>
                <w:szCs w:val="16"/>
              </w:rPr>
            </w:pPr>
            <w:r>
              <w:rPr>
                <w:rFonts w:ascii="Arial" w:hAnsi="Arial" w:cs="Arial"/>
                <w:color w:val="000000"/>
                <w:sz w:val="16"/>
                <w:szCs w:val="16"/>
                <w:lang w:eastAsia="zh-CN"/>
              </w:rPr>
              <w:t>February</w:t>
            </w:r>
          </w:p>
        </w:tc>
        <w:tc>
          <w:tcPr>
            <w:tcW w:w="742" w:type="dxa"/>
            <w:tcBorders>
              <w:top w:val="nil"/>
              <w:bottom w:val="nil"/>
            </w:tcBorders>
            <w:vAlign w:val="center"/>
          </w:tcPr>
          <w:p w14:paraId="643BAA6C"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454.03</w:t>
            </w:r>
          </w:p>
        </w:tc>
        <w:tc>
          <w:tcPr>
            <w:tcW w:w="750" w:type="dxa"/>
            <w:tcBorders>
              <w:top w:val="nil"/>
              <w:bottom w:val="nil"/>
            </w:tcBorders>
            <w:vAlign w:val="center"/>
          </w:tcPr>
          <w:p w14:paraId="6005ED9D"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966.94</w:t>
            </w:r>
          </w:p>
        </w:tc>
        <w:tc>
          <w:tcPr>
            <w:tcW w:w="713" w:type="dxa"/>
            <w:tcBorders>
              <w:top w:val="nil"/>
              <w:bottom w:val="nil"/>
            </w:tcBorders>
            <w:vAlign w:val="center"/>
          </w:tcPr>
          <w:p w14:paraId="5E798DF4"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563.14</w:t>
            </w:r>
          </w:p>
        </w:tc>
        <w:tc>
          <w:tcPr>
            <w:tcW w:w="757" w:type="dxa"/>
            <w:tcBorders>
              <w:top w:val="nil"/>
              <w:bottom w:val="nil"/>
            </w:tcBorders>
            <w:vAlign w:val="center"/>
          </w:tcPr>
          <w:p w14:paraId="7847B562"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558.09</w:t>
            </w:r>
          </w:p>
        </w:tc>
        <w:tc>
          <w:tcPr>
            <w:tcW w:w="795" w:type="dxa"/>
            <w:tcBorders>
              <w:top w:val="nil"/>
              <w:bottom w:val="nil"/>
            </w:tcBorders>
            <w:vAlign w:val="center"/>
          </w:tcPr>
          <w:p w14:paraId="72067872"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549.68</w:t>
            </w:r>
          </w:p>
        </w:tc>
        <w:tc>
          <w:tcPr>
            <w:tcW w:w="818" w:type="dxa"/>
            <w:tcBorders>
              <w:top w:val="nil"/>
              <w:bottom w:val="nil"/>
            </w:tcBorders>
            <w:vAlign w:val="center"/>
          </w:tcPr>
          <w:p w14:paraId="7D479363"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672.68</w:t>
            </w:r>
          </w:p>
        </w:tc>
        <w:tc>
          <w:tcPr>
            <w:tcW w:w="832" w:type="dxa"/>
            <w:tcBorders>
              <w:top w:val="nil"/>
              <w:bottom w:val="nil"/>
            </w:tcBorders>
            <w:vAlign w:val="center"/>
          </w:tcPr>
          <w:p w14:paraId="3DEE4569"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740.47</w:t>
            </w:r>
          </w:p>
        </w:tc>
        <w:tc>
          <w:tcPr>
            <w:tcW w:w="833" w:type="dxa"/>
            <w:tcBorders>
              <w:top w:val="nil"/>
              <w:bottom w:val="nil"/>
            </w:tcBorders>
            <w:vAlign w:val="center"/>
          </w:tcPr>
          <w:p w14:paraId="78E99E24"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603.47</w:t>
            </w:r>
          </w:p>
        </w:tc>
        <w:tc>
          <w:tcPr>
            <w:tcW w:w="885" w:type="dxa"/>
            <w:tcBorders>
              <w:top w:val="nil"/>
              <w:bottom w:val="nil"/>
            </w:tcBorders>
            <w:vAlign w:val="center"/>
          </w:tcPr>
          <w:p w14:paraId="3564B27B"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736</w:t>
            </w:r>
          </w:p>
        </w:tc>
      </w:tr>
      <w:tr w:rsidR="003768D5" w14:paraId="1F2B29D8" w14:textId="77777777">
        <w:trPr>
          <w:jc w:val="center"/>
        </w:trPr>
        <w:tc>
          <w:tcPr>
            <w:tcW w:w="1008" w:type="dxa"/>
            <w:tcBorders>
              <w:top w:val="nil"/>
              <w:bottom w:val="nil"/>
            </w:tcBorders>
            <w:vAlign w:val="center"/>
          </w:tcPr>
          <w:p w14:paraId="29B96699" w14:textId="77777777" w:rsidR="003768D5" w:rsidRDefault="005468AB">
            <w:pPr>
              <w:widowControl w:val="0"/>
              <w:spacing w:line="360" w:lineRule="auto"/>
              <w:jc w:val="center"/>
              <w:rPr>
                <w:rFonts w:ascii="Arial" w:hAnsi="Arial" w:cs="Arial"/>
                <w:sz w:val="16"/>
                <w:szCs w:val="16"/>
              </w:rPr>
            </w:pPr>
            <w:r>
              <w:rPr>
                <w:rFonts w:ascii="Arial" w:hAnsi="Arial" w:cs="Arial"/>
                <w:color w:val="000000"/>
                <w:sz w:val="16"/>
                <w:szCs w:val="16"/>
                <w:lang w:eastAsia="zh-CN"/>
              </w:rPr>
              <w:t>March</w:t>
            </w:r>
          </w:p>
        </w:tc>
        <w:tc>
          <w:tcPr>
            <w:tcW w:w="742" w:type="dxa"/>
            <w:tcBorders>
              <w:top w:val="nil"/>
              <w:bottom w:val="nil"/>
            </w:tcBorders>
            <w:vAlign w:val="center"/>
          </w:tcPr>
          <w:p w14:paraId="48A1C10A"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516.98</w:t>
            </w:r>
          </w:p>
        </w:tc>
        <w:tc>
          <w:tcPr>
            <w:tcW w:w="750" w:type="dxa"/>
            <w:tcBorders>
              <w:top w:val="nil"/>
              <w:bottom w:val="nil"/>
            </w:tcBorders>
            <w:vAlign w:val="center"/>
          </w:tcPr>
          <w:p w14:paraId="00778516"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863.07</w:t>
            </w:r>
          </w:p>
        </w:tc>
        <w:tc>
          <w:tcPr>
            <w:tcW w:w="713" w:type="dxa"/>
            <w:tcBorders>
              <w:top w:val="nil"/>
              <w:bottom w:val="nil"/>
            </w:tcBorders>
            <w:vAlign w:val="center"/>
          </w:tcPr>
          <w:p w14:paraId="0439586A"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554.57</w:t>
            </w:r>
          </w:p>
        </w:tc>
        <w:tc>
          <w:tcPr>
            <w:tcW w:w="757" w:type="dxa"/>
            <w:tcBorders>
              <w:top w:val="nil"/>
              <w:bottom w:val="nil"/>
            </w:tcBorders>
            <w:vAlign w:val="center"/>
          </w:tcPr>
          <w:p w14:paraId="27018F8F"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592.62</w:t>
            </w:r>
          </w:p>
        </w:tc>
        <w:tc>
          <w:tcPr>
            <w:tcW w:w="795" w:type="dxa"/>
            <w:tcBorders>
              <w:top w:val="nil"/>
              <w:bottom w:val="nil"/>
            </w:tcBorders>
            <w:vAlign w:val="center"/>
          </w:tcPr>
          <w:p w14:paraId="01ED3701"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517.45</w:t>
            </w:r>
          </w:p>
        </w:tc>
        <w:tc>
          <w:tcPr>
            <w:tcW w:w="818" w:type="dxa"/>
            <w:tcBorders>
              <w:top w:val="nil"/>
              <w:bottom w:val="nil"/>
            </w:tcBorders>
            <w:vAlign w:val="center"/>
          </w:tcPr>
          <w:p w14:paraId="0463D195"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707.89</w:t>
            </w:r>
          </w:p>
        </w:tc>
        <w:tc>
          <w:tcPr>
            <w:tcW w:w="832" w:type="dxa"/>
            <w:tcBorders>
              <w:top w:val="nil"/>
              <w:bottom w:val="nil"/>
            </w:tcBorders>
            <w:vAlign w:val="center"/>
          </w:tcPr>
          <w:p w14:paraId="046C0369"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723.59</w:t>
            </w:r>
          </w:p>
        </w:tc>
        <w:tc>
          <w:tcPr>
            <w:tcW w:w="833" w:type="dxa"/>
            <w:tcBorders>
              <w:top w:val="nil"/>
              <w:bottom w:val="nil"/>
            </w:tcBorders>
            <w:vAlign w:val="center"/>
          </w:tcPr>
          <w:p w14:paraId="3ECB7D6F"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593.41</w:t>
            </w:r>
          </w:p>
        </w:tc>
        <w:tc>
          <w:tcPr>
            <w:tcW w:w="885" w:type="dxa"/>
            <w:tcBorders>
              <w:top w:val="nil"/>
              <w:bottom w:val="nil"/>
            </w:tcBorders>
            <w:vAlign w:val="center"/>
          </w:tcPr>
          <w:p w14:paraId="1F97D74B"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767.47</w:t>
            </w:r>
          </w:p>
        </w:tc>
      </w:tr>
      <w:tr w:rsidR="003768D5" w14:paraId="3C540934" w14:textId="77777777">
        <w:trPr>
          <w:trHeight w:val="222"/>
          <w:jc w:val="center"/>
        </w:trPr>
        <w:tc>
          <w:tcPr>
            <w:tcW w:w="1008" w:type="dxa"/>
            <w:tcBorders>
              <w:top w:val="nil"/>
              <w:bottom w:val="nil"/>
            </w:tcBorders>
            <w:vAlign w:val="center"/>
          </w:tcPr>
          <w:p w14:paraId="55F115E4" w14:textId="77777777" w:rsidR="003768D5" w:rsidRDefault="005468AB">
            <w:pPr>
              <w:widowControl w:val="0"/>
              <w:spacing w:line="360" w:lineRule="auto"/>
              <w:jc w:val="center"/>
              <w:rPr>
                <w:rFonts w:ascii="Arial" w:hAnsi="Arial" w:cs="Arial"/>
                <w:sz w:val="16"/>
                <w:szCs w:val="16"/>
              </w:rPr>
            </w:pPr>
            <w:r>
              <w:rPr>
                <w:rFonts w:ascii="Arial" w:hAnsi="Arial" w:cs="Arial"/>
                <w:color w:val="000000"/>
                <w:sz w:val="16"/>
                <w:szCs w:val="16"/>
                <w:lang w:eastAsia="zh-CN"/>
              </w:rPr>
              <w:t>April</w:t>
            </w:r>
          </w:p>
        </w:tc>
        <w:tc>
          <w:tcPr>
            <w:tcW w:w="742" w:type="dxa"/>
            <w:tcBorders>
              <w:top w:val="nil"/>
              <w:bottom w:val="nil"/>
            </w:tcBorders>
            <w:vAlign w:val="center"/>
          </w:tcPr>
          <w:p w14:paraId="1CE19E2D"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572.43</w:t>
            </w:r>
          </w:p>
        </w:tc>
        <w:tc>
          <w:tcPr>
            <w:tcW w:w="750" w:type="dxa"/>
            <w:tcBorders>
              <w:top w:val="nil"/>
              <w:bottom w:val="nil"/>
            </w:tcBorders>
            <w:vAlign w:val="center"/>
          </w:tcPr>
          <w:p w14:paraId="167DEFBA"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719.25</w:t>
            </w:r>
          </w:p>
        </w:tc>
        <w:tc>
          <w:tcPr>
            <w:tcW w:w="713" w:type="dxa"/>
            <w:tcBorders>
              <w:top w:val="nil"/>
              <w:bottom w:val="nil"/>
            </w:tcBorders>
            <w:vAlign w:val="center"/>
          </w:tcPr>
          <w:p w14:paraId="78628211"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528.9</w:t>
            </w:r>
          </w:p>
        </w:tc>
        <w:tc>
          <w:tcPr>
            <w:tcW w:w="757" w:type="dxa"/>
            <w:tcBorders>
              <w:top w:val="nil"/>
              <w:bottom w:val="nil"/>
            </w:tcBorders>
            <w:vAlign w:val="center"/>
          </w:tcPr>
          <w:p w14:paraId="7624BBA9"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613.86</w:t>
            </w:r>
          </w:p>
        </w:tc>
        <w:tc>
          <w:tcPr>
            <w:tcW w:w="795" w:type="dxa"/>
            <w:tcBorders>
              <w:top w:val="nil"/>
              <w:bottom w:val="nil"/>
            </w:tcBorders>
            <w:vAlign w:val="center"/>
          </w:tcPr>
          <w:p w14:paraId="7A403B67"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472.64</w:t>
            </w:r>
          </w:p>
        </w:tc>
        <w:tc>
          <w:tcPr>
            <w:tcW w:w="818" w:type="dxa"/>
            <w:tcBorders>
              <w:top w:val="nil"/>
              <w:bottom w:val="nil"/>
            </w:tcBorders>
            <w:vAlign w:val="center"/>
          </w:tcPr>
          <w:p w14:paraId="0D33C5BF"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667.85</w:t>
            </w:r>
          </w:p>
        </w:tc>
        <w:tc>
          <w:tcPr>
            <w:tcW w:w="832" w:type="dxa"/>
            <w:tcBorders>
              <w:top w:val="nil"/>
              <w:bottom w:val="nil"/>
            </w:tcBorders>
            <w:vAlign w:val="center"/>
          </w:tcPr>
          <w:p w14:paraId="1635F673"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718.03</w:t>
            </w:r>
          </w:p>
        </w:tc>
        <w:tc>
          <w:tcPr>
            <w:tcW w:w="833" w:type="dxa"/>
            <w:tcBorders>
              <w:top w:val="nil"/>
              <w:bottom w:val="nil"/>
            </w:tcBorders>
            <w:vAlign w:val="center"/>
          </w:tcPr>
          <w:p w14:paraId="2F3C46E3"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592.62</w:t>
            </w:r>
          </w:p>
        </w:tc>
        <w:tc>
          <w:tcPr>
            <w:tcW w:w="885" w:type="dxa"/>
            <w:tcBorders>
              <w:top w:val="nil"/>
              <w:bottom w:val="nil"/>
            </w:tcBorders>
            <w:vAlign w:val="center"/>
          </w:tcPr>
          <w:p w14:paraId="36783347"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765.21</w:t>
            </w:r>
          </w:p>
        </w:tc>
      </w:tr>
      <w:tr w:rsidR="003768D5" w14:paraId="2663A47F" w14:textId="77777777">
        <w:trPr>
          <w:jc w:val="center"/>
        </w:trPr>
        <w:tc>
          <w:tcPr>
            <w:tcW w:w="1008" w:type="dxa"/>
            <w:tcBorders>
              <w:top w:val="nil"/>
              <w:bottom w:val="nil"/>
            </w:tcBorders>
            <w:vAlign w:val="center"/>
          </w:tcPr>
          <w:p w14:paraId="7EF1E4A2" w14:textId="77777777" w:rsidR="003768D5" w:rsidRDefault="005468AB">
            <w:pPr>
              <w:widowControl w:val="0"/>
              <w:spacing w:line="360" w:lineRule="auto"/>
              <w:jc w:val="center"/>
              <w:rPr>
                <w:rFonts w:ascii="Arial" w:hAnsi="Arial" w:cs="Arial"/>
                <w:sz w:val="16"/>
                <w:szCs w:val="16"/>
              </w:rPr>
            </w:pPr>
            <w:r>
              <w:rPr>
                <w:rFonts w:ascii="Arial" w:hAnsi="Arial" w:cs="Arial"/>
                <w:color w:val="000000"/>
                <w:sz w:val="16"/>
                <w:szCs w:val="16"/>
                <w:lang w:eastAsia="zh-CN"/>
              </w:rPr>
              <w:t>May</w:t>
            </w:r>
          </w:p>
        </w:tc>
        <w:tc>
          <w:tcPr>
            <w:tcW w:w="742" w:type="dxa"/>
            <w:tcBorders>
              <w:top w:val="nil"/>
              <w:bottom w:val="nil"/>
            </w:tcBorders>
            <w:vAlign w:val="center"/>
          </w:tcPr>
          <w:p w14:paraId="20DD0567"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542.98</w:t>
            </w:r>
          </w:p>
        </w:tc>
        <w:tc>
          <w:tcPr>
            <w:tcW w:w="750" w:type="dxa"/>
            <w:tcBorders>
              <w:top w:val="nil"/>
              <w:bottom w:val="nil"/>
            </w:tcBorders>
            <w:vAlign w:val="center"/>
          </w:tcPr>
          <w:p w14:paraId="5A24FF48"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650.05</w:t>
            </w:r>
          </w:p>
        </w:tc>
        <w:tc>
          <w:tcPr>
            <w:tcW w:w="713" w:type="dxa"/>
            <w:tcBorders>
              <w:top w:val="nil"/>
              <w:bottom w:val="nil"/>
            </w:tcBorders>
            <w:vAlign w:val="center"/>
          </w:tcPr>
          <w:p w14:paraId="58625634"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561.11</w:t>
            </w:r>
          </w:p>
        </w:tc>
        <w:tc>
          <w:tcPr>
            <w:tcW w:w="757" w:type="dxa"/>
            <w:tcBorders>
              <w:top w:val="nil"/>
              <w:bottom w:val="nil"/>
            </w:tcBorders>
            <w:vAlign w:val="center"/>
          </w:tcPr>
          <w:p w14:paraId="4F91FC0E"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625.65</w:t>
            </w:r>
          </w:p>
        </w:tc>
        <w:tc>
          <w:tcPr>
            <w:tcW w:w="795" w:type="dxa"/>
            <w:tcBorders>
              <w:top w:val="nil"/>
              <w:bottom w:val="nil"/>
            </w:tcBorders>
            <w:vAlign w:val="center"/>
          </w:tcPr>
          <w:p w14:paraId="2E7F85E5"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476.13</w:t>
            </w:r>
          </w:p>
        </w:tc>
        <w:tc>
          <w:tcPr>
            <w:tcW w:w="818" w:type="dxa"/>
            <w:tcBorders>
              <w:top w:val="nil"/>
              <w:bottom w:val="nil"/>
            </w:tcBorders>
            <w:vAlign w:val="center"/>
          </w:tcPr>
          <w:p w14:paraId="6D406FBD"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686.09</w:t>
            </w:r>
          </w:p>
        </w:tc>
        <w:tc>
          <w:tcPr>
            <w:tcW w:w="832" w:type="dxa"/>
            <w:tcBorders>
              <w:top w:val="nil"/>
              <w:bottom w:val="nil"/>
            </w:tcBorders>
            <w:vAlign w:val="center"/>
          </w:tcPr>
          <w:p w14:paraId="5C0BA5C9"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701.86</w:t>
            </w:r>
          </w:p>
        </w:tc>
        <w:tc>
          <w:tcPr>
            <w:tcW w:w="833" w:type="dxa"/>
            <w:tcBorders>
              <w:top w:val="nil"/>
              <w:bottom w:val="nil"/>
            </w:tcBorders>
            <w:vAlign w:val="center"/>
          </w:tcPr>
          <w:p w14:paraId="45E4013C"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605.76</w:t>
            </w:r>
          </w:p>
        </w:tc>
        <w:tc>
          <w:tcPr>
            <w:tcW w:w="885" w:type="dxa"/>
            <w:tcBorders>
              <w:top w:val="nil"/>
              <w:bottom w:val="nil"/>
            </w:tcBorders>
            <w:vAlign w:val="center"/>
          </w:tcPr>
          <w:p w14:paraId="5710463E"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789.55</w:t>
            </w:r>
          </w:p>
        </w:tc>
      </w:tr>
      <w:tr w:rsidR="003768D5" w14:paraId="162E73A3" w14:textId="77777777">
        <w:trPr>
          <w:jc w:val="center"/>
        </w:trPr>
        <w:tc>
          <w:tcPr>
            <w:tcW w:w="1008" w:type="dxa"/>
            <w:tcBorders>
              <w:top w:val="nil"/>
              <w:bottom w:val="nil"/>
            </w:tcBorders>
            <w:vAlign w:val="center"/>
          </w:tcPr>
          <w:p w14:paraId="57AA6C29" w14:textId="77777777" w:rsidR="003768D5" w:rsidRDefault="005468AB">
            <w:pPr>
              <w:widowControl w:val="0"/>
              <w:spacing w:line="360" w:lineRule="auto"/>
              <w:jc w:val="center"/>
              <w:rPr>
                <w:rFonts w:ascii="Arial" w:hAnsi="Arial" w:cs="Arial"/>
                <w:sz w:val="16"/>
                <w:szCs w:val="16"/>
              </w:rPr>
            </w:pPr>
            <w:r>
              <w:rPr>
                <w:rFonts w:ascii="Arial" w:hAnsi="Arial" w:cs="Arial"/>
                <w:color w:val="000000"/>
                <w:sz w:val="16"/>
                <w:szCs w:val="16"/>
                <w:lang w:eastAsia="zh-CN"/>
              </w:rPr>
              <w:t>June</w:t>
            </w:r>
          </w:p>
        </w:tc>
        <w:tc>
          <w:tcPr>
            <w:tcW w:w="742" w:type="dxa"/>
            <w:tcBorders>
              <w:top w:val="nil"/>
              <w:bottom w:val="nil"/>
            </w:tcBorders>
            <w:vAlign w:val="center"/>
          </w:tcPr>
          <w:p w14:paraId="40043A6F"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510.62</w:t>
            </w:r>
          </w:p>
        </w:tc>
        <w:tc>
          <w:tcPr>
            <w:tcW w:w="750" w:type="dxa"/>
            <w:tcBorders>
              <w:top w:val="nil"/>
              <w:bottom w:val="nil"/>
            </w:tcBorders>
            <w:vAlign w:val="center"/>
          </w:tcPr>
          <w:p w14:paraId="7D42907C"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602.71</w:t>
            </w:r>
          </w:p>
        </w:tc>
        <w:tc>
          <w:tcPr>
            <w:tcW w:w="713" w:type="dxa"/>
            <w:tcBorders>
              <w:top w:val="nil"/>
              <w:bottom w:val="nil"/>
            </w:tcBorders>
            <w:vAlign w:val="center"/>
          </w:tcPr>
          <w:p w14:paraId="7DADCEEB"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545.2</w:t>
            </w:r>
          </w:p>
        </w:tc>
        <w:tc>
          <w:tcPr>
            <w:tcW w:w="757" w:type="dxa"/>
            <w:tcBorders>
              <w:top w:val="nil"/>
              <w:bottom w:val="nil"/>
            </w:tcBorders>
            <w:vAlign w:val="center"/>
          </w:tcPr>
          <w:p w14:paraId="0FE8008A"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623.92</w:t>
            </w:r>
          </w:p>
        </w:tc>
        <w:tc>
          <w:tcPr>
            <w:tcW w:w="795" w:type="dxa"/>
            <w:tcBorders>
              <w:top w:val="nil"/>
              <w:bottom w:val="nil"/>
            </w:tcBorders>
            <w:vAlign w:val="center"/>
          </w:tcPr>
          <w:p w14:paraId="526968A7"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484.33</w:t>
            </w:r>
          </w:p>
        </w:tc>
        <w:tc>
          <w:tcPr>
            <w:tcW w:w="818" w:type="dxa"/>
            <w:tcBorders>
              <w:top w:val="nil"/>
              <w:bottom w:val="nil"/>
            </w:tcBorders>
            <w:vAlign w:val="center"/>
          </w:tcPr>
          <w:p w14:paraId="30E0A330"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668.86</w:t>
            </w:r>
          </w:p>
        </w:tc>
        <w:tc>
          <w:tcPr>
            <w:tcW w:w="832" w:type="dxa"/>
            <w:tcBorders>
              <w:top w:val="nil"/>
              <w:bottom w:val="nil"/>
            </w:tcBorders>
            <w:vAlign w:val="center"/>
          </w:tcPr>
          <w:p w14:paraId="34E13E15"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710.29</w:t>
            </w:r>
          </w:p>
        </w:tc>
        <w:tc>
          <w:tcPr>
            <w:tcW w:w="833" w:type="dxa"/>
            <w:tcBorders>
              <w:top w:val="nil"/>
              <w:bottom w:val="nil"/>
            </w:tcBorders>
            <w:vAlign w:val="center"/>
          </w:tcPr>
          <w:p w14:paraId="401776B5"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608.375</w:t>
            </w:r>
          </w:p>
        </w:tc>
        <w:tc>
          <w:tcPr>
            <w:tcW w:w="885" w:type="dxa"/>
            <w:tcBorders>
              <w:top w:val="nil"/>
              <w:bottom w:val="nil"/>
            </w:tcBorders>
            <w:vAlign w:val="center"/>
          </w:tcPr>
          <w:p w14:paraId="5F31D7BE"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816.03</w:t>
            </w:r>
          </w:p>
        </w:tc>
      </w:tr>
      <w:tr w:rsidR="003768D5" w14:paraId="65ED6DCC" w14:textId="77777777">
        <w:trPr>
          <w:jc w:val="center"/>
        </w:trPr>
        <w:tc>
          <w:tcPr>
            <w:tcW w:w="1008" w:type="dxa"/>
            <w:tcBorders>
              <w:top w:val="nil"/>
              <w:bottom w:val="nil"/>
            </w:tcBorders>
            <w:vAlign w:val="center"/>
          </w:tcPr>
          <w:p w14:paraId="0F16DF01" w14:textId="77777777" w:rsidR="003768D5" w:rsidRDefault="005468AB">
            <w:pPr>
              <w:widowControl w:val="0"/>
              <w:spacing w:line="360" w:lineRule="auto"/>
              <w:jc w:val="center"/>
              <w:rPr>
                <w:rFonts w:ascii="Arial" w:hAnsi="Arial" w:cs="Arial"/>
                <w:sz w:val="16"/>
                <w:szCs w:val="16"/>
              </w:rPr>
            </w:pPr>
            <w:r>
              <w:rPr>
                <w:rFonts w:ascii="Arial" w:hAnsi="Arial" w:cs="Arial"/>
                <w:color w:val="000000"/>
                <w:sz w:val="16"/>
                <w:szCs w:val="16"/>
                <w:lang w:eastAsia="zh-CN"/>
              </w:rPr>
              <w:t>July</w:t>
            </w:r>
          </w:p>
        </w:tc>
        <w:tc>
          <w:tcPr>
            <w:tcW w:w="742" w:type="dxa"/>
            <w:tcBorders>
              <w:top w:val="nil"/>
              <w:bottom w:val="nil"/>
            </w:tcBorders>
            <w:vAlign w:val="center"/>
          </w:tcPr>
          <w:p w14:paraId="7B75D1F9"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507.78</w:t>
            </w:r>
          </w:p>
        </w:tc>
        <w:tc>
          <w:tcPr>
            <w:tcW w:w="750" w:type="dxa"/>
            <w:tcBorders>
              <w:top w:val="nil"/>
              <w:bottom w:val="nil"/>
            </w:tcBorders>
            <w:vAlign w:val="center"/>
          </w:tcPr>
          <w:p w14:paraId="72052887"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635.24</w:t>
            </w:r>
          </w:p>
        </w:tc>
        <w:tc>
          <w:tcPr>
            <w:tcW w:w="713" w:type="dxa"/>
            <w:tcBorders>
              <w:top w:val="nil"/>
              <w:bottom w:val="nil"/>
            </w:tcBorders>
            <w:vAlign w:val="center"/>
          </w:tcPr>
          <w:p w14:paraId="4AF0B29C"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527.8</w:t>
            </w:r>
          </w:p>
        </w:tc>
        <w:tc>
          <w:tcPr>
            <w:tcW w:w="757" w:type="dxa"/>
            <w:tcBorders>
              <w:top w:val="nil"/>
              <w:bottom w:val="nil"/>
            </w:tcBorders>
            <w:vAlign w:val="center"/>
          </w:tcPr>
          <w:p w14:paraId="0F00F659"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580.82</w:t>
            </w:r>
          </w:p>
        </w:tc>
        <w:tc>
          <w:tcPr>
            <w:tcW w:w="795" w:type="dxa"/>
            <w:tcBorders>
              <w:top w:val="nil"/>
              <w:bottom w:val="nil"/>
            </w:tcBorders>
            <w:vAlign w:val="center"/>
          </w:tcPr>
          <w:p w14:paraId="32F7687C"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497.86</w:t>
            </w:r>
          </w:p>
        </w:tc>
        <w:tc>
          <w:tcPr>
            <w:tcW w:w="818" w:type="dxa"/>
            <w:tcBorders>
              <w:top w:val="nil"/>
              <w:bottom w:val="nil"/>
            </w:tcBorders>
            <w:vAlign w:val="center"/>
          </w:tcPr>
          <w:p w14:paraId="587020B5"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678.69</w:t>
            </w:r>
          </w:p>
        </w:tc>
        <w:tc>
          <w:tcPr>
            <w:tcW w:w="832" w:type="dxa"/>
            <w:tcBorders>
              <w:top w:val="nil"/>
              <w:bottom w:val="nil"/>
            </w:tcBorders>
            <w:vAlign w:val="center"/>
          </w:tcPr>
          <w:p w14:paraId="60A39A6A"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693.25</w:t>
            </w:r>
          </w:p>
        </w:tc>
        <w:tc>
          <w:tcPr>
            <w:tcW w:w="833" w:type="dxa"/>
            <w:tcBorders>
              <w:top w:val="nil"/>
              <w:bottom w:val="nil"/>
            </w:tcBorders>
            <w:vAlign w:val="center"/>
          </w:tcPr>
          <w:p w14:paraId="7F67CC77"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594.43</w:t>
            </w:r>
          </w:p>
        </w:tc>
        <w:tc>
          <w:tcPr>
            <w:tcW w:w="885" w:type="dxa"/>
            <w:tcBorders>
              <w:top w:val="nil"/>
              <w:bottom w:val="nil"/>
            </w:tcBorders>
            <w:vAlign w:val="center"/>
          </w:tcPr>
          <w:p w14:paraId="4C1BEA04"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777.2</w:t>
            </w:r>
          </w:p>
        </w:tc>
      </w:tr>
      <w:tr w:rsidR="003768D5" w14:paraId="2CC5E477" w14:textId="77777777">
        <w:trPr>
          <w:jc w:val="center"/>
        </w:trPr>
        <w:tc>
          <w:tcPr>
            <w:tcW w:w="1008" w:type="dxa"/>
            <w:tcBorders>
              <w:top w:val="nil"/>
              <w:bottom w:val="nil"/>
            </w:tcBorders>
            <w:vAlign w:val="center"/>
          </w:tcPr>
          <w:p w14:paraId="609A1CD9" w14:textId="77777777" w:rsidR="003768D5" w:rsidRDefault="005468AB">
            <w:pPr>
              <w:widowControl w:val="0"/>
              <w:spacing w:line="360" w:lineRule="auto"/>
              <w:jc w:val="center"/>
              <w:rPr>
                <w:rFonts w:ascii="Arial" w:hAnsi="Arial" w:cs="Arial"/>
                <w:sz w:val="16"/>
                <w:szCs w:val="16"/>
              </w:rPr>
            </w:pPr>
            <w:r>
              <w:rPr>
                <w:rFonts w:ascii="Arial" w:hAnsi="Arial" w:cs="Arial"/>
                <w:color w:val="000000"/>
                <w:sz w:val="16"/>
                <w:szCs w:val="16"/>
                <w:lang w:eastAsia="zh-CN"/>
              </w:rPr>
              <w:t>August</w:t>
            </w:r>
          </w:p>
        </w:tc>
        <w:tc>
          <w:tcPr>
            <w:tcW w:w="742" w:type="dxa"/>
            <w:tcBorders>
              <w:top w:val="nil"/>
              <w:bottom w:val="nil"/>
            </w:tcBorders>
            <w:vAlign w:val="center"/>
          </w:tcPr>
          <w:p w14:paraId="1351A6B3"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515.00</w:t>
            </w:r>
          </w:p>
        </w:tc>
        <w:tc>
          <w:tcPr>
            <w:tcW w:w="750" w:type="dxa"/>
            <w:tcBorders>
              <w:top w:val="nil"/>
              <w:bottom w:val="nil"/>
            </w:tcBorders>
            <w:vAlign w:val="center"/>
          </w:tcPr>
          <w:p w14:paraId="3E74C9CA"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644.25</w:t>
            </w:r>
          </w:p>
        </w:tc>
        <w:tc>
          <w:tcPr>
            <w:tcW w:w="713" w:type="dxa"/>
            <w:tcBorders>
              <w:top w:val="nil"/>
              <w:bottom w:val="nil"/>
            </w:tcBorders>
            <w:vAlign w:val="center"/>
          </w:tcPr>
          <w:p w14:paraId="216E1D08"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542.98</w:t>
            </w:r>
          </w:p>
        </w:tc>
        <w:tc>
          <w:tcPr>
            <w:tcW w:w="757" w:type="dxa"/>
            <w:tcBorders>
              <w:top w:val="nil"/>
              <w:bottom w:val="nil"/>
            </w:tcBorders>
            <w:vAlign w:val="center"/>
          </w:tcPr>
          <w:p w14:paraId="185C7CCC"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542.48</w:t>
            </w:r>
          </w:p>
        </w:tc>
        <w:tc>
          <w:tcPr>
            <w:tcW w:w="795" w:type="dxa"/>
            <w:tcBorders>
              <w:top w:val="nil"/>
              <w:bottom w:val="nil"/>
            </w:tcBorders>
            <w:vAlign w:val="center"/>
          </w:tcPr>
          <w:p w14:paraId="2F2C5D20"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538.68</w:t>
            </w:r>
          </w:p>
        </w:tc>
        <w:tc>
          <w:tcPr>
            <w:tcW w:w="818" w:type="dxa"/>
            <w:tcBorders>
              <w:top w:val="nil"/>
              <w:bottom w:val="nil"/>
            </w:tcBorders>
            <w:vAlign w:val="center"/>
          </w:tcPr>
          <w:p w14:paraId="53FD653F"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717.65</w:t>
            </w:r>
          </w:p>
        </w:tc>
        <w:tc>
          <w:tcPr>
            <w:tcW w:w="832" w:type="dxa"/>
            <w:tcBorders>
              <w:top w:val="nil"/>
              <w:bottom w:val="nil"/>
            </w:tcBorders>
            <w:vAlign w:val="center"/>
          </w:tcPr>
          <w:p w14:paraId="3B220CCF"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657.61</w:t>
            </w:r>
          </w:p>
        </w:tc>
        <w:tc>
          <w:tcPr>
            <w:tcW w:w="833" w:type="dxa"/>
            <w:tcBorders>
              <w:top w:val="nil"/>
              <w:bottom w:val="nil"/>
            </w:tcBorders>
            <w:vAlign w:val="center"/>
          </w:tcPr>
          <w:p w14:paraId="245242C2"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590.14</w:t>
            </w:r>
          </w:p>
        </w:tc>
        <w:tc>
          <w:tcPr>
            <w:tcW w:w="885" w:type="dxa"/>
            <w:tcBorders>
              <w:top w:val="nil"/>
              <w:bottom w:val="nil"/>
            </w:tcBorders>
            <w:vAlign w:val="center"/>
          </w:tcPr>
          <w:p w14:paraId="02D7D2FD"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781.43</w:t>
            </w:r>
          </w:p>
        </w:tc>
      </w:tr>
      <w:tr w:rsidR="003768D5" w14:paraId="10E3DD6C" w14:textId="77777777">
        <w:trPr>
          <w:jc w:val="center"/>
        </w:trPr>
        <w:tc>
          <w:tcPr>
            <w:tcW w:w="1008" w:type="dxa"/>
            <w:tcBorders>
              <w:top w:val="nil"/>
              <w:bottom w:val="nil"/>
            </w:tcBorders>
            <w:vAlign w:val="center"/>
          </w:tcPr>
          <w:p w14:paraId="3EDA77AF" w14:textId="77777777" w:rsidR="003768D5" w:rsidRDefault="005468AB">
            <w:pPr>
              <w:widowControl w:val="0"/>
              <w:spacing w:line="360" w:lineRule="auto"/>
              <w:jc w:val="center"/>
              <w:rPr>
                <w:rFonts w:ascii="Arial" w:hAnsi="Arial" w:cs="Arial"/>
                <w:sz w:val="16"/>
                <w:szCs w:val="16"/>
              </w:rPr>
            </w:pPr>
            <w:r>
              <w:rPr>
                <w:rFonts w:ascii="Arial" w:hAnsi="Arial" w:cs="Arial"/>
                <w:color w:val="000000"/>
                <w:sz w:val="16"/>
                <w:szCs w:val="16"/>
                <w:lang w:eastAsia="zh-CN"/>
              </w:rPr>
              <w:t>September</w:t>
            </w:r>
          </w:p>
        </w:tc>
        <w:tc>
          <w:tcPr>
            <w:tcW w:w="742" w:type="dxa"/>
            <w:tcBorders>
              <w:top w:val="nil"/>
              <w:bottom w:val="nil"/>
            </w:tcBorders>
            <w:vAlign w:val="center"/>
          </w:tcPr>
          <w:p w14:paraId="5E2E45DF"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550.98</w:t>
            </w:r>
          </w:p>
        </w:tc>
        <w:tc>
          <w:tcPr>
            <w:tcW w:w="750" w:type="dxa"/>
            <w:tcBorders>
              <w:top w:val="nil"/>
              <w:bottom w:val="nil"/>
            </w:tcBorders>
            <w:vAlign w:val="center"/>
          </w:tcPr>
          <w:p w14:paraId="303B58ED"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660.5</w:t>
            </w:r>
          </w:p>
        </w:tc>
        <w:tc>
          <w:tcPr>
            <w:tcW w:w="713" w:type="dxa"/>
            <w:tcBorders>
              <w:top w:val="nil"/>
              <w:bottom w:val="nil"/>
            </w:tcBorders>
            <w:vAlign w:val="center"/>
          </w:tcPr>
          <w:p w14:paraId="6FCF3890"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544.29</w:t>
            </w:r>
          </w:p>
        </w:tc>
        <w:tc>
          <w:tcPr>
            <w:tcW w:w="757" w:type="dxa"/>
            <w:tcBorders>
              <w:top w:val="nil"/>
              <w:bottom w:val="nil"/>
            </w:tcBorders>
            <w:vAlign w:val="center"/>
          </w:tcPr>
          <w:p w14:paraId="7BB9DC8D"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551.39</w:t>
            </w:r>
          </w:p>
        </w:tc>
        <w:tc>
          <w:tcPr>
            <w:tcW w:w="795" w:type="dxa"/>
            <w:tcBorders>
              <w:top w:val="nil"/>
              <w:bottom w:val="nil"/>
            </w:tcBorders>
            <w:vAlign w:val="center"/>
          </w:tcPr>
          <w:p w14:paraId="244F1153"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558.5</w:t>
            </w:r>
          </w:p>
        </w:tc>
        <w:tc>
          <w:tcPr>
            <w:tcW w:w="818" w:type="dxa"/>
            <w:tcBorders>
              <w:top w:val="nil"/>
              <w:bottom w:val="nil"/>
            </w:tcBorders>
            <w:vAlign w:val="center"/>
          </w:tcPr>
          <w:p w14:paraId="085859A0"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668.98</w:t>
            </w:r>
          </w:p>
        </w:tc>
        <w:tc>
          <w:tcPr>
            <w:tcW w:w="832" w:type="dxa"/>
            <w:tcBorders>
              <w:top w:val="nil"/>
              <w:bottom w:val="nil"/>
            </w:tcBorders>
            <w:vAlign w:val="center"/>
          </w:tcPr>
          <w:p w14:paraId="4072F2A4"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599.19</w:t>
            </w:r>
          </w:p>
        </w:tc>
        <w:tc>
          <w:tcPr>
            <w:tcW w:w="833" w:type="dxa"/>
            <w:tcBorders>
              <w:top w:val="nil"/>
              <w:bottom w:val="nil"/>
            </w:tcBorders>
            <w:vAlign w:val="center"/>
          </w:tcPr>
          <w:p w14:paraId="14D35B2B"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657</w:t>
            </w:r>
          </w:p>
        </w:tc>
        <w:tc>
          <w:tcPr>
            <w:tcW w:w="885" w:type="dxa"/>
            <w:tcBorders>
              <w:top w:val="nil"/>
              <w:bottom w:val="nil"/>
            </w:tcBorders>
            <w:vAlign w:val="center"/>
          </w:tcPr>
          <w:p w14:paraId="0B5D2F15"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820.925</w:t>
            </w:r>
          </w:p>
        </w:tc>
      </w:tr>
      <w:tr w:rsidR="003768D5" w14:paraId="5D996BF5" w14:textId="77777777">
        <w:trPr>
          <w:jc w:val="center"/>
        </w:trPr>
        <w:tc>
          <w:tcPr>
            <w:tcW w:w="1008" w:type="dxa"/>
            <w:tcBorders>
              <w:top w:val="nil"/>
              <w:bottom w:val="nil"/>
            </w:tcBorders>
            <w:vAlign w:val="center"/>
          </w:tcPr>
          <w:p w14:paraId="10B232D5" w14:textId="77777777" w:rsidR="003768D5" w:rsidRDefault="005468AB">
            <w:pPr>
              <w:widowControl w:val="0"/>
              <w:spacing w:line="360" w:lineRule="auto"/>
              <w:jc w:val="center"/>
              <w:rPr>
                <w:rFonts w:ascii="Arial" w:hAnsi="Arial" w:cs="Arial"/>
                <w:sz w:val="16"/>
                <w:szCs w:val="16"/>
              </w:rPr>
            </w:pPr>
            <w:r>
              <w:rPr>
                <w:rFonts w:ascii="Arial" w:hAnsi="Arial" w:cs="Arial"/>
                <w:color w:val="000000"/>
                <w:sz w:val="16"/>
                <w:szCs w:val="16"/>
                <w:lang w:eastAsia="zh-CN"/>
              </w:rPr>
              <w:t>October</w:t>
            </w:r>
          </w:p>
        </w:tc>
        <w:tc>
          <w:tcPr>
            <w:tcW w:w="742" w:type="dxa"/>
            <w:tcBorders>
              <w:top w:val="nil"/>
              <w:bottom w:val="nil"/>
            </w:tcBorders>
            <w:vAlign w:val="center"/>
          </w:tcPr>
          <w:p w14:paraId="1F54CA81"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609.48</w:t>
            </w:r>
          </w:p>
        </w:tc>
        <w:tc>
          <w:tcPr>
            <w:tcW w:w="750" w:type="dxa"/>
            <w:tcBorders>
              <w:top w:val="nil"/>
              <w:bottom w:val="nil"/>
            </w:tcBorders>
            <w:vAlign w:val="center"/>
          </w:tcPr>
          <w:p w14:paraId="12E98863"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601.21</w:t>
            </w:r>
          </w:p>
        </w:tc>
        <w:tc>
          <w:tcPr>
            <w:tcW w:w="713" w:type="dxa"/>
            <w:tcBorders>
              <w:top w:val="nil"/>
              <w:bottom w:val="nil"/>
            </w:tcBorders>
            <w:vAlign w:val="center"/>
          </w:tcPr>
          <w:p w14:paraId="2422096B"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542.96</w:t>
            </w:r>
          </w:p>
        </w:tc>
        <w:tc>
          <w:tcPr>
            <w:tcW w:w="757" w:type="dxa"/>
            <w:tcBorders>
              <w:top w:val="nil"/>
              <w:bottom w:val="nil"/>
            </w:tcBorders>
            <w:vAlign w:val="center"/>
          </w:tcPr>
          <w:p w14:paraId="48D02457"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536.5</w:t>
            </w:r>
          </w:p>
        </w:tc>
        <w:tc>
          <w:tcPr>
            <w:tcW w:w="795" w:type="dxa"/>
            <w:tcBorders>
              <w:top w:val="nil"/>
              <w:bottom w:val="nil"/>
            </w:tcBorders>
            <w:vAlign w:val="center"/>
          </w:tcPr>
          <w:p w14:paraId="740EE89B"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621.76</w:t>
            </w:r>
          </w:p>
        </w:tc>
        <w:tc>
          <w:tcPr>
            <w:tcW w:w="818" w:type="dxa"/>
            <w:tcBorders>
              <w:top w:val="nil"/>
              <w:bottom w:val="nil"/>
            </w:tcBorders>
            <w:vAlign w:val="center"/>
          </w:tcPr>
          <w:p w14:paraId="7AFE7BB0"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714.075</w:t>
            </w:r>
          </w:p>
        </w:tc>
        <w:tc>
          <w:tcPr>
            <w:tcW w:w="832" w:type="dxa"/>
            <w:tcBorders>
              <w:top w:val="nil"/>
              <w:bottom w:val="nil"/>
            </w:tcBorders>
            <w:vAlign w:val="center"/>
          </w:tcPr>
          <w:p w14:paraId="0FDC1909"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602.68</w:t>
            </w:r>
          </w:p>
        </w:tc>
        <w:tc>
          <w:tcPr>
            <w:tcW w:w="833" w:type="dxa"/>
            <w:tcBorders>
              <w:top w:val="nil"/>
              <w:bottom w:val="nil"/>
            </w:tcBorders>
            <w:vAlign w:val="center"/>
          </w:tcPr>
          <w:p w14:paraId="09B918C2"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678.68</w:t>
            </w:r>
          </w:p>
        </w:tc>
        <w:tc>
          <w:tcPr>
            <w:tcW w:w="885" w:type="dxa"/>
            <w:tcBorders>
              <w:top w:val="nil"/>
              <w:bottom w:val="nil"/>
            </w:tcBorders>
            <w:vAlign w:val="center"/>
          </w:tcPr>
          <w:p w14:paraId="1CF77D95"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873.39</w:t>
            </w:r>
          </w:p>
        </w:tc>
      </w:tr>
      <w:tr w:rsidR="003768D5" w14:paraId="793612ED" w14:textId="77777777">
        <w:trPr>
          <w:jc w:val="center"/>
        </w:trPr>
        <w:tc>
          <w:tcPr>
            <w:tcW w:w="1008" w:type="dxa"/>
            <w:tcBorders>
              <w:top w:val="nil"/>
              <w:bottom w:val="nil"/>
            </w:tcBorders>
            <w:vAlign w:val="center"/>
          </w:tcPr>
          <w:p w14:paraId="61CF83FF" w14:textId="77777777" w:rsidR="003768D5" w:rsidRDefault="005468AB">
            <w:pPr>
              <w:widowControl w:val="0"/>
              <w:spacing w:line="360" w:lineRule="auto"/>
              <w:jc w:val="center"/>
              <w:rPr>
                <w:rFonts w:ascii="Arial" w:hAnsi="Arial" w:cs="Arial"/>
                <w:sz w:val="16"/>
                <w:szCs w:val="16"/>
              </w:rPr>
            </w:pPr>
            <w:r>
              <w:rPr>
                <w:rFonts w:ascii="Arial" w:hAnsi="Arial" w:cs="Arial"/>
                <w:color w:val="000000"/>
                <w:sz w:val="16"/>
                <w:szCs w:val="16"/>
                <w:lang w:eastAsia="zh-CN"/>
              </w:rPr>
              <w:t>November</w:t>
            </w:r>
          </w:p>
        </w:tc>
        <w:tc>
          <w:tcPr>
            <w:tcW w:w="742" w:type="dxa"/>
            <w:tcBorders>
              <w:top w:val="nil"/>
              <w:bottom w:val="nil"/>
            </w:tcBorders>
            <w:vAlign w:val="center"/>
          </w:tcPr>
          <w:p w14:paraId="7107C059"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712.16</w:t>
            </w:r>
          </w:p>
        </w:tc>
        <w:tc>
          <w:tcPr>
            <w:tcW w:w="750" w:type="dxa"/>
            <w:tcBorders>
              <w:top w:val="nil"/>
              <w:bottom w:val="nil"/>
            </w:tcBorders>
            <w:vAlign w:val="center"/>
          </w:tcPr>
          <w:p w14:paraId="516B1A0E"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581.2</w:t>
            </w:r>
          </w:p>
        </w:tc>
        <w:tc>
          <w:tcPr>
            <w:tcW w:w="713" w:type="dxa"/>
            <w:tcBorders>
              <w:top w:val="nil"/>
              <w:bottom w:val="nil"/>
            </w:tcBorders>
            <w:vAlign w:val="center"/>
          </w:tcPr>
          <w:p w14:paraId="14D37184"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509.35</w:t>
            </w:r>
          </w:p>
        </w:tc>
        <w:tc>
          <w:tcPr>
            <w:tcW w:w="757" w:type="dxa"/>
            <w:tcBorders>
              <w:top w:val="nil"/>
              <w:bottom w:val="nil"/>
            </w:tcBorders>
            <w:vAlign w:val="center"/>
          </w:tcPr>
          <w:p w14:paraId="0EB6940C"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566.12</w:t>
            </w:r>
          </w:p>
        </w:tc>
        <w:tc>
          <w:tcPr>
            <w:tcW w:w="795" w:type="dxa"/>
            <w:tcBorders>
              <w:top w:val="nil"/>
              <w:bottom w:val="nil"/>
            </w:tcBorders>
            <w:vAlign w:val="center"/>
          </w:tcPr>
          <w:p w14:paraId="0D5A4197"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632.74</w:t>
            </w:r>
          </w:p>
        </w:tc>
        <w:tc>
          <w:tcPr>
            <w:tcW w:w="818" w:type="dxa"/>
            <w:tcBorders>
              <w:top w:val="nil"/>
              <w:bottom w:val="nil"/>
            </w:tcBorders>
            <w:vAlign w:val="center"/>
          </w:tcPr>
          <w:p w14:paraId="5A92FE4B"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721.88</w:t>
            </w:r>
          </w:p>
        </w:tc>
        <w:tc>
          <w:tcPr>
            <w:tcW w:w="832" w:type="dxa"/>
            <w:tcBorders>
              <w:top w:val="nil"/>
              <w:bottom w:val="nil"/>
            </w:tcBorders>
            <w:vAlign w:val="center"/>
          </w:tcPr>
          <w:p w14:paraId="5432652D"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579.525</w:t>
            </w:r>
          </w:p>
        </w:tc>
        <w:tc>
          <w:tcPr>
            <w:tcW w:w="833" w:type="dxa"/>
            <w:tcBorders>
              <w:top w:val="nil"/>
              <w:bottom w:val="nil"/>
            </w:tcBorders>
            <w:vAlign w:val="center"/>
          </w:tcPr>
          <w:p w14:paraId="2C6058B3"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685.14</w:t>
            </w:r>
          </w:p>
        </w:tc>
        <w:tc>
          <w:tcPr>
            <w:tcW w:w="885" w:type="dxa"/>
            <w:tcBorders>
              <w:top w:val="nil"/>
              <w:bottom w:val="nil"/>
            </w:tcBorders>
            <w:vAlign w:val="center"/>
          </w:tcPr>
          <w:p w14:paraId="07378D58"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862.17</w:t>
            </w:r>
          </w:p>
        </w:tc>
      </w:tr>
      <w:tr w:rsidR="003768D5" w14:paraId="6BD6FB15" w14:textId="77777777">
        <w:trPr>
          <w:jc w:val="center"/>
        </w:trPr>
        <w:tc>
          <w:tcPr>
            <w:tcW w:w="1008" w:type="dxa"/>
            <w:tcBorders>
              <w:top w:val="nil"/>
              <w:bottom w:val="single" w:sz="4" w:space="0" w:color="auto"/>
            </w:tcBorders>
            <w:vAlign w:val="center"/>
          </w:tcPr>
          <w:p w14:paraId="2A810383" w14:textId="77777777" w:rsidR="003768D5" w:rsidRDefault="005468AB">
            <w:pPr>
              <w:widowControl w:val="0"/>
              <w:spacing w:line="360" w:lineRule="auto"/>
              <w:jc w:val="center"/>
              <w:rPr>
                <w:rFonts w:ascii="Arial" w:hAnsi="Arial" w:cs="Arial"/>
                <w:sz w:val="16"/>
                <w:szCs w:val="16"/>
              </w:rPr>
            </w:pPr>
            <w:r>
              <w:rPr>
                <w:rFonts w:ascii="Arial" w:hAnsi="Arial" w:cs="Arial"/>
                <w:color w:val="000000"/>
                <w:sz w:val="16"/>
                <w:szCs w:val="16"/>
                <w:lang w:eastAsia="zh-CN"/>
              </w:rPr>
              <w:t>December</w:t>
            </w:r>
          </w:p>
        </w:tc>
        <w:tc>
          <w:tcPr>
            <w:tcW w:w="742" w:type="dxa"/>
            <w:tcBorders>
              <w:top w:val="nil"/>
              <w:bottom w:val="single" w:sz="4" w:space="0" w:color="auto"/>
            </w:tcBorders>
            <w:vAlign w:val="center"/>
          </w:tcPr>
          <w:p w14:paraId="32708458"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839.55</w:t>
            </w:r>
          </w:p>
        </w:tc>
        <w:tc>
          <w:tcPr>
            <w:tcW w:w="750" w:type="dxa"/>
            <w:tcBorders>
              <w:top w:val="nil"/>
              <w:bottom w:val="single" w:sz="4" w:space="0" w:color="auto"/>
            </w:tcBorders>
            <w:vAlign w:val="center"/>
          </w:tcPr>
          <w:p w14:paraId="2191EFF3" w14:textId="77777777" w:rsidR="003768D5" w:rsidRDefault="005468AB">
            <w:pPr>
              <w:spacing w:line="360" w:lineRule="auto"/>
              <w:jc w:val="center"/>
              <w:rPr>
                <w:rFonts w:ascii="Arial" w:hAnsi="Arial" w:cs="Arial"/>
                <w:sz w:val="16"/>
                <w:szCs w:val="16"/>
              </w:rPr>
            </w:pPr>
            <w:r>
              <w:rPr>
                <w:rFonts w:ascii="Arial" w:eastAsia="SimSun" w:hAnsi="Arial" w:cs="Arial"/>
                <w:color w:val="000000"/>
                <w:sz w:val="16"/>
                <w:szCs w:val="16"/>
                <w:lang w:eastAsia="zh-CN" w:bidi="ar"/>
              </w:rPr>
              <w:t>580.79</w:t>
            </w:r>
          </w:p>
        </w:tc>
        <w:tc>
          <w:tcPr>
            <w:tcW w:w="713" w:type="dxa"/>
            <w:tcBorders>
              <w:top w:val="nil"/>
              <w:bottom w:val="single" w:sz="4" w:space="0" w:color="auto"/>
            </w:tcBorders>
            <w:vAlign w:val="center"/>
          </w:tcPr>
          <w:p w14:paraId="76AEF7CB"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518.18</w:t>
            </w:r>
          </w:p>
        </w:tc>
        <w:tc>
          <w:tcPr>
            <w:tcW w:w="757" w:type="dxa"/>
            <w:tcBorders>
              <w:top w:val="nil"/>
              <w:bottom w:val="single" w:sz="4" w:space="0" w:color="auto"/>
            </w:tcBorders>
            <w:vAlign w:val="center"/>
          </w:tcPr>
          <w:p w14:paraId="316521A1"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595.5</w:t>
            </w:r>
          </w:p>
        </w:tc>
        <w:tc>
          <w:tcPr>
            <w:tcW w:w="795" w:type="dxa"/>
            <w:tcBorders>
              <w:top w:val="nil"/>
              <w:bottom w:val="single" w:sz="4" w:space="0" w:color="auto"/>
            </w:tcBorders>
            <w:vAlign w:val="center"/>
          </w:tcPr>
          <w:p w14:paraId="0FC7F322"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628.74</w:t>
            </w:r>
          </w:p>
        </w:tc>
        <w:tc>
          <w:tcPr>
            <w:tcW w:w="818" w:type="dxa"/>
            <w:tcBorders>
              <w:top w:val="nil"/>
              <w:bottom w:val="single" w:sz="4" w:space="0" w:color="auto"/>
            </w:tcBorders>
            <w:vAlign w:val="center"/>
          </w:tcPr>
          <w:p w14:paraId="04C72A6F"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713</w:t>
            </w:r>
          </w:p>
        </w:tc>
        <w:tc>
          <w:tcPr>
            <w:tcW w:w="832" w:type="dxa"/>
            <w:tcBorders>
              <w:top w:val="nil"/>
              <w:bottom w:val="single" w:sz="4" w:space="0" w:color="auto"/>
            </w:tcBorders>
            <w:vAlign w:val="center"/>
          </w:tcPr>
          <w:p w14:paraId="67B397F3"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585.81</w:t>
            </w:r>
          </w:p>
        </w:tc>
        <w:tc>
          <w:tcPr>
            <w:tcW w:w="833" w:type="dxa"/>
            <w:tcBorders>
              <w:top w:val="nil"/>
              <w:bottom w:val="single" w:sz="4" w:space="0" w:color="auto"/>
            </w:tcBorders>
            <w:vAlign w:val="center"/>
          </w:tcPr>
          <w:p w14:paraId="6FD924E2"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670.83</w:t>
            </w:r>
          </w:p>
        </w:tc>
        <w:tc>
          <w:tcPr>
            <w:tcW w:w="885" w:type="dxa"/>
            <w:tcBorders>
              <w:top w:val="nil"/>
              <w:bottom w:val="single" w:sz="4" w:space="0" w:color="auto"/>
            </w:tcBorders>
            <w:vAlign w:val="center"/>
          </w:tcPr>
          <w:p w14:paraId="7868E99C" w14:textId="77777777" w:rsidR="003768D5" w:rsidRDefault="005468AB">
            <w:pPr>
              <w:spacing w:line="360" w:lineRule="auto"/>
              <w:jc w:val="center"/>
              <w:rPr>
                <w:rFonts w:ascii="Arial" w:hAnsi="Arial" w:cs="Arial"/>
                <w:b/>
                <w:sz w:val="16"/>
                <w:szCs w:val="16"/>
              </w:rPr>
            </w:pPr>
            <w:r>
              <w:rPr>
                <w:rFonts w:ascii="Arial" w:eastAsia="SimSun" w:hAnsi="Arial" w:cs="Arial"/>
                <w:color w:val="000000"/>
                <w:sz w:val="16"/>
                <w:szCs w:val="16"/>
                <w:lang w:eastAsia="zh-CN" w:bidi="ar"/>
              </w:rPr>
              <w:t>892.375</w:t>
            </w:r>
          </w:p>
        </w:tc>
      </w:tr>
    </w:tbl>
    <w:p w14:paraId="316B46BF" w14:textId="77777777" w:rsidR="003768D5" w:rsidRDefault="003768D5">
      <w:pPr>
        <w:pStyle w:val="Body"/>
        <w:spacing w:after="0"/>
        <w:rPr>
          <w:rFonts w:ascii="Arial" w:hAnsi="Arial" w:cs="Arial"/>
          <w:sz w:val="18"/>
          <w:szCs w:val="18"/>
        </w:rPr>
      </w:pPr>
    </w:p>
    <w:p w14:paraId="7B85D970" w14:textId="77777777" w:rsidR="003768D5" w:rsidRDefault="005468AB">
      <w:pPr>
        <w:pStyle w:val="Body"/>
        <w:spacing w:after="0"/>
        <w:rPr>
          <w:rFonts w:ascii="Arial" w:hAnsi="Arial" w:cs="Arial"/>
        </w:rPr>
      </w:pPr>
      <w:r>
        <w:rPr>
          <w:rFonts w:ascii="Arial" w:hAnsi="Arial" w:cs="Arial" w:hint="eastAsia"/>
        </w:rPr>
        <w:t>For this study, out of 108 data, 97 (approximately 90%) were used for model training and prediction as a historical dataset to train and adjust the parameters of different models. The remaining 11 data points</w:t>
      </w:r>
      <w:r>
        <w:rPr>
          <w:rFonts w:ascii="Arial" w:hAnsi="Arial" w:cs="Arial" w:hint="eastAsia"/>
        </w:rPr>
        <w:t xml:space="preserve"> (approximately 10%) were used for model error assessment and prediction accuracy verification. This data partitioning method aims to ensure that its training and prediction performance maximally reflects the actual performance of the data while avoiding o</w:t>
      </w:r>
      <w:r>
        <w:rPr>
          <w:rFonts w:ascii="Arial" w:hAnsi="Arial" w:cs="Arial" w:hint="eastAsia"/>
        </w:rPr>
        <w:t>verfitting (Montesinos et al., 2022).</w:t>
      </w:r>
    </w:p>
    <w:p w14:paraId="58F38589" w14:textId="77777777" w:rsidR="003768D5" w:rsidRDefault="003768D5">
      <w:pPr>
        <w:pStyle w:val="Body"/>
        <w:spacing w:after="0"/>
        <w:rPr>
          <w:rFonts w:ascii="Arial" w:hAnsi="Arial" w:cs="Arial"/>
        </w:rPr>
      </w:pPr>
    </w:p>
    <w:p w14:paraId="1156CFAF" w14:textId="77777777" w:rsidR="003768D5" w:rsidRDefault="005468AB">
      <w:pPr>
        <w:pStyle w:val="Body"/>
        <w:spacing w:after="0"/>
        <w:rPr>
          <w:rFonts w:ascii="Arial" w:hAnsi="Arial" w:cs="Arial"/>
        </w:rPr>
      </w:pPr>
      <w:r>
        <w:rPr>
          <w:rFonts w:ascii="Arial" w:hAnsi="Arial" w:cs="Arial"/>
          <w:b/>
          <w:caps/>
          <w:sz w:val="22"/>
        </w:rPr>
        <w:t>3.</w:t>
      </w:r>
      <w:r>
        <w:rPr>
          <w:rFonts w:ascii="Arial" w:eastAsia="SimSun" w:hAnsi="Arial" w:cs="Arial" w:hint="eastAsia"/>
          <w:b/>
          <w:caps/>
          <w:sz w:val="22"/>
          <w:lang w:eastAsia="zh-CN"/>
        </w:rPr>
        <w:t>2</w:t>
      </w:r>
      <w:r>
        <w:rPr>
          <w:rFonts w:ascii="Arial" w:hAnsi="Arial" w:cs="Arial"/>
          <w:b/>
          <w:caps/>
          <w:sz w:val="22"/>
        </w:rPr>
        <w:t xml:space="preserve"> </w:t>
      </w:r>
      <w:r>
        <w:rPr>
          <w:rFonts w:ascii="Arial" w:hAnsi="Arial" w:cs="Arial" w:hint="eastAsia"/>
          <w:b/>
          <w:sz w:val="22"/>
        </w:rPr>
        <w:t>Identify Time Series Components</w:t>
      </w:r>
    </w:p>
    <w:p w14:paraId="4A6A2A2A" w14:textId="77777777" w:rsidR="003768D5" w:rsidRDefault="003768D5">
      <w:pPr>
        <w:pStyle w:val="Body"/>
        <w:spacing w:after="0"/>
        <w:rPr>
          <w:rFonts w:ascii="Arial" w:hAnsi="Arial" w:cs="Arial"/>
        </w:rPr>
      </w:pPr>
    </w:p>
    <w:p w14:paraId="65E072EF" w14:textId="77777777" w:rsidR="003768D5" w:rsidRDefault="005468AB">
      <w:pPr>
        <w:pStyle w:val="Body"/>
        <w:spacing w:after="0"/>
        <w:rPr>
          <w:rFonts w:ascii="Arial" w:eastAsia="SimSun" w:hAnsi="Arial" w:cs="Arial"/>
          <w:lang w:eastAsia="zh-CN"/>
        </w:rPr>
      </w:pPr>
      <w:r>
        <w:rPr>
          <w:rFonts w:ascii="Arial" w:eastAsia="SimSun" w:hAnsi="Arial" w:cs="Arial" w:hint="eastAsia"/>
          <w:lang w:eastAsia="zh-CN"/>
        </w:rPr>
        <w:t xml:space="preserve">Time series data with different characteristics require different models. It is necessary to determine whether the data exhibit trends, seasonality, and other features, and to </w:t>
      </w:r>
      <w:r>
        <w:rPr>
          <w:rFonts w:ascii="Arial" w:eastAsia="SimSun" w:hAnsi="Arial" w:cs="Arial" w:hint="eastAsia"/>
          <w:lang w:eastAsia="zh-CN"/>
        </w:rPr>
        <w:t>analyze the characteristics of rubber price data (Hu et al., 2024). Fig. 1 presents the trend of rubber prices from January 2016 to December 2024 in Malaysia.</w:t>
      </w:r>
    </w:p>
    <w:p w14:paraId="6EA62751" w14:textId="77777777" w:rsidR="003768D5" w:rsidRDefault="003768D5">
      <w:pPr>
        <w:pStyle w:val="Body"/>
        <w:spacing w:after="0"/>
        <w:rPr>
          <w:rFonts w:ascii="Arial" w:hAnsi="Arial" w:cs="Arial"/>
        </w:rPr>
      </w:pPr>
    </w:p>
    <w:p w14:paraId="773F4F39" w14:textId="77777777" w:rsidR="003768D5" w:rsidRDefault="005468AB">
      <w:pPr>
        <w:pStyle w:val="Body"/>
        <w:spacing w:after="0"/>
        <w:jc w:val="left"/>
      </w:pPr>
      <w:r>
        <w:rPr>
          <w:noProof/>
        </w:rPr>
        <w:lastRenderedPageBreak/>
        <w:drawing>
          <wp:inline distT="0" distB="0" distL="114300" distR="114300" wp14:anchorId="78F82FC1" wp14:editId="644D090E">
            <wp:extent cx="3958590" cy="2230120"/>
            <wp:effectExtent l="0" t="0" r="381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3958590" cy="2230120"/>
                    </a:xfrm>
                    <a:prstGeom prst="rect">
                      <a:avLst/>
                    </a:prstGeom>
                    <a:noFill/>
                    <a:ln>
                      <a:noFill/>
                    </a:ln>
                  </pic:spPr>
                </pic:pic>
              </a:graphicData>
            </a:graphic>
          </wp:inline>
        </w:drawing>
      </w:r>
    </w:p>
    <w:p w14:paraId="52CF4733" w14:textId="77777777" w:rsidR="003768D5" w:rsidRDefault="005468AB">
      <w:pPr>
        <w:autoSpaceDE w:val="0"/>
        <w:autoSpaceDN w:val="0"/>
        <w:adjustRightInd w:val="0"/>
        <w:jc w:val="both"/>
        <w:rPr>
          <w:rFonts w:ascii="Arial" w:eastAsia="SimSun" w:hAnsi="Arial" w:cs="Arial"/>
          <w:b/>
          <w:bCs/>
          <w:szCs w:val="22"/>
          <w:lang w:eastAsia="zh-CN"/>
        </w:rPr>
      </w:pPr>
      <w:r>
        <w:rPr>
          <w:rFonts w:ascii="Arial" w:hAnsi="Arial" w:cs="Arial"/>
          <w:b/>
          <w:bCs/>
          <w:szCs w:val="22"/>
        </w:rPr>
        <w:t xml:space="preserve">Fig. 1. </w:t>
      </w:r>
      <w:r>
        <w:rPr>
          <w:rFonts w:ascii="Arial" w:eastAsia="SimSun" w:hAnsi="Arial" w:cs="Arial" w:hint="eastAsia"/>
          <w:b/>
          <w:bCs/>
          <w:szCs w:val="22"/>
          <w:lang w:eastAsia="zh-CN"/>
        </w:rPr>
        <w:t>Rubber Prices in Malaysia from January 2016 to December 2024</w:t>
      </w:r>
    </w:p>
    <w:p w14:paraId="74EB555A" w14:textId="77777777" w:rsidR="003768D5" w:rsidRDefault="003768D5">
      <w:pPr>
        <w:pStyle w:val="Body"/>
        <w:spacing w:after="0"/>
        <w:rPr>
          <w:rFonts w:ascii="Arial" w:eastAsia="SimSun" w:hAnsi="Arial" w:cs="Arial"/>
          <w:lang w:eastAsia="zh-CN"/>
        </w:rPr>
      </w:pPr>
    </w:p>
    <w:p w14:paraId="03365822" w14:textId="77777777" w:rsidR="003768D5" w:rsidRDefault="005468AB">
      <w:pPr>
        <w:pStyle w:val="Body"/>
        <w:spacing w:after="0"/>
        <w:rPr>
          <w:rFonts w:ascii="Arial" w:eastAsia="SimSun" w:hAnsi="Arial" w:cs="Arial"/>
          <w:lang w:eastAsia="zh-CN"/>
        </w:rPr>
      </w:pPr>
      <w:r>
        <w:rPr>
          <w:rFonts w:ascii="Arial" w:eastAsia="SimSun" w:hAnsi="Arial" w:cs="Arial"/>
          <w:lang w:eastAsia="zh-CN"/>
        </w:rPr>
        <w:t xml:space="preserve">A trend reflects the </w:t>
      </w:r>
      <w:r>
        <w:rPr>
          <w:rFonts w:ascii="Arial" w:eastAsia="SimSun" w:hAnsi="Arial" w:cs="Arial"/>
          <w:lang w:eastAsia="zh-CN"/>
        </w:rPr>
        <w:t>upward or downward directional change in time series data. By observing Malaysian rubber prices from January 2016 to December 2024, we can see an overall upward trend. Furthermore, it is important to consider whether the data exhibits seasonality. Seasonal</w:t>
      </w:r>
      <w:r>
        <w:rPr>
          <w:rFonts w:ascii="Arial" w:eastAsia="SimSun" w:hAnsi="Arial" w:cs="Arial"/>
          <w:lang w:eastAsia="zh-CN"/>
        </w:rPr>
        <w:t>ity refers to fluctuations in a time series that recur periodically with the season or month (</w:t>
      </w:r>
      <w:proofErr w:type="spellStart"/>
      <w:r>
        <w:rPr>
          <w:rFonts w:ascii="Arial" w:eastAsia="SimSun" w:hAnsi="Arial" w:cs="Arial"/>
          <w:lang w:eastAsia="zh-CN"/>
        </w:rPr>
        <w:t>Lelwala</w:t>
      </w:r>
      <w:proofErr w:type="spellEnd"/>
      <w:r>
        <w:rPr>
          <w:rFonts w:ascii="Arial" w:eastAsia="SimSun" w:hAnsi="Arial" w:cs="Arial"/>
          <w:lang w:eastAsia="zh-CN"/>
        </w:rPr>
        <w:t xml:space="preserve"> et al., 2024). This study used the Kruskal-Wallis test for seasonality, and the results showed an H value of 4.81, which is less than the critical value o</w:t>
      </w:r>
      <w:r>
        <w:rPr>
          <w:rFonts w:ascii="Arial" w:eastAsia="SimSun" w:hAnsi="Arial" w:cs="Arial"/>
          <w:lang w:eastAsia="zh-CN"/>
        </w:rPr>
        <w:t>f 19.68, indicating that Malaysian rubber prices do not exhibit significant seasonality. Although individual months may experience short-term fluctuations due to factors such as weather, labor, or export policies, the overall trend exhibits no cyclical pat</w:t>
      </w:r>
      <w:r>
        <w:rPr>
          <w:rFonts w:ascii="Arial" w:eastAsia="SimSun" w:hAnsi="Arial" w:cs="Arial"/>
          <w:lang w:eastAsia="zh-CN"/>
        </w:rPr>
        <w:t>tern.</w:t>
      </w:r>
    </w:p>
    <w:p w14:paraId="56DFBC55" w14:textId="77777777" w:rsidR="003768D5" w:rsidRDefault="003768D5">
      <w:pPr>
        <w:pStyle w:val="Body"/>
        <w:spacing w:after="0"/>
        <w:jc w:val="left"/>
        <w:rPr>
          <w:rFonts w:eastAsia="SimSun"/>
          <w:lang w:eastAsia="zh-CN"/>
        </w:rPr>
      </w:pPr>
    </w:p>
    <w:p w14:paraId="6048FA9F" w14:textId="77777777" w:rsidR="003768D5" w:rsidRDefault="005468AB">
      <w:pPr>
        <w:pStyle w:val="Body"/>
        <w:spacing w:after="0"/>
        <w:rPr>
          <w:rFonts w:ascii="Arial" w:hAnsi="Arial" w:cs="Arial"/>
        </w:rPr>
      </w:pPr>
      <w:r>
        <w:rPr>
          <w:rFonts w:ascii="Arial" w:hAnsi="Arial" w:cs="Arial"/>
          <w:b/>
          <w:caps/>
          <w:sz w:val="22"/>
        </w:rPr>
        <w:t>3.</w:t>
      </w:r>
      <w:r>
        <w:rPr>
          <w:rFonts w:ascii="Arial" w:eastAsia="SimSun" w:hAnsi="Arial" w:cs="Arial" w:hint="eastAsia"/>
          <w:b/>
          <w:caps/>
          <w:sz w:val="22"/>
          <w:lang w:eastAsia="zh-CN"/>
        </w:rPr>
        <w:t>3</w:t>
      </w:r>
      <w:r>
        <w:rPr>
          <w:rFonts w:ascii="Arial" w:hAnsi="Arial" w:cs="Arial"/>
          <w:b/>
          <w:caps/>
          <w:sz w:val="22"/>
        </w:rPr>
        <w:t xml:space="preserve"> </w:t>
      </w:r>
      <w:r>
        <w:rPr>
          <w:rFonts w:ascii="Arial" w:hAnsi="Arial" w:cs="Arial" w:hint="eastAsia"/>
          <w:b/>
          <w:sz w:val="22"/>
        </w:rPr>
        <w:t>Model Selection</w:t>
      </w:r>
    </w:p>
    <w:p w14:paraId="6AC38C43" w14:textId="77777777" w:rsidR="003768D5" w:rsidRDefault="003768D5">
      <w:pPr>
        <w:pStyle w:val="Body"/>
        <w:spacing w:after="0"/>
        <w:jc w:val="left"/>
        <w:rPr>
          <w:rFonts w:eastAsia="SimSun"/>
          <w:lang w:eastAsia="zh-CN"/>
        </w:rPr>
      </w:pPr>
    </w:p>
    <w:p w14:paraId="6AE8D2C2" w14:textId="77777777" w:rsidR="003768D5" w:rsidRDefault="005468AB">
      <w:pPr>
        <w:pStyle w:val="Body"/>
        <w:spacing w:after="0"/>
        <w:rPr>
          <w:rFonts w:ascii="Arial" w:eastAsia="SimSun" w:hAnsi="Arial" w:cs="Arial"/>
          <w:lang w:eastAsia="zh-CN"/>
        </w:rPr>
      </w:pPr>
      <w:r>
        <w:rPr>
          <w:rFonts w:ascii="Arial" w:eastAsia="SimSun" w:hAnsi="Arial" w:cs="Arial"/>
          <w:lang w:eastAsia="zh-CN"/>
        </w:rPr>
        <w:t>By exploring the components of the data, it was found that the data showed a certain trend but no seasonality. Therefore, this study selected three commonly used time series forecasting methods for modelling comparison, which ar</w:t>
      </w:r>
      <w:r>
        <w:rPr>
          <w:rFonts w:ascii="Arial" w:eastAsia="SimSun" w:hAnsi="Arial" w:cs="Arial"/>
          <w:lang w:eastAsia="zh-CN"/>
        </w:rPr>
        <w:t xml:space="preserve">e the ARIMA model, the exponential smoothing model (including the Holt-Winter’s and Brown’s methods), and the double moving average model (DMA). </w:t>
      </w:r>
    </w:p>
    <w:p w14:paraId="00EA5650" w14:textId="77777777" w:rsidR="003768D5" w:rsidRDefault="003768D5">
      <w:pPr>
        <w:pStyle w:val="Body"/>
        <w:spacing w:after="0"/>
        <w:rPr>
          <w:rFonts w:ascii="Arial" w:hAnsi="Arial" w:cs="Arial"/>
        </w:rPr>
      </w:pPr>
    </w:p>
    <w:p w14:paraId="38FDFC07" w14:textId="77777777" w:rsidR="003768D5" w:rsidRDefault="005468AB">
      <w:pPr>
        <w:pStyle w:val="Body"/>
        <w:spacing w:after="0"/>
        <w:rPr>
          <w:rFonts w:ascii="Arial" w:eastAsia="SimSun" w:hAnsi="Arial" w:cs="Arial"/>
          <w:b/>
          <w:u w:val="single"/>
          <w:lang w:eastAsia="zh-CN"/>
        </w:rPr>
      </w:pPr>
      <w:r>
        <w:rPr>
          <w:rFonts w:ascii="Arial" w:hAnsi="Arial" w:cs="Arial"/>
          <w:b/>
          <w:u w:val="single"/>
        </w:rPr>
        <w:t>3.</w:t>
      </w:r>
      <w:r>
        <w:rPr>
          <w:rFonts w:ascii="Arial" w:eastAsia="SimSun" w:hAnsi="Arial" w:cs="Arial" w:hint="eastAsia"/>
          <w:b/>
          <w:u w:val="single"/>
          <w:lang w:eastAsia="zh-CN"/>
        </w:rPr>
        <w:t>3</w:t>
      </w:r>
      <w:r>
        <w:rPr>
          <w:rFonts w:ascii="Arial" w:hAnsi="Arial" w:cs="Arial"/>
          <w:b/>
          <w:u w:val="single"/>
        </w:rPr>
        <w:t xml:space="preserve">.1 </w:t>
      </w:r>
      <w:r>
        <w:rPr>
          <w:rFonts w:ascii="Arial" w:hAnsi="Arial" w:cs="Arial" w:hint="eastAsia"/>
          <w:b/>
          <w:u w:val="single"/>
        </w:rPr>
        <w:t>ARIMA</w:t>
      </w:r>
      <w:r>
        <w:rPr>
          <w:rFonts w:ascii="Arial" w:eastAsia="SimSun" w:hAnsi="Arial" w:cs="Arial" w:hint="eastAsia"/>
          <w:b/>
          <w:u w:val="single"/>
          <w:lang w:eastAsia="zh-CN"/>
        </w:rPr>
        <w:t xml:space="preserve"> Model</w:t>
      </w:r>
    </w:p>
    <w:p w14:paraId="02BA5E88" w14:textId="77777777" w:rsidR="003768D5" w:rsidRDefault="003768D5">
      <w:pPr>
        <w:pStyle w:val="Body"/>
        <w:spacing w:after="0"/>
        <w:rPr>
          <w:rFonts w:ascii="Arial" w:hAnsi="Arial" w:cs="Arial"/>
        </w:rPr>
      </w:pPr>
    </w:p>
    <w:p w14:paraId="42C93902" w14:textId="77777777" w:rsidR="003768D5" w:rsidRDefault="005468AB">
      <w:pPr>
        <w:pStyle w:val="Body"/>
        <w:spacing w:after="0"/>
        <w:rPr>
          <w:rFonts w:ascii="Arial" w:hAnsi="Arial" w:cs="Arial"/>
        </w:rPr>
      </w:pPr>
      <w:r>
        <w:rPr>
          <w:rFonts w:ascii="Arial" w:hAnsi="Arial" w:cs="Arial" w:hint="eastAsia"/>
        </w:rPr>
        <w:t xml:space="preserve">Using 90% of the data for the analysis, a total of 97 data, with </w:t>
      </w:r>
      <w:r>
        <w:rPr>
          <w:rFonts w:ascii="Arial" w:hAnsi="Arial" w:cs="Arial"/>
        </w:rPr>
        <w:t>a period</w:t>
      </w:r>
      <w:r>
        <w:rPr>
          <w:rFonts w:ascii="Arial" w:hAnsi="Arial" w:cs="Arial" w:hint="eastAsia"/>
        </w:rPr>
        <w:t xml:space="preserve"> from January 2016 to January 2024, as shown in Fig</w:t>
      </w:r>
      <w:r>
        <w:rPr>
          <w:rFonts w:ascii="Arial" w:eastAsia="SimSun" w:hAnsi="Arial" w:cs="Arial" w:hint="eastAsia"/>
          <w:lang w:eastAsia="zh-CN"/>
        </w:rPr>
        <w:t xml:space="preserve">. </w:t>
      </w:r>
      <w:r>
        <w:rPr>
          <w:rFonts w:ascii="Arial" w:hAnsi="Arial" w:cs="Arial" w:hint="eastAsia"/>
        </w:rPr>
        <w:t>2. From Fig</w:t>
      </w:r>
      <w:r>
        <w:rPr>
          <w:rFonts w:ascii="Arial" w:eastAsia="SimSun" w:hAnsi="Arial" w:cs="Arial" w:hint="eastAsia"/>
          <w:lang w:eastAsia="zh-CN"/>
        </w:rPr>
        <w:t xml:space="preserve">. </w:t>
      </w:r>
      <w:r>
        <w:rPr>
          <w:rFonts w:ascii="Arial" w:hAnsi="Arial" w:cs="Arial" w:hint="eastAsia"/>
        </w:rPr>
        <w:t>2, it can be obtained that the data is not stationary and needs to have appropriate differencing to eliminate the trend component. The plot after conducting first-order differencing is shown</w:t>
      </w:r>
      <w:r>
        <w:rPr>
          <w:rFonts w:ascii="Arial" w:hAnsi="Arial" w:cs="Arial" w:hint="eastAsia"/>
        </w:rPr>
        <w:t xml:space="preserve"> in Fig</w:t>
      </w:r>
      <w:r>
        <w:rPr>
          <w:rFonts w:ascii="Arial" w:eastAsia="SimSun" w:hAnsi="Arial" w:cs="Arial" w:hint="eastAsia"/>
          <w:lang w:eastAsia="zh-CN"/>
        </w:rPr>
        <w:t xml:space="preserve">. </w:t>
      </w:r>
      <w:r>
        <w:rPr>
          <w:rFonts w:ascii="Arial" w:hAnsi="Arial" w:cs="Arial" w:hint="eastAsia"/>
        </w:rPr>
        <w:t>3.</w:t>
      </w:r>
    </w:p>
    <w:p w14:paraId="3C9CE502" w14:textId="77777777" w:rsidR="003768D5" w:rsidRDefault="003768D5">
      <w:pPr>
        <w:pStyle w:val="Body"/>
        <w:spacing w:after="0"/>
        <w:rPr>
          <w:rFonts w:ascii="Arial" w:hAnsi="Arial" w:cs="Arial"/>
        </w:rPr>
      </w:pPr>
    </w:p>
    <w:p w14:paraId="6A0A620E" w14:textId="77777777" w:rsidR="003768D5" w:rsidRDefault="005468AB">
      <w:pPr>
        <w:pStyle w:val="Body"/>
        <w:spacing w:after="0"/>
      </w:pPr>
      <w:r>
        <w:rPr>
          <w:noProof/>
        </w:rPr>
        <w:drawing>
          <wp:inline distT="0" distB="0" distL="114300" distR="114300" wp14:anchorId="7A61475B" wp14:editId="00FB7622">
            <wp:extent cx="3837940" cy="2263775"/>
            <wp:effectExtent l="0" t="0" r="635" b="317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6"/>
                    <a:stretch>
                      <a:fillRect/>
                    </a:stretch>
                  </pic:blipFill>
                  <pic:spPr>
                    <a:xfrm>
                      <a:off x="0" y="0"/>
                      <a:ext cx="3837940" cy="2263775"/>
                    </a:xfrm>
                    <a:prstGeom prst="rect">
                      <a:avLst/>
                    </a:prstGeom>
                    <a:noFill/>
                    <a:ln>
                      <a:noFill/>
                    </a:ln>
                  </pic:spPr>
                </pic:pic>
              </a:graphicData>
            </a:graphic>
          </wp:inline>
        </w:drawing>
      </w:r>
    </w:p>
    <w:p w14:paraId="2B60953E" w14:textId="77777777" w:rsidR="003768D5" w:rsidRDefault="005468AB">
      <w:pPr>
        <w:autoSpaceDE w:val="0"/>
        <w:autoSpaceDN w:val="0"/>
        <w:adjustRightInd w:val="0"/>
        <w:jc w:val="both"/>
        <w:rPr>
          <w:rFonts w:ascii="Arial" w:eastAsia="SimSun" w:hAnsi="Arial" w:cs="Arial"/>
          <w:b/>
          <w:bCs/>
          <w:szCs w:val="22"/>
          <w:lang w:eastAsia="zh-CN"/>
        </w:rPr>
      </w:pPr>
      <w:r>
        <w:rPr>
          <w:rFonts w:ascii="Arial" w:hAnsi="Arial" w:cs="Arial"/>
          <w:b/>
          <w:bCs/>
          <w:szCs w:val="22"/>
        </w:rPr>
        <w:t xml:space="preserve">Fig. </w:t>
      </w:r>
      <w:r>
        <w:rPr>
          <w:rFonts w:ascii="Arial" w:eastAsia="SimSun" w:hAnsi="Arial" w:cs="Arial" w:hint="eastAsia"/>
          <w:b/>
          <w:bCs/>
          <w:szCs w:val="22"/>
          <w:lang w:eastAsia="zh-CN"/>
        </w:rPr>
        <w:t>2</w:t>
      </w:r>
      <w:r>
        <w:rPr>
          <w:rFonts w:ascii="Arial" w:hAnsi="Arial" w:cs="Arial"/>
          <w:b/>
          <w:bCs/>
          <w:szCs w:val="22"/>
        </w:rPr>
        <w:t xml:space="preserve">. </w:t>
      </w:r>
      <w:r>
        <w:rPr>
          <w:rFonts w:ascii="Arial" w:eastAsia="SimSun" w:hAnsi="Arial" w:cs="Arial" w:hint="eastAsia"/>
          <w:b/>
          <w:bCs/>
          <w:szCs w:val="22"/>
          <w:lang w:eastAsia="zh-CN"/>
        </w:rPr>
        <w:t>Time Series Plot of Malaysian Rubber Prices</w:t>
      </w:r>
    </w:p>
    <w:p w14:paraId="334A436A" w14:textId="77777777" w:rsidR="003768D5" w:rsidRDefault="003768D5">
      <w:pPr>
        <w:pStyle w:val="Body"/>
        <w:spacing w:after="0"/>
      </w:pPr>
    </w:p>
    <w:p w14:paraId="430915D2" w14:textId="77777777" w:rsidR="003768D5" w:rsidRDefault="005468AB">
      <w:pPr>
        <w:pStyle w:val="Body"/>
        <w:spacing w:after="0"/>
      </w:pPr>
      <w:r>
        <w:rPr>
          <w:noProof/>
        </w:rPr>
        <w:lastRenderedPageBreak/>
        <w:drawing>
          <wp:inline distT="0" distB="0" distL="114300" distR="114300" wp14:anchorId="49EFA46F" wp14:editId="09840501">
            <wp:extent cx="3804285" cy="2244090"/>
            <wp:effectExtent l="0" t="0" r="5715" b="381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a:stretch>
                      <a:fillRect/>
                    </a:stretch>
                  </pic:blipFill>
                  <pic:spPr>
                    <a:xfrm>
                      <a:off x="0" y="0"/>
                      <a:ext cx="3804285" cy="2244090"/>
                    </a:xfrm>
                    <a:prstGeom prst="rect">
                      <a:avLst/>
                    </a:prstGeom>
                    <a:noFill/>
                    <a:ln>
                      <a:noFill/>
                    </a:ln>
                  </pic:spPr>
                </pic:pic>
              </a:graphicData>
            </a:graphic>
          </wp:inline>
        </w:drawing>
      </w:r>
    </w:p>
    <w:p w14:paraId="4E96EABC" w14:textId="77777777" w:rsidR="003768D5" w:rsidRDefault="005468AB">
      <w:pPr>
        <w:autoSpaceDE w:val="0"/>
        <w:autoSpaceDN w:val="0"/>
        <w:adjustRightInd w:val="0"/>
        <w:jc w:val="both"/>
        <w:rPr>
          <w:rFonts w:ascii="Arial" w:eastAsia="SimSun" w:hAnsi="Arial" w:cs="Arial"/>
          <w:b/>
          <w:bCs/>
          <w:szCs w:val="22"/>
          <w:lang w:eastAsia="zh-CN"/>
        </w:rPr>
      </w:pPr>
      <w:r>
        <w:rPr>
          <w:rFonts w:ascii="Arial" w:hAnsi="Arial" w:cs="Arial"/>
          <w:b/>
          <w:bCs/>
          <w:szCs w:val="22"/>
        </w:rPr>
        <w:t xml:space="preserve">Fig. </w:t>
      </w:r>
      <w:r>
        <w:rPr>
          <w:rFonts w:ascii="Arial" w:eastAsia="SimSun" w:hAnsi="Arial" w:cs="Arial" w:hint="eastAsia"/>
          <w:b/>
          <w:bCs/>
          <w:szCs w:val="22"/>
          <w:lang w:eastAsia="zh-CN"/>
        </w:rPr>
        <w:t>3</w:t>
      </w:r>
      <w:r>
        <w:rPr>
          <w:rFonts w:ascii="Arial" w:hAnsi="Arial" w:cs="Arial"/>
          <w:b/>
          <w:bCs/>
          <w:szCs w:val="22"/>
        </w:rPr>
        <w:t xml:space="preserve">. </w:t>
      </w:r>
      <w:r>
        <w:rPr>
          <w:rFonts w:ascii="Arial" w:eastAsia="SimSun" w:hAnsi="Arial" w:cs="Arial" w:hint="eastAsia"/>
          <w:b/>
          <w:bCs/>
          <w:szCs w:val="22"/>
          <w:lang w:eastAsia="zh-CN"/>
        </w:rPr>
        <w:t>Time Series Plot of Malaysian Rubber Prices after First-order Difference</w:t>
      </w:r>
    </w:p>
    <w:p w14:paraId="0EB81926" w14:textId="77777777" w:rsidR="003768D5" w:rsidRDefault="003768D5">
      <w:pPr>
        <w:pStyle w:val="Body"/>
        <w:spacing w:after="0"/>
      </w:pPr>
    </w:p>
    <w:p w14:paraId="47A97B08" w14:textId="77777777" w:rsidR="003768D5" w:rsidRDefault="005468AB">
      <w:pPr>
        <w:pStyle w:val="Body"/>
        <w:spacing w:after="0"/>
        <w:rPr>
          <w:rFonts w:ascii="Arial" w:hAnsi="Arial" w:cs="Arial"/>
        </w:rPr>
      </w:pPr>
      <w:r>
        <w:rPr>
          <w:rFonts w:ascii="Arial" w:hAnsi="Arial" w:cs="Arial"/>
        </w:rPr>
        <w:t>From Fig</w:t>
      </w:r>
      <w:r>
        <w:rPr>
          <w:rFonts w:ascii="Arial" w:eastAsia="SimSun" w:hAnsi="Arial" w:cs="Arial"/>
          <w:lang w:eastAsia="zh-CN"/>
        </w:rPr>
        <w:t xml:space="preserve">. </w:t>
      </w:r>
      <w:r>
        <w:rPr>
          <w:rFonts w:ascii="Arial" w:hAnsi="Arial" w:cs="Arial"/>
        </w:rPr>
        <w:t>3, it can be observed that the differenced data shows stationarity and is suitable for subsequ</w:t>
      </w:r>
      <w:r>
        <w:rPr>
          <w:rFonts w:ascii="Arial" w:hAnsi="Arial" w:cs="Arial"/>
        </w:rPr>
        <w:t>ent use of the ARIMA model. The parameters of the ARIMA model are determined by the autoregressive (AR</w:t>
      </w:r>
      <w:proofErr w:type="gramStart"/>
      <w:r>
        <w:rPr>
          <w:rFonts w:ascii="Arial" w:hAnsi="Arial" w:cs="Arial"/>
        </w:rPr>
        <w:t>) ,</w:t>
      </w:r>
      <w:proofErr w:type="gramEnd"/>
      <w:r>
        <w:rPr>
          <w:rFonts w:ascii="Arial" w:hAnsi="Arial" w:cs="Arial"/>
        </w:rPr>
        <w:t xml:space="preserve"> difference (I), and moving average (MA). In ARIMA(</w:t>
      </w:r>
      <w:proofErr w:type="spellStart"/>
      <w:proofErr w:type="gramStart"/>
      <w:r>
        <w:rPr>
          <w:rFonts w:ascii="Arial" w:hAnsi="Arial" w:cs="Arial"/>
        </w:rPr>
        <w:t>p,d</w:t>
      </w:r>
      <w:proofErr w:type="gramEnd"/>
      <w:r>
        <w:rPr>
          <w:rFonts w:ascii="Arial" w:hAnsi="Arial" w:cs="Arial"/>
        </w:rPr>
        <w:t>,q</w:t>
      </w:r>
      <w:proofErr w:type="spellEnd"/>
      <w:r>
        <w:rPr>
          <w:rFonts w:ascii="Arial" w:hAnsi="Arial" w:cs="Arial"/>
        </w:rPr>
        <w:t>) model, d is the order of the difference, and since the data is stationarity after the first o</w:t>
      </w:r>
      <w:r>
        <w:rPr>
          <w:rFonts w:ascii="Arial" w:hAnsi="Arial" w:cs="Arial"/>
        </w:rPr>
        <w:t xml:space="preserve">rder difference, therefore d is 1. </w:t>
      </w:r>
    </w:p>
    <w:p w14:paraId="4BE1AC89" w14:textId="77777777" w:rsidR="003768D5" w:rsidRDefault="003768D5">
      <w:pPr>
        <w:pStyle w:val="Body"/>
        <w:spacing w:after="0"/>
        <w:rPr>
          <w:rFonts w:ascii="Arial" w:hAnsi="Arial" w:cs="Arial"/>
        </w:rPr>
      </w:pPr>
    </w:p>
    <w:p w14:paraId="2BA4DA50" w14:textId="77777777" w:rsidR="003768D5" w:rsidRDefault="005468AB">
      <w:pPr>
        <w:pStyle w:val="Body"/>
        <w:spacing w:after="0"/>
        <w:rPr>
          <w:rFonts w:ascii="Arial" w:hAnsi="Arial" w:cs="Arial"/>
        </w:rPr>
      </w:pPr>
      <w:r>
        <w:rPr>
          <w:rFonts w:ascii="Arial" w:hAnsi="Arial" w:cs="Arial"/>
        </w:rPr>
        <w:t>The ACF and PACF plots were used to determine the values of p and q for the ARIMA (p, d, q) model: p was determined by observing the PACF plot, while q was determined by observing the ACF plot. The ACF and PACF plots af</w:t>
      </w:r>
      <w:r>
        <w:rPr>
          <w:rFonts w:ascii="Arial" w:hAnsi="Arial" w:cs="Arial"/>
        </w:rPr>
        <w:t>ter first-order differencing are shown in Fig.</w:t>
      </w:r>
      <w:r>
        <w:rPr>
          <w:rFonts w:ascii="Arial" w:eastAsia="SimSun" w:hAnsi="Arial" w:cs="Arial"/>
          <w:lang w:eastAsia="zh-CN"/>
        </w:rPr>
        <w:t xml:space="preserve"> </w:t>
      </w:r>
      <w:r>
        <w:rPr>
          <w:rFonts w:ascii="Arial" w:hAnsi="Arial" w:cs="Arial"/>
        </w:rPr>
        <w:t>4 and Fig</w:t>
      </w:r>
      <w:r>
        <w:rPr>
          <w:rFonts w:ascii="Arial" w:eastAsia="SimSun" w:hAnsi="Arial" w:cs="Arial"/>
          <w:lang w:eastAsia="zh-CN"/>
        </w:rPr>
        <w:t xml:space="preserve">. </w:t>
      </w:r>
      <w:r>
        <w:rPr>
          <w:rFonts w:ascii="Arial" w:hAnsi="Arial" w:cs="Arial"/>
        </w:rPr>
        <w:t xml:space="preserve">5. </w:t>
      </w:r>
    </w:p>
    <w:p w14:paraId="6E580108" w14:textId="77777777" w:rsidR="003768D5" w:rsidRDefault="005468AB">
      <w:pPr>
        <w:pStyle w:val="Body"/>
        <w:spacing w:after="0"/>
      </w:pPr>
      <w:r>
        <w:rPr>
          <w:noProof/>
        </w:rPr>
        <w:drawing>
          <wp:inline distT="0" distB="0" distL="114300" distR="114300" wp14:anchorId="28C0ABAA" wp14:editId="02866A5C">
            <wp:extent cx="3762375" cy="2218690"/>
            <wp:effectExtent l="0" t="0" r="0" b="63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8"/>
                    <a:stretch>
                      <a:fillRect/>
                    </a:stretch>
                  </pic:blipFill>
                  <pic:spPr>
                    <a:xfrm>
                      <a:off x="0" y="0"/>
                      <a:ext cx="3762375" cy="2218690"/>
                    </a:xfrm>
                    <a:prstGeom prst="rect">
                      <a:avLst/>
                    </a:prstGeom>
                    <a:noFill/>
                    <a:ln>
                      <a:noFill/>
                    </a:ln>
                  </pic:spPr>
                </pic:pic>
              </a:graphicData>
            </a:graphic>
          </wp:inline>
        </w:drawing>
      </w:r>
    </w:p>
    <w:p w14:paraId="412C852B" w14:textId="77777777" w:rsidR="003768D5" w:rsidRDefault="005468AB">
      <w:pPr>
        <w:autoSpaceDE w:val="0"/>
        <w:autoSpaceDN w:val="0"/>
        <w:adjustRightInd w:val="0"/>
        <w:jc w:val="both"/>
        <w:rPr>
          <w:rFonts w:ascii="Arial" w:eastAsia="SimSun" w:hAnsi="Arial" w:cs="Arial"/>
          <w:b/>
          <w:bCs/>
          <w:szCs w:val="22"/>
          <w:lang w:eastAsia="zh-CN"/>
        </w:rPr>
      </w:pPr>
      <w:r>
        <w:rPr>
          <w:rFonts w:ascii="Arial" w:hAnsi="Arial" w:cs="Arial"/>
          <w:b/>
          <w:bCs/>
          <w:szCs w:val="22"/>
        </w:rPr>
        <w:t xml:space="preserve">Fig. </w:t>
      </w:r>
      <w:r>
        <w:rPr>
          <w:rFonts w:ascii="Arial" w:eastAsia="SimSun" w:hAnsi="Arial" w:cs="Arial" w:hint="eastAsia"/>
          <w:b/>
          <w:bCs/>
          <w:szCs w:val="22"/>
          <w:lang w:eastAsia="zh-CN"/>
        </w:rPr>
        <w:t>4</w:t>
      </w:r>
      <w:r>
        <w:rPr>
          <w:rFonts w:ascii="Arial" w:hAnsi="Arial" w:cs="Arial"/>
          <w:b/>
          <w:bCs/>
          <w:szCs w:val="22"/>
        </w:rPr>
        <w:t xml:space="preserve">. </w:t>
      </w:r>
      <w:r>
        <w:rPr>
          <w:rFonts w:ascii="Arial" w:eastAsia="SimSun" w:hAnsi="Arial" w:cs="Arial" w:hint="eastAsia"/>
          <w:b/>
          <w:bCs/>
          <w:szCs w:val="22"/>
          <w:lang w:eastAsia="zh-CN"/>
        </w:rPr>
        <w:t>ACF Plot after First-order Difference</w:t>
      </w:r>
    </w:p>
    <w:p w14:paraId="63FDA6CC" w14:textId="77777777" w:rsidR="003768D5" w:rsidRDefault="003768D5">
      <w:pPr>
        <w:pStyle w:val="Body"/>
        <w:spacing w:after="0"/>
      </w:pPr>
    </w:p>
    <w:p w14:paraId="14F4DAB2" w14:textId="77777777" w:rsidR="003768D5" w:rsidRDefault="005468AB">
      <w:pPr>
        <w:pStyle w:val="Body"/>
        <w:spacing w:after="0"/>
      </w:pPr>
      <w:r>
        <w:rPr>
          <w:noProof/>
        </w:rPr>
        <w:drawing>
          <wp:inline distT="0" distB="0" distL="114300" distR="114300" wp14:anchorId="79AAF77A" wp14:editId="2EE4FC09">
            <wp:extent cx="3542665" cy="2089785"/>
            <wp:effectExtent l="0" t="0" r="635" b="571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9"/>
                    <a:stretch>
                      <a:fillRect/>
                    </a:stretch>
                  </pic:blipFill>
                  <pic:spPr>
                    <a:xfrm>
                      <a:off x="0" y="0"/>
                      <a:ext cx="3542665" cy="2089785"/>
                    </a:xfrm>
                    <a:prstGeom prst="rect">
                      <a:avLst/>
                    </a:prstGeom>
                    <a:noFill/>
                    <a:ln>
                      <a:noFill/>
                    </a:ln>
                  </pic:spPr>
                </pic:pic>
              </a:graphicData>
            </a:graphic>
          </wp:inline>
        </w:drawing>
      </w:r>
    </w:p>
    <w:p w14:paraId="10769870" w14:textId="77777777" w:rsidR="003768D5" w:rsidRDefault="005468AB">
      <w:pPr>
        <w:autoSpaceDE w:val="0"/>
        <w:autoSpaceDN w:val="0"/>
        <w:adjustRightInd w:val="0"/>
        <w:jc w:val="both"/>
        <w:rPr>
          <w:rFonts w:ascii="Arial" w:eastAsia="SimSun" w:hAnsi="Arial" w:cs="Arial"/>
          <w:b/>
          <w:bCs/>
          <w:szCs w:val="22"/>
          <w:lang w:eastAsia="zh-CN"/>
        </w:rPr>
      </w:pPr>
      <w:r>
        <w:rPr>
          <w:rFonts w:ascii="Arial" w:hAnsi="Arial" w:cs="Arial"/>
          <w:b/>
          <w:bCs/>
          <w:szCs w:val="22"/>
        </w:rPr>
        <w:t xml:space="preserve">Fig. </w:t>
      </w:r>
      <w:r>
        <w:rPr>
          <w:rFonts w:ascii="Arial" w:eastAsia="SimSun" w:hAnsi="Arial" w:cs="Arial" w:hint="eastAsia"/>
          <w:b/>
          <w:bCs/>
          <w:szCs w:val="22"/>
          <w:lang w:eastAsia="zh-CN"/>
        </w:rPr>
        <w:t>5</w:t>
      </w:r>
      <w:r>
        <w:rPr>
          <w:rFonts w:ascii="Arial" w:hAnsi="Arial" w:cs="Arial"/>
          <w:b/>
          <w:bCs/>
          <w:szCs w:val="22"/>
        </w:rPr>
        <w:t xml:space="preserve">. </w:t>
      </w:r>
      <w:r>
        <w:rPr>
          <w:rFonts w:ascii="Arial" w:eastAsia="SimSun" w:hAnsi="Arial" w:cs="Arial" w:hint="eastAsia"/>
          <w:b/>
          <w:bCs/>
          <w:szCs w:val="22"/>
          <w:lang w:eastAsia="zh-CN"/>
        </w:rPr>
        <w:t>PACF Plot after First-order Difference</w:t>
      </w:r>
    </w:p>
    <w:p w14:paraId="30C2B5E3" w14:textId="77777777" w:rsidR="003768D5" w:rsidRDefault="003768D5">
      <w:pPr>
        <w:pStyle w:val="Body"/>
        <w:spacing w:after="0"/>
      </w:pPr>
    </w:p>
    <w:p w14:paraId="38C89DF5" w14:textId="77777777" w:rsidR="003768D5" w:rsidRDefault="005468AB">
      <w:pPr>
        <w:pStyle w:val="Body"/>
        <w:spacing w:after="0"/>
        <w:rPr>
          <w:rFonts w:ascii="Arial" w:hAnsi="Arial" w:cs="Arial"/>
        </w:rPr>
      </w:pPr>
      <w:r>
        <w:rPr>
          <w:rFonts w:ascii="Arial" w:hAnsi="Arial" w:cs="Arial"/>
        </w:rPr>
        <w:lastRenderedPageBreak/>
        <w:t xml:space="preserve">The PACF tails off quickly after the first or second order, indicating that the autoregressive (AR) order p should be set to 1 or 2. The ACF decreases gradually after the first to third orders, indicating that the moving average (MA) order q should be set </w:t>
      </w:r>
      <w:r>
        <w:rPr>
          <w:rFonts w:ascii="Arial" w:hAnsi="Arial" w:cs="Arial"/>
        </w:rPr>
        <w:t>to 1, 2,</w:t>
      </w:r>
      <w:r>
        <w:rPr>
          <w:rFonts w:ascii="Arial" w:eastAsia="SimSun" w:hAnsi="Arial" w:cs="Arial" w:hint="eastAsia"/>
          <w:lang w:eastAsia="zh-CN"/>
        </w:rPr>
        <w:t xml:space="preserve"> </w:t>
      </w:r>
      <w:r>
        <w:rPr>
          <w:rFonts w:ascii="Arial" w:hAnsi="Arial" w:cs="Arial"/>
        </w:rPr>
        <w:t>3. The resulting ARIMA models are therefore ARIMA(1,1,1), ARIMA(1,1,2), ARIMA(2,1,1), ARIMA(2,1,2), ARIMA(1,1,3) and ARIMA(2,1,3).</w:t>
      </w:r>
    </w:p>
    <w:p w14:paraId="03608757" w14:textId="77777777" w:rsidR="003768D5" w:rsidRDefault="003768D5">
      <w:pPr>
        <w:pStyle w:val="Body"/>
        <w:spacing w:after="0"/>
        <w:rPr>
          <w:rFonts w:ascii="Arial" w:hAnsi="Arial" w:cs="Arial"/>
        </w:rPr>
      </w:pPr>
    </w:p>
    <w:p w14:paraId="2934C516" w14:textId="77777777" w:rsidR="003768D5" w:rsidRDefault="005468AB">
      <w:pPr>
        <w:pStyle w:val="Body"/>
        <w:spacing w:after="0"/>
        <w:rPr>
          <w:rFonts w:ascii="Arial" w:eastAsia="SimSun" w:hAnsi="Arial" w:cs="Arial"/>
          <w:b/>
          <w:u w:val="single"/>
          <w:lang w:eastAsia="zh-CN"/>
        </w:rPr>
      </w:pPr>
      <w:r>
        <w:rPr>
          <w:rFonts w:ascii="Arial" w:hAnsi="Arial" w:cs="Arial"/>
          <w:b/>
          <w:u w:val="single"/>
        </w:rPr>
        <w:t>3.</w:t>
      </w:r>
      <w:r>
        <w:rPr>
          <w:rFonts w:ascii="Arial" w:eastAsia="SimSun" w:hAnsi="Arial" w:cs="Arial" w:hint="eastAsia"/>
          <w:b/>
          <w:u w:val="single"/>
          <w:lang w:eastAsia="zh-CN"/>
        </w:rPr>
        <w:t>3</w:t>
      </w:r>
      <w:r>
        <w:rPr>
          <w:rFonts w:ascii="Arial" w:hAnsi="Arial" w:cs="Arial"/>
          <w:b/>
          <w:u w:val="single"/>
        </w:rPr>
        <w:t>.</w:t>
      </w:r>
      <w:r>
        <w:rPr>
          <w:rFonts w:ascii="Arial" w:eastAsia="SimSun" w:hAnsi="Arial" w:cs="Arial" w:hint="eastAsia"/>
          <w:b/>
          <w:u w:val="single"/>
          <w:lang w:eastAsia="zh-CN"/>
        </w:rPr>
        <w:t>2</w:t>
      </w:r>
      <w:r>
        <w:rPr>
          <w:rFonts w:ascii="Arial" w:hAnsi="Arial" w:cs="Arial"/>
          <w:b/>
          <w:u w:val="single"/>
        </w:rPr>
        <w:t xml:space="preserve"> </w:t>
      </w:r>
      <w:r>
        <w:rPr>
          <w:rFonts w:ascii="Arial" w:eastAsia="SimSun" w:hAnsi="Arial" w:cs="Arial" w:hint="eastAsia"/>
          <w:b/>
          <w:u w:val="single"/>
          <w:lang w:eastAsia="zh-CN"/>
        </w:rPr>
        <w:t xml:space="preserve">Exponential Smoothing Model </w:t>
      </w:r>
    </w:p>
    <w:p w14:paraId="6879A479" w14:textId="77777777" w:rsidR="003768D5" w:rsidRDefault="003768D5">
      <w:pPr>
        <w:pStyle w:val="Body"/>
        <w:spacing w:after="0"/>
        <w:rPr>
          <w:rFonts w:ascii="Arial" w:eastAsia="SimSun" w:hAnsi="Arial" w:cs="Arial"/>
          <w:b/>
          <w:u w:val="single"/>
          <w:lang w:eastAsia="zh-CN"/>
        </w:rPr>
      </w:pPr>
    </w:p>
    <w:p w14:paraId="1DA79ABD" w14:textId="77777777" w:rsidR="003768D5" w:rsidRDefault="005468AB">
      <w:pPr>
        <w:pStyle w:val="Body"/>
        <w:spacing w:after="0"/>
        <w:rPr>
          <w:rFonts w:ascii="Arial" w:hAnsi="Arial" w:cs="Arial"/>
        </w:rPr>
      </w:pPr>
      <w:r>
        <w:rPr>
          <w:rFonts w:ascii="Arial" w:hAnsi="Arial" w:cs="Arial"/>
        </w:rPr>
        <w:t>Holt-Winter’s exponential smoothing method is suitable for time series with lin</w:t>
      </w:r>
      <w:r>
        <w:rPr>
          <w:rFonts w:ascii="Arial" w:hAnsi="Arial" w:cs="Arial"/>
        </w:rPr>
        <w:t xml:space="preserve">ear trends and can capture trend changes in time series. This method introduces a trend smoothing factor, allowing it to flexibly adapt to sequences with a single trend. The main advantages of the Holt method are its simplicity and ease of implementation, </w:t>
      </w:r>
      <w:r>
        <w:rPr>
          <w:rFonts w:ascii="Arial" w:hAnsi="Arial" w:cs="Arial"/>
        </w:rPr>
        <w:t>making it suitable for time series data without seasonal changes but with long-term trends (</w:t>
      </w:r>
      <w:proofErr w:type="spellStart"/>
      <w:r>
        <w:rPr>
          <w:rFonts w:ascii="Arial" w:hAnsi="Arial" w:cs="Arial"/>
        </w:rPr>
        <w:t>Febrian</w:t>
      </w:r>
      <w:proofErr w:type="spellEnd"/>
      <w:r>
        <w:rPr>
          <w:rFonts w:ascii="Arial" w:hAnsi="Arial" w:cs="Arial"/>
        </w:rPr>
        <w:t xml:space="preserve"> et al., 2020; Shukor et al., 2021).</w:t>
      </w:r>
    </w:p>
    <w:p w14:paraId="41E803E6" w14:textId="77777777" w:rsidR="003768D5" w:rsidRDefault="003768D5">
      <w:pPr>
        <w:pStyle w:val="Body"/>
        <w:spacing w:after="0"/>
        <w:rPr>
          <w:rFonts w:ascii="Arial" w:hAnsi="Arial" w:cs="Arial"/>
        </w:rPr>
      </w:pPr>
    </w:p>
    <w:p w14:paraId="7CEA7414" w14:textId="77777777" w:rsidR="003768D5" w:rsidRDefault="005468AB">
      <w:pPr>
        <w:pStyle w:val="Body"/>
        <w:spacing w:after="0"/>
        <w:rPr>
          <w:rFonts w:ascii="Arial" w:hAnsi="Arial" w:cs="Arial"/>
        </w:rPr>
      </w:pPr>
      <w:r>
        <w:rPr>
          <w:rFonts w:ascii="Arial" w:hAnsi="Arial" w:cs="Arial"/>
        </w:rPr>
        <w:t>Brown’s double exponential smoothing method, as a variant of the Holt method, does not include a smoothing term for tre</w:t>
      </w:r>
      <w:r>
        <w:rPr>
          <w:rFonts w:ascii="Arial" w:hAnsi="Arial" w:cs="Arial"/>
        </w:rPr>
        <w:t>nds and is suitable for relatively stable time series, but it can still capture long-term trends in the data. Its characteristics include fewer model parameters and a simple calculation process, making it suitable for relatively stable sequences with sligh</w:t>
      </w:r>
      <w:r>
        <w:rPr>
          <w:rFonts w:ascii="Arial" w:hAnsi="Arial" w:cs="Arial"/>
        </w:rPr>
        <w:t>t trend changes (Wang et al., 2024).</w:t>
      </w:r>
    </w:p>
    <w:p w14:paraId="49742830" w14:textId="77777777" w:rsidR="003768D5" w:rsidRDefault="003768D5">
      <w:pPr>
        <w:pStyle w:val="Body"/>
        <w:spacing w:after="0"/>
        <w:rPr>
          <w:rFonts w:ascii="Arial" w:hAnsi="Arial" w:cs="Arial"/>
        </w:rPr>
      </w:pPr>
    </w:p>
    <w:p w14:paraId="08369C46" w14:textId="77777777" w:rsidR="003768D5" w:rsidRDefault="005468AB">
      <w:pPr>
        <w:pStyle w:val="Body"/>
        <w:spacing w:after="0"/>
        <w:rPr>
          <w:rFonts w:ascii="Arial" w:eastAsia="SimSun" w:hAnsi="Arial" w:cs="Arial"/>
          <w:b/>
          <w:u w:val="single"/>
          <w:lang w:eastAsia="zh-CN"/>
        </w:rPr>
      </w:pPr>
      <w:r>
        <w:rPr>
          <w:rFonts w:ascii="Arial" w:hAnsi="Arial" w:cs="Arial"/>
          <w:b/>
          <w:u w:val="single"/>
        </w:rPr>
        <w:t>3.</w:t>
      </w:r>
      <w:r>
        <w:rPr>
          <w:rFonts w:ascii="Arial" w:eastAsia="SimSun" w:hAnsi="Arial" w:cs="Arial" w:hint="eastAsia"/>
          <w:b/>
          <w:u w:val="single"/>
          <w:lang w:eastAsia="zh-CN"/>
        </w:rPr>
        <w:t>3</w:t>
      </w:r>
      <w:r>
        <w:rPr>
          <w:rFonts w:ascii="Arial" w:hAnsi="Arial" w:cs="Arial"/>
          <w:b/>
          <w:u w:val="single"/>
        </w:rPr>
        <w:t>.</w:t>
      </w:r>
      <w:r>
        <w:rPr>
          <w:rFonts w:ascii="Arial" w:eastAsia="SimSun" w:hAnsi="Arial" w:cs="Arial" w:hint="eastAsia"/>
          <w:b/>
          <w:u w:val="single"/>
          <w:lang w:eastAsia="zh-CN"/>
        </w:rPr>
        <w:t>3</w:t>
      </w:r>
      <w:r>
        <w:rPr>
          <w:rFonts w:ascii="Arial" w:hAnsi="Arial" w:cs="Arial"/>
          <w:b/>
          <w:u w:val="single"/>
        </w:rPr>
        <w:t xml:space="preserve"> </w:t>
      </w:r>
      <w:r>
        <w:rPr>
          <w:rFonts w:ascii="Arial" w:hAnsi="Arial" w:cs="Arial" w:hint="eastAsia"/>
          <w:b/>
          <w:u w:val="single"/>
        </w:rPr>
        <w:t>Double Moving Average</w:t>
      </w:r>
      <w:r>
        <w:rPr>
          <w:rFonts w:ascii="Arial" w:eastAsia="SimSun" w:hAnsi="Arial" w:cs="Arial" w:hint="eastAsia"/>
          <w:b/>
          <w:u w:val="single"/>
          <w:lang w:eastAsia="zh-CN"/>
        </w:rPr>
        <w:t xml:space="preserve"> Model </w:t>
      </w:r>
    </w:p>
    <w:p w14:paraId="3215CCF2" w14:textId="77777777" w:rsidR="003768D5" w:rsidRDefault="003768D5">
      <w:pPr>
        <w:pStyle w:val="Body"/>
        <w:spacing w:after="0"/>
        <w:rPr>
          <w:rFonts w:ascii="Arial" w:hAnsi="Arial" w:cs="Arial"/>
        </w:rPr>
      </w:pPr>
    </w:p>
    <w:p w14:paraId="09643D81" w14:textId="77777777" w:rsidR="003768D5" w:rsidRDefault="005468AB">
      <w:pPr>
        <w:pStyle w:val="Body"/>
        <w:spacing w:after="0"/>
        <w:rPr>
          <w:rFonts w:ascii="Arial" w:hAnsi="Arial" w:cs="Arial"/>
        </w:rPr>
      </w:pPr>
      <w:r>
        <w:rPr>
          <w:rFonts w:ascii="Arial" w:hAnsi="Arial" w:cs="Arial" w:hint="eastAsia"/>
        </w:rPr>
        <w:t>The double moving average method is a classic technique that eliminates short-term fluctuations by calculating the double moving average of time series data. Its primary feature is t</w:t>
      </w:r>
      <w:r>
        <w:rPr>
          <w:rFonts w:ascii="Arial" w:hAnsi="Arial" w:cs="Arial" w:hint="eastAsia"/>
        </w:rPr>
        <w:t>he use of two moving windows to smooth the data, effectively reducing the impact of random fluctuations, making it suitable for stable time series data (</w:t>
      </w:r>
      <w:proofErr w:type="spellStart"/>
      <w:r>
        <w:rPr>
          <w:rFonts w:ascii="Arial" w:hAnsi="Arial" w:cs="Arial" w:hint="eastAsia"/>
        </w:rPr>
        <w:t>Febrian</w:t>
      </w:r>
      <w:proofErr w:type="spellEnd"/>
      <w:r>
        <w:rPr>
          <w:rFonts w:ascii="Arial" w:hAnsi="Arial" w:cs="Arial" w:hint="eastAsia"/>
        </w:rPr>
        <w:t xml:space="preserve"> et al., 2020). In this study, the DMA (3) model is selected as the forecasting model. DMA (3) e</w:t>
      </w:r>
      <w:r>
        <w:rPr>
          <w:rFonts w:ascii="Arial" w:hAnsi="Arial" w:cs="Arial" w:hint="eastAsia"/>
        </w:rPr>
        <w:t xml:space="preserve">ffectively smooths out short-term noise and extreme fluctuations, providing a more stable forecast. </w:t>
      </w:r>
      <w:r>
        <w:rPr>
          <w:rFonts w:ascii="Arial" w:hAnsi="Arial" w:cs="Arial"/>
        </w:rPr>
        <w:t>It’s</w:t>
      </w:r>
      <w:r>
        <w:rPr>
          <w:rFonts w:ascii="Arial" w:hAnsi="Arial" w:cs="Arial" w:hint="eastAsia"/>
        </w:rPr>
        <w:t xml:space="preserve"> simple and intuitive computational process makes it ideal for preliminary modeling and comparison. This choice not only serves as a benchmark for comparing different forecasting methods but also suits time series data with less volatility and no clear sea</w:t>
      </w:r>
      <w:r>
        <w:rPr>
          <w:rFonts w:ascii="Arial" w:hAnsi="Arial" w:cs="Arial" w:hint="eastAsia"/>
        </w:rPr>
        <w:t>sonal or cyclical trends (Chen et al., 2023). Therefore, DMA (3) provides a valuable reference for evaluating the performance of other models, especially in stabilizing market forecasts.</w:t>
      </w:r>
    </w:p>
    <w:p w14:paraId="65982C51" w14:textId="77777777" w:rsidR="003768D5" w:rsidRDefault="003768D5">
      <w:pPr>
        <w:pStyle w:val="Body"/>
        <w:spacing w:after="0"/>
        <w:rPr>
          <w:rFonts w:ascii="Arial" w:hAnsi="Arial" w:cs="Arial"/>
        </w:rPr>
      </w:pPr>
    </w:p>
    <w:p w14:paraId="19E910F2" w14:textId="77777777" w:rsidR="003768D5" w:rsidRDefault="005468AB">
      <w:pPr>
        <w:pStyle w:val="Body"/>
        <w:spacing w:after="0"/>
        <w:rPr>
          <w:rFonts w:ascii="Arial" w:hAnsi="Arial" w:cs="Arial"/>
        </w:rPr>
      </w:pPr>
      <w:r>
        <w:rPr>
          <w:rFonts w:ascii="Arial" w:hAnsi="Arial" w:cs="Arial"/>
          <w:b/>
          <w:caps/>
          <w:sz w:val="22"/>
        </w:rPr>
        <w:t>3.</w:t>
      </w:r>
      <w:r>
        <w:rPr>
          <w:rFonts w:ascii="Arial" w:eastAsia="SimSun" w:hAnsi="Arial" w:cs="Arial" w:hint="eastAsia"/>
          <w:b/>
          <w:caps/>
          <w:sz w:val="22"/>
          <w:lang w:eastAsia="zh-CN"/>
        </w:rPr>
        <w:t>4</w:t>
      </w:r>
      <w:r>
        <w:rPr>
          <w:rFonts w:ascii="Arial" w:hAnsi="Arial" w:cs="Arial"/>
          <w:b/>
          <w:caps/>
          <w:sz w:val="22"/>
        </w:rPr>
        <w:t xml:space="preserve"> </w:t>
      </w:r>
      <w:r>
        <w:rPr>
          <w:rFonts w:ascii="Arial" w:hAnsi="Arial" w:cs="Arial" w:hint="eastAsia"/>
          <w:b/>
          <w:sz w:val="22"/>
        </w:rPr>
        <w:t>Model Application</w:t>
      </w:r>
    </w:p>
    <w:p w14:paraId="1D3BCE83" w14:textId="77777777" w:rsidR="003768D5" w:rsidRDefault="003768D5">
      <w:pPr>
        <w:pStyle w:val="Body"/>
        <w:spacing w:after="0"/>
        <w:rPr>
          <w:rFonts w:ascii="Arial" w:hAnsi="Arial" w:cs="Arial"/>
        </w:rPr>
      </w:pPr>
    </w:p>
    <w:p w14:paraId="1A6E2CB7" w14:textId="77777777" w:rsidR="003768D5" w:rsidRDefault="005468AB">
      <w:pPr>
        <w:pStyle w:val="Body"/>
        <w:spacing w:after="0"/>
        <w:rPr>
          <w:rFonts w:ascii="Arial" w:hAnsi="Arial" w:cs="Arial"/>
        </w:rPr>
      </w:pPr>
      <w:r>
        <w:rPr>
          <w:rFonts w:ascii="Arial" w:hAnsi="Arial" w:cs="Arial" w:hint="eastAsia"/>
        </w:rPr>
        <w:t>In this study, nine different time series mod</w:t>
      </w:r>
      <w:r>
        <w:rPr>
          <w:rFonts w:ascii="Arial" w:hAnsi="Arial" w:cs="Arial" w:hint="eastAsia"/>
        </w:rPr>
        <w:t>els were used to predict rubber prices in Malaysia. These models include ARIMA models with different structures, exponential smoothing methods (Holt, Brown), and double moving average methods (DMA). The selection of models was based on an analysis of histo</w:t>
      </w:r>
      <w:r>
        <w:rPr>
          <w:rFonts w:ascii="Arial" w:hAnsi="Arial" w:cs="Arial" w:hint="eastAsia"/>
        </w:rPr>
        <w:t xml:space="preserve">rical rubber price data, aiming to identify the most suitable model for price forecasting. The nine selected models are: </w:t>
      </w:r>
      <w:r>
        <w:rPr>
          <w:rFonts w:ascii="Arial" w:hAnsi="Arial" w:cs="Arial"/>
        </w:rPr>
        <w:t>ARIMA (</w:t>
      </w:r>
      <w:r>
        <w:rPr>
          <w:rFonts w:ascii="Arial" w:hAnsi="Arial" w:cs="Arial" w:hint="eastAsia"/>
        </w:rPr>
        <w:t xml:space="preserve">1,2,1), </w:t>
      </w:r>
      <w:proofErr w:type="gramStart"/>
      <w:r>
        <w:rPr>
          <w:rFonts w:ascii="Arial" w:hAnsi="Arial" w:cs="Arial" w:hint="eastAsia"/>
        </w:rPr>
        <w:t>ARIMA(</w:t>
      </w:r>
      <w:proofErr w:type="gramEnd"/>
      <w:r>
        <w:rPr>
          <w:rFonts w:ascii="Arial" w:hAnsi="Arial" w:cs="Arial" w:hint="eastAsia"/>
        </w:rPr>
        <w:t>1,2,2), ARIMA(2,2,1), ARIMA(2,2,2), ARIMA(2,1,3), ARIMA(1,1,3), Holt-Winter’s exponential smoothing, Brown’s expon</w:t>
      </w:r>
      <w:r>
        <w:rPr>
          <w:rFonts w:ascii="Arial" w:hAnsi="Arial" w:cs="Arial" w:hint="eastAsia"/>
        </w:rPr>
        <w:t>ential smoothing, and double moving average.</w:t>
      </w:r>
      <w:r>
        <w:rPr>
          <w:rFonts w:ascii="Arial" w:eastAsia="SimSun" w:hAnsi="Arial" w:cs="Arial" w:hint="eastAsia"/>
          <w:lang w:eastAsia="zh-CN"/>
        </w:rPr>
        <w:t xml:space="preserve"> </w:t>
      </w:r>
      <w:r>
        <w:rPr>
          <w:rFonts w:ascii="Arial" w:hAnsi="Arial" w:cs="Arial" w:hint="eastAsia"/>
        </w:rPr>
        <w:t>The predicted value of rubber from February 2024 to December 2024 resulting from the application of the nine models are shown in Table 2.</w:t>
      </w:r>
    </w:p>
    <w:p w14:paraId="0FB63A01" w14:textId="77777777" w:rsidR="003768D5" w:rsidRDefault="003768D5">
      <w:pPr>
        <w:pStyle w:val="Body"/>
        <w:spacing w:after="0"/>
        <w:rPr>
          <w:rFonts w:ascii="Arial" w:hAnsi="Arial" w:cs="Arial"/>
        </w:rPr>
      </w:pPr>
    </w:p>
    <w:p w14:paraId="5CDC03D1" w14:textId="77777777" w:rsidR="003768D5" w:rsidRDefault="005468AB">
      <w:pPr>
        <w:tabs>
          <w:tab w:val="left" w:pos="1080"/>
        </w:tabs>
        <w:jc w:val="both"/>
        <w:rPr>
          <w:rFonts w:ascii="Arial" w:hAnsi="Arial"/>
          <w:b/>
        </w:rPr>
      </w:pPr>
      <w:r>
        <w:rPr>
          <w:rFonts w:ascii="Arial" w:hAnsi="Arial"/>
          <w:b/>
        </w:rPr>
        <w:t xml:space="preserve">Table </w:t>
      </w:r>
      <w:r>
        <w:rPr>
          <w:rFonts w:ascii="Arial" w:eastAsia="SimSun" w:hAnsi="Arial" w:hint="eastAsia"/>
          <w:b/>
          <w:lang w:eastAsia="zh-CN"/>
        </w:rPr>
        <w:t>2</w:t>
      </w:r>
      <w:r>
        <w:rPr>
          <w:rFonts w:ascii="Arial" w:hAnsi="Arial"/>
          <w:b/>
        </w:rPr>
        <w:t>.</w:t>
      </w:r>
      <w:r>
        <w:rPr>
          <w:rFonts w:ascii="Arial" w:eastAsia="SimSun" w:hAnsi="Arial" w:hint="eastAsia"/>
          <w:b/>
          <w:lang w:eastAsia="zh-CN"/>
        </w:rPr>
        <w:t xml:space="preserve"> Predicted Value of Rubber Prices in Malaysia, January-December </w:t>
      </w:r>
      <w:r>
        <w:rPr>
          <w:rFonts w:ascii="Arial" w:eastAsia="SimSun" w:hAnsi="Arial" w:hint="eastAsia"/>
          <w:b/>
          <w:lang w:eastAsia="zh-CN"/>
        </w:rPr>
        <w:t>2024</w:t>
      </w:r>
    </w:p>
    <w:p w14:paraId="7F8B3F64" w14:textId="77777777" w:rsidR="003768D5" w:rsidRDefault="003768D5">
      <w:pPr>
        <w:tabs>
          <w:tab w:val="left" w:pos="1080"/>
        </w:tabs>
        <w:jc w:val="both"/>
        <w:rPr>
          <w:rFonts w:ascii="Arial" w:hAnsi="Arial"/>
          <w:b/>
        </w:rPr>
      </w:pPr>
    </w:p>
    <w:tbl>
      <w:tblPr>
        <w:tblW w:w="7979"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77"/>
        <w:gridCol w:w="818"/>
        <w:gridCol w:w="850"/>
        <w:gridCol w:w="742"/>
        <w:gridCol w:w="808"/>
        <w:gridCol w:w="807"/>
        <w:gridCol w:w="822"/>
        <w:gridCol w:w="713"/>
        <w:gridCol w:w="739"/>
        <w:gridCol w:w="703"/>
      </w:tblGrid>
      <w:tr w:rsidR="003768D5" w14:paraId="4333702D" w14:textId="77777777">
        <w:trPr>
          <w:trHeight w:val="336"/>
          <w:jc w:val="center"/>
        </w:trPr>
        <w:tc>
          <w:tcPr>
            <w:tcW w:w="977" w:type="dxa"/>
            <w:vMerge w:val="restart"/>
            <w:vAlign w:val="center"/>
          </w:tcPr>
          <w:p w14:paraId="1C0BD0B2" w14:textId="77777777" w:rsidR="003768D5" w:rsidRDefault="005468AB">
            <w:pPr>
              <w:jc w:val="center"/>
              <w:textAlignment w:val="center"/>
              <w:rPr>
                <w:rFonts w:ascii="Arial" w:hAnsi="Arial" w:cs="Arial"/>
                <w:b/>
                <w:bCs/>
                <w:sz w:val="15"/>
                <w:szCs w:val="15"/>
              </w:rPr>
            </w:pPr>
            <w:r>
              <w:rPr>
                <w:rFonts w:ascii="Arial" w:eastAsia="SimSun" w:hAnsi="Arial" w:cs="Arial"/>
                <w:b/>
                <w:bCs/>
                <w:color w:val="000000"/>
                <w:sz w:val="15"/>
                <w:szCs w:val="15"/>
                <w:lang w:eastAsia="zh-CN" w:bidi="ar"/>
              </w:rPr>
              <w:t>Date</w:t>
            </w:r>
          </w:p>
        </w:tc>
        <w:tc>
          <w:tcPr>
            <w:tcW w:w="7002" w:type="dxa"/>
            <w:gridSpan w:val="9"/>
            <w:tcBorders>
              <w:bottom w:val="single" w:sz="4" w:space="0" w:color="auto"/>
            </w:tcBorders>
            <w:vAlign w:val="center"/>
          </w:tcPr>
          <w:p w14:paraId="0C520FC3" w14:textId="77777777" w:rsidR="003768D5" w:rsidRDefault="005468AB">
            <w:pPr>
              <w:jc w:val="center"/>
              <w:textAlignment w:val="center"/>
              <w:rPr>
                <w:rFonts w:ascii="Arial" w:hAnsi="Arial" w:cs="Arial"/>
                <w:b/>
                <w:bCs/>
                <w:color w:val="000000"/>
                <w:sz w:val="15"/>
                <w:szCs w:val="15"/>
                <w:lang w:eastAsia="zh-CN"/>
              </w:rPr>
            </w:pPr>
            <w:r>
              <w:rPr>
                <w:rFonts w:ascii="Arial" w:eastAsia="SimSun" w:hAnsi="Arial" w:cs="Arial"/>
                <w:b/>
                <w:bCs/>
                <w:color w:val="000000"/>
                <w:sz w:val="15"/>
                <w:szCs w:val="15"/>
                <w:lang w:eastAsia="zh-CN" w:bidi="ar"/>
              </w:rPr>
              <w:t>Predicted Value</w:t>
            </w:r>
          </w:p>
        </w:tc>
      </w:tr>
      <w:tr w:rsidR="003768D5" w14:paraId="7B144571" w14:textId="77777777">
        <w:trPr>
          <w:trHeight w:val="663"/>
          <w:jc w:val="center"/>
        </w:trPr>
        <w:tc>
          <w:tcPr>
            <w:tcW w:w="977" w:type="dxa"/>
            <w:vMerge/>
            <w:tcBorders>
              <w:bottom w:val="single" w:sz="4" w:space="0" w:color="auto"/>
            </w:tcBorders>
            <w:vAlign w:val="center"/>
          </w:tcPr>
          <w:p w14:paraId="27633B00" w14:textId="77777777" w:rsidR="003768D5" w:rsidRDefault="003768D5">
            <w:pPr>
              <w:jc w:val="center"/>
              <w:rPr>
                <w:rFonts w:ascii="Arial" w:hAnsi="Arial" w:cs="Arial"/>
                <w:b/>
                <w:bCs/>
                <w:sz w:val="15"/>
                <w:szCs w:val="15"/>
              </w:rPr>
            </w:pPr>
          </w:p>
        </w:tc>
        <w:tc>
          <w:tcPr>
            <w:tcW w:w="818" w:type="dxa"/>
            <w:tcBorders>
              <w:bottom w:val="single" w:sz="4" w:space="0" w:color="auto"/>
            </w:tcBorders>
            <w:vAlign w:val="center"/>
          </w:tcPr>
          <w:p w14:paraId="24DB41DF" w14:textId="77777777" w:rsidR="003768D5" w:rsidRDefault="005468AB">
            <w:pPr>
              <w:jc w:val="center"/>
              <w:textAlignment w:val="center"/>
              <w:rPr>
                <w:rFonts w:ascii="Arial" w:hAnsi="Arial" w:cs="Arial"/>
                <w:b/>
                <w:bCs/>
                <w:sz w:val="15"/>
                <w:szCs w:val="15"/>
              </w:rPr>
            </w:pPr>
            <w:r>
              <w:rPr>
                <w:rFonts w:ascii="Arial" w:eastAsia="SimSun" w:hAnsi="Arial" w:cs="Arial"/>
                <w:b/>
                <w:bCs/>
                <w:color w:val="000000"/>
                <w:sz w:val="15"/>
                <w:szCs w:val="15"/>
                <w:lang w:eastAsia="zh-CN" w:bidi="ar"/>
              </w:rPr>
              <w:t>Holt</w:t>
            </w:r>
            <w:r>
              <w:rPr>
                <w:rFonts w:ascii="Arial" w:eastAsia="SimSun" w:hAnsi="Arial" w:cs="Arial" w:hint="eastAsia"/>
                <w:b/>
                <w:bCs/>
                <w:color w:val="000000"/>
                <w:sz w:val="15"/>
                <w:szCs w:val="15"/>
                <w:lang w:eastAsia="zh-CN" w:bidi="ar"/>
              </w:rPr>
              <w:t>-Winter</w:t>
            </w:r>
            <w:r>
              <w:rPr>
                <w:rFonts w:ascii="Arial" w:eastAsia="SimSun" w:hAnsi="Arial" w:cs="Arial"/>
                <w:b/>
                <w:bCs/>
                <w:color w:val="000000"/>
                <w:sz w:val="15"/>
                <w:szCs w:val="15"/>
                <w:lang w:eastAsia="zh-CN" w:bidi="ar"/>
              </w:rPr>
              <w:t>’</w:t>
            </w:r>
            <w:r>
              <w:rPr>
                <w:rFonts w:ascii="Arial" w:eastAsia="SimSun" w:hAnsi="Arial" w:cs="Arial" w:hint="eastAsia"/>
                <w:b/>
                <w:bCs/>
                <w:color w:val="000000"/>
                <w:sz w:val="15"/>
                <w:szCs w:val="15"/>
                <w:lang w:eastAsia="zh-CN" w:bidi="ar"/>
              </w:rPr>
              <w:t>s</w:t>
            </w:r>
          </w:p>
        </w:tc>
        <w:tc>
          <w:tcPr>
            <w:tcW w:w="850" w:type="dxa"/>
            <w:tcBorders>
              <w:bottom w:val="single" w:sz="4" w:space="0" w:color="auto"/>
            </w:tcBorders>
            <w:vAlign w:val="center"/>
          </w:tcPr>
          <w:p w14:paraId="0A7ADDCF" w14:textId="77777777" w:rsidR="003768D5" w:rsidRDefault="005468AB">
            <w:pPr>
              <w:jc w:val="center"/>
              <w:textAlignment w:val="center"/>
              <w:rPr>
                <w:rFonts w:ascii="Arial" w:hAnsi="Arial" w:cs="Arial"/>
                <w:b/>
                <w:bCs/>
                <w:sz w:val="15"/>
                <w:szCs w:val="15"/>
              </w:rPr>
            </w:pPr>
            <w:r>
              <w:rPr>
                <w:rFonts w:ascii="Arial" w:eastAsia="SimSun" w:hAnsi="Arial" w:cs="Arial"/>
                <w:b/>
                <w:bCs/>
                <w:color w:val="000000"/>
                <w:sz w:val="15"/>
                <w:szCs w:val="15"/>
                <w:lang w:eastAsia="zh-CN" w:bidi="ar"/>
              </w:rPr>
              <w:t>Brown’</w:t>
            </w:r>
            <w:r>
              <w:rPr>
                <w:rFonts w:ascii="Arial" w:eastAsia="SimSun" w:hAnsi="Arial" w:cs="Arial" w:hint="eastAsia"/>
                <w:b/>
                <w:bCs/>
                <w:color w:val="000000"/>
                <w:sz w:val="15"/>
                <w:szCs w:val="15"/>
                <w:lang w:eastAsia="zh-CN" w:bidi="ar"/>
              </w:rPr>
              <w:t>s</w:t>
            </w:r>
          </w:p>
        </w:tc>
        <w:tc>
          <w:tcPr>
            <w:tcW w:w="742" w:type="dxa"/>
            <w:tcBorders>
              <w:bottom w:val="single" w:sz="4" w:space="0" w:color="auto"/>
            </w:tcBorders>
            <w:vAlign w:val="center"/>
          </w:tcPr>
          <w:p w14:paraId="269C00DA" w14:textId="77777777" w:rsidR="003768D5" w:rsidRDefault="005468AB">
            <w:pPr>
              <w:jc w:val="center"/>
              <w:textAlignment w:val="center"/>
              <w:rPr>
                <w:rFonts w:ascii="Arial" w:hAnsi="Arial" w:cs="Arial"/>
                <w:b/>
                <w:bCs/>
                <w:sz w:val="15"/>
                <w:szCs w:val="15"/>
              </w:rPr>
            </w:pPr>
            <w:r>
              <w:rPr>
                <w:rFonts w:ascii="Arial" w:eastAsia="SimSun" w:hAnsi="Arial" w:cs="Arial"/>
                <w:b/>
                <w:bCs/>
                <w:color w:val="000000"/>
                <w:sz w:val="15"/>
                <w:szCs w:val="15"/>
                <w:lang w:eastAsia="zh-CN" w:bidi="ar"/>
              </w:rPr>
              <w:t>ARIMA (1,1,1)</w:t>
            </w:r>
          </w:p>
        </w:tc>
        <w:tc>
          <w:tcPr>
            <w:tcW w:w="808" w:type="dxa"/>
            <w:tcBorders>
              <w:bottom w:val="single" w:sz="4" w:space="0" w:color="auto"/>
            </w:tcBorders>
            <w:vAlign w:val="center"/>
          </w:tcPr>
          <w:p w14:paraId="49D97CF1" w14:textId="77777777" w:rsidR="003768D5" w:rsidRDefault="005468AB">
            <w:pPr>
              <w:jc w:val="center"/>
              <w:textAlignment w:val="center"/>
              <w:rPr>
                <w:rFonts w:ascii="Arial" w:hAnsi="Arial" w:cs="Arial"/>
                <w:b/>
                <w:bCs/>
                <w:sz w:val="15"/>
                <w:szCs w:val="15"/>
              </w:rPr>
            </w:pPr>
            <w:r>
              <w:rPr>
                <w:rFonts w:ascii="Arial" w:eastAsia="SimSun" w:hAnsi="Arial" w:cs="Arial"/>
                <w:b/>
                <w:bCs/>
                <w:color w:val="000000"/>
                <w:sz w:val="15"/>
                <w:szCs w:val="15"/>
                <w:lang w:eastAsia="zh-CN" w:bidi="ar"/>
              </w:rPr>
              <w:t>ARIMA (1,1,2)</w:t>
            </w:r>
          </w:p>
        </w:tc>
        <w:tc>
          <w:tcPr>
            <w:tcW w:w="807" w:type="dxa"/>
            <w:tcBorders>
              <w:bottom w:val="single" w:sz="4" w:space="0" w:color="auto"/>
            </w:tcBorders>
            <w:vAlign w:val="center"/>
          </w:tcPr>
          <w:p w14:paraId="379B09E9" w14:textId="77777777" w:rsidR="003768D5" w:rsidRDefault="005468AB">
            <w:pPr>
              <w:jc w:val="center"/>
              <w:textAlignment w:val="center"/>
              <w:rPr>
                <w:rFonts w:ascii="Arial" w:hAnsi="Arial" w:cs="Arial"/>
                <w:b/>
                <w:bCs/>
                <w:sz w:val="15"/>
                <w:szCs w:val="15"/>
              </w:rPr>
            </w:pPr>
            <w:r>
              <w:rPr>
                <w:rFonts w:ascii="Arial" w:eastAsia="SimSun" w:hAnsi="Arial" w:cs="Arial"/>
                <w:b/>
                <w:bCs/>
                <w:color w:val="000000"/>
                <w:sz w:val="15"/>
                <w:szCs w:val="15"/>
                <w:lang w:eastAsia="zh-CN" w:bidi="ar"/>
              </w:rPr>
              <w:t>ARIMA (2,1,1)</w:t>
            </w:r>
          </w:p>
        </w:tc>
        <w:tc>
          <w:tcPr>
            <w:tcW w:w="822" w:type="dxa"/>
            <w:tcBorders>
              <w:bottom w:val="single" w:sz="4" w:space="0" w:color="auto"/>
            </w:tcBorders>
            <w:vAlign w:val="center"/>
          </w:tcPr>
          <w:p w14:paraId="51D7F9BF" w14:textId="77777777" w:rsidR="003768D5" w:rsidRDefault="005468AB">
            <w:pPr>
              <w:jc w:val="center"/>
              <w:textAlignment w:val="center"/>
              <w:rPr>
                <w:rFonts w:ascii="Arial" w:hAnsi="Arial" w:cs="Arial"/>
                <w:b/>
                <w:bCs/>
                <w:sz w:val="15"/>
                <w:szCs w:val="15"/>
              </w:rPr>
            </w:pPr>
            <w:r>
              <w:rPr>
                <w:rFonts w:ascii="Arial" w:eastAsia="SimSun" w:hAnsi="Arial" w:cs="Arial"/>
                <w:b/>
                <w:bCs/>
                <w:color w:val="000000"/>
                <w:sz w:val="15"/>
                <w:szCs w:val="15"/>
                <w:lang w:eastAsia="zh-CN" w:bidi="ar"/>
              </w:rPr>
              <w:t>ARIMA (2,1,2)</w:t>
            </w:r>
          </w:p>
        </w:tc>
        <w:tc>
          <w:tcPr>
            <w:tcW w:w="713" w:type="dxa"/>
            <w:tcBorders>
              <w:bottom w:val="single" w:sz="4" w:space="0" w:color="auto"/>
            </w:tcBorders>
            <w:vAlign w:val="center"/>
          </w:tcPr>
          <w:p w14:paraId="659506E0" w14:textId="77777777" w:rsidR="003768D5" w:rsidRDefault="005468AB">
            <w:pPr>
              <w:jc w:val="center"/>
              <w:textAlignment w:val="center"/>
              <w:rPr>
                <w:rFonts w:ascii="Arial" w:hAnsi="Arial" w:cs="Arial"/>
                <w:b/>
                <w:bCs/>
                <w:sz w:val="15"/>
                <w:szCs w:val="15"/>
              </w:rPr>
            </w:pPr>
            <w:r>
              <w:rPr>
                <w:rFonts w:ascii="Arial" w:eastAsia="SimSun" w:hAnsi="Arial" w:cs="Arial"/>
                <w:b/>
                <w:bCs/>
                <w:color w:val="000000"/>
                <w:sz w:val="15"/>
                <w:szCs w:val="15"/>
                <w:lang w:eastAsia="zh-CN" w:bidi="ar"/>
              </w:rPr>
              <w:t>ARIMA (2,1,3)</w:t>
            </w:r>
          </w:p>
        </w:tc>
        <w:tc>
          <w:tcPr>
            <w:tcW w:w="739" w:type="dxa"/>
            <w:tcBorders>
              <w:bottom w:val="single" w:sz="4" w:space="0" w:color="auto"/>
            </w:tcBorders>
            <w:vAlign w:val="center"/>
          </w:tcPr>
          <w:p w14:paraId="2135AE32" w14:textId="77777777" w:rsidR="003768D5" w:rsidRDefault="005468AB">
            <w:pPr>
              <w:jc w:val="center"/>
              <w:textAlignment w:val="center"/>
              <w:rPr>
                <w:rFonts w:ascii="Arial" w:hAnsi="Arial" w:cs="Arial"/>
                <w:b/>
                <w:bCs/>
                <w:sz w:val="15"/>
                <w:szCs w:val="15"/>
              </w:rPr>
            </w:pPr>
            <w:r>
              <w:rPr>
                <w:rFonts w:ascii="Arial" w:eastAsia="SimSun" w:hAnsi="Arial" w:cs="Arial"/>
                <w:b/>
                <w:bCs/>
                <w:color w:val="000000"/>
                <w:sz w:val="15"/>
                <w:szCs w:val="15"/>
                <w:lang w:eastAsia="zh-CN" w:bidi="ar"/>
              </w:rPr>
              <w:t>ARIMA (1,1,3)</w:t>
            </w:r>
          </w:p>
        </w:tc>
        <w:tc>
          <w:tcPr>
            <w:tcW w:w="703" w:type="dxa"/>
            <w:tcBorders>
              <w:bottom w:val="single" w:sz="4" w:space="0" w:color="auto"/>
            </w:tcBorders>
            <w:vAlign w:val="center"/>
          </w:tcPr>
          <w:p w14:paraId="23688071" w14:textId="77777777" w:rsidR="003768D5" w:rsidRDefault="005468AB">
            <w:pPr>
              <w:jc w:val="center"/>
              <w:textAlignment w:val="center"/>
              <w:rPr>
                <w:rFonts w:ascii="Arial" w:hAnsi="Arial" w:cs="Arial"/>
                <w:b/>
                <w:bCs/>
                <w:sz w:val="15"/>
                <w:szCs w:val="15"/>
              </w:rPr>
            </w:pPr>
            <w:r>
              <w:rPr>
                <w:rFonts w:ascii="Arial" w:eastAsia="SimSun" w:hAnsi="Arial" w:cs="Arial"/>
                <w:b/>
                <w:bCs/>
                <w:color w:val="000000"/>
                <w:sz w:val="15"/>
                <w:szCs w:val="15"/>
                <w:lang w:eastAsia="zh-CN" w:bidi="ar"/>
              </w:rPr>
              <w:t>DMA (3)</w:t>
            </w:r>
          </w:p>
        </w:tc>
      </w:tr>
      <w:tr w:rsidR="003768D5" w14:paraId="6949DC0A" w14:textId="77777777">
        <w:trPr>
          <w:trHeight w:val="336"/>
          <w:jc w:val="center"/>
        </w:trPr>
        <w:tc>
          <w:tcPr>
            <w:tcW w:w="977" w:type="dxa"/>
            <w:tcBorders>
              <w:bottom w:val="nil"/>
            </w:tcBorders>
            <w:vAlign w:val="center"/>
          </w:tcPr>
          <w:p w14:paraId="53B8EA73" w14:textId="77777777" w:rsidR="003768D5" w:rsidRDefault="005468AB">
            <w:pPr>
              <w:jc w:val="center"/>
              <w:textAlignment w:val="center"/>
              <w:rPr>
                <w:rFonts w:ascii="Arial" w:hAnsi="Arial" w:cs="Arial"/>
                <w:b/>
                <w:bCs/>
                <w:sz w:val="15"/>
                <w:szCs w:val="15"/>
              </w:rPr>
            </w:pPr>
            <w:r>
              <w:rPr>
                <w:rFonts w:ascii="Arial" w:eastAsia="SimSun" w:hAnsi="Arial" w:cs="Arial"/>
                <w:color w:val="000000"/>
                <w:sz w:val="15"/>
                <w:szCs w:val="15"/>
                <w:lang w:eastAsia="zh-CN" w:bidi="ar"/>
              </w:rPr>
              <w:t>1/2/2024</w:t>
            </w:r>
          </w:p>
        </w:tc>
        <w:tc>
          <w:tcPr>
            <w:tcW w:w="818" w:type="dxa"/>
            <w:tcBorders>
              <w:bottom w:val="nil"/>
            </w:tcBorders>
          </w:tcPr>
          <w:p w14:paraId="780714EA" w14:textId="77777777" w:rsidR="003768D5" w:rsidRDefault="005468AB">
            <w:pPr>
              <w:jc w:val="center"/>
              <w:textAlignment w:val="top"/>
              <w:rPr>
                <w:rFonts w:ascii="Arial" w:hAnsi="Arial" w:cs="Arial"/>
                <w:b/>
                <w:bCs/>
                <w:sz w:val="15"/>
                <w:szCs w:val="15"/>
              </w:rPr>
            </w:pPr>
            <w:r>
              <w:rPr>
                <w:rFonts w:ascii="Arial" w:eastAsia="SimSun" w:hAnsi="Arial" w:cs="Arial"/>
                <w:color w:val="000000"/>
                <w:sz w:val="15"/>
                <w:szCs w:val="15"/>
                <w:lang w:eastAsia="zh-CN" w:bidi="ar"/>
              </w:rPr>
              <w:t xml:space="preserve">740.27 </w:t>
            </w:r>
          </w:p>
        </w:tc>
        <w:tc>
          <w:tcPr>
            <w:tcW w:w="850" w:type="dxa"/>
            <w:tcBorders>
              <w:bottom w:val="nil"/>
            </w:tcBorders>
          </w:tcPr>
          <w:p w14:paraId="42BA5EBA" w14:textId="77777777" w:rsidR="003768D5" w:rsidRDefault="005468AB">
            <w:pPr>
              <w:jc w:val="center"/>
              <w:textAlignment w:val="top"/>
              <w:rPr>
                <w:rFonts w:ascii="Arial" w:hAnsi="Arial" w:cs="Arial"/>
                <w:b/>
                <w:bCs/>
                <w:sz w:val="15"/>
                <w:szCs w:val="15"/>
              </w:rPr>
            </w:pPr>
            <w:r>
              <w:rPr>
                <w:rFonts w:ascii="Arial" w:eastAsia="SimSun" w:hAnsi="Arial" w:cs="Arial"/>
                <w:color w:val="000000"/>
                <w:sz w:val="15"/>
                <w:szCs w:val="15"/>
                <w:lang w:eastAsia="zh-CN" w:bidi="ar"/>
              </w:rPr>
              <w:t xml:space="preserve">740.92 </w:t>
            </w:r>
          </w:p>
        </w:tc>
        <w:tc>
          <w:tcPr>
            <w:tcW w:w="742" w:type="dxa"/>
            <w:tcBorders>
              <w:bottom w:val="nil"/>
            </w:tcBorders>
          </w:tcPr>
          <w:p w14:paraId="02D0DA05"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734.29 </w:t>
            </w:r>
          </w:p>
        </w:tc>
        <w:tc>
          <w:tcPr>
            <w:tcW w:w="808" w:type="dxa"/>
            <w:tcBorders>
              <w:bottom w:val="nil"/>
            </w:tcBorders>
          </w:tcPr>
          <w:p w14:paraId="21489A21"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734.05 </w:t>
            </w:r>
          </w:p>
        </w:tc>
        <w:tc>
          <w:tcPr>
            <w:tcW w:w="807" w:type="dxa"/>
            <w:tcBorders>
              <w:bottom w:val="nil"/>
            </w:tcBorders>
          </w:tcPr>
          <w:p w14:paraId="794DB330"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726.67 </w:t>
            </w:r>
          </w:p>
        </w:tc>
        <w:tc>
          <w:tcPr>
            <w:tcW w:w="822" w:type="dxa"/>
            <w:tcBorders>
              <w:bottom w:val="nil"/>
            </w:tcBorders>
          </w:tcPr>
          <w:p w14:paraId="34E0290E"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726.78 </w:t>
            </w:r>
          </w:p>
        </w:tc>
        <w:tc>
          <w:tcPr>
            <w:tcW w:w="713" w:type="dxa"/>
            <w:tcBorders>
              <w:bottom w:val="nil"/>
            </w:tcBorders>
            <w:vAlign w:val="center"/>
          </w:tcPr>
          <w:p w14:paraId="1693D83A" w14:textId="77777777" w:rsidR="003768D5" w:rsidRDefault="005468AB">
            <w:pPr>
              <w:jc w:val="center"/>
              <w:textAlignment w:val="center"/>
              <w:rPr>
                <w:rFonts w:ascii="Arial" w:hAnsi="Arial" w:cs="Arial"/>
                <w:sz w:val="15"/>
                <w:szCs w:val="15"/>
              </w:rPr>
            </w:pPr>
            <w:r>
              <w:rPr>
                <w:rFonts w:ascii="Arial" w:eastAsia="SimSun" w:hAnsi="Arial" w:cs="Arial"/>
                <w:color w:val="000000"/>
                <w:sz w:val="15"/>
                <w:szCs w:val="15"/>
                <w:lang w:eastAsia="zh-CN" w:bidi="ar"/>
              </w:rPr>
              <w:t>729.93</w:t>
            </w:r>
          </w:p>
        </w:tc>
        <w:tc>
          <w:tcPr>
            <w:tcW w:w="739" w:type="dxa"/>
            <w:tcBorders>
              <w:bottom w:val="nil"/>
            </w:tcBorders>
          </w:tcPr>
          <w:p w14:paraId="40DAF041"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739.30</w:t>
            </w:r>
          </w:p>
        </w:tc>
        <w:tc>
          <w:tcPr>
            <w:tcW w:w="703" w:type="dxa"/>
            <w:tcBorders>
              <w:bottom w:val="nil"/>
            </w:tcBorders>
          </w:tcPr>
          <w:p w14:paraId="2A3FB685"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706.00 </w:t>
            </w:r>
          </w:p>
        </w:tc>
      </w:tr>
      <w:tr w:rsidR="003768D5" w14:paraId="5C3A3048" w14:textId="77777777">
        <w:trPr>
          <w:trHeight w:val="326"/>
          <w:jc w:val="center"/>
        </w:trPr>
        <w:tc>
          <w:tcPr>
            <w:tcW w:w="977" w:type="dxa"/>
            <w:tcBorders>
              <w:top w:val="nil"/>
              <w:bottom w:val="nil"/>
            </w:tcBorders>
            <w:vAlign w:val="center"/>
          </w:tcPr>
          <w:p w14:paraId="518B4FA9" w14:textId="77777777" w:rsidR="003768D5" w:rsidRDefault="005468AB">
            <w:pPr>
              <w:jc w:val="center"/>
              <w:textAlignment w:val="center"/>
              <w:rPr>
                <w:rFonts w:ascii="Arial" w:hAnsi="Arial" w:cs="Arial"/>
                <w:sz w:val="15"/>
                <w:szCs w:val="15"/>
              </w:rPr>
            </w:pPr>
            <w:r>
              <w:rPr>
                <w:rFonts w:ascii="Arial" w:eastAsia="SimSun" w:hAnsi="Arial" w:cs="Arial"/>
                <w:color w:val="000000"/>
                <w:sz w:val="15"/>
                <w:szCs w:val="15"/>
                <w:lang w:eastAsia="zh-CN" w:bidi="ar"/>
              </w:rPr>
              <w:t>1/3/2024</w:t>
            </w:r>
          </w:p>
        </w:tc>
        <w:tc>
          <w:tcPr>
            <w:tcW w:w="818" w:type="dxa"/>
            <w:tcBorders>
              <w:top w:val="nil"/>
              <w:bottom w:val="nil"/>
            </w:tcBorders>
          </w:tcPr>
          <w:p w14:paraId="687BF30A"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770.10 </w:t>
            </w:r>
          </w:p>
        </w:tc>
        <w:tc>
          <w:tcPr>
            <w:tcW w:w="850" w:type="dxa"/>
            <w:tcBorders>
              <w:top w:val="nil"/>
              <w:bottom w:val="nil"/>
            </w:tcBorders>
          </w:tcPr>
          <w:p w14:paraId="7627AF01"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771.80 </w:t>
            </w:r>
          </w:p>
        </w:tc>
        <w:tc>
          <w:tcPr>
            <w:tcW w:w="742" w:type="dxa"/>
            <w:tcBorders>
              <w:top w:val="nil"/>
              <w:bottom w:val="nil"/>
            </w:tcBorders>
          </w:tcPr>
          <w:p w14:paraId="6B71BA8A"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744.90 </w:t>
            </w:r>
          </w:p>
        </w:tc>
        <w:tc>
          <w:tcPr>
            <w:tcW w:w="808" w:type="dxa"/>
            <w:tcBorders>
              <w:top w:val="nil"/>
              <w:bottom w:val="nil"/>
            </w:tcBorders>
          </w:tcPr>
          <w:p w14:paraId="050E1FAC"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751.33 </w:t>
            </w:r>
          </w:p>
        </w:tc>
        <w:tc>
          <w:tcPr>
            <w:tcW w:w="807" w:type="dxa"/>
            <w:tcBorders>
              <w:top w:val="nil"/>
              <w:bottom w:val="nil"/>
            </w:tcBorders>
          </w:tcPr>
          <w:p w14:paraId="09E1AD61"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727.66 </w:t>
            </w:r>
          </w:p>
        </w:tc>
        <w:tc>
          <w:tcPr>
            <w:tcW w:w="822" w:type="dxa"/>
            <w:tcBorders>
              <w:top w:val="nil"/>
              <w:bottom w:val="nil"/>
            </w:tcBorders>
          </w:tcPr>
          <w:p w14:paraId="31C515F1"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736.33 </w:t>
            </w:r>
          </w:p>
        </w:tc>
        <w:tc>
          <w:tcPr>
            <w:tcW w:w="713" w:type="dxa"/>
            <w:tcBorders>
              <w:top w:val="nil"/>
              <w:bottom w:val="nil"/>
            </w:tcBorders>
            <w:vAlign w:val="center"/>
          </w:tcPr>
          <w:p w14:paraId="70E77EC3" w14:textId="77777777" w:rsidR="003768D5" w:rsidRDefault="005468AB">
            <w:pPr>
              <w:jc w:val="center"/>
              <w:textAlignment w:val="center"/>
              <w:rPr>
                <w:rFonts w:ascii="Arial" w:hAnsi="Arial" w:cs="Arial"/>
                <w:sz w:val="15"/>
                <w:szCs w:val="15"/>
              </w:rPr>
            </w:pPr>
            <w:r>
              <w:rPr>
                <w:rFonts w:ascii="Arial" w:eastAsia="SimSun" w:hAnsi="Arial" w:cs="Arial"/>
                <w:color w:val="000000"/>
                <w:sz w:val="15"/>
                <w:szCs w:val="15"/>
                <w:lang w:eastAsia="zh-CN" w:bidi="ar"/>
              </w:rPr>
              <w:t>739.15</w:t>
            </w:r>
          </w:p>
        </w:tc>
        <w:tc>
          <w:tcPr>
            <w:tcW w:w="739" w:type="dxa"/>
            <w:tcBorders>
              <w:top w:val="nil"/>
              <w:bottom w:val="nil"/>
            </w:tcBorders>
          </w:tcPr>
          <w:p w14:paraId="7BF6F23A"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759.41</w:t>
            </w:r>
          </w:p>
        </w:tc>
        <w:tc>
          <w:tcPr>
            <w:tcW w:w="703" w:type="dxa"/>
            <w:tcBorders>
              <w:top w:val="nil"/>
              <w:bottom w:val="nil"/>
            </w:tcBorders>
          </w:tcPr>
          <w:p w14:paraId="4BB790C8"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712.09 </w:t>
            </w:r>
          </w:p>
        </w:tc>
      </w:tr>
      <w:tr w:rsidR="003768D5" w14:paraId="3FED085B" w14:textId="77777777">
        <w:trPr>
          <w:trHeight w:val="326"/>
          <w:jc w:val="center"/>
        </w:trPr>
        <w:tc>
          <w:tcPr>
            <w:tcW w:w="977" w:type="dxa"/>
            <w:tcBorders>
              <w:top w:val="nil"/>
              <w:bottom w:val="nil"/>
            </w:tcBorders>
            <w:vAlign w:val="center"/>
          </w:tcPr>
          <w:p w14:paraId="3F5B1C03" w14:textId="77777777" w:rsidR="003768D5" w:rsidRDefault="005468AB">
            <w:pPr>
              <w:jc w:val="center"/>
              <w:textAlignment w:val="center"/>
              <w:rPr>
                <w:rFonts w:ascii="Arial" w:hAnsi="Arial" w:cs="Arial"/>
                <w:sz w:val="15"/>
                <w:szCs w:val="15"/>
              </w:rPr>
            </w:pPr>
            <w:r>
              <w:rPr>
                <w:rFonts w:ascii="Arial" w:eastAsia="SimSun" w:hAnsi="Arial" w:cs="Arial"/>
                <w:color w:val="000000"/>
                <w:sz w:val="15"/>
                <w:szCs w:val="15"/>
                <w:lang w:eastAsia="zh-CN" w:bidi="ar"/>
              </w:rPr>
              <w:t>1/4/2024</w:t>
            </w:r>
          </w:p>
        </w:tc>
        <w:tc>
          <w:tcPr>
            <w:tcW w:w="818" w:type="dxa"/>
            <w:tcBorders>
              <w:top w:val="nil"/>
              <w:bottom w:val="nil"/>
            </w:tcBorders>
          </w:tcPr>
          <w:p w14:paraId="254E8179"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799.92 </w:t>
            </w:r>
          </w:p>
        </w:tc>
        <w:tc>
          <w:tcPr>
            <w:tcW w:w="850" w:type="dxa"/>
            <w:tcBorders>
              <w:top w:val="nil"/>
              <w:bottom w:val="nil"/>
            </w:tcBorders>
          </w:tcPr>
          <w:p w14:paraId="4FC9C564"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802.68 </w:t>
            </w:r>
          </w:p>
        </w:tc>
        <w:tc>
          <w:tcPr>
            <w:tcW w:w="742" w:type="dxa"/>
            <w:tcBorders>
              <w:top w:val="nil"/>
              <w:bottom w:val="nil"/>
            </w:tcBorders>
          </w:tcPr>
          <w:p w14:paraId="0AA65D48"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750.55 </w:t>
            </w:r>
          </w:p>
        </w:tc>
        <w:tc>
          <w:tcPr>
            <w:tcW w:w="808" w:type="dxa"/>
            <w:tcBorders>
              <w:top w:val="nil"/>
              <w:bottom w:val="nil"/>
            </w:tcBorders>
          </w:tcPr>
          <w:p w14:paraId="2B553F5E"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755.15 </w:t>
            </w:r>
          </w:p>
        </w:tc>
        <w:tc>
          <w:tcPr>
            <w:tcW w:w="807" w:type="dxa"/>
            <w:tcBorders>
              <w:top w:val="nil"/>
              <w:bottom w:val="nil"/>
            </w:tcBorders>
          </w:tcPr>
          <w:p w14:paraId="006CB312"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720.02 </w:t>
            </w:r>
          </w:p>
        </w:tc>
        <w:tc>
          <w:tcPr>
            <w:tcW w:w="822" w:type="dxa"/>
            <w:tcBorders>
              <w:top w:val="nil"/>
              <w:bottom w:val="nil"/>
            </w:tcBorders>
          </w:tcPr>
          <w:p w14:paraId="651E7CAC"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738.37 </w:t>
            </w:r>
          </w:p>
        </w:tc>
        <w:tc>
          <w:tcPr>
            <w:tcW w:w="713" w:type="dxa"/>
            <w:tcBorders>
              <w:top w:val="nil"/>
              <w:bottom w:val="nil"/>
            </w:tcBorders>
            <w:vAlign w:val="center"/>
          </w:tcPr>
          <w:p w14:paraId="5DA1C918" w14:textId="77777777" w:rsidR="003768D5" w:rsidRDefault="005468AB">
            <w:pPr>
              <w:jc w:val="center"/>
              <w:textAlignment w:val="center"/>
              <w:rPr>
                <w:rFonts w:ascii="Arial" w:hAnsi="Arial" w:cs="Arial"/>
                <w:b/>
                <w:sz w:val="15"/>
                <w:szCs w:val="15"/>
              </w:rPr>
            </w:pPr>
            <w:r>
              <w:rPr>
                <w:rFonts w:ascii="Arial" w:eastAsia="SimSun" w:hAnsi="Arial" w:cs="Arial"/>
                <w:color w:val="000000"/>
                <w:sz w:val="15"/>
                <w:szCs w:val="15"/>
                <w:lang w:eastAsia="zh-CN" w:bidi="ar"/>
              </w:rPr>
              <w:t>729.81</w:t>
            </w:r>
          </w:p>
        </w:tc>
        <w:tc>
          <w:tcPr>
            <w:tcW w:w="739" w:type="dxa"/>
            <w:tcBorders>
              <w:top w:val="nil"/>
              <w:bottom w:val="nil"/>
            </w:tcBorders>
          </w:tcPr>
          <w:p w14:paraId="22AC97A1"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766.29</w:t>
            </w:r>
          </w:p>
        </w:tc>
        <w:tc>
          <w:tcPr>
            <w:tcW w:w="703" w:type="dxa"/>
            <w:tcBorders>
              <w:top w:val="nil"/>
              <w:bottom w:val="nil"/>
            </w:tcBorders>
          </w:tcPr>
          <w:p w14:paraId="5241C345"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732.49 </w:t>
            </w:r>
          </w:p>
        </w:tc>
      </w:tr>
      <w:tr w:rsidR="003768D5" w14:paraId="205617CA" w14:textId="77777777">
        <w:trPr>
          <w:trHeight w:val="326"/>
          <w:jc w:val="center"/>
        </w:trPr>
        <w:tc>
          <w:tcPr>
            <w:tcW w:w="977" w:type="dxa"/>
            <w:tcBorders>
              <w:top w:val="nil"/>
              <w:bottom w:val="nil"/>
            </w:tcBorders>
            <w:vAlign w:val="center"/>
          </w:tcPr>
          <w:p w14:paraId="0366602E" w14:textId="77777777" w:rsidR="003768D5" w:rsidRDefault="005468AB">
            <w:pPr>
              <w:jc w:val="center"/>
              <w:textAlignment w:val="center"/>
              <w:rPr>
                <w:rFonts w:ascii="Arial" w:hAnsi="Arial" w:cs="Arial"/>
                <w:sz w:val="15"/>
                <w:szCs w:val="15"/>
              </w:rPr>
            </w:pPr>
            <w:r>
              <w:rPr>
                <w:rFonts w:ascii="Arial" w:eastAsia="SimSun" w:hAnsi="Arial" w:cs="Arial"/>
                <w:color w:val="000000"/>
                <w:sz w:val="15"/>
                <w:szCs w:val="15"/>
                <w:lang w:eastAsia="zh-CN" w:bidi="ar"/>
              </w:rPr>
              <w:t>1/5/2024</w:t>
            </w:r>
          </w:p>
        </w:tc>
        <w:tc>
          <w:tcPr>
            <w:tcW w:w="818" w:type="dxa"/>
            <w:tcBorders>
              <w:top w:val="nil"/>
              <w:bottom w:val="nil"/>
            </w:tcBorders>
          </w:tcPr>
          <w:p w14:paraId="09848561"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829.75 </w:t>
            </w:r>
          </w:p>
        </w:tc>
        <w:tc>
          <w:tcPr>
            <w:tcW w:w="850" w:type="dxa"/>
            <w:tcBorders>
              <w:top w:val="nil"/>
              <w:bottom w:val="nil"/>
            </w:tcBorders>
          </w:tcPr>
          <w:p w14:paraId="3BFD8459"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833.55 </w:t>
            </w:r>
          </w:p>
        </w:tc>
        <w:tc>
          <w:tcPr>
            <w:tcW w:w="742" w:type="dxa"/>
            <w:tcBorders>
              <w:top w:val="nil"/>
              <w:bottom w:val="nil"/>
            </w:tcBorders>
          </w:tcPr>
          <w:p w14:paraId="07CB2752"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754.35 </w:t>
            </w:r>
          </w:p>
        </w:tc>
        <w:tc>
          <w:tcPr>
            <w:tcW w:w="808" w:type="dxa"/>
            <w:tcBorders>
              <w:top w:val="nil"/>
              <w:bottom w:val="nil"/>
            </w:tcBorders>
          </w:tcPr>
          <w:p w14:paraId="17B0383A"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757.82 </w:t>
            </w:r>
          </w:p>
        </w:tc>
        <w:tc>
          <w:tcPr>
            <w:tcW w:w="807" w:type="dxa"/>
            <w:tcBorders>
              <w:top w:val="nil"/>
              <w:bottom w:val="nil"/>
            </w:tcBorders>
          </w:tcPr>
          <w:p w14:paraId="5E69CED4"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708.57 </w:t>
            </w:r>
          </w:p>
        </w:tc>
        <w:tc>
          <w:tcPr>
            <w:tcW w:w="822" w:type="dxa"/>
            <w:tcBorders>
              <w:top w:val="nil"/>
              <w:bottom w:val="nil"/>
            </w:tcBorders>
          </w:tcPr>
          <w:p w14:paraId="1C3078FA"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735.63 </w:t>
            </w:r>
          </w:p>
        </w:tc>
        <w:tc>
          <w:tcPr>
            <w:tcW w:w="713" w:type="dxa"/>
            <w:tcBorders>
              <w:top w:val="nil"/>
              <w:bottom w:val="nil"/>
            </w:tcBorders>
            <w:vAlign w:val="center"/>
          </w:tcPr>
          <w:p w14:paraId="0A9DE01F" w14:textId="77777777" w:rsidR="003768D5" w:rsidRDefault="005468AB">
            <w:pPr>
              <w:jc w:val="center"/>
              <w:textAlignment w:val="center"/>
              <w:rPr>
                <w:rFonts w:ascii="Arial" w:hAnsi="Arial" w:cs="Arial"/>
                <w:b/>
                <w:sz w:val="15"/>
                <w:szCs w:val="15"/>
              </w:rPr>
            </w:pPr>
            <w:r>
              <w:rPr>
                <w:rFonts w:ascii="Arial" w:eastAsia="SimSun" w:hAnsi="Arial" w:cs="Arial"/>
                <w:color w:val="000000"/>
                <w:sz w:val="15"/>
                <w:szCs w:val="15"/>
                <w:lang w:eastAsia="zh-CN" w:bidi="ar"/>
              </w:rPr>
              <w:t>717.03</w:t>
            </w:r>
          </w:p>
        </w:tc>
        <w:tc>
          <w:tcPr>
            <w:tcW w:w="739" w:type="dxa"/>
            <w:tcBorders>
              <w:top w:val="nil"/>
              <w:bottom w:val="nil"/>
            </w:tcBorders>
          </w:tcPr>
          <w:p w14:paraId="65ABBBCF"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766.85</w:t>
            </w:r>
          </w:p>
        </w:tc>
        <w:tc>
          <w:tcPr>
            <w:tcW w:w="703" w:type="dxa"/>
            <w:tcBorders>
              <w:top w:val="nil"/>
              <w:bottom w:val="nil"/>
            </w:tcBorders>
          </w:tcPr>
          <w:p w14:paraId="0850D709"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735.82 </w:t>
            </w:r>
          </w:p>
        </w:tc>
      </w:tr>
      <w:tr w:rsidR="003768D5" w14:paraId="02B6191E" w14:textId="77777777">
        <w:trPr>
          <w:trHeight w:val="326"/>
          <w:jc w:val="center"/>
        </w:trPr>
        <w:tc>
          <w:tcPr>
            <w:tcW w:w="977" w:type="dxa"/>
            <w:tcBorders>
              <w:top w:val="nil"/>
              <w:bottom w:val="nil"/>
            </w:tcBorders>
            <w:vAlign w:val="center"/>
          </w:tcPr>
          <w:p w14:paraId="21DB579B" w14:textId="77777777" w:rsidR="003768D5" w:rsidRDefault="005468AB">
            <w:pPr>
              <w:jc w:val="center"/>
              <w:textAlignment w:val="center"/>
              <w:rPr>
                <w:rFonts w:ascii="Arial" w:hAnsi="Arial" w:cs="Arial"/>
                <w:sz w:val="15"/>
                <w:szCs w:val="15"/>
              </w:rPr>
            </w:pPr>
            <w:r>
              <w:rPr>
                <w:rFonts w:ascii="Arial" w:eastAsia="SimSun" w:hAnsi="Arial" w:cs="Arial"/>
                <w:color w:val="000000"/>
                <w:sz w:val="15"/>
                <w:szCs w:val="15"/>
                <w:lang w:eastAsia="zh-CN" w:bidi="ar"/>
              </w:rPr>
              <w:t>1/6/2024</w:t>
            </w:r>
          </w:p>
        </w:tc>
        <w:tc>
          <w:tcPr>
            <w:tcW w:w="818" w:type="dxa"/>
            <w:tcBorders>
              <w:top w:val="nil"/>
              <w:bottom w:val="nil"/>
            </w:tcBorders>
          </w:tcPr>
          <w:p w14:paraId="76BCAA20"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859.57 </w:t>
            </w:r>
          </w:p>
        </w:tc>
        <w:tc>
          <w:tcPr>
            <w:tcW w:w="850" w:type="dxa"/>
            <w:tcBorders>
              <w:top w:val="nil"/>
              <w:bottom w:val="nil"/>
            </w:tcBorders>
          </w:tcPr>
          <w:p w14:paraId="3ED77F24"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864.43 </w:t>
            </w:r>
          </w:p>
        </w:tc>
        <w:tc>
          <w:tcPr>
            <w:tcW w:w="742" w:type="dxa"/>
            <w:tcBorders>
              <w:top w:val="nil"/>
              <w:bottom w:val="nil"/>
            </w:tcBorders>
          </w:tcPr>
          <w:p w14:paraId="6C35691C"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757.45 </w:t>
            </w:r>
          </w:p>
        </w:tc>
        <w:tc>
          <w:tcPr>
            <w:tcW w:w="808" w:type="dxa"/>
            <w:tcBorders>
              <w:top w:val="nil"/>
              <w:bottom w:val="nil"/>
            </w:tcBorders>
          </w:tcPr>
          <w:p w14:paraId="580E39A0"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760.38 </w:t>
            </w:r>
          </w:p>
        </w:tc>
        <w:tc>
          <w:tcPr>
            <w:tcW w:w="807" w:type="dxa"/>
            <w:tcBorders>
              <w:top w:val="nil"/>
              <w:bottom w:val="nil"/>
            </w:tcBorders>
          </w:tcPr>
          <w:p w14:paraId="34C5A30A"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696.55 </w:t>
            </w:r>
          </w:p>
        </w:tc>
        <w:tc>
          <w:tcPr>
            <w:tcW w:w="822" w:type="dxa"/>
            <w:tcBorders>
              <w:top w:val="nil"/>
              <w:bottom w:val="nil"/>
            </w:tcBorders>
          </w:tcPr>
          <w:p w14:paraId="1D0C9066"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731.90 </w:t>
            </w:r>
          </w:p>
        </w:tc>
        <w:tc>
          <w:tcPr>
            <w:tcW w:w="713" w:type="dxa"/>
            <w:tcBorders>
              <w:top w:val="nil"/>
              <w:bottom w:val="nil"/>
            </w:tcBorders>
            <w:vAlign w:val="center"/>
          </w:tcPr>
          <w:p w14:paraId="060C63C3" w14:textId="77777777" w:rsidR="003768D5" w:rsidRDefault="005468AB">
            <w:pPr>
              <w:jc w:val="center"/>
              <w:textAlignment w:val="center"/>
              <w:rPr>
                <w:rFonts w:ascii="Arial" w:hAnsi="Arial" w:cs="Arial"/>
                <w:b/>
                <w:sz w:val="15"/>
                <w:szCs w:val="15"/>
              </w:rPr>
            </w:pPr>
            <w:r>
              <w:rPr>
                <w:rFonts w:ascii="Arial" w:eastAsia="SimSun" w:hAnsi="Arial" w:cs="Arial"/>
                <w:color w:val="000000"/>
                <w:sz w:val="15"/>
                <w:szCs w:val="15"/>
                <w:lang w:eastAsia="zh-CN" w:bidi="ar"/>
              </w:rPr>
              <w:t>705.77</w:t>
            </w:r>
          </w:p>
        </w:tc>
        <w:tc>
          <w:tcPr>
            <w:tcW w:w="739" w:type="dxa"/>
            <w:tcBorders>
              <w:top w:val="nil"/>
              <w:bottom w:val="nil"/>
            </w:tcBorders>
          </w:tcPr>
          <w:p w14:paraId="245BE6FD"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770.38</w:t>
            </w:r>
          </w:p>
        </w:tc>
        <w:tc>
          <w:tcPr>
            <w:tcW w:w="703" w:type="dxa"/>
            <w:tcBorders>
              <w:top w:val="nil"/>
              <w:bottom w:val="nil"/>
            </w:tcBorders>
          </w:tcPr>
          <w:p w14:paraId="74B945C2"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744.95 </w:t>
            </w:r>
          </w:p>
        </w:tc>
      </w:tr>
      <w:tr w:rsidR="003768D5" w14:paraId="0F9B1915" w14:textId="77777777">
        <w:trPr>
          <w:trHeight w:val="326"/>
          <w:jc w:val="center"/>
        </w:trPr>
        <w:tc>
          <w:tcPr>
            <w:tcW w:w="977" w:type="dxa"/>
            <w:tcBorders>
              <w:top w:val="nil"/>
              <w:bottom w:val="nil"/>
            </w:tcBorders>
            <w:vAlign w:val="center"/>
          </w:tcPr>
          <w:p w14:paraId="1EEE4E45" w14:textId="77777777" w:rsidR="003768D5" w:rsidRDefault="005468AB">
            <w:pPr>
              <w:jc w:val="center"/>
              <w:textAlignment w:val="center"/>
              <w:rPr>
                <w:rFonts w:ascii="Arial" w:hAnsi="Arial" w:cs="Arial"/>
                <w:sz w:val="15"/>
                <w:szCs w:val="15"/>
              </w:rPr>
            </w:pPr>
            <w:r>
              <w:rPr>
                <w:rFonts w:ascii="Arial" w:eastAsia="SimSun" w:hAnsi="Arial" w:cs="Arial"/>
                <w:color w:val="000000"/>
                <w:sz w:val="15"/>
                <w:szCs w:val="15"/>
                <w:lang w:eastAsia="zh-CN" w:bidi="ar"/>
              </w:rPr>
              <w:t>1/7/2024</w:t>
            </w:r>
          </w:p>
        </w:tc>
        <w:tc>
          <w:tcPr>
            <w:tcW w:w="818" w:type="dxa"/>
            <w:tcBorders>
              <w:top w:val="nil"/>
              <w:bottom w:val="nil"/>
            </w:tcBorders>
          </w:tcPr>
          <w:p w14:paraId="373D73A7"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889.40 </w:t>
            </w:r>
          </w:p>
        </w:tc>
        <w:tc>
          <w:tcPr>
            <w:tcW w:w="850" w:type="dxa"/>
            <w:tcBorders>
              <w:top w:val="nil"/>
              <w:bottom w:val="nil"/>
            </w:tcBorders>
          </w:tcPr>
          <w:p w14:paraId="4B8A9C31"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895.31 </w:t>
            </w:r>
          </w:p>
        </w:tc>
        <w:tc>
          <w:tcPr>
            <w:tcW w:w="742" w:type="dxa"/>
            <w:tcBorders>
              <w:top w:val="nil"/>
              <w:bottom w:val="nil"/>
            </w:tcBorders>
          </w:tcPr>
          <w:p w14:paraId="1F96EB6E"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760.29 </w:t>
            </w:r>
          </w:p>
        </w:tc>
        <w:tc>
          <w:tcPr>
            <w:tcW w:w="808" w:type="dxa"/>
            <w:tcBorders>
              <w:top w:val="nil"/>
              <w:bottom w:val="nil"/>
            </w:tcBorders>
          </w:tcPr>
          <w:p w14:paraId="7BD29673"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762.93 </w:t>
            </w:r>
          </w:p>
        </w:tc>
        <w:tc>
          <w:tcPr>
            <w:tcW w:w="807" w:type="dxa"/>
            <w:tcBorders>
              <w:top w:val="nil"/>
              <w:bottom w:val="nil"/>
            </w:tcBorders>
          </w:tcPr>
          <w:p w14:paraId="58E2C285"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685.88 </w:t>
            </w:r>
          </w:p>
        </w:tc>
        <w:tc>
          <w:tcPr>
            <w:tcW w:w="822" w:type="dxa"/>
            <w:tcBorders>
              <w:top w:val="nil"/>
              <w:bottom w:val="nil"/>
            </w:tcBorders>
          </w:tcPr>
          <w:p w14:paraId="0E4D5531"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730.06 </w:t>
            </w:r>
          </w:p>
        </w:tc>
        <w:tc>
          <w:tcPr>
            <w:tcW w:w="713" w:type="dxa"/>
            <w:tcBorders>
              <w:top w:val="nil"/>
              <w:bottom w:val="nil"/>
            </w:tcBorders>
            <w:vAlign w:val="center"/>
          </w:tcPr>
          <w:p w14:paraId="47C9E95B" w14:textId="77777777" w:rsidR="003768D5" w:rsidRDefault="005468AB">
            <w:pPr>
              <w:jc w:val="center"/>
              <w:textAlignment w:val="center"/>
              <w:rPr>
                <w:rFonts w:ascii="Arial" w:hAnsi="Arial" w:cs="Arial"/>
                <w:b/>
                <w:sz w:val="15"/>
                <w:szCs w:val="15"/>
              </w:rPr>
            </w:pPr>
            <w:r>
              <w:rPr>
                <w:rFonts w:ascii="Arial" w:eastAsia="SimSun" w:hAnsi="Arial" w:cs="Arial"/>
                <w:color w:val="000000"/>
                <w:sz w:val="15"/>
                <w:szCs w:val="15"/>
                <w:lang w:eastAsia="zh-CN" w:bidi="ar"/>
              </w:rPr>
              <w:t>697.19</w:t>
            </w:r>
          </w:p>
        </w:tc>
        <w:tc>
          <w:tcPr>
            <w:tcW w:w="739" w:type="dxa"/>
            <w:tcBorders>
              <w:top w:val="nil"/>
              <w:bottom w:val="nil"/>
            </w:tcBorders>
          </w:tcPr>
          <w:p w14:paraId="280A1683"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772.52</w:t>
            </w:r>
          </w:p>
        </w:tc>
        <w:tc>
          <w:tcPr>
            <w:tcW w:w="703" w:type="dxa"/>
            <w:tcBorders>
              <w:top w:val="nil"/>
              <w:bottom w:val="nil"/>
            </w:tcBorders>
          </w:tcPr>
          <w:p w14:paraId="260E59E3"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758.99 </w:t>
            </w:r>
          </w:p>
        </w:tc>
      </w:tr>
      <w:tr w:rsidR="003768D5" w14:paraId="627351F3" w14:textId="77777777">
        <w:trPr>
          <w:trHeight w:val="326"/>
          <w:jc w:val="center"/>
        </w:trPr>
        <w:tc>
          <w:tcPr>
            <w:tcW w:w="977" w:type="dxa"/>
            <w:tcBorders>
              <w:top w:val="nil"/>
              <w:bottom w:val="nil"/>
            </w:tcBorders>
            <w:vAlign w:val="center"/>
          </w:tcPr>
          <w:p w14:paraId="4C1DF645" w14:textId="77777777" w:rsidR="003768D5" w:rsidRDefault="005468AB">
            <w:pPr>
              <w:jc w:val="center"/>
              <w:textAlignment w:val="center"/>
              <w:rPr>
                <w:rFonts w:ascii="Arial" w:hAnsi="Arial" w:cs="Arial"/>
                <w:sz w:val="15"/>
                <w:szCs w:val="15"/>
              </w:rPr>
            </w:pPr>
            <w:r>
              <w:rPr>
                <w:rFonts w:ascii="Arial" w:eastAsia="SimSun" w:hAnsi="Arial" w:cs="Arial"/>
                <w:color w:val="000000"/>
                <w:sz w:val="15"/>
                <w:szCs w:val="15"/>
                <w:lang w:eastAsia="zh-CN" w:bidi="ar"/>
              </w:rPr>
              <w:t>1/8/2024</w:t>
            </w:r>
          </w:p>
        </w:tc>
        <w:tc>
          <w:tcPr>
            <w:tcW w:w="818" w:type="dxa"/>
            <w:tcBorders>
              <w:top w:val="nil"/>
              <w:bottom w:val="nil"/>
            </w:tcBorders>
          </w:tcPr>
          <w:p w14:paraId="347DA563"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919.22 </w:t>
            </w:r>
          </w:p>
        </w:tc>
        <w:tc>
          <w:tcPr>
            <w:tcW w:w="850" w:type="dxa"/>
            <w:tcBorders>
              <w:top w:val="nil"/>
              <w:bottom w:val="nil"/>
            </w:tcBorders>
          </w:tcPr>
          <w:p w14:paraId="533E8528"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926.18 </w:t>
            </w:r>
          </w:p>
        </w:tc>
        <w:tc>
          <w:tcPr>
            <w:tcW w:w="742" w:type="dxa"/>
            <w:tcBorders>
              <w:top w:val="nil"/>
              <w:bottom w:val="nil"/>
            </w:tcBorders>
          </w:tcPr>
          <w:p w14:paraId="2087203B"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763.03 </w:t>
            </w:r>
          </w:p>
        </w:tc>
        <w:tc>
          <w:tcPr>
            <w:tcW w:w="808" w:type="dxa"/>
            <w:tcBorders>
              <w:top w:val="nil"/>
              <w:bottom w:val="nil"/>
            </w:tcBorders>
          </w:tcPr>
          <w:p w14:paraId="7AEC42F5"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765.49 </w:t>
            </w:r>
          </w:p>
        </w:tc>
        <w:tc>
          <w:tcPr>
            <w:tcW w:w="807" w:type="dxa"/>
            <w:tcBorders>
              <w:top w:val="nil"/>
              <w:bottom w:val="nil"/>
            </w:tcBorders>
          </w:tcPr>
          <w:p w14:paraId="54D1B4CD"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677.45 </w:t>
            </w:r>
          </w:p>
        </w:tc>
        <w:tc>
          <w:tcPr>
            <w:tcW w:w="822" w:type="dxa"/>
            <w:tcBorders>
              <w:top w:val="nil"/>
              <w:bottom w:val="nil"/>
            </w:tcBorders>
          </w:tcPr>
          <w:p w14:paraId="0C1209CC"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731.17 </w:t>
            </w:r>
          </w:p>
        </w:tc>
        <w:tc>
          <w:tcPr>
            <w:tcW w:w="713" w:type="dxa"/>
            <w:tcBorders>
              <w:top w:val="nil"/>
              <w:bottom w:val="nil"/>
            </w:tcBorders>
            <w:vAlign w:val="center"/>
          </w:tcPr>
          <w:p w14:paraId="2B0E8B1C" w14:textId="77777777" w:rsidR="003768D5" w:rsidRDefault="005468AB">
            <w:pPr>
              <w:jc w:val="center"/>
              <w:textAlignment w:val="center"/>
              <w:rPr>
                <w:rFonts w:ascii="Arial" w:hAnsi="Arial" w:cs="Arial"/>
                <w:b/>
                <w:sz w:val="15"/>
                <w:szCs w:val="15"/>
              </w:rPr>
            </w:pPr>
            <w:r>
              <w:rPr>
                <w:rFonts w:ascii="Arial" w:eastAsia="SimSun" w:hAnsi="Arial" w:cs="Arial"/>
                <w:color w:val="000000"/>
                <w:sz w:val="15"/>
                <w:szCs w:val="15"/>
                <w:lang w:eastAsia="zh-CN" w:bidi="ar"/>
              </w:rPr>
              <w:t>691.11</w:t>
            </w:r>
          </w:p>
        </w:tc>
        <w:tc>
          <w:tcPr>
            <w:tcW w:w="739" w:type="dxa"/>
            <w:tcBorders>
              <w:top w:val="nil"/>
              <w:bottom w:val="nil"/>
            </w:tcBorders>
          </w:tcPr>
          <w:p w14:paraId="67FB8D42"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775.31</w:t>
            </w:r>
          </w:p>
        </w:tc>
        <w:tc>
          <w:tcPr>
            <w:tcW w:w="703" w:type="dxa"/>
            <w:tcBorders>
              <w:top w:val="nil"/>
              <w:bottom w:val="nil"/>
            </w:tcBorders>
          </w:tcPr>
          <w:p w14:paraId="3866FFE2"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765.67 </w:t>
            </w:r>
          </w:p>
        </w:tc>
      </w:tr>
      <w:tr w:rsidR="003768D5" w14:paraId="664A92E8" w14:textId="77777777">
        <w:trPr>
          <w:trHeight w:val="326"/>
          <w:jc w:val="center"/>
        </w:trPr>
        <w:tc>
          <w:tcPr>
            <w:tcW w:w="977" w:type="dxa"/>
            <w:tcBorders>
              <w:top w:val="nil"/>
              <w:bottom w:val="nil"/>
            </w:tcBorders>
            <w:vAlign w:val="center"/>
          </w:tcPr>
          <w:p w14:paraId="7D1BB0BD" w14:textId="77777777" w:rsidR="003768D5" w:rsidRDefault="005468AB">
            <w:pPr>
              <w:jc w:val="center"/>
              <w:textAlignment w:val="center"/>
              <w:rPr>
                <w:rFonts w:ascii="Arial" w:hAnsi="Arial" w:cs="Arial"/>
                <w:sz w:val="15"/>
                <w:szCs w:val="15"/>
              </w:rPr>
            </w:pPr>
            <w:r>
              <w:rPr>
                <w:rFonts w:ascii="Arial" w:eastAsia="SimSun" w:hAnsi="Arial" w:cs="Arial"/>
                <w:color w:val="000000"/>
                <w:sz w:val="15"/>
                <w:szCs w:val="15"/>
                <w:lang w:eastAsia="zh-CN" w:bidi="ar"/>
              </w:rPr>
              <w:t>1/9/2024</w:t>
            </w:r>
          </w:p>
        </w:tc>
        <w:tc>
          <w:tcPr>
            <w:tcW w:w="818" w:type="dxa"/>
            <w:tcBorders>
              <w:top w:val="nil"/>
              <w:bottom w:val="nil"/>
            </w:tcBorders>
          </w:tcPr>
          <w:p w14:paraId="2A583E38"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949.05 </w:t>
            </w:r>
          </w:p>
        </w:tc>
        <w:tc>
          <w:tcPr>
            <w:tcW w:w="850" w:type="dxa"/>
            <w:tcBorders>
              <w:top w:val="nil"/>
              <w:bottom w:val="nil"/>
            </w:tcBorders>
          </w:tcPr>
          <w:p w14:paraId="1657B20E"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957.06 </w:t>
            </w:r>
          </w:p>
        </w:tc>
        <w:tc>
          <w:tcPr>
            <w:tcW w:w="742" w:type="dxa"/>
            <w:tcBorders>
              <w:top w:val="nil"/>
              <w:bottom w:val="nil"/>
            </w:tcBorders>
          </w:tcPr>
          <w:p w14:paraId="3D56700B"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765.73 </w:t>
            </w:r>
          </w:p>
        </w:tc>
        <w:tc>
          <w:tcPr>
            <w:tcW w:w="808" w:type="dxa"/>
            <w:tcBorders>
              <w:top w:val="nil"/>
              <w:bottom w:val="nil"/>
            </w:tcBorders>
          </w:tcPr>
          <w:p w14:paraId="38152F3D"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768.04 </w:t>
            </w:r>
          </w:p>
        </w:tc>
        <w:tc>
          <w:tcPr>
            <w:tcW w:w="807" w:type="dxa"/>
            <w:tcBorders>
              <w:top w:val="nil"/>
              <w:bottom w:val="nil"/>
            </w:tcBorders>
          </w:tcPr>
          <w:p w14:paraId="1FC1F773"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671.48 </w:t>
            </w:r>
          </w:p>
        </w:tc>
        <w:tc>
          <w:tcPr>
            <w:tcW w:w="822" w:type="dxa"/>
            <w:tcBorders>
              <w:top w:val="nil"/>
              <w:bottom w:val="nil"/>
            </w:tcBorders>
          </w:tcPr>
          <w:p w14:paraId="6F3ECAC5"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734.67 </w:t>
            </w:r>
          </w:p>
        </w:tc>
        <w:tc>
          <w:tcPr>
            <w:tcW w:w="713" w:type="dxa"/>
            <w:tcBorders>
              <w:top w:val="nil"/>
              <w:bottom w:val="nil"/>
            </w:tcBorders>
            <w:vAlign w:val="center"/>
          </w:tcPr>
          <w:p w14:paraId="56F5D928" w14:textId="77777777" w:rsidR="003768D5" w:rsidRDefault="005468AB">
            <w:pPr>
              <w:jc w:val="center"/>
              <w:textAlignment w:val="center"/>
              <w:rPr>
                <w:rFonts w:ascii="Arial" w:hAnsi="Arial" w:cs="Arial"/>
                <w:b/>
                <w:sz w:val="15"/>
                <w:szCs w:val="15"/>
              </w:rPr>
            </w:pPr>
            <w:r>
              <w:rPr>
                <w:rFonts w:ascii="Arial" w:eastAsia="SimSun" w:hAnsi="Arial" w:cs="Arial"/>
                <w:color w:val="000000"/>
                <w:sz w:val="15"/>
                <w:szCs w:val="15"/>
                <w:lang w:eastAsia="zh-CN" w:bidi="ar"/>
              </w:rPr>
              <w:t>687.05</w:t>
            </w:r>
          </w:p>
        </w:tc>
        <w:tc>
          <w:tcPr>
            <w:tcW w:w="739" w:type="dxa"/>
            <w:tcBorders>
              <w:top w:val="nil"/>
              <w:bottom w:val="nil"/>
            </w:tcBorders>
          </w:tcPr>
          <w:p w14:paraId="3098BB75"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777.79</w:t>
            </w:r>
          </w:p>
        </w:tc>
        <w:tc>
          <w:tcPr>
            <w:tcW w:w="703" w:type="dxa"/>
            <w:tcBorders>
              <w:top w:val="nil"/>
              <w:bottom w:val="nil"/>
            </w:tcBorders>
          </w:tcPr>
          <w:p w14:paraId="6E5C4EDE"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775.69 </w:t>
            </w:r>
          </w:p>
        </w:tc>
      </w:tr>
      <w:tr w:rsidR="003768D5" w14:paraId="5D721B68" w14:textId="77777777">
        <w:trPr>
          <w:trHeight w:val="326"/>
          <w:jc w:val="center"/>
        </w:trPr>
        <w:tc>
          <w:tcPr>
            <w:tcW w:w="977" w:type="dxa"/>
            <w:tcBorders>
              <w:top w:val="nil"/>
              <w:bottom w:val="nil"/>
            </w:tcBorders>
            <w:vAlign w:val="center"/>
          </w:tcPr>
          <w:p w14:paraId="55F2BCA6" w14:textId="77777777" w:rsidR="003768D5" w:rsidRDefault="005468AB">
            <w:pPr>
              <w:jc w:val="center"/>
              <w:textAlignment w:val="center"/>
              <w:rPr>
                <w:rFonts w:ascii="Arial" w:hAnsi="Arial" w:cs="Arial"/>
                <w:sz w:val="15"/>
                <w:szCs w:val="15"/>
              </w:rPr>
            </w:pPr>
            <w:r>
              <w:rPr>
                <w:rFonts w:ascii="Arial" w:eastAsia="SimSun" w:hAnsi="Arial" w:cs="Arial"/>
                <w:color w:val="000000"/>
                <w:sz w:val="15"/>
                <w:szCs w:val="15"/>
                <w:lang w:eastAsia="zh-CN" w:bidi="ar"/>
              </w:rPr>
              <w:t>1/10/2024</w:t>
            </w:r>
          </w:p>
        </w:tc>
        <w:tc>
          <w:tcPr>
            <w:tcW w:w="818" w:type="dxa"/>
            <w:tcBorders>
              <w:top w:val="nil"/>
              <w:bottom w:val="nil"/>
            </w:tcBorders>
          </w:tcPr>
          <w:p w14:paraId="5C3C1B7F"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978.87 </w:t>
            </w:r>
          </w:p>
        </w:tc>
        <w:tc>
          <w:tcPr>
            <w:tcW w:w="850" w:type="dxa"/>
            <w:tcBorders>
              <w:top w:val="nil"/>
              <w:bottom w:val="nil"/>
            </w:tcBorders>
          </w:tcPr>
          <w:p w14:paraId="08F7C642"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987.94 </w:t>
            </w:r>
          </w:p>
        </w:tc>
        <w:tc>
          <w:tcPr>
            <w:tcW w:w="742" w:type="dxa"/>
            <w:tcBorders>
              <w:top w:val="nil"/>
              <w:bottom w:val="nil"/>
            </w:tcBorders>
          </w:tcPr>
          <w:p w14:paraId="247D93C4"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768.42 </w:t>
            </w:r>
          </w:p>
        </w:tc>
        <w:tc>
          <w:tcPr>
            <w:tcW w:w="808" w:type="dxa"/>
            <w:tcBorders>
              <w:top w:val="nil"/>
              <w:bottom w:val="nil"/>
            </w:tcBorders>
          </w:tcPr>
          <w:p w14:paraId="009A8C1E"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770.59 </w:t>
            </w:r>
          </w:p>
        </w:tc>
        <w:tc>
          <w:tcPr>
            <w:tcW w:w="807" w:type="dxa"/>
            <w:tcBorders>
              <w:top w:val="nil"/>
              <w:bottom w:val="nil"/>
            </w:tcBorders>
          </w:tcPr>
          <w:p w14:paraId="43FDFA12"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667.80 </w:t>
            </w:r>
          </w:p>
        </w:tc>
        <w:tc>
          <w:tcPr>
            <w:tcW w:w="822" w:type="dxa"/>
            <w:tcBorders>
              <w:top w:val="nil"/>
              <w:bottom w:val="nil"/>
            </w:tcBorders>
          </w:tcPr>
          <w:p w14:paraId="016F4D99"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739.18 </w:t>
            </w:r>
          </w:p>
        </w:tc>
        <w:tc>
          <w:tcPr>
            <w:tcW w:w="713" w:type="dxa"/>
            <w:tcBorders>
              <w:top w:val="nil"/>
              <w:bottom w:val="nil"/>
            </w:tcBorders>
            <w:vAlign w:val="center"/>
          </w:tcPr>
          <w:p w14:paraId="2600A958" w14:textId="77777777" w:rsidR="003768D5" w:rsidRDefault="005468AB">
            <w:pPr>
              <w:jc w:val="center"/>
              <w:textAlignment w:val="center"/>
              <w:rPr>
                <w:rFonts w:ascii="Arial" w:hAnsi="Arial" w:cs="Arial"/>
                <w:b/>
                <w:sz w:val="15"/>
                <w:szCs w:val="15"/>
              </w:rPr>
            </w:pPr>
            <w:r>
              <w:rPr>
                <w:rFonts w:ascii="Arial" w:eastAsia="SimSun" w:hAnsi="Arial" w:cs="Arial"/>
                <w:color w:val="000000"/>
                <w:sz w:val="15"/>
                <w:szCs w:val="15"/>
                <w:lang w:eastAsia="zh-CN" w:bidi="ar"/>
              </w:rPr>
              <w:t>684.48</w:t>
            </w:r>
          </w:p>
        </w:tc>
        <w:tc>
          <w:tcPr>
            <w:tcW w:w="739" w:type="dxa"/>
            <w:tcBorders>
              <w:top w:val="nil"/>
              <w:bottom w:val="nil"/>
            </w:tcBorders>
          </w:tcPr>
          <w:p w14:paraId="026D68BE"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780.42</w:t>
            </w:r>
          </w:p>
        </w:tc>
        <w:tc>
          <w:tcPr>
            <w:tcW w:w="703" w:type="dxa"/>
            <w:tcBorders>
              <w:top w:val="nil"/>
              <w:bottom w:val="nil"/>
            </w:tcBorders>
          </w:tcPr>
          <w:p w14:paraId="3A5802D9"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787.07 </w:t>
            </w:r>
          </w:p>
        </w:tc>
      </w:tr>
      <w:tr w:rsidR="003768D5" w14:paraId="4B7299AB" w14:textId="77777777">
        <w:trPr>
          <w:trHeight w:val="326"/>
          <w:jc w:val="center"/>
        </w:trPr>
        <w:tc>
          <w:tcPr>
            <w:tcW w:w="977" w:type="dxa"/>
            <w:tcBorders>
              <w:top w:val="nil"/>
              <w:bottom w:val="nil"/>
            </w:tcBorders>
            <w:vAlign w:val="center"/>
          </w:tcPr>
          <w:p w14:paraId="7D925266" w14:textId="77777777" w:rsidR="003768D5" w:rsidRDefault="005468AB">
            <w:pPr>
              <w:jc w:val="center"/>
              <w:textAlignment w:val="center"/>
              <w:rPr>
                <w:rFonts w:ascii="Arial" w:hAnsi="Arial" w:cs="Arial"/>
                <w:sz w:val="15"/>
                <w:szCs w:val="15"/>
              </w:rPr>
            </w:pPr>
            <w:r>
              <w:rPr>
                <w:rFonts w:ascii="Arial" w:eastAsia="SimSun" w:hAnsi="Arial" w:cs="Arial"/>
                <w:color w:val="000000"/>
                <w:sz w:val="15"/>
                <w:szCs w:val="15"/>
                <w:lang w:eastAsia="zh-CN" w:bidi="ar"/>
              </w:rPr>
              <w:t>1/11/2024</w:t>
            </w:r>
          </w:p>
        </w:tc>
        <w:tc>
          <w:tcPr>
            <w:tcW w:w="818" w:type="dxa"/>
            <w:tcBorders>
              <w:top w:val="nil"/>
              <w:bottom w:val="nil"/>
            </w:tcBorders>
          </w:tcPr>
          <w:p w14:paraId="7170094A"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1008.69 </w:t>
            </w:r>
          </w:p>
        </w:tc>
        <w:tc>
          <w:tcPr>
            <w:tcW w:w="850" w:type="dxa"/>
            <w:tcBorders>
              <w:top w:val="nil"/>
              <w:bottom w:val="nil"/>
            </w:tcBorders>
          </w:tcPr>
          <w:p w14:paraId="72214DFF"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1018.81 </w:t>
            </w:r>
          </w:p>
        </w:tc>
        <w:tc>
          <w:tcPr>
            <w:tcW w:w="742" w:type="dxa"/>
            <w:tcBorders>
              <w:top w:val="nil"/>
              <w:bottom w:val="nil"/>
            </w:tcBorders>
          </w:tcPr>
          <w:p w14:paraId="02BA220E"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771.10 </w:t>
            </w:r>
          </w:p>
        </w:tc>
        <w:tc>
          <w:tcPr>
            <w:tcW w:w="808" w:type="dxa"/>
            <w:tcBorders>
              <w:top w:val="nil"/>
              <w:bottom w:val="nil"/>
            </w:tcBorders>
          </w:tcPr>
          <w:p w14:paraId="39B934A6"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773.15 </w:t>
            </w:r>
          </w:p>
        </w:tc>
        <w:tc>
          <w:tcPr>
            <w:tcW w:w="807" w:type="dxa"/>
            <w:tcBorders>
              <w:top w:val="nil"/>
              <w:bottom w:val="nil"/>
            </w:tcBorders>
          </w:tcPr>
          <w:p w14:paraId="11259BAD"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665.99 </w:t>
            </w:r>
          </w:p>
        </w:tc>
        <w:tc>
          <w:tcPr>
            <w:tcW w:w="822" w:type="dxa"/>
            <w:tcBorders>
              <w:top w:val="nil"/>
              <w:bottom w:val="nil"/>
            </w:tcBorders>
          </w:tcPr>
          <w:p w14:paraId="6AD1FE62"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743.38 </w:t>
            </w:r>
          </w:p>
        </w:tc>
        <w:tc>
          <w:tcPr>
            <w:tcW w:w="713" w:type="dxa"/>
            <w:tcBorders>
              <w:top w:val="nil"/>
              <w:bottom w:val="nil"/>
            </w:tcBorders>
            <w:vAlign w:val="center"/>
          </w:tcPr>
          <w:p w14:paraId="1518DAD5" w14:textId="77777777" w:rsidR="003768D5" w:rsidRDefault="005468AB">
            <w:pPr>
              <w:jc w:val="center"/>
              <w:textAlignment w:val="center"/>
              <w:rPr>
                <w:rFonts w:ascii="Arial" w:hAnsi="Arial" w:cs="Arial"/>
                <w:b/>
                <w:sz w:val="15"/>
                <w:szCs w:val="15"/>
              </w:rPr>
            </w:pPr>
            <w:r>
              <w:rPr>
                <w:rFonts w:ascii="Arial" w:eastAsia="SimSun" w:hAnsi="Arial" w:cs="Arial"/>
                <w:color w:val="000000"/>
                <w:sz w:val="15"/>
                <w:szCs w:val="15"/>
                <w:lang w:eastAsia="zh-CN" w:bidi="ar"/>
              </w:rPr>
              <w:t>682.99</w:t>
            </w:r>
          </w:p>
        </w:tc>
        <w:tc>
          <w:tcPr>
            <w:tcW w:w="739" w:type="dxa"/>
            <w:tcBorders>
              <w:top w:val="nil"/>
              <w:bottom w:val="nil"/>
            </w:tcBorders>
          </w:tcPr>
          <w:p w14:paraId="758FE023"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782.98</w:t>
            </w:r>
          </w:p>
        </w:tc>
        <w:tc>
          <w:tcPr>
            <w:tcW w:w="703" w:type="dxa"/>
            <w:tcBorders>
              <w:top w:val="nil"/>
              <w:bottom w:val="nil"/>
            </w:tcBorders>
          </w:tcPr>
          <w:p w14:paraId="2B9698D9"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795.46 </w:t>
            </w:r>
          </w:p>
        </w:tc>
      </w:tr>
      <w:tr w:rsidR="003768D5" w14:paraId="1077CB33" w14:textId="77777777">
        <w:trPr>
          <w:trHeight w:val="336"/>
          <w:jc w:val="center"/>
        </w:trPr>
        <w:tc>
          <w:tcPr>
            <w:tcW w:w="977" w:type="dxa"/>
            <w:tcBorders>
              <w:top w:val="nil"/>
              <w:bottom w:val="single" w:sz="4" w:space="0" w:color="auto"/>
            </w:tcBorders>
            <w:vAlign w:val="center"/>
          </w:tcPr>
          <w:p w14:paraId="067E10FD" w14:textId="77777777" w:rsidR="003768D5" w:rsidRDefault="005468AB">
            <w:pPr>
              <w:jc w:val="center"/>
              <w:textAlignment w:val="center"/>
              <w:rPr>
                <w:rFonts w:ascii="Arial" w:hAnsi="Arial" w:cs="Arial"/>
                <w:sz w:val="15"/>
                <w:szCs w:val="15"/>
              </w:rPr>
            </w:pPr>
            <w:r>
              <w:rPr>
                <w:rFonts w:ascii="Arial" w:eastAsia="SimSun" w:hAnsi="Arial" w:cs="Arial"/>
                <w:color w:val="000000"/>
                <w:sz w:val="15"/>
                <w:szCs w:val="15"/>
                <w:lang w:eastAsia="zh-CN" w:bidi="ar"/>
              </w:rPr>
              <w:lastRenderedPageBreak/>
              <w:t>1/12/2024</w:t>
            </w:r>
          </w:p>
        </w:tc>
        <w:tc>
          <w:tcPr>
            <w:tcW w:w="818" w:type="dxa"/>
            <w:tcBorders>
              <w:top w:val="nil"/>
              <w:bottom w:val="single" w:sz="4" w:space="0" w:color="auto"/>
            </w:tcBorders>
          </w:tcPr>
          <w:p w14:paraId="2D5E618C"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1038.52 </w:t>
            </w:r>
          </w:p>
        </w:tc>
        <w:tc>
          <w:tcPr>
            <w:tcW w:w="850" w:type="dxa"/>
            <w:tcBorders>
              <w:top w:val="nil"/>
              <w:bottom w:val="single" w:sz="4" w:space="0" w:color="auto"/>
            </w:tcBorders>
          </w:tcPr>
          <w:p w14:paraId="18D11513" w14:textId="77777777" w:rsidR="003768D5" w:rsidRDefault="005468AB">
            <w:pPr>
              <w:jc w:val="center"/>
              <w:textAlignment w:val="top"/>
              <w:rPr>
                <w:rFonts w:ascii="Arial" w:hAnsi="Arial" w:cs="Arial"/>
                <w:sz w:val="15"/>
                <w:szCs w:val="15"/>
              </w:rPr>
            </w:pPr>
            <w:r>
              <w:rPr>
                <w:rFonts w:ascii="Arial" w:eastAsia="SimSun" w:hAnsi="Arial" w:cs="Arial"/>
                <w:color w:val="000000"/>
                <w:sz w:val="15"/>
                <w:szCs w:val="15"/>
                <w:lang w:eastAsia="zh-CN" w:bidi="ar"/>
              </w:rPr>
              <w:t xml:space="preserve">1049.69 </w:t>
            </w:r>
          </w:p>
        </w:tc>
        <w:tc>
          <w:tcPr>
            <w:tcW w:w="742" w:type="dxa"/>
            <w:tcBorders>
              <w:top w:val="nil"/>
              <w:bottom w:val="single" w:sz="4" w:space="0" w:color="auto"/>
            </w:tcBorders>
          </w:tcPr>
          <w:p w14:paraId="28222BE2"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773.78 </w:t>
            </w:r>
          </w:p>
        </w:tc>
        <w:tc>
          <w:tcPr>
            <w:tcW w:w="808" w:type="dxa"/>
            <w:tcBorders>
              <w:top w:val="nil"/>
              <w:bottom w:val="single" w:sz="4" w:space="0" w:color="auto"/>
            </w:tcBorders>
          </w:tcPr>
          <w:p w14:paraId="41FA367F"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775.70 </w:t>
            </w:r>
          </w:p>
        </w:tc>
        <w:tc>
          <w:tcPr>
            <w:tcW w:w="807" w:type="dxa"/>
            <w:tcBorders>
              <w:top w:val="nil"/>
              <w:bottom w:val="single" w:sz="4" w:space="0" w:color="auto"/>
            </w:tcBorders>
          </w:tcPr>
          <w:p w14:paraId="37098539"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665.59 </w:t>
            </w:r>
          </w:p>
        </w:tc>
        <w:tc>
          <w:tcPr>
            <w:tcW w:w="822" w:type="dxa"/>
            <w:tcBorders>
              <w:top w:val="nil"/>
              <w:bottom w:val="single" w:sz="4" w:space="0" w:color="auto"/>
            </w:tcBorders>
          </w:tcPr>
          <w:p w14:paraId="0348A272"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746.55 </w:t>
            </w:r>
          </w:p>
        </w:tc>
        <w:tc>
          <w:tcPr>
            <w:tcW w:w="713" w:type="dxa"/>
            <w:tcBorders>
              <w:top w:val="nil"/>
              <w:bottom w:val="single" w:sz="4" w:space="0" w:color="auto"/>
            </w:tcBorders>
            <w:vAlign w:val="center"/>
          </w:tcPr>
          <w:p w14:paraId="148C8E83" w14:textId="77777777" w:rsidR="003768D5" w:rsidRDefault="005468AB">
            <w:pPr>
              <w:jc w:val="center"/>
              <w:textAlignment w:val="center"/>
              <w:rPr>
                <w:rFonts w:ascii="Arial" w:hAnsi="Arial" w:cs="Arial"/>
                <w:b/>
                <w:sz w:val="15"/>
                <w:szCs w:val="15"/>
              </w:rPr>
            </w:pPr>
            <w:r>
              <w:rPr>
                <w:rFonts w:ascii="Arial" w:eastAsia="SimSun" w:hAnsi="Arial" w:cs="Arial"/>
                <w:color w:val="000000"/>
                <w:sz w:val="15"/>
                <w:szCs w:val="15"/>
                <w:lang w:eastAsia="zh-CN" w:bidi="ar"/>
              </w:rPr>
              <w:t>682.27</w:t>
            </w:r>
          </w:p>
        </w:tc>
        <w:tc>
          <w:tcPr>
            <w:tcW w:w="739" w:type="dxa"/>
            <w:tcBorders>
              <w:top w:val="nil"/>
              <w:bottom w:val="single" w:sz="4" w:space="0" w:color="auto"/>
            </w:tcBorders>
          </w:tcPr>
          <w:p w14:paraId="6F43F9AD"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785.58</w:t>
            </w:r>
          </w:p>
        </w:tc>
        <w:tc>
          <w:tcPr>
            <w:tcW w:w="703" w:type="dxa"/>
            <w:tcBorders>
              <w:top w:val="nil"/>
              <w:bottom w:val="single" w:sz="4" w:space="0" w:color="auto"/>
            </w:tcBorders>
          </w:tcPr>
          <w:p w14:paraId="1DCE5AA2" w14:textId="77777777" w:rsidR="003768D5" w:rsidRDefault="005468AB">
            <w:pPr>
              <w:jc w:val="center"/>
              <w:textAlignment w:val="top"/>
              <w:rPr>
                <w:rFonts w:ascii="Arial" w:hAnsi="Arial" w:cs="Arial"/>
                <w:b/>
                <w:sz w:val="15"/>
                <w:szCs w:val="15"/>
              </w:rPr>
            </w:pPr>
            <w:r>
              <w:rPr>
                <w:rFonts w:ascii="Arial" w:eastAsia="SimSun" w:hAnsi="Arial" w:cs="Arial"/>
                <w:color w:val="000000"/>
                <w:sz w:val="15"/>
                <w:szCs w:val="15"/>
                <w:lang w:eastAsia="zh-CN" w:bidi="ar"/>
              </w:rPr>
              <w:t xml:space="preserve">805.55 </w:t>
            </w:r>
          </w:p>
        </w:tc>
      </w:tr>
    </w:tbl>
    <w:p w14:paraId="5EBB2EE7" w14:textId="77777777" w:rsidR="003768D5" w:rsidRDefault="003768D5">
      <w:pPr>
        <w:pStyle w:val="Body"/>
        <w:spacing w:after="0"/>
        <w:rPr>
          <w:rFonts w:ascii="Arial" w:hAnsi="Arial" w:cs="Arial"/>
        </w:rPr>
      </w:pPr>
    </w:p>
    <w:p w14:paraId="4E0349C8" w14:textId="77777777" w:rsidR="003768D5" w:rsidRDefault="005468AB">
      <w:pPr>
        <w:pStyle w:val="Body"/>
        <w:spacing w:after="0"/>
        <w:rPr>
          <w:rFonts w:ascii="Arial" w:hAnsi="Arial" w:cs="Arial"/>
        </w:rPr>
      </w:pPr>
      <w:r>
        <w:rPr>
          <w:rFonts w:ascii="Arial" w:hAnsi="Arial" w:cs="Arial" w:hint="eastAsia"/>
        </w:rPr>
        <w:t>Through comparing the actual values with the predicted values from February to December 2024, it can be seen that the predicted values in the various ARIMA models range from RM720 to RM790, while the predicted values from the Holt-Winter’s and Br</w:t>
      </w:r>
      <w:r>
        <w:rPr>
          <w:rFonts w:ascii="Arial" w:hAnsi="Arial" w:cs="Arial" w:hint="eastAsia"/>
        </w:rPr>
        <w:t>own’s exponential smoothing method range from RM740 to RM1050, and the predicted values from the double moving average (DMA) method range from RM700 to RM810. This indicates that there are significant differences in the prediction results among the three m</w:t>
      </w:r>
      <w:r>
        <w:rPr>
          <w:rFonts w:ascii="Arial" w:hAnsi="Arial" w:cs="Arial" w:hint="eastAsia"/>
        </w:rPr>
        <w:t>ethods: ARIMA, exponential smoothing, and double moving average. In this dataset, the exponential smoothing method yields larger prediction values with a wider range, while the ARIMA models produce moderate prediction values with the narrowest range.</w:t>
      </w:r>
    </w:p>
    <w:p w14:paraId="6F324CC7" w14:textId="77777777" w:rsidR="003768D5" w:rsidRDefault="003768D5">
      <w:pPr>
        <w:pStyle w:val="Body"/>
        <w:spacing w:after="0"/>
        <w:rPr>
          <w:rFonts w:ascii="Arial" w:hAnsi="Arial" w:cs="Arial"/>
        </w:rPr>
      </w:pPr>
    </w:p>
    <w:p w14:paraId="77B8674D" w14:textId="77777777" w:rsidR="003768D5" w:rsidRDefault="005468AB">
      <w:pPr>
        <w:pStyle w:val="Body"/>
        <w:spacing w:after="0"/>
        <w:rPr>
          <w:rFonts w:ascii="Arial" w:hAnsi="Arial" w:cs="Arial"/>
        </w:rPr>
      </w:pPr>
      <w:r>
        <w:rPr>
          <w:rFonts w:ascii="Arial" w:hAnsi="Arial" w:cs="Arial"/>
          <w:b/>
          <w:caps/>
          <w:sz w:val="22"/>
        </w:rPr>
        <w:t>3.</w:t>
      </w:r>
      <w:r>
        <w:rPr>
          <w:rFonts w:ascii="Arial" w:eastAsia="SimSun" w:hAnsi="Arial" w:cs="Arial" w:hint="eastAsia"/>
          <w:b/>
          <w:caps/>
          <w:sz w:val="22"/>
          <w:lang w:eastAsia="zh-CN"/>
        </w:rPr>
        <w:t>4</w:t>
      </w:r>
      <w:r>
        <w:rPr>
          <w:rFonts w:ascii="Arial" w:hAnsi="Arial" w:cs="Arial"/>
          <w:b/>
          <w:caps/>
          <w:sz w:val="22"/>
        </w:rPr>
        <w:t xml:space="preserve"> </w:t>
      </w:r>
      <w:r>
        <w:rPr>
          <w:rFonts w:ascii="Arial" w:hAnsi="Arial" w:cs="Arial" w:hint="eastAsia"/>
          <w:b/>
          <w:sz w:val="22"/>
        </w:rPr>
        <w:t>Model Evaluation</w:t>
      </w:r>
    </w:p>
    <w:p w14:paraId="785FDC4C" w14:textId="77777777" w:rsidR="003768D5" w:rsidRDefault="003768D5">
      <w:pPr>
        <w:pStyle w:val="Body"/>
        <w:spacing w:after="0"/>
        <w:rPr>
          <w:rFonts w:ascii="Arial" w:hAnsi="Arial" w:cs="Arial"/>
        </w:rPr>
      </w:pPr>
    </w:p>
    <w:p w14:paraId="10933C09" w14:textId="77777777" w:rsidR="003768D5" w:rsidRDefault="005468AB">
      <w:pPr>
        <w:pStyle w:val="Body"/>
        <w:spacing w:after="0"/>
        <w:rPr>
          <w:rFonts w:ascii="Arial" w:hAnsi="Arial" w:cs="Arial"/>
        </w:rPr>
      </w:pPr>
      <w:r>
        <w:rPr>
          <w:rFonts w:ascii="Arial" w:hAnsi="Arial" w:cs="Arial" w:hint="eastAsia"/>
        </w:rPr>
        <w:t xml:space="preserve">The rubber price values predicted for February to December 2024 using the training data (90%) were compared with the true values and the resulting error assessments for each model are shown in Table </w:t>
      </w:r>
      <w:r>
        <w:rPr>
          <w:rFonts w:ascii="Arial" w:eastAsia="SimSun" w:hAnsi="Arial" w:cs="Arial" w:hint="eastAsia"/>
          <w:lang w:eastAsia="zh-CN"/>
        </w:rPr>
        <w:t>3</w:t>
      </w:r>
      <w:r>
        <w:rPr>
          <w:rFonts w:ascii="Arial" w:hAnsi="Arial" w:cs="Arial" w:hint="eastAsia"/>
        </w:rPr>
        <w:t xml:space="preserve">. From Table </w:t>
      </w:r>
      <w:r>
        <w:rPr>
          <w:rFonts w:ascii="Arial" w:eastAsia="SimSun" w:hAnsi="Arial" w:cs="Arial" w:hint="eastAsia"/>
          <w:lang w:eastAsia="zh-CN"/>
        </w:rPr>
        <w:t>3</w:t>
      </w:r>
      <w:r>
        <w:rPr>
          <w:rFonts w:ascii="Arial" w:hAnsi="Arial" w:cs="Arial" w:hint="eastAsia"/>
        </w:rPr>
        <w:t xml:space="preserve">, it can </w:t>
      </w:r>
      <w:r>
        <w:rPr>
          <w:rFonts w:ascii="Arial" w:hAnsi="Arial" w:cs="Arial"/>
        </w:rPr>
        <w:t>obtain</w:t>
      </w:r>
      <w:r>
        <w:rPr>
          <w:rFonts w:ascii="Arial" w:hAnsi="Arial" w:cs="Arial" w:hint="eastAsia"/>
        </w:rPr>
        <w:t xml:space="preserve"> that the ARIMA (1,1,3) model performs optimally in all the five error metrics. For ARIMA (1,1,3), the MAE is 37.6065, MSE is 2810.4604, RMSE is 53.0138, and MAPE is 4.4132, which are all lower than the other models. This indicates that the ARIMA (1,1,3) m</w:t>
      </w:r>
      <w:r>
        <w:rPr>
          <w:rFonts w:ascii="Arial" w:hAnsi="Arial" w:cs="Arial" w:hint="eastAsia"/>
        </w:rPr>
        <w:t>odel has higher accuracy and stronger predictive ability in capturing the patterns of Malaysian rubber price.</w:t>
      </w:r>
    </w:p>
    <w:p w14:paraId="7B72D273" w14:textId="77777777" w:rsidR="003768D5" w:rsidRDefault="003768D5">
      <w:pPr>
        <w:pStyle w:val="Body"/>
        <w:spacing w:after="0"/>
        <w:rPr>
          <w:rFonts w:ascii="Arial" w:hAnsi="Arial" w:cs="Arial"/>
        </w:rPr>
      </w:pPr>
    </w:p>
    <w:p w14:paraId="7F0073EB" w14:textId="77777777" w:rsidR="003768D5" w:rsidRDefault="005468AB">
      <w:pPr>
        <w:tabs>
          <w:tab w:val="left" w:pos="1080"/>
        </w:tabs>
        <w:jc w:val="both"/>
        <w:rPr>
          <w:rFonts w:ascii="Arial" w:hAnsi="Arial"/>
          <w:b/>
        </w:rPr>
      </w:pPr>
      <w:r>
        <w:rPr>
          <w:rFonts w:ascii="Arial" w:hAnsi="Arial"/>
          <w:b/>
        </w:rPr>
        <w:t xml:space="preserve">Table </w:t>
      </w:r>
      <w:r>
        <w:rPr>
          <w:rFonts w:ascii="Arial" w:eastAsia="SimSun" w:hAnsi="Arial" w:hint="eastAsia"/>
          <w:b/>
          <w:lang w:eastAsia="zh-CN"/>
        </w:rPr>
        <w:t>3</w:t>
      </w:r>
      <w:r>
        <w:rPr>
          <w:rFonts w:ascii="Arial" w:hAnsi="Arial"/>
          <w:b/>
        </w:rPr>
        <w:t>.</w:t>
      </w:r>
      <w:r>
        <w:rPr>
          <w:rFonts w:ascii="Arial" w:eastAsia="SimSun" w:hAnsi="Arial" w:hint="eastAsia"/>
          <w:b/>
          <w:lang w:eastAsia="zh-CN"/>
        </w:rPr>
        <w:t xml:space="preserve"> Evaluation of Each Model</w:t>
      </w:r>
    </w:p>
    <w:p w14:paraId="4F6BFF2C" w14:textId="77777777" w:rsidR="003768D5" w:rsidRDefault="003768D5">
      <w:pPr>
        <w:tabs>
          <w:tab w:val="left" w:pos="1080"/>
        </w:tabs>
        <w:jc w:val="both"/>
        <w:rPr>
          <w:rFonts w:ascii="Arial" w:hAnsi="Arial"/>
          <w:b/>
        </w:rPr>
      </w:pPr>
    </w:p>
    <w:tbl>
      <w:tblPr>
        <w:tblW w:w="6674"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52"/>
        <w:gridCol w:w="1297"/>
        <w:gridCol w:w="1200"/>
        <w:gridCol w:w="1092"/>
        <w:gridCol w:w="1233"/>
      </w:tblGrid>
      <w:tr w:rsidR="003768D5" w14:paraId="3A3A5025" w14:textId="77777777">
        <w:trPr>
          <w:jc w:val="center"/>
        </w:trPr>
        <w:tc>
          <w:tcPr>
            <w:tcW w:w="1852" w:type="dxa"/>
            <w:tcBorders>
              <w:bottom w:val="single" w:sz="4" w:space="0" w:color="auto"/>
            </w:tcBorders>
            <w:vAlign w:val="center"/>
          </w:tcPr>
          <w:p w14:paraId="7D291E1C" w14:textId="77777777" w:rsidR="003768D5" w:rsidRDefault="005468AB">
            <w:pPr>
              <w:widowControl w:val="0"/>
              <w:spacing w:line="360" w:lineRule="auto"/>
              <w:jc w:val="center"/>
              <w:rPr>
                <w:rFonts w:ascii="Arial" w:hAnsi="Arial" w:cs="Arial"/>
                <w:b/>
                <w:bCs/>
                <w:sz w:val="18"/>
                <w:szCs w:val="18"/>
              </w:rPr>
            </w:pPr>
            <w:r>
              <w:rPr>
                <w:rFonts w:ascii="Arial" w:hAnsi="Arial" w:cs="Arial"/>
                <w:b/>
                <w:bCs/>
                <w:color w:val="000000"/>
                <w:sz w:val="18"/>
                <w:szCs w:val="18"/>
                <w:lang w:eastAsia="zh-CN"/>
              </w:rPr>
              <w:t>Model</w:t>
            </w:r>
          </w:p>
        </w:tc>
        <w:tc>
          <w:tcPr>
            <w:tcW w:w="1297" w:type="dxa"/>
            <w:tcBorders>
              <w:bottom w:val="single" w:sz="4" w:space="0" w:color="auto"/>
            </w:tcBorders>
            <w:vAlign w:val="center"/>
          </w:tcPr>
          <w:p w14:paraId="2D75244A" w14:textId="77777777" w:rsidR="003768D5" w:rsidRDefault="005468AB">
            <w:pPr>
              <w:widowControl w:val="0"/>
              <w:spacing w:line="360" w:lineRule="auto"/>
              <w:jc w:val="center"/>
              <w:rPr>
                <w:rFonts w:ascii="Arial" w:hAnsi="Arial" w:cs="Arial"/>
                <w:b/>
                <w:bCs/>
                <w:sz w:val="18"/>
                <w:szCs w:val="18"/>
              </w:rPr>
            </w:pPr>
            <w:r>
              <w:rPr>
                <w:rFonts w:ascii="Arial" w:hAnsi="Arial" w:cs="Arial"/>
                <w:b/>
                <w:bCs/>
                <w:color w:val="000000"/>
                <w:sz w:val="18"/>
                <w:szCs w:val="18"/>
                <w:lang w:eastAsia="zh-CN"/>
              </w:rPr>
              <w:t>MAE</w:t>
            </w:r>
          </w:p>
        </w:tc>
        <w:tc>
          <w:tcPr>
            <w:tcW w:w="1200" w:type="dxa"/>
            <w:tcBorders>
              <w:bottom w:val="single" w:sz="4" w:space="0" w:color="auto"/>
            </w:tcBorders>
            <w:vAlign w:val="center"/>
          </w:tcPr>
          <w:p w14:paraId="01FDF823" w14:textId="77777777" w:rsidR="003768D5" w:rsidRDefault="005468AB">
            <w:pPr>
              <w:widowControl w:val="0"/>
              <w:spacing w:line="360" w:lineRule="auto"/>
              <w:jc w:val="center"/>
              <w:rPr>
                <w:rFonts w:ascii="Arial" w:hAnsi="Arial" w:cs="Arial"/>
                <w:b/>
                <w:bCs/>
                <w:sz w:val="18"/>
                <w:szCs w:val="18"/>
              </w:rPr>
            </w:pPr>
            <w:r>
              <w:rPr>
                <w:rFonts w:ascii="Arial" w:hAnsi="Arial" w:cs="Arial"/>
                <w:b/>
                <w:bCs/>
                <w:color w:val="000000"/>
                <w:sz w:val="18"/>
                <w:szCs w:val="18"/>
                <w:lang w:eastAsia="zh-CN"/>
              </w:rPr>
              <w:t>MSE</w:t>
            </w:r>
          </w:p>
        </w:tc>
        <w:tc>
          <w:tcPr>
            <w:tcW w:w="1092" w:type="dxa"/>
            <w:tcBorders>
              <w:bottom w:val="single" w:sz="4" w:space="0" w:color="auto"/>
            </w:tcBorders>
            <w:vAlign w:val="center"/>
          </w:tcPr>
          <w:p w14:paraId="0725149C" w14:textId="77777777" w:rsidR="003768D5" w:rsidRDefault="005468AB">
            <w:pPr>
              <w:widowControl w:val="0"/>
              <w:spacing w:line="360" w:lineRule="auto"/>
              <w:jc w:val="center"/>
              <w:rPr>
                <w:rFonts w:ascii="Arial" w:hAnsi="Arial" w:cs="Arial"/>
                <w:b/>
                <w:bCs/>
                <w:sz w:val="18"/>
                <w:szCs w:val="18"/>
              </w:rPr>
            </w:pPr>
            <w:r>
              <w:rPr>
                <w:rFonts w:ascii="Arial" w:hAnsi="Arial" w:cs="Arial"/>
                <w:b/>
                <w:bCs/>
                <w:color w:val="000000"/>
                <w:sz w:val="18"/>
                <w:szCs w:val="18"/>
                <w:lang w:eastAsia="zh-CN"/>
              </w:rPr>
              <w:t>RMSE</w:t>
            </w:r>
          </w:p>
        </w:tc>
        <w:tc>
          <w:tcPr>
            <w:tcW w:w="1233" w:type="dxa"/>
            <w:tcBorders>
              <w:bottom w:val="single" w:sz="4" w:space="0" w:color="auto"/>
            </w:tcBorders>
            <w:vAlign w:val="center"/>
          </w:tcPr>
          <w:p w14:paraId="34945980" w14:textId="77777777" w:rsidR="003768D5" w:rsidRDefault="005468AB">
            <w:pPr>
              <w:widowControl w:val="0"/>
              <w:spacing w:line="360" w:lineRule="auto"/>
              <w:jc w:val="center"/>
              <w:rPr>
                <w:rFonts w:ascii="Arial" w:hAnsi="Arial" w:cs="Arial"/>
                <w:b/>
                <w:bCs/>
                <w:sz w:val="18"/>
                <w:szCs w:val="18"/>
              </w:rPr>
            </w:pPr>
            <w:r>
              <w:rPr>
                <w:rFonts w:ascii="Arial" w:hAnsi="Arial" w:cs="Arial"/>
                <w:b/>
                <w:bCs/>
                <w:color w:val="000000"/>
                <w:sz w:val="18"/>
                <w:szCs w:val="18"/>
                <w:lang w:eastAsia="zh-CN"/>
              </w:rPr>
              <w:t>MAPE</w:t>
            </w:r>
          </w:p>
        </w:tc>
      </w:tr>
      <w:tr w:rsidR="003768D5" w14:paraId="58465696" w14:textId="77777777">
        <w:trPr>
          <w:trHeight w:val="225"/>
          <w:jc w:val="center"/>
        </w:trPr>
        <w:tc>
          <w:tcPr>
            <w:tcW w:w="1852" w:type="dxa"/>
            <w:tcBorders>
              <w:bottom w:val="nil"/>
            </w:tcBorders>
            <w:vAlign w:val="center"/>
          </w:tcPr>
          <w:p w14:paraId="6A215F10" w14:textId="77777777" w:rsidR="003768D5" w:rsidRDefault="005468AB">
            <w:pPr>
              <w:widowControl w:val="0"/>
              <w:spacing w:line="360" w:lineRule="auto"/>
              <w:jc w:val="center"/>
              <w:rPr>
                <w:rFonts w:ascii="Arial" w:hAnsi="Arial" w:cs="Arial"/>
                <w:sz w:val="18"/>
                <w:szCs w:val="18"/>
              </w:rPr>
            </w:pPr>
            <w:r>
              <w:rPr>
                <w:rFonts w:ascii="Arial" w:hAnsi="Arial" w:cs="Arial"/>
                <w:sz w:val="18"/>
                <w:szCs w:val="18"/>
                <w:lang w:eastAsia="zh-CN"/>
              </w:rPr>
              <w:t>ARIMA (1,1,1)</w:t>
            </w:r>
          </w:p>
        </w:tc>
        <w:tc>
          <w:tcPr>
            <w:tcW w:w="1297" w:type="dxa"/>
            <w:tcBorders>
              <w:bottom w:val="nil"/>
            </w:tcBorders>
            <w:vAlign w:val="center"/>
          </w:tcPr>
          <w:p w14:paraId="1D48D337" w14:textId="77777777" w:rsidR="003768D5" w:rsidRDefault="005468AB">
            <w:pPr>
              <w:spacing w:line="360" w:lineRule="auto"/>
              <w:jc w:val="center"/>
              <w:textAlignment w:val="center"/>
              <w:rPr>
                <w:rFonts w:ascii="Arial" w:hAnsi="Arial" w:cs="Arial"/>
                <w:sz w:val="18"/>
                <w:szCs w:val="18"/>
              </w:rPr>
            </w:pPr>
            <w:r>
              <w:rPr>
                <w:rFonts w:ascii="Arial" w:eastAsia="SimSun" w:hAnsi="Arial" w:cs="Arial"/>
                <w:color w:val="000000"/>
                <w:sz w:val="18"/>
                <w:szCs w:val="18"/>
                <w:lang w:eastAsia="zh-CN" w:bidi="ar"/>
              </w:rPr>
              <w:t>48.8974</w:t>
            </w:r>
          </w:p>
        </w:tc>
        <w:tc>
          <w:tcPr>
            <w:tcW w:w="1200" w:type="dxa"/>
            <w:tcBorders>
              <w:bottom w:val="nil"/>
            </w:tcBorders>
            <w:vAlign w:val="center"/>
          </w:tcPr>
          <w:p w14:paraId="0DDB95C3" w14:textId="77777777" w:rsidR="003768D5" w:rsidRDefault="005468AB">
            <w:pPr>
              <w:spacing w:line="360" w:lineRule="auto"/>
              <w:jc w:val="center"/>
              <w:textAlignment w:val="center"/>
              <w:rPr>
                <w:rFonts w:ascii="Arial" w:hAnsi="Arial" w:cs="Arial"/>
                <w:sz w:val="18"/>
                <w:szCs w:val="18"/>
              </w:rPr>
            </w:pPr>
            <w:r>
              <w:rPr>
                <w:rFonts w:ascii="Arial" w:eastAsia="SimSun" w:hAnsi="Arial" w:cs="Arial"/>
                <w:color w:val="000000"/>
                <w:sz w:val="18"/>
                <w:szCs w:val="18"/>
                <w:lang w:eastAsia="zh-CN" w:bidi="ar"/>
              </w:rPr>
              <w:t>3858.6952</w:t>
            </w:r>
          </w:p>
        </w:tc>
        <w:tc>
          <w:tcPr>
            <w:tcW w:w="1092" w:type="dxa"/>
            <w:tcBorders>
              <w:bottom w:val="nil"/>
            </w:tcBorders>
            <w:vAlign w:val="center"/>
          </w:tcPr>
          <w:p w14:paraId="3C0D16D5" w14:textId="77777777" w:rsidR="003768D5" w:rsidRDefault="005468AB">
            <w:pPr>
              <w:spacing w:line="360" w:lineRule="auto"/>
              <w:jc w:val="center"/>
              <w:textAlignment w:val="center"/>
              <w:rPr>
                <w:rFonts w:ascii="Arial" w:hAnsi="Arial" w:cs="Arial"/>
                <w:sz w:val="18"/>
                <w:szCs w:val="18"/>
              </w:rPr>
            </w:pPr>
            <w:r>
              <w:rPr>
                <w:rFonts w:ascii="Arial" w:eastAsia="SimSun" w:hAnsi="Arial" w:cs="Arial"/>
                <w:color w:val="000000"/>
                <w:sz w:val="18"/>
                <w:szCs w:val="18"/>
                <w:lang w:eastAsia="zh-CN" w:bidi="ar"/>
              </w:rPr>
              <w:t>62.1184</w:t>
            </w:r>
          </w:p>
        </w:tc>
        <w:tc>
          <w:tcPr>
            <w:tcW w:w="1233" w:type="dxa"/>
            <w:tcBorders>
              <w:bottom w:val="nil"/>
            </w:tcBorders>
            <w:vAlign w:val="center"/>
          </w:tcPr>
          <w:p w14:paraId="5D31BDAC" w14:textId="77777777" w:rsidR="003768D5" w:rsidRDefault="005468AB">
            <w:pPr>
              <w:spacing w:line="360" w:lineRule="auto"/>
              <w:jc w:val="center"/>
              <w:textAlignment w:val="center"/>
              <w:rPr>
                <w:rFonts w:ascii="Arial" w:hAnsi="Arial" w:cs="Arial"/>
                <w:sz w:val="18"/>
                <w:szCs w:val="18"/>
              </w:rPr>
            </w:pPr>
            <w:r>
              <w:rPr>
                <w:rFonts w:ascii="Arial" w:eastAsia="SimSun" w:hAnsi="Arial" w:cs="Arial"/>
                <w:color w:val="000000"/>
                <w:sz w:val="18"/>
                <w:szCs w:val="18"/>
                <w:lang w:eastAsia="zh-CN" w:bidi="ar"/>
              </w:rPr>
              <w:t>5.8048</w:t>
            </w:r>
          </w:p>
        </w:tc>
      </w:tr>
      <w:tr w:rsidR="003768D5" w14:paraId="3BBB7CB1" w14:textId="77777777">
        <w:trPr>
          <w:trHeight w:val="90"/>
          <w:jc w:val="center"/>
        </w:trPr>
        <w:tc>
          <w:tcPr>
            <w:tcW w:w="1852" w:type="dxa"/>
            <w:tcBorders>
              <w:top w:val="nil"/>
              <w:bottom w:val="nil"/>
            </w:tcBorders>
            <w:vAlign w:val="center"/>
          </w:tcPr>
          <w:p w14:paraId="1D748FF0" w14:textId="77777777" w:rsidR="003768D5" w:rsidRDefault="005468AB">
            <w:pPr>
              <w:spacing w:line="360" w:lineRule="auto"/>
              <w:jc w:val="center"/>
              <w:textAlignment w:val="center"/>
              <w:rPr>
                <w:rFonts w:ascii="Arial" w:hAnsi="Arial" w:cs="Arial"/>
                <w:sz w:val="18"/>
                <w:szCs w:val="18"/>
              </w:rPr>
            </w:pPr>
            <w:r>
              <w:rPr>
                <w:rFonts w:ascii="Arial" w:hAnsi="Arial" w:cs="Arial"/>
                <w:sz w:val="18"/>
                <w:szCs w:val="18"/>
                <w:lang w:eastAsia="zh-CN"/>
              </w:rPr>
              <w:t>ARIMA (1,1,2)</w:t>
            </w:r>
          </w:p>
        </w:tc>
        <w:tc>
          <w:tcPr>
            <w:tcW w:w="1297" w:type="dxa"/>
            <w:tcBorders>
              <w:top w:val="nil"/>
              <w:bottom w:val="nil"/>
            </w:tcBorders>
            <w:vAlign w:val="center"/>
          </w:tcPr>
          <w:p w14:paraId="1BC29CB1" w14:textId="77777777" w:rsidR="003768D5" w:rsidRDefault="005468AB">
            <w:pPr>
              <w:spacing w:line="360" w:lineRule="auto"/>
              <w:jc w:val="center"/>
              <w:textAlignment w:val="center"/>
              <w:rPr>
                <w:rFonts w:ascii="Arial" w:hAnsi="Arial" w:cs="Arial"/>
                <w:sz w:val="18"/>
                <w:szCs w:val="18"/>
              </w:rPr>
            </w:pPr>
            <w:r>
              <w:rPr>
                <w:rFonts w:ascii="Arial" w:eastAsia="SimSun" w:hAnsi="Arial" w:cs="Arial"/>
                <w:color w:val="000000"/>
                <w:sz w:val="18"/>
                <w:szCs w:val="18"/>
                <w:lang w:eastAsia="zh-CN" w:bidi="ar"/>
              </w:rPr>
              <w:t>46.1017</w:t>
            </w:r>
          </w:p>
        </w:tc>
        <w:tc>
          <w:tcPr>
            <w:tcW w:w="1200" w:type="dxa"/>
            <w:tcBorders>
              <w:top w:val="nil"/>
              <w:bottom w:val="nil"/>
            </w:tcBorders>
            <w:vAlign w:val="center"/>
          </w:tcPr>
          <w:p w14:paraId="1401F61D" w14:textId="77777777" w:rsidR="003768D5" w:rsidRDefault="005468AB">
            <w:pPr>
              <w:spacing w:line="360" w:lineRule="auto"/>
              <w:jc w:val="center"/>
              <w:textAlignment w:val="center"/>
              <w:rPr>
                <w:rFonts w:ascii="Arial" w:hAnsi="Arial" w:cs="Arial"/>
                <w:sz w:val="18"/>
                <w:szCs w:val="18"/>
              </w:rPr>
            </w:pPr>
            <w:r>
              <w:rPr>
                <w:rFonts w:ascii="Arial" w:eastAsia="SimSun" w:hAnsi="Arial" w:cs="Arial"/>
                <w:color w:val="000000"/>
                <w:sz w:val="18"/>
                <w:szCs w:val="18"/>
                <w:lang w:eastAsia="zh-CN" w:bidi="ar"/>
              </w:rPr>
              <w:t>3620.9300</w:t>
            </w:r>
          </w:p>
        </w:tc>
        <w:tc>
          <w:tcPr>
            <w:tcW w:w="1092" w:type="dxa"/>
            <w:tcBorders>
              <w:top w:val="nil"/>
              <w:bottom w:val="nil"/>
            </w:tcBorders>
            <w:vAlign w:val="center"/>
          </w:tcPr>
          <w:p w14:paraId="2A4B78C6" w14:textId="77777777" w:rsidR="003768D5" w:rsidRDefault="005468AB">
            <w:pPr>
              <w:spacing w:line="360" w:lineRule="auto"/>
              <w:jc w:val="center"/>
              <w:textAlignment w:val="center"/>
              <w:rPr>
                <w:rFonts w:ascii="Arial" w:hAnsi="Arial" w:cs="Arial"/>
                <w:sz w:val="18"/>
                <w:szCs w:val="18"/>
              </w:rPr>
            </w:pPr>
            <w:r>
              <w:rPr>
                <w:rFonts w:ascii="Arial" w:eastAsia="SimSun" w:hAnsi="Arial" w:cs="Arial"/>
                <w:color w:val="000000"/>
                <w:sz w:val="18"/>
                <w:szCs w:val="18"/>
                <w:lang w:eastAsia="zh-CN" w:bidi="ar"/>
              </w:rPr>
              <w:t>60.1742</w:t>
            </w:r>
          </w:p>
        </w:tc>
        <w:tc>
          <w:tcPr>
            <w:tcW w:w="1233" w:type="dxa"/>
            <w:tcBorders>
              <w:top w:val="nil"/>
              <w:bottom w:val="nil"/>
            </w:tcBorders>
            <w:vAlign w:val="center"/>
          </w:tcPr>
          <w:p w14:paraId="2C650D49" w14:textId="77777777" w:rsidR="003768D5" w:rsidRDefault="005468AB">
            <w:pPr>
              <w:spacing w:line="360" w:lineRule="auto"/>
              <w:jc w:val="center"/>
              <w:textAlignment w:val="center"/>
              <w:rPr>
                <w:rFonts w:ascii="Arial" w:hAnsi="Arial" w:cs="Arial"/>
                <w:sz w:val="18"/>
                <w:szCs w:val="18"/>
              </w:rPr>
            </w:pPr>
            <w:r>
              <w:rPr>
                <w:rFonts w:ascii="Arial" w:eastAsia="SimSun" w:hAnsi="Arial" w:cs="Arial"/>
                <w:color w:val="000000"/>
                <w:sz w:val="18"/>
                <w:szCs w:val="18"/>
                <w:lang w:eastAsia="zh-CN" w:bidi="ar"/>
              </w:rPr>
              <w:t>5.4553</w:t>
            </w:r>
          </w:p>
        </w:tc>
      </w:tr>
      <w:tr w:rsidR="003768D5" w14:paraId="20788E3A" w14:textId="77777777">
        <w:trPr>
          <w:jc w:val="center"/>
        </w:trPr>
        <w:tc>
          <w:tcPr>
            <w:tcW w:w="1852" w:type="dxa"/>
            <w:tcBorders>
              <w:top w:val="nil"/>
              <w:bottom w:val="nil"/>
            </w:tcBorders>
            <w:vAlign w:val="center"/>
          </w:tcPr>
          <w:p w14:paraId="22AB5D9B" w14:textId="77777777" w:rsidR="003768D5" w:rsidRDefault="005468AB">
            <w:pPr>
              <w:widowControl w:val="0"/>
              <w:spacing w:line="360" w:lineRule="auto"/>
              <w:jc w:val="center"/>
              <w:rPr>
                <w:rFonts w:ascii="Arial" w:hAnsi="Arial" w:cs="Arial"/>
                <w:b/>
                <w:sz w:val="18"/>
                <w:szCs w:val="18"/>
              </w:rPr>
            </w:pPr>
            <w:r>
              <w:rPr>
                <w:rFonts w:ascii="Arial" w:hAnsi="Arial" w:cs="Arial"/>
                <w:sz w:val="18"/>
                <w:szCs w:val="18"/>
                <w:lang w:eastAsia="zh-CN"/>
              </w:rPr>
              <w:t>ARIMA (2,1,1)</w:t>
            </w:r>
          </w:p>
        </w:tc>
        <w:tc>
          <w:tcPr>
            <w:tcW w:w="1297" w:type="dxa"/>
            <w:tcBorders>
              <w:top w:val="nil"/>
              <w:bottom w:val="nil"/>
            </w:tcBorders>
            <w:vAlign w:val="center"/>
          </w:tcPr>
          <w:p w14:paraId="2332CBD7"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115.2803</w:t>
            </w:r>
          </w:p>
        </w:tc>
        <w:tc>
          <w:tcPr>
            <w:tcW w:w="1200" w:type="dxa"/>
            <w:tcBorders>
              <w:top w:val="nil"/>
              <w:bottom w:val="nil"/>
            </w:tcBorders>
            <w:vAlign w:val="center"/>
          </w:tcPr>
          <w:p w14:paraId="6EC2CA59"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18019.6093</w:t>
            </w:r>
          </w:p>
        </w:tc>
        <w:tc>
          <w:tcPr>
            <w:tcW w:w="1092" w:type="dxa"/>
            <w:tcBorders>
              <w:top w:val="nil"/>
              <w:bottom w:val="nil"/>
            </w:tcBorders>
            <w:vAlign w:val="center"/>
          </w:tcPr>
          <w:p w14:paraId="41D9B0F8"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134.2371</w:t>
            </w:r>
          </w:p>
        </w:tc>
        <w:tc>
          <w:tcPr>
            <w:tcW w:w="1233" w:type="dxa"/>
            <w:tcBorders>
              <w:top w:val="nil"/>
              <w:bottom w:val="nil"/>
            </w:tcBorders>
            <w:vAlign w:val="center"/>
          </w:tcPr>
          <w:p w14:paraId="5766DEA7"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13.8387</w:t>
            </w:r>
          </w:p>
        </w:tc>
      </w:tr>
      <w:tr w:rsidR="003768D5" w14:paraId="43C51ADA" w14:textId="77777777">
        <w:trPr>
          <w:trHeight w:val="222"/>
          <w:jc w:val="center"/>
        </w:trPr>
        <w:tc>
          <w:tcPr>
            <w:tcW w:w="1852" w:type="dxa"/>
            <w:tcBorders>
              <w:top w:val="nil"/>
              <w:bottom w:val="nil"/>
            </w:tcBorders>
            <w:vAlign w:val="center"/>
          </w:tcPr>
          <w:p w14:paraId="4BF50D94" w14:textId="77777777" w:rsidR="003768D5" w:rsidRDefault="005468AB">
            <w:pPr>
              <w:widowControl w:val="0"/>
              <w:spacing w:line="360" w:lineRule="auto"/>
              <w:jc w:val="center"/>
              <w:rPr>
                <w:rFonts w:ascii="Arial" w:hAnsi="Arial" w:cs="Arial"/>
                <w:b/>
                <w:sz w:val="18"/>
                <w:szCs w:val="18"/>
              </w:rPr>
            </w:pPr>
            <w:r>
              <w:rPr>
                <w:rFonts w:ascii="Arial" w:hAnsi="Arial" w:cs="Arial"/>
                <w:sz w:val="18"/>
                <w:szCs w:val="18"/>
                <w:lang w:eastAsia="zh-CN"/>
              </w:rPr>
              <w:t>ARIMA (2,1,2)</w:t>
            </w:r>
          </w:p>
        </w:tc>
        <w:tc>
          <w:tcPr>
            <w:tcW w:w="1297" w:type="dxa"/>
            <w:tcBorders>
              <w:top w:val="nil"/>
              <w:bottom w:val="nil"/>
            </w:tcBorders>
            <w:vAlign w:val="center"/>
          </w:tcPr>
          <w:p w14:paraId="1316BDAF"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71.6103</w:t>
            </w:r>
          </w:p>
        </w:tc>
        <w:tc>
          <w:tcPr>
            <w:tcW w:w="1200" w:type="dxa"/>
            <w:tcBorders>
              <w:top w:val="nil"/>
              <w:bottom w:val="nil"/>
            </w:tcBorders>
            <w:vAlign w:val="center"/>
          </w:tcPr>
          <w:p w14:paraId="6A77B106"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7030.3819</w:t>
            </w:r>
          </w:p>
        </w:tc>
        <w:tc>
          <w:tcPr>
            <w:tcW w:w="1092" w:type="dxa"/>
            <w:tcBorders>
              <w:top w:val="nil"/>
              <w:bottom w:val="nil"/>
            </w:tcBorders>
            <w:vAlign w:val="center"/>
          </w:tcPr>
          <w:p w14:paraId="0CCF13D7"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83.8474</w:t>
            </w:r>
          </w:p>
        </w:tc>
        <w:tc>
          <w:tcPr>
            <w:tcW w:w="1233" w:type="dxa"/>
            <w:tcBorders>
              <w:top w:val="nil"/>
              <w:bottom w:val="nil"/>
            </w:tcBorders>
            <w:vAlign w:val="center"/>
          </w:tcPr>
          <w:p w14:paraId="7F38DEB7"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8.5859</w:t>
            </w:r>
          </w:p>
        </w:tc>
      </w:tr>
      <w:tr w:rsidR="003768D5" w14:paraId="00997C95" w14:textId="77777777">
        <w:trPr>
          <w:jc w:val="center"/>
        </w:trPr>
        <w:tc>
          <w:tcPr>
            <w:tcW w:w="1852" w:type="dxa"/>
            <w:tcBorders>
              <w:top w:val="nil"/>
              <w:bottom w:val="nil"/>
            </w:tcBorders>
            <w:vAlign w:val="center"/>
          </w:tcPr>
          <w:p w14:paraId="7BA3E725" w14:textId="77777777" w:rsidR="003768D5" w:rsidRDefault="005468AB">
            <w:pPr>
              <w:widowControl w:val="0"/>
              <w:spacing w:line="360" w:lineRule="auto"/>
              <w:jc w:val="center"/>
              <w:rPr>
                <w:rFonts w:ascii="Arial" w:hAnsi="Arial" w:cs="Arial"/>
                <w:b/>
                <w:sz w:val="18"/>
                <w:szCs w:val="18"/>
              </w:rPr>
            </w:pPr>
            <w:r>
              <w:rPr>
                <w:rFonts w:ascii="Arial" w:hAnsi="Arial" w:cs="Arial"/>
                <w:sz w:val="18"/>
                <w:szCs w:val="18"/>
                <w:lang w:eastAsia="zh-CN"/>
              </w:rPr>
              <w:t>ARIMA (2,1,3)</w:t>
            </w:r>
          </w:p>
        </w:tc>
        <w:tc>
          <w:tcPr>
            <w:tcW w:w="1297" w:type="dxa"/>
            <w:tcBorders>
              <w:top w:val="nil"/>
              <w:bottom w:val="nil"/>
            </w:tcBorders>
            <w:vAlign w:val="center"/>
          </w:tcPr>
          <w:p w14:paraId="59E7815B"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103.1785</w:t>
            </w:r>
          </w:p>
        </w:tc>
        <w:tc>
          <w:tcPr>
            <w:tcW w:w="1200" w:type="dxa"/>
            <w:tcBorders>
              <w:top w:val="nil"/>
              <w:bottom w:val="nil"/>
            </w:tcBorders>
            <w:vAlign w:val="center"/>
          </w:tcPr>
          <w:p w14:paraId="215A7746"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14902.1670</w:t>
            </w:r>
          </w:p>
        </w:tc>
        <w:tc>
          <w:tcPr>
            <w:tcW w:w="1092" w:type="dxa"/>
            <w:tcBorders>
              <w:top w:val="nil"/>
              <w:bottom w:val="nil"/>
            </w:tcBorders>
            <w:vAlign w:val="center"/>
          </w:tcPr>
          <w:p w14:paraId="269E6B88"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122.0744</w:t>
            </w:r>
          </w:p>
        </w:tc>
        <w:tc>
          <w:tcPr>
            <w:tcW w:w="1233" w:type="dxa"/>
            <w:tcBorders>
              <w:top w:val="nil"/>
              <w:bottom w:val="nil"/>
            </w:tcBorders>
            <w:vAlign w:val="center"/>
          </w:tcPr>
          <w:p w14:paraId="2690159A"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12.3595</w:t>
            </w:r>
          </w:p>
        </w:tc>
      </w:tr>
      <w:tr w:rsidR="003768D5" w14:paraId="643B9A4D" w14:textId="77777777">
        <w:trPr>
          <w:jc w:val="center"/>
        </w:trPr>
        <w:tc>
          <w:tcPr>
            <w:tcW w:w="1852" w:type="dxa"/>
            <w:tcBorders>
              <w:top w:val="nil"/>
              <w:bottom w:val="nil"/>
            </w:tcBorders>
            <w:vAlign w:val="center"/>
          </w:tcPr>
          <w:p w14:paraId="1B4D061F" w14:textId="77777777" w:rsidR="003768D5" w:rsidRDefault="005468AB">
            <w:pPr>
              <w:widowControl w:val="0"/>
              <w:spacing w:line="360" w:lineRule="auto"/>
              <w:jc w:val="center"/>
              <w:rPr>
                <w:rFonts w:ascii="Arial" w:hAnsi="Arial" w:cs="Arial"/>
                <w:b/>
                <w:sz w:val="18"/>
                <w:szCs w:val="18"/>
              </w:rPr>
            </w:pPr>
            <w:r>
              <w:rPr>
                <w:rFonts w:ascii="Arial" w:hAnsi="Arial" w:cs="Arial"/>
                <w:sz w:val="18"/>
                <w:szCs w:val="18"/>
                <w:lang w:eastAsia="zh-CN"/>
              </w:rPr>
              <w:t>ARIMA (1,1,3)</w:t>
            </w:r>
          </w:p>
        </w:tc>
        <w:tc>
          <w:tcPr>
            <w:tcW w:w="1297" w:type="dxa"/>
            <w:tcBorders>
              <w:top w:val="nil"/>
              <w:bottom w:val="nil"/>
            </w:tcBorders>
            <w:vAlign w:val="center"/>
          </w:tcPr>
          <w:p w14:paraId="74F08A42"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sz w:val="18"/>
                <w:szCs w:val="18"/>
                <w:lang w:eastAsia="zh-CN" w:bidi="ar"/>
              </w:rPr>
              <w:t>37.6065</w:t>
            </w:r>
          </w:p>
        </w:tc>
        <w:tc>
          <w:tcPr>
            <w:tcW w:w="1200" w:type="dxa"/>
            <w:tcBorders>
              <w:top w:val="nil"/>
              <w:bottom w:val="nil"/>
            </w:tcBorders>
            <w:vAlign w:val="center"/>
          </w:tcPr>
          <w:p w14:paraId="4AF4F7C1"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sz w:val="18"/>
                <w:szCs w:val="18"/>
                <w:lang w:eastAsia="zh-CN" w:bidi="ar"/>
              </w:rPr>
              <w:t>2810.4604</w:t>
            </w:r>
          </w:p>
        </w:tc>
        <w:tc>
          <w:tcPr>
            <w:tcW w:w="1092" w:type="dxa"/>
            <w:tcBorders>
              <w:top w:val="nil"/>
              <w:bottom w:val="nil"/>
            </w:tcBorders>
            <w:vAlign w:val="center"/>
          </w:tcPr>
          <w:p w14:paraId="32D18D64"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sz w:val="18"/>
                <w:szCs w:val="18"/>
                <w:lang w:eastAsia="zh-CN" w:bidi="ar"/>
              </w:rPr>
              <w:t>53.0138</w:t>
            </w:r>
          </w:p>
        </w:tc>
        <w:tc>
          <w:tcPr>
            <w:tcW w:w="1233" w:type="dxa"/>
            <w:tcBorders>
              <w:top w:val="nil"/>
              <w:bottom w:val="nil"/>
            </w:tcBorders>
            <w:vAlign w:val="center"/>
          </w:tcPr>
          <w:p w14:paraId="2C2A0CD9"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4.4132</w:t>
            </w:r>
          </w:p>
        </w:tc>
      </w:tr>
      <w:tr w:rsidR="003768D5" w14:paraId="55ABC051" w14:textId="77777777">
        <w:trPr>
          <w:jc w:val="center"/>
        </w:trPr>
        <w:tc>
          <w:tcPr>
            <w:tcW w:w="1852" w:type="dxa"/>
            <w:tcBorders>
              <w:top w:val="nil"/>
              <w:bottom w:val="nil"/>
            </w:tcBorders>
            <w:vAlign w:val="center"/>
          </w:tcPr>
          <w:p w14:paraId="5D9B6206"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Holt</w:t>
            </w:r>
            <w:r>
              <w:rPr>
                <w:rFonts w:ascii="Arial" w:hAnsi="Arial" w:cs="Arial"/>
                <w:sz w:val="18"/>
                <w:szCs w:val="18"/>
                <w:lang w:eastAsia="zh-CN"/>
              </w:rPr>
              <w:t>-Winter’s</w:t>
            </w:r>
          </w:p>
        </w:tc>
        <w:tc>
          <w:tcPr>
            <w:tcW w:w="1297" w:type="dxa"/>
            <w:tcBorders>
              <w:top w:val="nil"/>
              <w:bottom w:val="nil"/>
            </w:tcBorders>
            <w:vAlign w:val="center"/>
          </w:tcPr>
          <w:p w14:paraId="2D0C6928"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81.9647</w:t>
            </w:r>
          </w:p>
        </w:tc>
        <w:tc>
          <w:tcPr>
            <w:tcW w:w="1200" w:type="dxa"/>
            <w:tcBorders>
              <w:top w:val="nil"/>
              <w:bottom w:val="nil"/>
            </w:tcBorders>
            <w:vAlign w:val="center"/>
          </w:tcPr>
          <w:p w14:paraId="502AE95D"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9698.6395</w:t>
            </w:r>
          </w:p>
        </w:tc>
        <w:tc>
          <w:tcPr>
            <w:tcW w:w="1092" w:type="dxa"/>
            <w:tcBorders>
              <w:top w:val="nil"/>
              <w:bottom w:val="nil"/>
            </w:tcBorders>
            <w:vAlign w:val="center"/>
          </w:tcPr>
          <w:p w14:paraId="194779B7"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98.4817</w:t>
            </w:r>
          </w:p>
        </w:tc>
        <w:tc>
          <w:tcPr>
            <w:tcW w:w="1233" w:type="dxa"/>
            <w:tcBorders>
              <w:top w:val="nil"/>
              <w:bottom w:val="nil"/>
            </w:tcBorders>
            <w:vAlign w:val="center"/>
          </w:tcPr>
          <w:p w14:paraId="66152EA8"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9.9101</w:t>
            </w:r>
          </w:p>
        </w:tc>
      </w:tr>
      <w:tr w:rsidR="003768D5" w14:paraId="613004E8" w14:textId="77777777">
        <w:trPr>
          <w:jc w:val="center"/>
        </w:trPr>
        <w:tc>
          <w:tcPr>
            <w:tcW w:w="1852" w:type="dxa"/>
            <w:tcBorders>
              <w:top w:val="nil"/>
              <w:bottom w:val="nil"/>
            </w:tcBorders>
            <w:vAlign w:val="center"/>
          </w:tcPr>
          <w:p w14:paraId="38FDC2BC"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Brown’s</w:t>
            </w:r>
          </w:p>
        </w:tc>
        <w:tc>
          <w:tcPr>
            <w:tcW w:w="1297" w:type="dxa"/>
            <w:tcBorders>
              <w:top w:val="nil"/>
              <w:bottom w:val="nil"/>
            </w:tcBorders>
            <w:vAlign w:val="center"/>
          </w:tcPr>
          <w:p w14:paraId="7A2481EE"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87.8754</w:t>
            </w:r>
          </w:p>
        </w:tc>
        <w:tc>
          <w:tcPr>
            <w:tcW w:w="1200" w:type="dxa"/>
            <w:tcBorders>
              <w:top w:val="nil"/>
              <w:bottom w:val="nil"/>
            </w:tcBorders>
            <w:vAlign w:val="center"/>
          </w:tcPr>
          <w:p w14:paraId="65998D48"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11051.6382</w:t>
            </w:r>
          </w:p>
        </w:tc>
        <w:tc>
          <w:tcPr>
            <w:tcW w:w="1092" w:type="dxa"/>
            <w:tcBorders>
              <w:top w:val="nil"/>
              <w:bottom w:val="nil"/>
            </w:tcBorders>
            <w:vAlign w:val="center"/>
          </w:tcPr>
          <w:p w14:paraId="4ECDECE1"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105.1268</w:t>
            </w:r>
          </w:p>
        </w:tc>
        <w:tc>
          <w:tcPr>
            <w:tcW w:w="1233" w:type="dxa"/>
            <w:tcBorders>
              <w:top w:val="nil"/>
              <w:bottom w:val="nil"/>
            </w:tcBorders>
            <w:vAlign w:val="center"/>
          </w:tcPr>
          <w:p w14:paraId="4D0558E4"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10.6228</w:t>
            </w:r>
          </w:p>
        </w:tc>
      </w:tr>
      <w:tr w:rsidR="003768D5" w14:paraId="128F35F0" w14:textId="77777777">
        <w:trPr>
          <w:jc w:val="center"/>
        </w:trPr>
        <w:tc>
          <w:tcPr>
            <w:tcW w:w="1852" w:type="dxa"/>
            <w:tcBorders>
              <w:top w:val="nil"/>
              <w:bottom w:val="single" w:sz="4" w:space="0" w:color="auto"/>
            </w:tcBorders>
            <w:vAlign w:val="center"/>
          </w:tcPr>
          <w:p w14:paraId="0A392F92"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DMA</w:t>
            </w:r>
          </w:p>
        </w:tc>
        <w:tc>
          <w:tcPr>
            <w:tcW w:w="1297" w:type="dxa"/>
            <w:tcBorders>
              <w:top w:val="nil"/>
              <w:bottom w:val="single" w:sz="4" w:space="0" w:color="auto"/>
            </w:tcBorders>
            <w:vAlign w:val="center"/>
          </w:tcPr>
          <w:p w14:paraId="4EE2AE1C"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51.0881</w:t>
            </w:r>
          </w:p>
        </w:tc>
        <w:tc>
          <w:tcPr>
            <w:tcW w:w="1200" w:type="dxa"/>
            <w:tcBorders>
              <w:top w:val="nil"/>
              <w:bottom w:val="single" w:sz="4" w:space="0" w:color="auto"/>
            </w:tcBorders>
            <w:vAlign w:val="center"/>
          </w:tcPr>
          <w:p w14:paraId="693E393E"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3185.6206</w:t>
            </w:r>
          </w:p>
        </w:tc>
        <w:tc>
          <w:tcPr>
            <w:tcW w:w="1092" w:type="dxa"/>
            <w:tcBorders>
              <w:top w:val="nil"/>
              <w:bottom w:val="single" w:sz="4" w:space="0" w:color="auto"/>
            </w:tcBorders>
            <w:vAlign w:val="center"/>
          </w:tcPr>
          <w:p w14:paraId="1326EDE5"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56.4413</w:t>
            </w:r>
          </w:p>
        </w:tc>
        <w:tc>
          <w:tcPr>
            <w:tcW w:w="1233" w:type="dxa"/>
            <w:tcBorders>
              <w:top w:val="nil"/>
              <w:bottom w:val="single" w:sz="4" w:space="0" w:color="auto"/>
            </w:tcBorders>
            <w:vAlign w:val="center"/>
          </w:tcPr>
          <w:p w14:paraId="57813305" w14:textId="77777777" w:rsidR="003768D5" w:rsidRDefault="005468AB">
            <w:pPr>
              <w:spacing w:line="360" w:lineRule="auto"/>
              <w:jc w:val="center"/>
              <w:textAlignment w:val="center"/>
              <w:rPr>
                <w:rFonts w:ascii="Arial" w:hAnsi="Arial" w:cs="Arial"/>
                <w:b/>
                <w:sz w:val="18"/>
                <w:szCs w:val="18"/>
              </w:rPr>
            </w:pPr>
            <w:r>
              <w:rPr>
                <w:rFonts w:ascii="Arial" w:eastAsia="SimSun" w:hAnsi="Arial" w:cs="Arial"/>
                <w:color w:val="000000"/>
                <w:sz w:val="18"/>
                <w:szCs w:val="18"/>
                <w:lang w:eastAsia="zh-CN" w:bidi="ar"/>
              </w:rPr>
              <w:t>6.2095</w:t>
            </w:r>
          </w:p>
        </w:tc>
      </w:tr>
    </w:tbl>
    <w:p w14:paraId="1B14F9FA" w14:textId="77777777" w:rsidR="003768D5" w:rsidRDefault="003768D5">
      <w:pPr>
        <w:pStyle w:val="Body"/>
        <w:spacing w:after="0"/>
        <w:rPr>
          <w:rFonts w:ascii="Arial" w:hAnsi="Arial" w:cs="Arial"/>
        </w:rPr>
      </w:pPr>
    </w:p>
    <w:p w14:paraId="0EC6B1BB" w14:textId="77777777" w:rsidR="003768D5" w:rsidRDefault="005468AB">
      <w:pPr>
        <w:pStyle w:val="Body"/>
        <w:spacing w:after="0"/>
        <w:rPr>
          <w:rFonts w:ascii="Arial" w:hAnsi="Arial" w:cs="Arial"/>
        </w:rPr>
      </w:pPr>
      <w:r>
        <w:rPr>
          <w:rFonts w:ascii="Arial" w:hAnsi="Arial" w:cs="Arial" w:hint="eastAsia"/>
        </w:rPr>
        <w:t xml:space="preserve">Considering the accuracy and stability of the forecasting model, the ARIMA (1,1,3) model is selected as the final forecasting model because of its excellent </w:t>
      </w:r>
      <w:r>
        <w:rPr>
          <w:rFonts w:ascii="Arial" w:hAnsi="Arial" w:cs="Arial" w:hint="eastAsia"/>
        </w:rPr>
        <w:t>performance in several error measures. This model provides more reliable forecasting results for practical applications and provides solid data support for further decision-making and strategic planning.</w:t>
      </w:r>
    </w:p>
    <w:p w14:paraId="779D1877" w14:textId="77777777" w:rsidR="003768D5" w:rsidRDefault="003768D5">
      <w:pPr>
        <w:pStyle w:val="Body"/>
        <w:spacing w:after="0"/>
        <w:rPr>
          <w:rFonts w:ascii="Arial" w:hAnsi="Arial" w:cs="Arial"/>
        </w:rPr>
      </w:pPr>
    </w:p>
    <w:p w14:paraId="60C07CA6" w14:textId="77777777" w:rsidR="003768D5" w:rsidRDefault="005468AB">
      <w:pPr>
        <w:pStyle w:val="Body"/>
        <w:spacing w:after="0"/>
        <w:rPr>
          <w:rFonts w:ascii="Arial" w:hAnsi="Arial" w:cs="Arial"/>
        </w:rPr>
      </w:pPr>
      <w:r>
        <w:rPr>
          <w:rFonts w:ascii="Arial" w:hAnsi="Arial" w:cs="Arial"/>
          <w:b/>
          <w:caps/>
          <w:sz w:val="22"/>
        </w:rPr>
        <w:t>3.</w:t>
      </w:r>
      <w:r>
        <w:rPr>
          <w:rFonts w:ascii="Arial" w:eastAsia="SimSun" w:hAnsi="Arial" w:cs="Arial" w:hint="eastAsia"/>
          <w:b/>
          <w:caps/>
          <w:sz w:val="22"/>
          <w:lang w:eastAsia="zh-CN"/>
        </w:rPr>
        <w:t>5</w:t>
      </w:r>
      <w:r>
        <w:rPr>
          <w:rFonts w:ascii="Arial" w:hAnsi="Arial" w:cs="Arial"/>
          <w:b/>
          <w:caps/>
          <w:sz w:val="22"/>
        </w:rPr>
        <w:t xml:space="preserve"> </w:t>
      </w:r>
      <w:r>
        <w:rPr>
          <w:rFonts w:ascii="Arial" w:hAnsi="Arial" w:cs="Arial" w:hint="eastAsia"/>
          <w:b/>
          <w:caps/>
          <w:sz w:val="22"/>
        </w:rPr>
        <w:t>Forecasting</w:t>
      </w:r>
    </w:p>
    <w:p w14:paraId="537ACA0A" w14:textId="77777777" w:rsidR="003768D5" w:rsidRDefault="003768D5">
      <w:pPr>
        <w:pStyle w:val="Body"/>
        <w:spacing w:after="0"/>
        <w:rPr>
          <w:rFonts w:ascii="Arial" w:hAnsi="Arial" w:cs="Arial"/>
        </w:rPr>
      </w:pPr>
    </w:p>
    <w:p w14:paraId="28A5C464" w14:textId="77777777" w:rsidR="003768D5" w:rsidRDefault="005468AB">
      <w:pPr>
        <w:pStyle w:val="Body"/>
        <w:spacing w:after="0"/>
        <w:rPr>
          <w:rFonts w:ascii="Arial" w:hAnsi="Arial" w:cs="Arial"/>
        </w:rPr>
      </w:pPr>
      <w:r>
        <w:rPr>
          <w:rFonts w:ascii="Arial" w:hAnsi="Arial" w:cs="Arial" w:hint="eastAsia"/>
        </w:rPr>
        <w:t>Through the application of differe</w:t>
      </w:r>
      <w:r>
        <w:rPr>
          <w:rFonts w:ascii="Arial" w:hAnsi="Arial" w:cs="Arial" w:hint="eastAsia"/>
        </w:rPr>
        <w:t xml:space="preserve">ntial processing to convert the data into a stationary sequence, the ARIMA (1,1,3) model was used to capture the long-term trends and short-term fluctuations in rubber price data. The model performed exceptionally well during the fitting phase, accurately </w:t>
      </w:r>
      <w:r>
        <w:rPr>
          <w:rFonts w:ascii="Arial" w:hAnsi="Arial" w:cs="Arial" w:hint="eastAsia"/>
        </w:rPr>
        <w:t>modelling price fluctuations in historical data and exhibiting minimal prediction errors in the test set. As a result, the ARIMA (1,1,3) model was selected as the final prediction model for this study.</w:t>
      </w:r>
      <w:r>
        <w:rPr>
          <w:rFonts w:ascii="Arial" w:eastAsia="SimSun" w:hAnsi="Arial" w:cs="Arial" w:hint="eastAsia"/>
          <w:lang w:eastAsia="zh-CN"/>
        </w:rPr>
        <w:t xml:space="preserve"> </w:t>
      </w:r>
      <w:r>
        <w:rPr>
          <w:rFonts w:ascii="Arial" w:hAnsi="Arial" w:cs="Arial" w:hint="eastAsia"/>
        </w:rPr>
        <w:t>The ARIMA (1,1,3) model was used to forecast rubber pr</w:t>
      </w:r>
      <w:r>
        <w:rPr>
          <w:rFonts w:ascii="Arial" w:hAnsi="Arial" w:cs="Arial" w:hint="eastAsia"/>
        </w:rPr>
        <w:t>ices for the period from January 2025 to December 2026, as shown in Table 4.</w:t>
      </w:r>
    </w:p>
    <w:p w14:paraId="7A6BF33C" w14:textId="77777777" w:rsidR="003768D5" w:rsidRDefault="003768D5">
      <w:pPr>
        <w:pStyle w:val="Body"/>
        <w:spacing w:after="0"/>
        <w:rPr>
          <w:rFonts w:ascii="Arial" w:hAnsi="Arial" w:cs="Arial"/>
        </w:rPr>
      </w:pPr>
    </w:p>
    <w:p w14:paraId="1A5F4CDF" w14:textId="77777777" w:rsidR="003768D5" w:rsidRDefault="005468AB">
      <w:pPr>
        <w:tabs>
          <w:tab w:val="left" w:pos="1080"/>
        </w:tabs>
        <w:jc w:val="both"/>
        <w:rPr>
          <w:rFonts w:ascii="Arial" w:hAnsi="Arial"/>
          <w:b/>
        </w:rPr>
      </w:pPr>
      <w:r>
        <w:rPr>
          <w:rFonts w:ascii="Arial" w:hAnsi="Arial"/>
          <w:b/>
        </w:rPr>
        <w:t xml:space="preserve">Table </w:t>
      </w:r>
      <w:r>
        <w:rPr>
          <w:rFonts w:ascii="Arial" w:eastAsia="SimSun" w:hAnsi="Arial" w:hint="eastAsia"/>
          <w:b/>
          <w:lang w:eastAsia="zh-CN"/>
        </w:rPr>
        <w:t>4</w:t>
      </w:r>
      <w:r>
        <w:rPr>
          <w:rFonts w:ascii="Arial" w:hAnsi="Arial"/>
          <w:b/>
        </w:rPr>
        <w:t>.</w:t>
      </w:r>
      <w:r>
        <w:rPr>
          <w:rFonts w:ascii="Arial" w:eastAsia="SimSun" w:hAnsi="Arial" w:hint="eastAsia"/>
          <w:b/>
          <w:lang w:eastAsia="zh-CN"/>
        </w:rPr>
        <w:t xml:space="preserve"> Rubber Prices in Malaysia from 2025 to 2026 Predicted Using ARIMA (1,1,3) Model</w:t>
      </w:r>
    </w:p>
    <w:p w14:paraId="5514B517" w14:textId="77777777" w:rsidR="003768D5" w:rsidRDefault="003768D5">
      <w:pPr>
        <w:tabs>
          <w:tab w:val="left" w:pos="1080"/>
        </w:tabs>
        <w:jc w:val="both"/>
        <w:rPr>
          <w:rFonts w:ascii="Arial" w:hAnsi="Arial"/>
          <w:b/>
        </w:rPr>
      </w:pPr>
    </w:p>
    <w:tbl>
      <w:tblPr>
        <w:tblW w:w="6398"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48"/>
        <w:gridCol w:w="1927"/>
        <w:gridCol w:w="1204"/>
        <w:gridCol w:w="1919"/>
      </w:tblGrid>
      <w:tr w:rsidR="003768D5" w14:paraId="7BB3A0ED" w14:textId="77777777">
        <w:trPr>
          <w:trHeight w:val="384"/>
          <w:jc w:val="center"/>
        </w:trPr>
        <w:tc>
          <w:tcPr>
            <w:tcW w:w="1348" w:type="dxa"/>
            <w:tcBorders>
              <w:bottom w:val="single" w:sz="4" w:space="0" w:color="auto"/>
            </w:tcBorders>
            <w:vAlign w:val="center"/>
          </w:tcPr>
          <w:p w14:paraId="16742865" w14:textId="77777777" w:rsidR="003768D5" w:rsidRDefault="005468AB">
            <w:pPr>
              <w:jc w:val="center"/>
              <w:textAlignment w:val="bottom"/>
              <w:rPr>
                <w:rFonts w:ascii="Arial" w:hAnsi="Arial" w:cs="Arial"/>
                <w:b/>
                <w:bCs/>
                <w:sz w:val="18"/>
                <w:szCs w:val="18"/>
              </w:rPr>
            </w:pPr>
            <w:r>
              <w:rPr>
                <w:rFonts w:ascii="Arial" w:eastAsia="SimSun" w:hAnsi="Arial" w:cs="Arial"/>
                <w:b/>
                <w:bCs/>
                <w:color w:val="000000"/>
                <w:sz w:val="18"/>
                <w:szCs w:val="18"/>
                <w:lang w:eastAsia="zh-CN" w:bidi="ar"/>
              </w:rPr>
              <w:t>Date</w:t>
            </w:r>
          </w:p>
        </w:tc>
        <w:tc>
          <w:tcPr>
            <w:tcW w:w="1927" w:type="dxa"/>
            <w:tcBorders>
              <w:bottom w:val="single" w:sz="4" w:space="0" w:color="auto"/>
            </w:tcBorders>
            <w:vAlign w:val="center"/>
          </w:tcPr>
          <w:p w14:paraId="013E79E5" w14:textId="77777777" w:rsidR="003768D5" w:rsidRDefault="005468AB">
            <w:pPr>
              <w:jc w:val="center"/>
              <w:textAlignment w:val="top"/>
              <w:rPr>
                <w:rFonts w:ascii="Arial" w:hAnsi="Arial" w:cs="Arial"/>
                <w:b/>
                <w:bCs/>
                <w:sz w:val="18"/>
                <w:szCs w:val="18"/>
              </w:rPr>
            </w:pPr>
            <w:r>
              <w:rPr>
                <w:rFonts w:ascii="Arial" w:eastAsia="SimSun" w:hAnsi="Arial" w:cs="Arial"/>
                <w:b/>
                <w:bCs/>
                <w:color w:val="000000"/>
                <w:sz w:val="18"/>
                <w:szCs w:val="18"/>
                <w:lang w:eastAsia="zh-CN" w:bidi="ar"/>
              </w:rPr>
              <w:t>Forecast value</w:t>
            </w:r>
          </w:p>
        </w:tc>
        <w:tc>
          <w:tcPr>
            <w:tcW w:w="1204" w:type="dxa"/>
            <w:tcBorders>
              <w:bottom w:val="single" w:sz="4" w:space="0" w:color="auto"/>
            </w:tcBorders>
            <w:vAlign w:val="center"/>
          </w:tcPr>
          <w:p w14:paraId="54D6F971" w14:textId="77777777" w:rsidR="003768D5" w:rsidRDefault="005468AB">
            <w:pPr>
              <w:jc w:val="center"/>
              <w:textAlignment w:val="bottom"/>
              <w:rPr>
                <w:rFonts w:ascii="Arial" w:hAnsi="Arial" w:cs="Arial"/>
                <w:b/>
                <w:bCs/>
                <w:sz w:val="18"/>
                <w:szCs w:val="18"/>
              </w:rPr>
            </w:pPr>
            <w:r>
              <w:rPr>
                <w:rFonts w:ascii="Arial" w:eastAsia="SimSun" w:hAnsi="Arial" w:cs="Arial"/>
                <w:b/>
                <w:bCs/>
                <w:color w:val="000000"/>
                <w:sz w:val="18"/>
                <w:szCs w:val="18"/>
                <w:lang w:eastAsia="zh-CN" w:bidi="ar"/>
              </w:rPr>
              <w:t>Date</w:t>
            </w:r>
          </w:p>
        </w:tc>
        <w:tc>
          <w:tcPr>
            <w:tcW w:w="1919" w:type="dxa"/>
            <w:tcBorders>
              <w:bottom w:val="single" w:sz="4" w:space="0" w:color="auto"/>
            </w:tcBorders>
            <w:vAlign w:val="center"/>
          </w:tcPr>
          <w:p w14:paraId="562C472E" w14:textId="77777777" w:rsidR="003768D5" w:rsidRDefault="005468AB">
            <w:pPr>
              <w:jc w:val="center"/>
              <w:textAlignment w:val="top"/>
              <w:rPr>
                <w:rFonts w:ascii="Arial" w:hAnsi="Arial" w:cs="Arial"/>
                <w:b/>
                <w:bCs/>
                <w:sz w:val="18"/>
                <w:szCs w:val="18"/>
              </w:rPr>
            </w:pPr>
            <w:r>
              <w:rPr>
                <w:rFonts w:ascii="Arial" w:eastAsia="SimSun" w:hAnsi="Arial" w:cs="Arial"/>
                <w:b/>
                <w:bCs/>
                <w:color w:val="000000"/>
                <w:sz w:val="18"/>
                <w:szCs w:val="18"/>
                <w:lang w:eastAsia="zh-CN" w:bidi="ar"/>
              </w:rPr>
              <w:t>Forecast value</w:t>
            </w:r>
          </w:p>
        </w:tc>
      </w:tr>
      <w:tr w:rsidR="003768D5" w14:paraId="49A603C1" w14:textId="77777777">
        <w:trPr>
          <w:trHeight w:val="384"/>
          <w:jc w:val="center"/>
        </w:trPr>
        <w:tc>
          <w:tcPr>
            <w:tcW w:w="1348" w:type="dxa"/>
            <w:tcBorders>
              <w:bottom w:val="nil"/>
            </w:tcBorders>
            <w:vAlign w:val="center"/>
          </w:tcPr>
          <w:p w14:paraId="35318F8C" w14:textId="77777777" w:rsidR="003768D5" w:rsidRDefault="005468AB">
            <w:pPr>
              <w:jc w:val="center"/>
              <w:textAlignment w:val="bottom"/>
              <w:rPr>
                <w:rFonts w:ascii="Arial" w:hAnsi="Arial" w:cs="Arial"/>
                <w:sz w:val="18"/>
                <w:szCs w:val="18"/>
              </w:rPr>
            </w:pPr>
            <w:r>
              <w:rPr>
                <w:rFonts w:ascii="Arial" w:eastAsia="SimSun" w:hAnsi="Arial" w:cs="Arial"/>
                <w:color w:val="000000"/>
                <w:sz w:val="18"/>
                <w:szCs w:val="18"/>
                <w:lang w:eastAsia="zh-CN" w:bidi="ar"/>
              </w:rPr>
              <w:t>Jan 2025</w:t>
            </w:r>
          </w:p>
        </w:tc>
        <w:tc>
          <w:tcPr>
            <w:tcW w:w="1927" w:type="dxa"/>
            <w:tcBorders>
              <w:bottom w:val="nil"/>
            </w:tcBorders>
            <w:vAlign w:val="center"/>
          </w:tcPr>
          <w:p w14:paraId="495CB39E" w14:textId="77777777" w:rsidR="003768D5" w:rsidRDefault="005468AB">
            <w:pPr>
              <w:jc w:val="center"/>
              <w:textAlignment w:val="top"/>
              <w:rPr>
                <w:rFonts w:ascii="Arial" w:hAnsi="Arial" w:cs="Arial"/>
                <w:sz w:val="18"/>
                <w:szCs w:val="18"/>
              </w:rPr>
            </w:pPr>
            <w:r>
              <w:rPr>
                <w:rFonts w:ascii="Arial" w:eastAsia="SimSun" w:hAnsi="Arial" w:cs="Arial"/>
                <w:color w:val="000000"/>
                <w:sz w:val="18"/>
                <w:szCs w:val="18"/>
                <w:lang w:eastAsia="zh-CN" w:bidi="ar"/>
              </w:rPr>
              <w:t>893.52</w:t>
            </w:r>
          </w:p>
        </w:tc>
        <w:tc>
          <w:tcPr>
            <w:tcW w:w="1204" w:type="dxa"/>
            <w:tcBorders>
              <w:bottom w:val="nil"/>
            </w:tcBorders>
            <w:vAlign w:val="center"/>
          </w:tcPr>
          <w:p w14:paraId="0463925D" w14:textId="77777777" w:rsidR="003768D5" w:rsidRDefault="005468AB">
            <w:pPr>
              <w:jc w:val="center"/>
              <w:textAlignment w:val="bottom"/>
              <w:rPr>
                <w:rFonts w:ascii="Arial" w:hAnsi="Arial" w:cs="Arial"/>
                <w:sz w:val="18"/>
                <w:szCs w:val="18"/>
              </w:rPr>
            </w:pPr>
            <w:r>
              <w:rPr>
                <w:rFonts w:ascii="Arial" w:eastAsia="SimSun" w:hAnsi="Arial" w:cs="Arial"/>
                <w:color w:val="000000"/>
                <w:sz w:val="18"/>
                <w:szCs w:val="18"/>
                <w:lang w:eastAsia="zh-CN" w:bidi="ar"/>
              </w:rPr>
              <w:t>Jan 2026</w:t>
            </w:r>
          </w:p>
        </w:tc>
        <w:tc>
          <w:tcPr>
            <w:tcW w:w="1919" w:type="dxa"/>
            <w:tcBorders>
              <w:bottom w:val="nil"/>
            </w:tcBorders>
            <w:vAlign w:val="center"/>
          </w:tcPr>
          <w:p w14:paraId="7AF2A4B7" w14:textId="77777777" w:rsidR="003768D5" w:rsidRDefault="005468AB">
            <w:pPr>
              <w:jc w:val="center"/>
              <w:textAlignment w:val="top"/>
              <w:rPr>
                <w:rFonts w:ascii="Arial" w:hAnsi="Arial" w:cs="Arial"/>
                <w:sz w:val="18"/>
                <w:szCs w:val="18"/>
              </w:rPr>
            </w:pPr>
            <w:r>
              <w:rPr>
                <w:rFonts w:ascii="Arial" w:eastAsia="SimSun" w:hAnsi="Arial" w:cs="Arial"/>
                <w:color w:val="000000"/>
                <w:sz w:val="18"/>
                <w:szCs w:val="18"/>
                <w:lang w:eastAsia="zh-CN" w:bidi="ar"/>
              </w:rPr>
              <w:t>805.19</w:t>
            </w:r>
          </w:p>
        </w:tc>
      </w:tr>
      <w:tr w:rsidR="003768D5" w14:paraId="74959E64" w14:textId="77777777">
        <w:trPr>
          <w:trHeight w:val="375"/>
          <w:jc w:val="center"/>
        </w:trPr>
        <w:tc>
          <w:tcPr>
            <w:tcW w:w="1348" w:type="dxa"/>
            <w:tcBorders>
              <w:top w:val="nil"/>
              <w:bottom w:val="nil"/>
            </w:tcBorders>
            <w:vAlign w:val="center"/>
          </w:tcPr>
          <w:p w14:paraId="00EAE5F3" w14:textId="77777777" w:rsidR="003768D5" w:rsidRDefault="005468AB">
            <w:pPr>
              <w:jc w:val="center"/>
              <w:textAlignment w:val="bottom"/>
              <w:rPr>
                <w:rFonts w:ascii="Arial" w:hAnsi="Arial" w:cs="Arial"/>
                <w:sz w:val="18"/>
                <w:szCs w:val="18"/>
              </w:rPr>
            </w:pPr>
            <w:r>
              <w:rPr>
                <w:rFonts w:ascii="Arial" w:eastAsia="SimSun" w:hAnsi="Arial" w:cs="Arial"/>
                <w:color w:val="000000"/>
                <w:sz w:val="18"/>
                <w:szCs w:val="18"/>
                <w:lang w:eastAsia="zh-CN" w:bidi="ar"/>
              </w:rPr>
              <w:t>Feb 2025</w:t>
            </w:r>
          </w:p>
        </w:tc>
        <w:tc>
          <w:tcPr>
            <w:tcW w:w="1927" w:type="dxa"/>
            <w:tcBorders>
              <w:top w:val="nil"/>
              <w:bottom w:val="nil"/>
            </w:tcBorders>
            <w:vAlign w:val="center"/>
          </w:tcPr>
          <w:p w14:paraId="4E843ECB" w14:textId="77777777" w:rsidR="003768D5" w:rsidRDefault="005468AB">
            <w:pPr>
              <w:jc w:val="center"/>
              <w:textAlignment w:val="top"/>
              <w:rPr>
                <w:rFonts w:ascii="Arial" w:hAnsi="Arial" w:cs="Arial"/>
                <w:sz w:val="18"/>
                <w:szCs w:val="18"/>
              </w:rPr>
            </w:pPr>
            <w:r>
              <w:rPr>
                <w:rFonts w:ascii="Arial" w:eastAsia="SimSun" w:hAnsi="Arial" w:cs="Arial"/>
                <w:color w:val="000000"/>
                <w:sz w:val="18"/>
                <w:szCs w:val="18"/>
                <w:lang w:eastAsia="zh-CN" w:bidi="ar"/>
              </w:rPr>
              <w:t>891.40</w:t>
            </w:r>
          </w:p>
        </w:tc>
        <w:tc>
          <w:tcPr>
            <w:tcW w:w="1204" w:type="dxa"/>
            <w:tcBorders>
              <w:top w:val="nil"/>
              <w:bottom w:val="nil"/>
            </w:tcBorders>
            <w:vAlign w:val="center"/>
          </w:tcPr>
          <w:p w14:paraId="4269CF55" w14:textId="77777777" w:rsidR="003768D5" w:rsidRDefault="005468AB">
            <w:pPr>
              <w:jc w:val="center"/>
              <w:textAlignment w:val="bottom"/>
              <w:rPr>
                <w:rFonts w:ascii="Arial" w:hAnsi="Arial" w:cs="Arial"/>
                <w:sz w:val="18"/>
                <w:szCs w:val="18"/>
              </w:rPr>
            </w:pPr>
            <w:r>
              <w:rPr>
                <w:rFonts w:ascii="Arial" w:eastAsia="SimSun" w:hAnsi="Arial" w:cs="Arial"/>
                <w:color w:val="000000"/>
                <w:sz w:val="18"/>
                <w:szCs w:val="18"/>
                <w:lang w:eastAsia="zh-CN" w:bidi="ar"/>
              </w:rPr>
              <w:t>Feb 2026</w:t>
            </w:r>
          </w:p>
        </w:tc>
        <w:tc>
          <w:tcPr>
            <w:tcW w:w="1919" w:type="dxa"/>
            <w:tcBorders>
              <w:top w:val="nil"/>
              <w:bottom w:val="nil"/>
            </w:tcBorders>
            <w:vAlign w:val="center"/>
          </w:tcPr>
          <w:p w14:paraId="7043D029" w14:textId="77777777" w:rsidR="003768D5" w:rsidRDefault="005468AB">
            <w:pPr>
              <w:jc w:val="center"/>
              <w:textAlignment w:val="top"/>
              <w:rPr>
                <w:rFonts w:ascii="Arial" w:hAnsi="Arial" w:cs="Arial"/>
                <w:sz w:val="18"/>
                <w:szCs w:val="18"/>
              </w:rPr>
            </w:pPr>
            <w:r>
              <w:rPr>
                <w:rFonts w:ascii="Arial" w:eastAsia="SimSun" w:hAnsi="Arial" w:cs="Arial"/>
                <w:color w:val="000000"/>
                <w:sz w:val="18"/>
                <w:szCs w:val="18"/>
                <w:lang w:eastAsia="zh-CN" w:bidi="ar"/>
              </w:rPr>
              <w:t>804.09</w:t>
            </w:r>
          </w:p>
        </w:tc>
      </w:tr>
      <w:tr w:rsidR="003768D5" w14:paraId="7F39D870" w14:textId="77777777">
        <w:trPr>
          <w:trHeight w:val="375"/>
          <w:jc w:val="center"/>
        </w:trPr>
        <w:tc>
          <w:tcPr>
            <w:tcW w:w="1348" w:type="dxa"/>
            <w:tcBorders>
              <w:top w:val="nil"/>
              <w:bottom w:val="nil"/>
            </w:tcBorders>
            <w:vAlign w:val="center"/>
          </w:tcPr>
          <w:p w14:paraId="2AEA58F1" w14:textId="77777777" w:rsidR="003768D5" w:rsidRDefault="005468AB">
            <w:pPr>
              <w:jc w:val="center"/>
              <w:textAlignment w:val="bottom"/>
              <w:rPr>
                <w:rFonts w:ascii="Arial" w:hAnsi="Arial" w:cs="Arial"/>
                <w:b/>
                <w:sz w:val="18"/>
                <w:szCs w:val="18"/>
              </w:rPr>
            </w:pPr>
            <w:r>
              <w:rPr>
                <w:rFonts w:ascii="Arial" w:eastAsia="SimSun" w:hAnsi="Arial" w:cs="Arial"/>
                <w:color w:val="000000"/>
                <w:sz w:val="18"/>
                <w:szCs w:val="18"/>
                <w:lang w:eastAsia="zh-CN" w:bidi="ar"/>
              </w:rPr>
              <w:t>Mar 2025</w:t>
            </w:r>
          </w:p>
        </w:tc>
        <w:tc>
          <w:tcPr>
            <w:tcW w:w="1927" w:type="dxa"/>
            <w:tcBorders>
              <w:top w:val="nil"/>
              <w:bottom w:val="nil"/>
            </w:tcBorders>
            <w:vAlign w:val="center"/>
          </w:tcPr>
          <w:p w14:paraId="7B62DDB4" w14:textId="77777777" w:rsidR="003768D5" w:rsidRDefault="005468AB">
            <w:pPr>
              <w:jc w:val="center"/>
              <w:textAlignment w:val="top"/>
              <w:rPr>
                <w:rFonts w:ascii="Arial" w:hAnsi="Arial" w:cs="Arial"/>
                <w:b/>
                <w:sz w:val="18"/>
                <w:szCs w:val="18"/>
              </w:rPr>
            </w:pPr>
            <w:r>
              <w:rPr>
                <w:rFonts w:ascii="Arial" w:eastAsia="SimSun" w:hAnsi="Arial" w:cs="Arial"/>
                <w:color w:val="000000"/>
                <w:sz w:val="18"/>
                <w:szCs w:val="18"/>
                <w:lang w:eastAsia="zh-CN" w:bidi="ar"/>
              </w:rPr>
              <w:t>873.55</w:t>
            </w:r>
          </w:p>
        </w:tc>
        <w:tc>
          <w:tcPr>
            <w:tcW w:w="1204" w:type="dxa"/>
            <w:tcBorders>
              <w:top w:val="nil"/>
              <w:bottom w:val="nil"/>
            </w:tcBorders>
            <w:vAlign w:val="center"/>
          </w:tcPr>
          <w:p w14:paraId="1AE03F86" w14:textId="77777777" w:rsidR="003768D5" w:rsidRDefault="005468AB">
            <w:pPr>
              <w:jc w:val="center"/>
              <w:textAlignment w:val="bottom"/>
              <w:rPr>
                <w:rFonts w:ascii="Arial" w:hAnsi="Arial" w:cs="Arial"/>
                <w:b/>
                <w:sz w:val="18"/>
                <w:szCs w:val="18"/>
              </w:rPr>
            </w:pPr>
            <w:r>
              <w:rPr>
                <w:rFonts w:ascii="Arial" w:eastAsia="SimSun" w:hAnsi="Arial" w:cs="Arial"/>
                <w:color w:val="000000"/>
                <w:sz w:val="18"/>
                <w:szCs w:val="18"/>
                <w:lang w:eastAsia="zh-CN" w:bidi="ar"/>
              </w:rPr>
              <w:t>Mar 2026</w:t>
            </w:r>
          </w:p>
        </w:tc>
        <w:tc>
          <w:tcPr>
            <w:tcW w:w="1919" w:type="dxa"/>
            <w:tcBorders>
              <w:top w:val="nil"/>
              <w:bottom w:val="nil"/>
            </w:tcBorders>
            <w:vAlign w:val="center"/>
          </w:tcPr>
          <w:p w14:paraId="27F1B858" w14:textId="77777777" w:rsidR="003768D5" w:rsidRDefault="005468AB">
            <w:pPr>
              <w:jc w:val="center"/>
              <w:textAlignment w:val="top"/>
              <w:rPr>
                <w:rFonts w:ascii="Arial" w:hAnsi="Arial" w:cs="Arial"/>
                <w:b/>
                <w:sz w:val="18"/>
                <w:szCs w:val="18"/>
              </w:rPr>
            </w:pPr>
            <w:r>
              <w:rPr>
                <w:rFonts w:ascii="Arial" w:eastAsia="SimSun" w:hAnsi="Arial" w:cs="Arial"/>
                <w:color w:val="000000"/>
                <w:sz w:val="18"/>
                <w:szCs w:val="18"/>
                <w:lang w:eastAsia="zh-CN" w:bidi="ar"/>
              </w:rPr>
              <w:t>803.49</w:t>
            </w:r>
          </w:p>
        </w:tc>
      </w:tr>
      <w:tr w:rsidR="003768D5" w14:paraId="5AD5AA8A" w14:textId="77777777">
        <w:trPr>
          <w:trHeight w:val="375"/>
          <w:jc w:val="center"/>
        </w:trPr>
        <w:tc>
          <w:tcPr>
            <w:tcW w:w="1348" w:type="dxa"/>
            <w:tcBorders>
              <w:top w:val="nil"/>
              <w:bottom w:val="nil"/>
            </w:tcBorders>
            <w:vAlign w:val="center"/>
          </w:tcPr>
          <w:p w14:paraId="69314409" w14:textId="77777777" w:rsidR="003768D5" w:rsidRDefault="005468AB">
            <w:pPr>
              <w:jc w:val="center"/>
              <w:textAlignment w:val="bottom"/>
              <w:rPr>
                <w:rFonts w:ascii="Arial" w:hAnsi="Arial" w:cs="Arial"/>
                <w:b/>
                <w:sz w:val="18"/>
                <w:szCs w:val="18"/>
              </w:rPr>
            </w:pPr>
            <w:r>
              <w:rPr>
                <w:rFonts w:ascii="Arial" w:eastAsia="SimSun" w:hAnsi="Arial" w:cs="Arial"/>
                <w:color w:val="000000"/>
                <w:sz w:val="18"/>
                <w:szCs w:val="18"/>
                <w:lang w:eastAsia="zh-CN" w:bidi="ar"/>
              </w:rPr>
              <w:lastRenderedPageBreak/>
              <w:t>Apr 2025</w:t>
            </w:r>
          </w:p>
        </w:tc>
        <w:tc>
          <w:tcPr>
            <w:tcW w:w="1927" w:type="dxa"/>
            <w:tcBorders>
              <w:top w:val="nil"/>
              <w:bottom w:val="nil"/>
            </w:tcBorders>
            <w:vAlign w:val="center"/>
          </w:tcPr>
          <w:p w14:paraId="220BF725" w14:textId="77777777" w:rsidR="003768D5" w:rsidRDefault="005468AB">
            <w:pPr>
              <w:jc w:val="center"/>
              <w:textAlignment w:val="top"/>
              <w:rPr>
                <w:rFonts w:ascii="Arial" w:hAnsi="Arial" w:cs="Arial"/>
                <w:b/>
                <w:sz w:val="18"/>
                <w:szCs w:val="18"/>
              </w:rPr>
            </w:pPr>
            <w:r>
              <w:rPr>
                <w:rFonts w:ascii="Arial" w:eastAsia="SimSun" w:hAnsi="Arial" w:cs="Arial"/>
                <w:color w:val="000000"/>
                <w:sz w:val="18"/>
                <w:szCs w:val="18"/>
                <w:lang w:eastAsia="zh-CN" w:bidi="ar"/>
              </w:rPr>
              <w:t>858.76</w:t>
            </w:r>
          </w:p>
        </w:tc>
        <w:tc>
          <w:tcPr>
            <w:tcW w:w="1204" w:type="dxa"/>
            <w:tcBorders>
              <w:top w:val="nil"/>
              <w:bottom w:val="nil"/>
            </w:tcBorders>
            <w:vAlign w:val="center"/>
          </w:tcPr>
          <w:p w14:paraId="4015132B" w14:textId="77777777" w:rsidR="003768D5" w:rsidRDefault="005468AB">
            <w:pPr>
              <w:jc w:val="center"/>
              <w:textAlignment w:val="bottom"/>
              <w:rPr>
                <w:rFonts w:ascii="Arial" w:hAnsi="Arial" w:cs="Arial"/>
                <w:b/>
                <w:sz w:val="18"/>
                <w:szCs w:val="18"/>
              </w:rPr>
            </w:pPr>
            <w:r>
              <w:rPr>
                <w:rFonts w:ascii="Arial" w:eastAsia="SimSun" w:hAnsi="Arial" w:cs="Arial"/>
                <w:color w:val="000000"/>
                <w:sz w:val="18"/>
                <w:szCs w:val="18"/>
                <w:lang w:eastAsia="zh-CN" w:bidi="ar"/>
              </w:rPr>
              <w:t>Apr 2026</w:t>
            </w:r>
          </w:p>
        </w:tc>
        <w:tc>
          <w:tcPr>
            <w:tcW w:w="1919" w:type="dxa"/>
            <w:tcBorders>
              <w:top w:val="nil"/>
              <w:bottom w:val="nil"/>
            </w:tcBorders>
            <w:vAlign w:val="center"/>
          </w:tcPr>
          <w:p w14:paraId="038D3277" w14:textId="77777777" w:rsidR="003768D5" w:rsidRDefault="005468AB">
            <w:pPr>
              <w:jc w:val="center"/>
              <w:textAlignment w:val="top"/>
              <w:rPr>
                <w:rFonts w:ascii="Arial" w:hAnsi="Arial" w:cs="Arial"/>
                <w:b/>
                <w:sz w:val="18"/>
                <w:szCs w:val="18"/>
              </w:rPr>
            </w:pPr>
            <w:r>
              <w:rPr>
                <w:rFonts w:ascii="Arial" w:eastAsia="SimSun" w:hAnsi="Arial" w:cs="Arial"/>
                <w:color w:val="000000"/>
                <w:sz w:val="18"/>
                <w:szCs w:val="18"/>
                <w:lang w:eastAsia="zh-CN" w:bidi="ar"/>
              </w:rPr>
              <w:t>803.30</w:t>
            </w:r>
          </w:p>
        </w:tc>
      </w:tr>
      <w:tr w:rsidR="003768D5" w14:paraId="7CEAD5EA" w14:textId="77777777">
        <w:trPr>
          <w:trHeight w:val="375"/>
          <w:jc w:val="center"/>
        </w:trPr>
        <w:tc>
          <w:tcPr>
            <w:tcW w:w="1348" w:type="dxa"/>
            <w:tcBorders>
              <w:top w:val="nil"/>
              <w:bottom w:val="nil"/>
            </w:tcBorders>
            <w:vAlign w:val="center"/>
          </w:tcPr>
          <w:p w14:paraId="51FC4986" w14:textId="77777777" w:rsidR="003768D5" w:rsidRDefault="005468AB">
            <w:pPr>
              <w:jc w:val="center"/>
              <w:textAlignment w:val="bottom"/>
              <w:rPr>
                <w:rFonts w:ascii="Arial" w:hAnsi="Arial" w:cs="Arial"/>
                <w:b/>
                <w:sz w:val="18"/>
                <w:szCs w:val="18"/>
              </w:rPr>
            </w:pPr>
            <w:r>
              <w:rPr>
                <w:rFonts w:ascii="Arial" w:eastAsia="SimSun" w:hAnsi="Arial" w:cs="Arial"/>
                <w:color w:val="000000"/>
                <w:sz w:val="18"/>
                <w:szCs w:val="18"/>
                <w:lang w:eastAsia="zh-CN" w:bidi="ar"/>
              </w:rPr>
              <w:t>May 2025</w:t>
            </w:r>
          </w:p>
        </w:tc>
        <w:tc>
          <w:tcPr>
            <w:tcW w:w="1927" w:type="dxa"/>
            <w:tcBorders>
              <w:top w:val="nil"/>
              <w:bottom w:val="nil"/>
            </w:tcBorders>
            <w:vAlign w:val="center"/>
          </w:tcPr>
          <w:p w14:paraId="569D67E7" w14:textId="77777777" w:rsidR="003768D5" w:rsidRDefault="005468AB">
            <w:pPr>
              <w:jc w:val="center"/>
              <w:textAlignment w:val="top"/>
              <w:rPr>
                <w:rFonts w:ascii="Arial" w:hAnsi="Arial" w:cs="Arial"/>
                <w:b/>
                <w:sz w:val="18"/>
                <w:szCs w:val="18"/>
              </w:rPr>
            </w:pPr>
            <w:r>
              <w:rPr>
                <w:rFonts w:ascii="Arial" w:eastAsia="SimSun" w:hAnsi="Arial" w:cs="Arial"/>
                <w:color w:val="000000"/>
                <w:sz w:val="18"/>
                <w:szCs w:val="18"/>
                <w:lang w:eastAsia="zh-CN" w:bidi="ar"/>
              </w:rPr>
              <w:t>846.55</w:t>
            </w:r>
          </w:p>
        </w:tc>
        <w:tc>
          <w:tcPr>
            <w:tcW w:w="1204" w:type="dxa"/>
            <w:tcBorders>
              <w:top w:val="nil"/>
              <w:bottom w:val="nil"/>
            </w:tcBorders>
            <w:vAlign w:val="center"/>
          </w:tcPr>
          <w:p w14:paraId="6FA7FB08" w14:textId="77777777" w:rsidR="003768D5" w:rsidRDefault="005468AB">
            <w:pPr>
              <w:jc w:val="center"/>
              <w:textAlignment w:val="bottom"/>
              <w:rPr>
                <w:rFonts w:ascii="Arial" w:hAnsi="Arial" w:cs="Arial"/>
                <w:b/>
                <w:sz w:val="18"/>
                <w:szCs w:val="18"/>
              </w:rPr>
            </w:pPr>
            <w:r>
              <w:rPr>
                <w:rFonts w:ascii="Arial" w:eastAsia="SimSun" w:hAnsi="Arial" w:cs="Arial"/>
                <w:color w:val="000000"/>
                <w:sz w:val="18"/>
                <w:szCs w:val="18"/>
                <w:lang w:eastAsia="zh-CN" w:bidi="ar"/>
              </w:rPr>
              <w:t>May 2026</w:t>
            </w:r>
          </w:p>
        </w:tc>
        <w:tc>
          <w:tcPr>
            <w:tcW w:w="1919" w:type="dxa"/>
            <w:tcBorders>
              <w:top w:val="nil"/>
              <w:bottom w:val="nil"/>
            </w:tcBorders>
            <w:vAlign w:val="center"/>
          </w:tcPr>
          <w:p w14:paraId="1A565440" w14:textId="77777777" w:rsidR="003768D5" w:rsidRDefault="005468AB">
            <w:pPr>
              <w:jc w:val="center"/>
              <w:textAlignment w:val="top"/>
              <w:rPr>
                <w:rFonts w:ascii="Arial" w:hAnsi="Arial" w:cs="Arial"/>
                <w:b/>
                <w:sz w:val="18"/>
                <w:szCs w:val="18"/>
              </w:rPr>
            </w:pPr>
            <w:r>
              <w:rPr>
                <w:rFonts w:ascii="Arial" w:eastAsia="SimSun" w:hAnsi="Arial" w:cs="Arial"/>
                <w:color w:val="000000"/>
                <w:sz w:val="18"/>
                <w:szCs w:val="18"/>
                <w:lang w:eastAsia="zh-CN" w:bidi="ar"/>
              </w:rPr>
              <w:t>803.47</w:t>
            </w:r>
          </w:p>
        </w:tc>
      </w:tr>
      <w:tr w:rsidR="003768D5" w14:paraId="5BF1665D" w14:textId="77777777">
        <w:trPr>
          <w:trHeight w:val="375"/>
          <w:jc w:val="center"/>
        </w:trPr>
        <w:tc>
          <w:tcPr>
            <w:tcW w:w="1348" w:type="dxa"/>
            <w:tcBorders>
              <w:top w:val="nil"/>
              <w:bottom w:val="nil"/>
            </w:tcBorders>
            <w:vAlign w:val="center"/>
          </w:tcPr>
          <w:p w14:paraId="581D7AD3" w14:textId="77777777" w:rsidR="003768D5" w:rsidRDefault="005468AB">
            <w:pPr>
              <w:jc w:val="center"/>
              <w:textAlignment w:val="bottom"/>
              <w:rPr>
                <w:rFonts w:ascii="Arial" w:hAnsi="Arial" w:cs="Arial"/>
                <w:b/>
                <w:sz w:val="18"/>
                <w:szCs w:val="18"/>
              </w:rPr>
            </w:pPr>
            <w:r>
              <w:rPr>
                <w:rFonts w:ascii="Arial" w:eastAsia="SimSun" w:hAnsi="Arial" w:cs="Arial"/>
                <w:color w:val="000000"/>
                <w:sz w:val="18"/>
                <w:szCs w:val="18"/>
                <w:lang w:eastAsia="zh-CN" w:bidi="ar"/>
              </w:rPr>
              <w:t>Jun 2025</w:t>
            </w:r>
          </w:p>
        </w:tc>
        <w:tc>
          <w:tcPr>
            <w:tcW w:w="1927" w:type="dxa"/>
            <w:tcBorders>
              <w:top w:val="nil"/>
              <w:bottom w:val="nil"/>
            </w:tcBorders>
            <w:vAlign w:val="center"/>
          </w:tcPr>
          <w:p w14:paraId="7DFDE490" w14:textId="77777777" w:rsidR="003768D5" w:rsidRDefault="005468AB">
            <w:pPr>
              <w:jc w:val="center"/>
              <w:textAlignment w:val="top"/>
              <w:rPr>
                <w:rFonts w:ascii="Arial" w:hAnsi="Arial" w:cs="Arial"/>
                <w:b/>
                <w:sz w:val="18"/>
                <w:szCs w:val="18"/>
              </w:rPr>
            </w:pPr>
            <w:r>
              <w:rPr>
                <w:rFonts w:ascii="Arial" w:eastAsia="SimSun" w:hAnsi="Arial" w:cs="Arial"/>
                <w:color w:val="000000"/>
                <w:sz w:val="18"/>
                <w:szCs w:val="18"/>
                <w:lang w:eastAsia="zh-CN" w:bidi="ar"/>
              </w:rPr>
              <w:t>836.53</w:t>
            </w:r>
          </w:p>
        </w:tc>
        <w:tc>
          <w:tcPr>
            <w:tcW w:w="1204" w:type="dxa"/>
            <w:tcBorders>
              <w:top w:val="nil"/>
              <w:bottom w:val="nil"/>
            </w:tcBorders>
            <w:vAlign w:val="center"/>
          </w:tcPr>
          <w:p w14:paraId="10366871" w14:textId="77777777" w:rsidR="003768D5" w:rsidRDefault="005468AB">
            <w:pPr>
              <w:jc w:val="center"/>
              <w:textAlignment w:val="bottom"/>
              <w:rPr>
                <w:rFonts w:ascii="Arial" w:hAnsi="Arial" w:cs="Arial"/>
                <w:b/>
                <w:sz w:val="18"/>
                <w:szCs w:val="18"/>
              </w:rPr>
            </w:pPr>
            <w:r>
              <w:rPr>
                <w:rFonts w:ascii="Arial" w:eastAsia="SimSun" w:hAnsi="Arial" w:cs="Arial"/>
                <w:color w:val="000000"/>
                <w:sz w:val="18"/>
                <w:szCs w:val="18"/>
                <w:lang w:eastAsia="zh-CN" w:bidi="ar"/>
              </w:rPr>
              <w:t>Jun 2026</w:t>
            </w:r>
          </w:p>
        </w:tc>
        <w:tc>
          <w:tcPr>
            <w:tcW w:w="1919" w:type="dxa"/>
            <w:tcBorders>
              <w:top w:val="nil"/>
              <w:bottom w:val="nil"/>
            </w:tcBorders>
            <w:vAlign w:val="center"/>
          </w:tcPr>
          <w:p w14:paraId="125181E8" w14:textId="77777777" w:rsidR="003768D5" w:rsidRDefault="005468AB">
            <w:pPr>
              <w:jc w:val="center"/>
              <w:textAlignment w:val="top"/>
              <w:rPr>
                <w:rFonts w:ascii="Arial" w:hAnsi="Arial" w:cs="Arial"/>
                <w:b/>
                <w:sz w:val="18"/>
                <w:szCs w:val="18"/>
              </w:rPr>
            </w:pPr>
            <w:r>
              <w:rPr>
                <w:rFonts w:ascii="Arial" w:eastAsia="SimSun" w:hAnsi="Arial" w:cs="Arial"/>
                <w:color w:val="000000"/>
                <w:sz w:val="18"/>
                <w:szCs w:val="18"/>
                <w:lang w:eastAsia="zh-CN" w:bidi="ar"/>
              </w:rPr>
              <w:t>803.93</w:t>
            </w:r>
          </w:p>
        </w:tc>
      </w:tr>
      <w:tr w:rsidR="003768D5" w14:paraId="09C42F7E" w14:textId="77777777">
        <w:trPr>
          <w:trHeight w:val="375"/>
          <w:jc w:val="center"/>
        </w:trPr>
        <w:tc>
          <w:tcPr>
            <w:tcW w:w="1348" w:type="dxa"/>
            <w:tcBorders>
              <w:top w:val="nil"/>
              <w:bottom w:val="nil"/>
            </w:tcBorders>
            <w:vAlign w:val="center"/>
          </w:tcPr>
          <w:p w14:paraId="56F0E9C1" w14:textId="77777777" w:rsidR="003768D5" w:rsidRDefault="005468AB">
            <w:pPr>
              <w:jc w:val="center"/>
              <w:textAlignment w:val="bottom"/>
              <w:rPr>
                <w:rFonts w:ascii="Arial" w:hAnsi="Arial" w:cs="Arial"/>
                <w:b/>
                <w:sz w:val="18"/>
                <w:szCs w:val="18"/>
              </w:rPr>
            </w:pPr>
            <w:r>
              <w:rPr>
                <w:rFonts w:ascii="Arial" w:eastAsia="SimSun" w:hAnsi="Arial" w:cs="Arial"/>
                <w:color w:val="000000"/>
                <w:sz w:val="18"/>
                <w:szCs w:val="18"/>
                <w:lang w:eastAsia="zh-CN" w:bidi="ar"/>
              </w:rPr>
              <w:t>Jul 2025</w:t>
            </w:r>
          </w:p>
        </w:tc>
        <w:tc>
          <w:tcPr>
            <w:tcW w:w="1927" w:type="dxa"/>
            <w:tcBorders>
              <w:top w:val="nil"/>
              <w:bottom w:val="nil"/>
            </w:tcBorders>
            <w:vAlign w:val="center"/>
          </w:tcPr>
          <w:p w14:paraId="7344877F" w14:textId="77777777" w:rsidR="003768D5" w:rsidRDefault="005468AB">
            <w:pPr>
              <w:jc w:val="center"/>
              <w:textAlignment w:val="top"/>
              <w:rPr>
                <w:rFonts w:ascii="Arial" w:hAnsi="Arial" w:cs="Arial"/>
                <w:b/>
                <w:sz w:val="18"/>
                <w:szCs w:val="18"/>
              </w:rPr>
            </w:pPr>
            <w:r>
              <w:rPr>
                <w:rFonts w:ascii="Arial" w:eastAsia="SimSun" w:hAnsi="Arial" w:cs="Arial"/>
                <w:color w:val="000000"/>
                <w:sz w:val="18"/>
                <w:szCs w:val="18"/>
                <w:lang w:eastAsia="zh-CN" w:bidi="ar"/>
              </w:rPr>
              <w:t>828.37</w:t>
            </w:r>
          </w:p>
        </w:tc>
        <w:tc>
          <w:tcPr>
            <w:tcW w:w="1204" w:type="dxa"/>
            <w:tcBorders>
              <w:top w:val="nil"/>
              <w:bottom w:val="nil"/>
            </w:tcBorders>
            <w:vAlign w:val="center"/>
          </w:tcPr>
          <w:p w14:paraId="270F130B" w14:textId="77777777" w:rsidR="003768D5" w:rsidRDefault="005468AB">
            <w:pPr>
              <w:jc w:val="center"/>
              <w:textAlignment w:val="bottom"/>
              <w:rPr>
                <w:rFonts w:ascii="Arial" w:hAnsi="Arial" w:cs="Arial"/>
                <w:b/>
                <w:sz w:val="18"/>
                <w:szCs w:val="18"/>
              </w:rPr>
            </w:pPr>
            <w:r>
              <w:rPr>
                <w:rFonts w:ascii="Arial" w:eastAsia="SimSun" w:hAnsi="Arial" w:cs="Arial"/>
                <w:color w:val="000000"/>
                <w:sz w:val="18"/>
                <w:szCs w:val="18"/>
                <w:lang w:eastAsia="zh-CN" w:bidi="ar"/>
              </w:rPr>
              <w:t>Jul 2026</w:t>
            </w:r>
          </w:p>
        </w:tc>
        <w:tc>
          <w:tcPr>
            <w:tcW w:w="1919" w:type="dxa"/>
            <w:tcBorders>
              <w:top w:val="nil"/>
              <w:bottom w:val="nil"/>
            </w:tcBorders>
            <w:vAlign w:val="center"/>
          </w:tcPr>
          <w:p w14:paraId="085A42E0" w14:textId="77777777" w:rsidR="003768D5" w:rsidRDefault="005468AB">
            <w:pPr>
              <w:jc w:val="center"/>
              <w:textAlignment w:val="top"/>
              <w:rPr>
                <w:rFonts w:ascii="Arial" w:hAnsi="Arial" w:cs="Arial"/>
                <w:b/>
                <w:sz w:val="18"/>
                <w:szCs w:val="18"/>
              </w:rPr>
            </w:pPr>
            <w:r>
              <w:rPr>
                <w:rFonts w:ascii="Arial" w:eastAsia="SimSun" w:hAnsi="Arial" w:cs="Arial"/>
                <w:color w:val="000000"/>
                <w:sz w:val="18"/>
                <w:szCs w:val="18"/>
                <w:lang w:eastAsia="zh-CN" w:bidi="ar"/>
              </w:rPr>
              <w:t>804.65</w:t>
            </w:r>
          </w:p>
        </w:tc>
      </w:tr>
      <w:tr w:rsidR="003768D5" w14:paraId="1E7AA902" w14:textId="77777777">
        <w:trPr>
          <w:trHeight w:val="375"/>
          <w:jc w:val="center"/>
        </w:trPr>
        <w:tc>
          <w:tcPr>
            <w:tcW w:w="1348" w:type="dxa"/>
            <w:tcBorders>
              <w:top w:val="nil"/>
              <w:bottom w:val="nil"/>
            </w:tcBorders>
            <w:vAlign w:val="center"/>
          </w:tcPr>
          <w:p w14:paraId="465EBD61" w14:textId="77777777" w:rsidR="003768D5" w:rsidRDefault="005468AB">
            <w:pPr>
              <w:jc w:val="center"/>
              <w:textAlignment w:val="bottom"/>
              <w:rPr>
                <w:rFonts w:ascii="Arial" w:hAnsi="Arial" w:cs="Arial"/>
                <w:b/>
                <w:sz w:val="18"/>
                <w:szCs w:val="18"/>
              </w:rPr>
            </w:pPr>
            <w:r>
              <w:rPr>
                <w:rFonts w:ascii="Arial" w:eastAsia="SimSun" w:hAnsi="Arial" w:cs="Arial"/>
                <w:color w:val="000000"/>
                <w:sz w:val="18"/>
                <w:szCs w:val="18"/>
                <w:lang w:eastAsia="zh-CN" w:bidi="ar"/>
              </w:rPr>
              <w:t>Aug 2025</w:t>
            </w:r>
          </w:p>
        </w:tc>
        <w:tc>
          <w:tcPr>
            <w:tcW w:w="1927" w:type="dxa"/>
            <w:tcBorders>
              <w:top w:val="nil"/>
              <w:bottom w:val="nil"/>
            </w:tcBorders>
            <w:vAlign w:val="center"/>
          </w:tcPr>
          <w:p w14:paraId="3B940C74" w14:textId="77777777" w:rsidR="003768D5" w:rsidRDefault="005468AB">
            <w:pPr>
              <w:jc w:val="center"/>
              <w:textAlignment w:val="top"/>
              <w:rPr>
                <w:rFonts w:ascii="Arial" w:hAnsi="Arial" w:cs="Arial"/>
                <w:b/>
                <w:sz w:val="18"/>
                <w:szCs w:val="18"/>
              </w:rPr>
            </w:pPr>
            <w:r>
              <w:rPr>
                <w:rFonts w:ascii="Arial" w:eastAsia="SimSun" w:hAnsi="Arial" w:cs="Arial"/>
                <w:color w:val="000000"/>
                <w:sz w:val="18"/>
                <w:szCs w:val="18"/>
                <w:lang w:eastAsia="zh-CN" w:bidi="ar"/>
              </w:rPr>
              <w:t>821.79</w:t>
            </w:r>
          </w:p>
        </w:tc>
        <w:tc>
          <w:tcPr>
            <w:tcW w:w="1204" w:type="dxa"/>
            <w:tcBorders>
              <w:top w:val="nil"/>
              <w:bottom w:val="nil"/>
            </w:tcBorders>
            <w:vAlign w:val="center"/>
          </w:tcPr>
          <w:p w14:paraId="39AE8C4B" w14:textId="77777777" w:rsidR="003768D5" w:rsidRDefault="005468AB">
            <w:pPr>
              <w:jc w:val="center"/>
              <w:textAlignment w:val="bottom"/>
              <w:rPr>
                <w:rFonts w:ascii="Arial" w:hAnsi="Arial" w:cs="Arial"/>
                <w:b/>
                <w:sz w:val="18"/>
                <w:szCs w:val="18"/>
              </w:rPr>
            </w:pPr>
            <w:r>
              <w:rPr>
                <w:rFonts w:ascii="Arial" w:eastAsia="SimSun" w:hAnsi="Arial" w:cs="Arial"/>
                <w:color w:val="000000"/>
                <w:sz w:val="18"/>
                <w:szCs w:val="18"/>
                <w:lang w:eastAsia="zh-CN" w:bidi="ar"/>
              </w:rPr>
              <w:t>Aug 2026</w:t>
            </w:r>
          </w:p>
        </w:tc>
        <w:tc>
          <w:tcPr>
            <w:tcW w:w="1919" w:type="dxa"/>
            <w:tcBorders>
              <w:top w:val="nil"/>
              <w:bottom w:val="nil"/>
            </w:tcBorders>
            <w:vAlign w:val="center"/>
          </w:tcPr>
          <w:p w14:paraId="7848DE07" w14:textId="77777777" w:rsidR="003768D5" w:rsidRDefault="005468AB">
            <w:pPr>
              <w:jc w:val="center"/>
              <w:textAlignment w:val="top"/>
              <w:rPr>
                <w:rFonts w:ascii="Arial" w:hAnsi="Arial" w:cs="Arial"/>
                <w:b/>
                <w:sz w:val="18"/>
                <w:szCs w:val="18"/>
              </w:rPr>
            </w:pPr>
            <w:r>
              <w:rPr>
                <w:rFonts w:ascii="Arial" w:eastAsia="SimSun" w:hAnsi="Arial" w:cs="Arial"/>
                <w:color w:val="000000"/>
                <w:sz w:val="18"/>
                <w:szCs w:val="18"/>
                <w:lang w:eastAsia="zh-CN" w:bidi="ar"/>
              </w:rPr>
              <w:t>805.58</w:t>
            </w:r>
          </w:p>
        </w:tc>
      </w:tr>
      <w:tr w:rsidR="003768D5" w14:paraId="6FBF713B" w14:textId="77777777">
        <w:trPr>
          <w:trHeight w:val="375"/>
          <w:jc w:val="center"/>
        </w:trPr>
        <w:tc>
          <w:tcPr>
            <w:tcW w:w="1348" w:type="dxa"/>
            <w:tcBorders>
              <w:top w:val="nil"/>
              <w:bottom w:val="nil"/>
            </w:tcBorders>
            <w:vAlign w:val="center"/>
          </w:tcPr>
          <w:p w14:paraId="62B26BF2" w14:textId="77777777" w:rsidR="003768D5" w:rsidRDefault="005468AB">
            <w:pPr>
              <w:jc w:val="center"/>
              <w:textAlignment w:val="bottom"/>
              <w:rPr>
                <w:rFonts w:ascii="Arial" w:hAnsi="Arial" w:cs="Arial"/>
                <w:b/>
                <w:sz w:val="18"/>
                <w:szCs w:val="18"/>
              </w:rPr>
            </w:pPr>
            <w:r>
              <w:rPr>
                <w:rFonts w:ascii="Arial" w:eastAsia="SimSun" w:hAnsi="Arial" w:cs="Arial"/>
                <w:color w:val="000000"/>
                <w:sz w:val="18"/>
                <w:szCs w:val="18"/>
                <w:lang w:eastAsia="zh-CN" w:bidi="ar"/>
              </w:rPr>
              <w:t>Sep 2025</w:t>
            </w:r>
          </w:p>
        </w:tc>
        <w:tc>
          <w:tcPr>
            <w:tcW w:w="1927" w:type="dxa"/>
            <w:tcBorders>
              <w:top w:val="nil"/>
              <w:bottom w:val="nil"/>
            </w:tcBorders>
            <w:vAlign w:val="center"/>
          </w:tcPr>
          <w:p w14:paraId="71E401EC" w14:textId="77777777" w:rsidR="003768D5" w:rsidRDefault="005468AB">
            <w:pPr>
              <w:jc w:val="center"/>
              <w:textAlignment w:val="top"/>
              <w:rPr>
                <w:rFonts w:ascii="Arial" w:hAnsi="Arial" w:cs="Arial"/>
                <w:b/>
                <w:sz w:val="18"/>
                <w:szCs w:val="18"/>
              </w:rPr>
            </w:pPr>
            <w:r>
              <w:rPr>
                <w:rFonts w:ascii="Arial" w:eastAsia="SimSun" w:hAnsi="Arial" w:cs="Arial"/>
                <w:color w:val="000000"/>
                <w:sz w:val="18"/>
                <w:szCs w:val="18"/>
                <w:lang w:eastAsia="zh-CN" w:bidi="ar"/>
              </w:rPr>
              <w:t>816.53</w:t>
            </w:r>
          </w:p>
        </w:tc>
        <w:tc>
          <w:tcPr>
            <w:tcW w:w="1204" w:type="dxa"/>
            <w:tcBorders>
              <w:top w:val="nil"/>
              <w:bottom w:val="nil"/>
            </w:tcBorders>
            <w:vAlign w:val="center"/>
          </w:tcPr>
          <w:p w14:paraId="532AA0DC" w14:textId="77777777" w:rsidR="003768D5" w:rsidRDefault="005468AB">
            <w:pPr>
              <w:jc w:val="center"/>
              <w:textAlignment w:val="bottom"/>
              <w:rPr>
                <w:rFonts w:ascii="Arial" w:hAnsi="Arial" w:cs="Arial"/>
                <w:b/>
                <w:sz w:val="18"/>
                <w:szCs w:val="18"/>
              </w:rPr>
            </w:pPr>
            <w:r>
              <w:rPr>
                <w:rFonts w:ascii="Arial" w:eastAsia="SimSun" w:hAnsi="Arial" w:cs="Arial"/>
                <w:color w:val="000000"/>
                <w:sz w:val="18"/>
                <w:szCs w:val="18"/>
                <w:lang w:eastAsia="zh-CN" w:bidi="ar"/>
              </w:rPr>
              <w:t>Sep 2026</w:t>
            </w:r>
          </w:p>
        </w:tc>
        <w:tc>
          <w:tcPr>
            <w:tcW w:w="1919" w:type="dxa"/>
            <w:tcBorders>
              <w:top w:val="nil"/>
              <w:bottom w:val="nil"/>
            </w:tcBorders>
            <w:vAlign w:val="center"/>
          </w:tcPr>
          <w:p w14:paraId="256A07F1" w14:textId="77777777" w:rsidR="003768D5" w:rsidRDefault="005468AB">
            <w:pPr>
              <w:jc w:val="center"/>
              <w:textAlignment w:val="top"/>
              <w:rPr>
                <w:rFonts w:ascii="Arial" w:hAnsi="Arial" w:cs="Arial"/>
                <w:b/>
                <w:sz w:val="18"/>
                <w:szCs w:val="18"/>
              </w:rPr>
            </w:pPr>
            <w:r>
              <w:rPr>
                <w:rFonts w:ascii="Arial" w:eastAsia="SimSun" w:hAnsi="Arial" w:cs="Arial"/>
                <w:color w:val="000000"/>
                <w:sz w:val="18"/>
                <w:szCs w:val="18"/>
                <w:lang w:eastAsia="zh-CN" w:bidi="ar"/>
              </w:rPr>
              <w:t>806.69</w:t>
            </w:r>
          </w:p>
        </w:tc>
      </w:tr>
      <w:tr w:rsidR="003768D5" w14:paraId="39339236" w14:textId="77777777">
        <w:trPr>
          <w:trHeight w:val="375"/>
          <w:jc w:val="center"/>
        </w:trPr>
        <w:tc>
          <w:tcPr>
            <w:tcW w:w="1348" w:type="dxa"/>
            <w:tcBorders>
              <w:top w:val="nil"/>
              <w:bottom w:val="nil"/>
            </w:tcBorders>
            <w:vAlign w:val="center"/>
          </w:tcPr>
          <w:p w14:paraId="1E67C59E" w14:textId="77777777" w:rsidR="003768D5" w:rsidRDefault="005468AB">
            <w:pPr>
              <w:jc w:val="center"/>
              <w:textAlignment w:val="bottom"/>
              <w:rPr>
                <w:rFonts w:ascii="Arial" w:eastAsia="SimSun" w:hAnsi="Arial" w:cs="Arial"/>
                <w:color w:val="000000"/>
                <w:sz w:val="18"/>
                <w:szCs w:val="18"/>
                <w:lang w:eastAsia="zh-CN" w:bidi="ar"/>
              </w:rPr>
            </w:pPr>
            <w:r>
              <w:rPr>
                <w:rFonts w:ascii="Arial" w:eastAsia="SimSun" w:hAnsi="Arial" w:cs="Arial"/>
                <w:color w:val="000000"/>
                <w:sz w:val="18"/>
                <w:szCs w:val="18"/>
                <w:lang w:eastAsia="zh-CN" w:bidi="ar"/>
              </w:rPr>
              <w:t>Oct 2025</w:t>
            </w:r>
          </w:p>
        </w:tc>
        <w:tc>
          <w:tcPr>
            <w:tcW w:w="1927" w:type="dxa"/>
            <w:tcBorders>
              <w:top w:val="nil"/>
              <w:bottom w:val="nil"/>
            </w:tcBorders>
            <w:vAlign w:val="center"/>
          </w:tcPr>
          <w:p w14:paraId="0E150882" w14:textId="77777777" w:rsidR="003768D5" w:rsidRDefault="005468AB">
            <w:pPr>
              <w:jc w:val="center"/>
              <w:textAlignment w:val="top"/>
              <w:rPr>
                <w:rFonts w:ascii="Arial" w:eastAsia="SimSun" w:hAnsi="Arial" w:cs="Arial"/>
                <w:color w:val="000000"/>
                <w:sz w:val="18"/>
                <w:szCs w:val="18"/>
                <w:lang w:eastAsia="zh-CN" w:bidi="ar"/>
              </w:rPr>
            </w:pPr>
            <w:r>
              <w:rPr>
                <w:rFonts w:ascii="Arial" w:eastAsia="SimSun" w:hAnsi="Arial" w:cs="Arial"/>
                <w:color w:val="000000"/>
                <w:sz w:val="18"/>
                <w:szCs w:val="18"/>
                <w:lang w:eastAsia="zh-CN" w:bidi="ar"/>
              </w:rPr>
              <w:t>812.40</w:t>
            </w:r>
          </w:p>
        </w:tc>
        <w:tc>
          <w:tcPr>
            <w:tcW w:w="1204" w:type="dxa"/>
            <w:tcBorders>
              <w:top w:val="nil"/>
              <w:bottom w:val="nil"/>
            </w:tcBorders>
            <w:vAlign w:val="center"/>
          </w:tcPr>
          <w:p w14:paraId="57F408FD" w14:textId="77777777" w:rsidR="003768D5" w:rsidRDefault="005468AB">
            <w:pPr>
              <w:jc w:val="center"/>
              <w:textAlignment w:val="bottom"/>
              <w:rPr>
                <w:rFonts w:ascii="Arial" w:eastAsia="SimSun" w:hAnsi="Arial" w:cs="Arial"/>
                <w:color w:val="000000"/>
                <w:sz w:val="18"/>
                <w:szCs w:val="18"/>
                <w:lang w:eastAsia="zh-CN" w:bidi="ar"/>
              </w:rPr>
            </w:pPr>
            <w:r>
              <w:rPr>
                <w:rFonts w:ascii="Arial" w:eastAsia="SimSun" w:hAnsi="Arial" w:cs="Arial"/>
                <w:color w:val="000000"/>
                <w:sz w:val="18"/>
                <w:szCs w:val="18"/>
                <w:lang w:eastAsia="zh-CN" w:bidi="ar"/>
              </w:rPr>
              <w:t>Oct 2026</w:t>
            </w:r>
          </w:p>
        </w:tc>
        <w:tc>
          <w:tcPr>
            <w:tcW w:w="1919" w:type="dxa"/>
            <w:tcBorders>
              <w:top w:val="nil"/>
              <w:bottom w:val="nil"/>
            </w:tcBorders>
            <w:vAlign w:val="center"/>
          </w:tcPr>
          <w:p w14:paraId="4809C0BB" w14:textId="77777777" w:rsidR="003768D5" w:rsidRDefault="005468AB">
            <w:pPr>
              <w:jc w:val="center"/>
              <w:textAlignment w:val="top"/>
              <w:rPr>
                <w:rFonts w:ascii="Arial" w:eastAsia="SimSun" w:hAnsi="Arial" w:cs="Arial"/>
                <w:color w:val="000000"/>
                <w:sz w:val="18"/>
                <w:szCs w:val="18"/>
                <w:lang w:eastAsia="zh-CN" w:bidi="ar"/>
              </w:rPr>
            </w:pPr>
            <w:r>
              <w:rPr>
                <w:rFonts w:ascii="Arial" w:eastAsia="SimSun" w:hAnsi="Arial" w:cs="Arial"/>
                <w:color w:val="000000"/>
                <w:sz w:val="18"/>
                <w:szCs w:val="18"/>
                <w:lang w:eastAsia="zh-CN" w:bidi="ar"/>
              </w:rPr>
              <w:t>807.96</w:t>
            </w:r>
          </w:p>
        </w:tc>
      </w:tr>
      <w:tr w:rsidR="003768D5" w14:paraId="69C5D930" w14:textId="77777777">
        <w:trPr>
          <w:trHeight w:val="375"/>
          <w:jc w:val="center"/>
        </w:trPr>
        <w:tc>
          <w:tcPr>
            <w:tcW w:w="1348" w:type="dxa"/>
            <w:tcBorders>
              <w:top w:val="nil"/>
              <w:bottom w:val="nil"/>
            </w:tcBorders>
            <w:vAlign w:val="center"/>
          </w:tcPr>
          <w:p w14:paraId="0A7CF803" w14:textId="77777777" w:rsidR="003768D5" w:rsidRDefault="005468AB">
            <w:pPr>
              <w:jc w:val="center"/>
              <w:textAlignment w:val="bottom"/>
              <w:rPr>
                <w:rFonts w:ascii="Arial" w:eastAsia="SimSun" w:hAnsi="Arial" w:cs="Arial"/>
                <w:color w:val="000000"/>
                <w:sz w:val="18"/>
                <w:szCs w:val="18"/>
                <w:lang w:eastAsia="zh-CN" w:bidi="ar"/>
              </w:rPr>
            </w:pPr>
            <w:r>
              <w:rPr>
                <w:rFonts w:ascii="Arial" w:eastAsia="SimSun" w:hAnsi="Arial" w:cs="Arial"/>
                <w:color w:val="000000"/>
                <w:sz w:val="18"/>
                <w:szCs w:val="18"/>
                <w:lang w:eastAsia="zh-CN" w:bidi="ar"/>
              </w:rPr>
              <w:t>Nov 2025</w:t>
            </w:r>
          </w:p>
        </w:tc>
        <w:tc>
          <w:tcPr>
            <w:tcW w:w="1927" w:type="dxa"/>
            <w:tcBorders>
              <w:top w:val="nil"/>
              <w:bottom w:val="nil"/>
            </w:tcBorders>
            <w:vAlign w:val="center"/>
          </w:tcPr>
          <w:p w14:paraId="77434F1F" w14:textId="77777777" w:rsidR="003768D5" w:rsidRDefault="005468AB">
            <w:pPr>
              <w:jc w:val="center"/>
              <w:textAlignment w:val="top"/>
              <w:rPr>
                <w:rFonts w:ascii="Arial" w:eastAsia="SimSun" w:hAnsi="Arial" w:cs="Arial"/>
                <w:color w:val="000000"/>
                <w:sz w:val="18"/>
                <w:szCs w:val="18"/>
                <w:lang w:eastAsia="zh-CN" w:bidi="ar"/>
              </w:rPr>
            </w:pPr>
            <w:r>
              <w:rPr>
                <w:rFonts w:ascii="Arial" w:eastAsia="SimSun" w:hAnsi="Arial" w:cs="Arial"/>
                <w:color w:val="000000"/>
                <w:sz w:val="18"/>
                <w:szCs w:val="18"/>
                <w:lang w:eastAsia="zh-CN" w:bidi="ar"/>
              </w:rPr>
              <w:t>809.23</w:t>
            </w:r>
          </w:p>
        </w:tc>
        <w:tc>
          <w:tcPr>
            <w:tcW w:w="1204" w:type="dxa"/>
            <w:tcBorders>
              <w:top w:val="nil"/>
              <w:bottom w:val="nil"/>
            </w:tcBorders>
            <w:vAlign w:val="center"/>
          </w:tcPr>
          <w:p w14:paraId="6C3F55C4" w14:textId="77777777" w:rsidR="003768D5" w:rsidRDefault="005468AB">
            <w:pPr>
              <w:jc w:val="center"/>
              <w:textAlignment w:val="bottom"/>
              <w:rPr>
                <w:rFonts w:ascii="Arial" w:eastAsia="SimSun" w:hAnsi="Arial" w:cs="Arial"/>
                <w:color w:val="000000"/>
                <w:sz w:val="18"/>
                <w:szCs w:val="18"/>
                <w:lang w:eastAsia="zh-CN" w:bidi="ar"/>
              </w:rPr>
            </w:pPr>
            <w:r>
              <w:rPr>
                <w:rFonts w:ascii="Arial" w:eastAsia="SimSun" w:hAnsi="Arial" w:cs="Arial"/>
                <w:color w:val="000000"/>
                <w:sz w:val="18"/>
                <w:szCs w:val="18"/>
                <w:lang w:eastAsia="zh-CN" w:bidi="ar"/>
              </w:rPr>
              <w:t>Nov 2026</w:t>
            </w:r>
          </w:p>
        </w:tc>
        <w:tc>
          <w:tcPr>
            <w:tcW w:w="1919" w:type="dxa"/>
            <w:tcBorders>
              <w:top w:val="nil"/>
              <w:bottom w:val="nil"/>
            </w:tcBorders>
            <w:vAlign w:val="center"/>
          </w:tcPr>
          <w:p w14:paraId="54CA23A2" w14:textId="77777777" w:rsidR="003768D5" w:rsidRDefault="005468AB">
            <w:pPr>
              <w:jc w:val="center"/>
              <w:textAlignment w:val="top"/>
              <w:rPr>
                <w:rFonts w:ascii="Arial" w:eastAsia="SimSun" w:hAnsi="Arial" w:cs="Arial"/>
                <w:color w:val="000000"/>
                <w:sz w:val="18"/>
                <w:szCs w:val="18"/>
                <w:lang w:eastAsia="zh-CN" w:bidi="ar"/>
              </w:rPr>
            </w:pPr>
            <w:r>
              <w:rPr>
                <w:rFonts w:ascii="Arial" w:eastAsia="SimSun" w:hAnsi="Arial" w:cs="Arial"/>
                <w:color w:val="000000"/>
                <w:sz w:val="18"/>
                <w:szCs w:val="18"/>
                <w:lang w:eastAsia="zh-CN" w:bidi="ar"/>
              </w:rPr>
              <w:t>809.35</w:t>
            </w:r>
          </w:p>
        </w:tc>
      </w:tr>
      <w:tr w:rsidR="003768D5" w14:paraId="4735D9FF" w14:textId="77777777">
        <w:trPr>
          <w:trHeight w:val="384"/>
          <w:jc w:val="center"/>
        </w:trPr>
        <w:tc>
          <w:tcPr>
            <w:tcW w:w="1348" w:type="dxa"/>
            <w:tcBorders>
              <w:top w:val="nil"/>
              <w:bottom w:val="single" w:sz="4" w:space="0" w:color="auto"/>
            </w:tcBorders>
            <w:vAlign w:val="center"/>
          </w:tcPr>
          <w:p w14:paraId="6629F062" w14:textId="77777777" w:rsidR="003768D5" w:rsidRDefault="005468AB">
            <w:pPr>
              <w:jc w:val="center"/>
              <w:textAlignment w:val="bottom"/>
              <w:rPr>
                <w:rFonts w:ascii="Arial" w:eastAsia="SimSun" w:hAnsi="Arial" w:cs="Arial"/>
                <w:color w:val="000000"/>
                <w:sz w:val="18"/>
                <w:szCs w:val="18"/>
                <w:lang w:eastAsia="zh-CN" w:bidi="ar"/>
              </w:rPr>
            </w:pPr>
            <w:r>
              <w:rPr>
                <w:rFonts w:ascii="Arial" w:eastAsia="SimSun" w:hAnsi="Arial" w:cs="Arial"/>
                <w:color w:val="000000"/>
                <w:sz w:val="18"/>
                <w:szCs w:val="18"/>
                <w:lang w:eastAsia="zh-CN" w:bidi="ar"/>
              </w:rPr>
              <w:t>Dec 2025</w:t>
            </w:r>
          </w:p>
        </w:tc>
        <w:tc>
          <w:tcPr>
            <w:tcW w:w="1927" w:type="dxa"/>
            <w:tcBorders>
              <w:top w:val="nil"/>
              <w:bottom w:val="single" w:sz="4" w:space="0" w:color="auto"/>
            </w:tcBorders>
            <w:vAlign w:val="center"/>
          </w:tcPr>
          <w:p w14:paraId="71F7D9A8" w14:textId="77777777" w:rsidR="003768D5" w:rsidRDefault="005468AB">
            <w:pPr>
              <w:jc w:val="center"/>
              <w:textAlignment w:val="top"/>
              <w:rPr>
                <w:rFonts w:ascii="Arial" w:eastAsia="SimSun" w:hAnsi="Arial" w:cs="Arial"/>
                <w:color w:val="000000"/>
                <w:sz w:val="18"/>
                <w:szCs w:val="18"/>
                <w:lang w:eastAsia="zh-CN" w:bidi="ar"/>
              </w:rPr>
            </w:pPr>
            <w:r>
              <w:rPr>
                <w:rFonts w:ascii="Arial" w:eastAsia="SimSun" w:hAnsi="Arial" w:cs="Arial"/>
                <w:color w:val="000000"/>
                <w:sz w:val="18"/>
                <w:szCs w:val="18"/>
                <w:lang w:eastAsia="zh-CN" w:bidi="ar"/>
              </w:rPr>
              <w:t>806.87</w:t>
            </w:r>
          </w:p>
        </w:tc>
        <w:tc>
          <w:tcPr>
            <w:tcW w:w="1204" w:type="dxa"/>
            <w:tcBorders>
              <w:top w:val="nil"/>
              <w:bottom w:val="single" w:sz="4" w:space="0" w:color="auto"/>
            </w:tcBorders>
            <w:vAlign w:val="center"/>
          </w:tcPr>
          <w:p w14:paraId="4C65FE1D" w14:textId="77777777" w:rsidR="003768D5" w:rsidRDefault="005468AB">
            <w:pPr>
              <w:jc w:val="center"/>
              <w:textAlignment w:val="bottom"/>
              <w:rPr>
                <w:rFonts w:ascii="Arial" w:eastAsia="SimSun" w:hAnsi="Arial" w:cs="Arial"/>
                <w:color w:val="000000"/>
                <w:sz w:val="18"/>
                <w:szCs w:val="18"/>
                <w:lang w:eastAsia="zh-CN" w:bidi="ar"/>
              </w:rPr>
            </w:pPr>
            <w:r>
              <w:rPr>
                <w:rFonts w:ascii="Arial" w:eastAsia="SimSun" w:hAnsi="Arial" w:cs="Arial"/>
                <w:color w:val="000000"/>
                <w:sz w:val="18"/>
                <w:szCs w:val="18"/>
                <w:lang w:eastAsia="zh-CN" w:bidi="ar"/>
              </w:rPr>
              <w:t>Dec 2026</w:t>
            </w:r>
          </w:p>
        </w:tc>
        <w:tc>
          <w:tcPr>
            <w:tcW w:w="1919" w:type="dxa"/>
            <w:tcBorders>
              <w:top w:val="nil"/>
              <w:bottom w:val="single" w:sz="4" w:space="0" w:color="auto"/>
            </w:tcBorders>
            <w:vAlign w:val="center"/>
          </w:tcPr>
          <w:p w14:paraId="7FD27094" w14:textId="77777777" w:rsidR="003768D5" w:rsidRDefault="005468AB">
            <w:pPr>
              <w:jc w:val="center"/>
              <w:textAlignment w:val="top"/>
              <w:rPr>
                <w:rFonts w:ascii="Arial" w:eastAsia="SimSun" w:hAnsi="Arial" w:cs="Arial"/>
                <w:color w:val="000000"/>
                <w:sz w:val="18"/>
                <w:szCs w:val="18"/>
                <w:lang w:eastAsia="zh-CN" w:bidi="ar"/>
              </w:rPr>
            </w:pPr>
            <w:r>
              <w:rPr>
                <w:rFonts w:ascii="Arial" w:eastAsia="SimSun" w:hAnsi="Arial" w:cs="Arial"/>
                <w:color w:val="000000"/>
                <w:sz w:val="18"/>
                <w:szCs w:val="18"/>
                <w:lang w:eastAsia="zh-CN" w:bidi="ar"/>
              </w:rPr>
              <w:t>810.86</w:t>
            </w:r>
          </w:p>
        </w:tc>
      </w:tr>
    </w:tbl>
    <w:p w14:paraId="77F8EBC4" w14:textId="77777777" w:rsidR="003768D5" w:rsidRDefault="003768D5">
      <w:pPr>
        <w:pStyle w:val="Body"/>
        <w:spacing w:after="0"/>
        <w:jc w:val="center"/>
        <w:rPr>
          <w:rFonts w:ascii="Arial" w:hAnsi="Arial" w:cs="Arial"/>
        </w:rPr>
      </w:pPr>
    </w:p>
    <w:p w14:paraId="2379C022" w14:textId="77777777" w:rsidR="003768D5" w:rsidRDefault="005468AB">
      <w:pPr>
        <w:pStyle w:val="Body"/>
        <w:spacing w:after="0"/>
        <w:rPr>
          <w:rFonts w:ascii="Arial" w:eastAsia="SimSun" w:hAnsi="Arial" w:cs="Arial"/>
          <w:lang w:eastAsia="zh-CN"/>
        </w:rPr>
      </w:pPr>
      <w:r>
        <w:rPr>
          <w:rFonts w:ascii="Arial" w:eastAsia="SimSun" w:hAnsi="Arial" w:cs="Arial" w:hint="eastAsia"/>
          <w:lang w:eastAsia="zh-CN"/>
        </w:rPr>
        <w:t>The ARIMA (1,1,3) model predicts rubber prices from January 2025 to December 2026, as shown in Fig. 6.</w:t>
      </w:r>
    </w:p>
    <w:p w14:paraId="10CC8AA2" w14:textId="77777777" w:rsidR="003768D5" w:rsidRDefault="003768D5">
      <w:pPr>
        <w:pStyle w:val="Body"/>
        <w:spacing w:after="0"/>
        <w:rPr>
          <w:rFonts w:ascii="Arial" w:hAnsi="Arial" w:cs="Arial"/>
        </w:rPr>
      </w:pPr>
    </w:p>
    <w:p w14:paraId="11EF17C3" w14:textId="77777777" w:rsidR="003768D5" w:rsidRDefault="005468AB">
      <w:pPr>
        <w:pStyle w:val="Body"/>
        <w:spacing w:after="0"/>
      </w:pPr>
      <w:r>
        <w:rPr>
          <w:noProof/>
        </w:rPr>
        <w:drawing>
          <wp:inline distT="0" distB="0" distL="114300" distR="114300" wp14:anchorId="21A5A14A" wp14:editId="6A295A50">
            <wp:extent cx="3875405" cy="2114550"/>
            <wp:effectExtent l="0" t="0" r="127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20"/>
                    <a:stretch>
                      <a:fillRect/>
                    </a:stretch>
                  </pic:blipFill>
                  <pic:spPr>
                    <a:xfrm>
                      <a:off x="0" y="0"/>
                      <a:ext cx="3875405" cy="2114550"/>
                    </a:xfrm>
                    <a:prstGeom prst="rect">
                      <a:avLst/>
                    </a:prstGeom>
                    <a:noFill/>
                    <a:ln>
                      <a:noFill/>
                    </a:ln>
                  </pic:spPr>
                </pic:pic>
              </a:graphicData>
            </a:graphic>
          </wp:inline>
        </w:drawing>
      </w:r>
    </w:p>
    <w:p w14:paraId="1C6F3C14" w14:textId="77777777" w:rsidR="003768D5" w:rsidRDefault="005468AB">
      <w:pPr>
        <w:pStyle w:val="Body"/>
        <w:spacing w:after="0"/>
        <w:rPr>
          <w:rFonts w:ascii="Arial" w:hAnsi="Arial" w:cs="Arial"/>
          <w:b/>
          <w:bCs/>
          <w:szCs w:val="22"/>
        </w:rPr>
      </w:pPr>
      <w:r>
        <w:rPr>
          <w:rFonts w:ascii="Arial" w:hAnsi="Arial" w:cs="Arial"/>
          <w:b/>
          <w:bCs/>
          <w:szCs w:val="22"/>
        </w:rPr>
        <w:t xml:space="preserve">Fig. </w:t>
      </w:r>
      <w:r>
        <w:rPr>
          <w:rFonts w:ascii="Arial" w:eastAsia="SimSun" w:hAnsi="Arial" w:cs="Arial" w:hint="eastAsia"/>
          <w:b/>
          <w:bCs/>
          <w:szCs w:val="22"/>
          <w:lang w:eastAsia="zh-CN"/>
        </w:rPr>
        <w:t>6</w:t>
      </w:r>
      <w:r>
        <w:rPr>
          <w:rFonts w:ascii="Arial" w:hAnsi="Arial" w:cs="Arial"/>
          <w:b/>
          <w:bCs/>
          <w:szCs w:val="22"/>
        </w:rPr>
        <w:t xml:space="preserve">. </w:t>
      </w:r>
      <w:r>
        <w:rPr>
          <w:rFonts w:ascii="Arial" w:hAnsi="Arial" w:cs="Arial" w:hint="eastAsia"/>
          <w:b/>
          <w:bCs/>
          <w:szCs w:val="22"/>
        </w:rPr>
        <w:t>Predicted Values Using ARIMA (1,1,3) Model</w:t>
      </w:r>
    </w:p>
    <w:p w14:paraId="7260937E" w14:textId="77777777" w:rsidR="003768D5" w:rsidRDefault="003768D5">
      <w:pPr>
        <w:pStyle w:val="Body"/>
        <w:spacing w:after="0"/>
        <w:rPr>
          <w:rFonts w:ascii="Arial" w:hAnsi="Arial" w:cs="Arial"/>
          <w:b/>
          <w:bCs/>
          <w:szCs w:val="22"/>
        </w:rPr>
      </w:pPr>
    </w:p>
    <w:p w14:paraId="7E074CDE" w14:textId="77777777" w:rsidR="003768D5" w:rsidRDefault="005468AB">
      <w:pPr>
        <w:pStyle w:val="Body"/>
        <w:spacing w:after="0"/>
        <w:rPr>
          <w:rFonts w:ascii="Arial" w:hAnsi="Arial" w:cs="Arial"/>
          <w:szCs w:val="22"/>
        </w:rPr>
      </w:pPr>
      <w:r>
        <w:rPr>
          <w:rFonts w:ascii="Arial" w:hAnsi="Arial" w:cs="Arial" w:hint="eastAsia"/>
          <w:szCs w:val="22"/>
        </w:rPr>
        <w:t>As can be seen from Fig</w:t>
      </w:r>
      <w:r>
        <w:rPr>
          <w:rFonts w:ascii="Arial" w:eastAsia="SimSun" w:hAnsi="Arial" w:cs="Arial" w:hint="eastAsia"/>
          <w:szCs w:val="22"/>
          <w:lang w:eastAsia="zh-CN"/>
        </w:rPr>
        <w:t>. 6</w:t>
      </w:r>
      <w:r>
        <w:rPr>
          <w:rFonts w:ascii="Arial" w:hAnsi="Arial" w:cs="Arial" w:hint="eastAsia"/>
          <w:szCs w:val="22"/>
        </w:rPr>
        <w:t xml:space="preserve">, rubber prices will decline slightly in early 2025, then </w:t>
      </w:r>
      <w:proofErr w:type="spellStart"/>
      <w:r>
        <w:rPr>
          <w:rFonts w:ascii="Arial" w:hAnsi="Arial" w:cs="Arial" w:hint="eastAsia"/>
          <w:szCs w:val="22"/>
        </w:rPr>
        <w:t>stabilise</w:t>
      </w:r>
      <w:proofErr w:type="spellEnd"/>
      <w:r>
        <w:rPr>
          <w:rFonts w:ascii="Arial" w:hAnsi="Arial" w:cs="Arial" w:hint="eastAsia"/>
          <w:szCs w:val="22"/>
        </w:rPr>
        <w:t xml:space="preserve"> and maintain a slight upward trend. In particular, in the second half of 2025, price changes will be relatively stable, with significantly reduced volatility. O</w:t>
      </w:r>
      <w:r>
        <w:rPr>
          <w:rFonts w:ascii="Arial" w:hAnsi="Arial" w:cs="Arial" w:hint="eastAsia"/>
          <w:szCs w:val="22"/>
        </w:rPr>
        <w:t>verall, the forecast value of rubber prices will remain between RM800 and RM900, demonstrating market stability and a certain degree of risk resistance.</w:t>
      </w:r>
      <w:r>
        <w:rPr>
          <w:rFonts w:ascii="Arial" w:eastAsia="SimSun" w:hAnsi="Arial" w:cs="Arial" w:hint="eastAsia"/>
          <w:szCs w:val="22"/>
          <w:lang w:eastAsia="zh-CN"/>
        </w:rPr>
        <w:t xml:space="preserve"> </w:t>
      </w:r>
      <w:r>
        <w:rPr>
          <w:rFonts w:ascii="Arial" w:hAnsi="Arial" w:cs="Arial" w:hint="eastAsia"/>
          <w:szCs w:val="22"/>
        </w:rPr>
        <w:t>Specifically, from January to December 2025, rubber prices experienced a certain degree of decline. The</w:t>
      </w:r>
      <w:r>
        <w:rPr>
          <w:rFonts w:ascii="Arial" w:hAnsi="Arial" w:cs="Arial" w:hint="eastAsia"/>
          <w:szCs w:val="22"/>
        </w:rPr>
        <w:t xml:space="preserve"> predicted price for January 2025 was RM893.52, which then decreased to RM891.40 and RM873.55 in February and March, respectively. During the period from January 2026 to June 2026, the predicted prices gradually stabilized. From January 2026 to June 2026, </w:t>
      </w:r>
      <w:r>
        <w:rPr>
          <w:rFonts w:ascii="Arial" w:hAnsi="Arial" w:cs="Arial" w:hint="eastAsia"/>
          <w:szCs w:val="22"/>
        </w:rPr>
        <w:t>rubber prices remained stable between RM803 and RM805, with very limited fluctuations. From June 2026 onwards, rubber prices began to increase slowly, showing a certain upward trend.</w:t>
      </w:r>
    </w:p>
    <w:p w14:paraId="791CE9D7" w14:textId="77777777" w:rsidR="003768D5" w:rsidRDefault="003768D5">
      <w:pPr>
        <w:pStyle w:val="Body"/>
        <w:spacing w:after="0"/>
        <w:rPr>
          <w:rFonts w:ascii="Arial" w:hAnsi="Arial" w:cs="Arial"/>
          <w:szCs w:val="22"/>
        </w:rPr>
      </w:pPr>
    </w:p>
    <w:p w14:paraId="6543CD6C" w14:textId="77777777" w:rsidR="003768D5" w:rsidRDefault="005468AB">
      <w:pPr>
        <w:pStyle w:val="Body"/>
        <w:spacing w:after="0"/>
        <w:rPr>
          <w:rFonts w:ascii="Arial" w:hAnsi="Arial" w:cs="Arial"/>
        </w:rPr>
      </w:pPr>
      <w:r>
        <w:rPr>
          <w:rFonts w:ascii="Arial" w:hAnsi="Arial" w:cs="Arial" w:hint="eastAsia"/>
          <w:szCs w:val="22"/>
        </w:rPr>
        <w:t>This data indicate that rubber prices will follow a relatively stable tr</w:t>
      </w:r>
      <w:r>
        <w:rPr>
          <w:rFonts w:ascii="Arial" w:hAnsi="Arial" w:cs="Arial" w:hint="eastAsia"/>
          <w:szCs w:val="22"/>
        </w:rPr>
        <w:t xml:space="preserve">end in the future, with relatively low volatility, reflecting market stability. The overall price trend shows a slow recovery, but the magnitude is small, indicating that the momentum for global rubber demand growth is weak, while the supply side may also </w:t>
      </w:r>
      <w:r>
        <w:rPr>
          <w:rFonts w:ascii="Arial" w:hAnsi="Arial" w:cs="Arial" w:hint="eastAsia"/>
          <w:szCs w:val="22"/>
        </w:rPr>
        <w:t>be gradually returning to normal.</w:t>
      </w:r>
    </w:p>
    <w:p w14:paraId="752C8CDC" w14:textId="77777777" w:rsidR="003768D5" w:rsidRDefault="003768D5">
      <w:pPr>
        <w:pStyle w:val="Body"/>
        <w:spacing w:after="0"/>
        <w:rPr>
          <w:rFonts w:ascii="Arial" w:hAnsi="Arial" w:cs="Arial"/>
        </w:rPr>
      </w:pPr>
    </w:p>
    <w:p w14:paraId="4924D1F3" w14:textId="77777777" w:rsidR="003768D5" w:rsidRDefault="005468AB">
      <w:pPr>
        <w:pStyle w:val="ConcHead"/>
        <w:spacing w:after="0"/>
        <w:jc w:val="both"/>
        <w:rPr>
          <w:rFonts w:ascii="Arial" w:hAnsi="Arial" w:cs="Arial"/>
        </w:rPr>
      </w:pPr>
      <w:r>
        <w:rPr>
          <w:rFonts w:ascii="Arial" w:hAnsi="Arial" w:cs="Arial"/>
        </w:rPr>
        <w:t>4. Conclusion</w:t>
      </w:r>
    </w:p>
    <w:p w14:paraId="24974533" w14:textId="77777777" w:rsidR="003768D5" w:rsidRDefault="003768D5">
      <w:pPr>
        <w:pStyle w:val="Body"/>
        <w:spacing w:after="0"/>
        <w:rPr>
          <w:rFonts w:ascii="Arial" w:hAnsi="Arial" w:cs="Arial"/>
        </w:rPr>
      </w:pPr>
    </w:p>
    <w:p w14:paraId="5A467AE9" w14:textId="77777777" w:rsidR="003768D5" w:rsidRDefault="005468AB">
      <w:pPr>
        <w:pStyle w:val="Body"/>
        <w:spacing w:after="0"/>
        <w:rPr>
          <w:rFonts w:ascii="Arial" w:hAnsi="Arial" w:cs="Arial"/>
        </w:rPr>
      </w:pPr>
      <w:r>
        <w:rPr>
          <w:rFonts w:ascii="Arial" w:hAnsi="Arial" w:cs="Arial" w:hint="eastAsia"/>
        </w:rPr>
        <w:t xml:space="preserve">This study is based on </w:t>
      </w:r>
      <w:proofErr w:type="spellStart"/>
      <w:r>
        <w:rPr>
          <w:rFonts w:ascii="Arial" w:hAnsi="Arial" w:cs="Arial" w:hint="eastAsia"/>
        </w:rPr>
        <w:t>analysing</w:t>
      </w:r>
      <w:proofErr w:type="spellEnd"/>
      <w:r>
        <w:rPr>
          <w:rFonts w:ascii="Arial" w:hAnsi="Arial" w:cs="Arial" w:hint="eastAsia"/>
        </w:rPr>
        <w:t xml:space="preserve"> the Malaysian natural rubber price data for the period from January 2016 to December 2024, which was identified as having a trend and no seasonality. Based on the characteri</w:t>
      </w:r>
      <w:r>
        <w:rPr>
          <w:rFonts w:ascii="Arial" w:hAnsi="Arial" w:cs="Arial" w:hint="eastAsia"/>
        </w:rPr>
        <w:t>stics of rubber price data, nine time series forecasting models were constructed using the ARIMA model, the Exponential Smoothing and the Double Moving Average (DMA) method, and the model forecasting performance was evaluated using the Mean Squared Error (</w:t>
      </w:r>
      <w:r>
        <w:rPr>
          <w:rFonts w:ascii="Arial" w:hAnsi="Arial" w:cs="Arial" w:hint="eastAsia"/>
        </w:rPr>
        <w:t>MAE), Mean Square Error (MSE), Root Mean Squared Error (RMSE), and Mean Absolute Percentage Error (MAPE</w:t>
      </w:r>
      <w:proofErr w:type="gramStart"/>
      <w:r>
        <w:rPr>
          <w:rFonts w:ascii="Arial" w:hAnsi="Arial" w:cs="Arial" w:hint="eastAsia"/>
        </w:rPr>
        <w:t>) .</w:t>
      </w:r>
      <w:proofErr w:type="gramEnd"/>
      <w:r>
        <w:rPr>
          <w:rFonts w:ascii="Arial" w:hAnsi="Arial" w:cs="Arial" w:hint="eastAsia"/>
        </w:rPr>
        <w:t xml:space="preserve"> The results show that the ARIMA (1,1,3) model performs the best among all the evaluation metrics, has the smallest prediction error, and can capture </w:t>
      </w:r>
      <w:r>
        <w:rPr>
          <w:rFonts w:ascii="Arial" w:hAnsi="Arial" w:cs="Arial" w:hint="eastAsia"/>
        </w:rPr>
        <w:t xml:space="preserve">the price trend and volatility characteristics more accurately. Based on the forecast results of the </w:t>
      </w:r>
      <w:r>
        <w:rPr>
          <w:rFonts w:ascii="Arial" w:hAnsi="Arial" w:cs="Arial"/>
        </w:rPr>
        <w:t>ARIMA (</w:t>
      </w:r>
      <w:r>
        <w:rPr>
          <w:rFonts w:ascii="Arial" w:hAnsi="Arial" w:cs="Arial" w:hint="eastAsia"/>
        </w:rPr>
        <w:t xml:space="preserve">1,1,3) model, it is predicted that the rubber price will </w:t>
      </w:r>
      <w:proofErr w:type="spellStart"/>
      <w:r>
        <w:rPr>
          <w:rFonts w:ascii="Arial" w:hAnsi="Arial" w:cs="Arial" w:hint="eastAsia"/>
        </w:rPr>
        <w:t>stabilise</w:t>
      </w:r>
      <w:proofErr w:type="spellEnd"/>
      <w:r>
        <w:rPr>
          <w:rFonts w:ascii="Arial" w:hAnsi="Arial" w:cs="Arial" w:hint="eastAsia"/>
        </w:rPr>
        <w:t xml:space="preserve"> in the range of RM800 to RM900 from 2025 to 2026, reflecting a balanced supply an</w:t>
      </w:r>
      <w:r>
        <w:rPr>
          <w:rFonts w:ascii="Arial" w:hAnsi="Arial" w:cs="Arial" w:hint="eastAsia"/>
        </w:rPr>
        <w:t>d demand in the market with relatively moderate volatility.</w:t>
      </w:r>
      <w:r>
        <w:rPr>
          <w:rFonts w:ascii="Arial" w:eastAsia="SimSun" w:hAnsi="Arial" w:cs="Arial" w:hint="eastAsia"/>
          <w:lang w:eastAsia="zh-CN"/>
        </w:rPr>
        <w:t xml:space="preserve"> </w:t>
      </w:r>
      <w:r>
        <w:rPr>
          <w:rFonts w:ascii="Arial" w:hAnsi="Arial" w:cs="Arial" w:hint="eastAsia"/>
        </w:rPr>
        <w:t>Based on the forecast results, it is recommended that the government</w:t>
      </w:r>
      <w:r>
        <w:rPr>
          <w:rFonts w:ascii="Arial" w:eastAsia="SimSun" w:hAnsi="Arial" w:cs="Arial" w:hint="eastAsia"/>
          <w:lang w:eastAsia="zh-CN"/>
        </w:rPr>
        <w:t xml:space="preserve"> and producers</w:t>
      </w:r>
      <w:r>
        <w:rPr>
          <w:rFonts w:ascii="Arial" w:hAnsi="Arial" w:cs="Arial" w:hint="eastAsia"/>
        </w:rPr>
        <w:t xml:space="preserve"> use model trends to guide policy planning and </w:t>
      </w:r>
      <w:r>
        <w:rPr>
          <w:rFonts w:ascii="Arial" w:hAnsi="Arial" w:cs="Arial" w:hint="eastAsia"/>
        </w:rPr>
        <w:lastRenderedPageBreak/>
        <w:t>prepare for price fluctuations.</w:t>
      </w:r>
      <w:r>
        <w:rPr>
          <w:rFonts w:ascii="Arial" w:eastAsia="SimSun" w:hAnsi="Arial" w:cs="Arial" w:hint="eastAsia"/>
          <w:lang w:eastAsia="zh-CN"/>
        </w:rPr>
        <w:t xml:space="preserve"> </w:t>
      </w:r>
      <w:r>
        <w:rPr>
          <w:rFonts w:ascii="Arial" w:hAnsi="Arial" w:cs="Arial" w:hint="eastAsia"/>
        </w:rPr>
        <w:t>Based on the predicted rubber price</w:t>
      </w:r>
      <w:r>
        <w:rPr>
          <w:rFonts w:ascii="Arial" w:hAnsi="Arial" w:cs="Arial" w:hint="eastAsia"/>
        </w:rPr>
        <w:t xml:space="preserve">s, the Government can prepare safeguards in advance in its policy planning to cope with the falling price phase; and producers can prudently control their production and inventories during the lower rubber price phase. In addition, relevant </w:t>
      </w:r>
      <w:proofErr w:type="spellStart"/>
      <w:r>
        <w:rPr>
          <w:rFonts w:ascii="Arial" w:hAnsi="Arial" w:cs="Arial" w:hint="eastAsia"/>
        </w:rPr>
        <w:t>organisations</w:t>
      </w:r>
      <w:proofErr w:type="spellEnd"/>
      <w:r>
        <w:rPr>
          <w:rFonts w:ascii="Arial" w:hAnsi="Arial" w:cs="Arial" w:hint="eastAsia"/>
        </w:rPr>
        <w:t xml:space="preserve"> s</w:t>
      </w:r>
      <w:r>
        <w:rPr>
          <w:rFonts w:ascii="Arial" w:hAnsi="Arial" w:cs="Arial" w:hint="eastAsia"/>
        </w:rPr>
        <w:t xml:space="preserve">hould continuously track market and </w:t>
      </w:r>
      <w:r>
        <w:rPr>
          <w:rFonts w:ascii="Arial" w:eastAsia="SimSun" w:hAnsi="Arial" w:cs="Arial" w:hint="eastAsia"/>
          <w:lang w:eastAsia="zh-CN"/>
        </w:rPr>
        <w:t>price</w:t>
      </w:r>
      <w:r>
        <w:rPr>
          <w:rFonts w:ascii="Arial" w:hAnsi="Arial" w:cs="Arial" w:hint="eastAsia"/>
        </w:rPr>
        <w:t xml:space="preserve"> data, and regularly update model parameters to ensure that forecasts are forward-looking and effective.</w:t>
      </w:r>
    </w:p>
    <w:p w14:paraId="5CE61E20" w14:textId="77777777" w:rsidR="003768D5" w:rsidRDefault="003768D5"/>
    <w:p w14:paraId="031E9788" w14:textId="77777777" w:rsidR="003768D5" w:rsidRDefault="005468AB">
      <w:pPr>
        <w:pStyle w:val="ReferHead"/>
        <w:spacing w:after="0"/>
        <w:jc w:val="both"/>
        <w:rPr>
          <w:rFonts w:ascii="Arial" w:hAnsi="Arial" w:cs="Arial"/>
          <w:bCs/>
        </w:rPr>
      </w:pPr>
      <w:r>
        <w:rPr>
          <w:rFonts w:ascii="Arial" w:hAnsi="Arial" w:cs="Arial"/>
          <w:bCs/>
        </w:rPr>
        <w:t>Competing interests</w:t>
      </w:r>
    </w:p>
    <w:p w14:paraId="47A7F115" w14:textId="77777777" w:rsidR="003768D5" w:rsidRDefault="003768D5">
      <w:pPr>
        <w:pStyle w:val="ReferHead"/>
        <w:spacing w:after="0"/>
        <w:jc w:val="both"/>
        <w:rPr>
          <w:rFonts w:ascii="Arial" w:hAnsi="Arial" w:cs="Arial"/>
        </w:rPr>
      </w:pPr>
    </w:p>
    <w:p w14:paraId="10D880B6" w14:textId="77777777" w:rsidR="003768D5" w:rsidRDefault="005468AB">
      <w:pPr>
        <w:pStyle w:val="ReferHead"/>
        <w:spacing w:after="0"/>
        <w:jc w:val="both"/>
        <w:rPr>
          <w:rFonts w:ascii="Arial" w:hAnsi="Arial" w:cs="Arial"/>
          <w:b w:val="0"/>
          <w:caps w:val="0"/>
          <w:sz w:val="20"/>
        </w:rPr>
      </w:pPr>
      <w:r>
        <w:rPr>
          <w:rFonts w:ascii="Arial" w:hAnsi="Arial" w:cs="Arial"/>
          <w:b w:val="0"/>
          <w:caps w:val="0"/>
          <w:sz w:val="20"/>
        </w:rPr>
        <w:t>Authors have declared that no competing interests exist.</w:t>
      </w:r>
    </w:p>
    <w:p w14:paraId="5CCE7492" w14:textId="77777777" w:rsidR="003768D5" w:rsidRDefault="003768D5">
      <w:pPr>
        <w:pStyle w:val="ReferHead"/>
        <w:spacing w:after="0"/>
        <w:jc w:val="both"/>
        <w:rPr>
          <w:rFonts w:ascii="Arial" w:hAnsi="Arial" w:cs="Arial"/>
        </w:rPr>
      </w:pPr>
    </w:p>
    <w:p w14:paraId="73000B2C" w14:textId="77777777" w:rsidR="0029589E" w:rsidRPr="0029589E" w:rsidRDefault="0029589E" w:rsidP="0029589E">
      <w:pPr>
        <w:spacing w:after="200" w:line="276" w:lineRule="auto"/>
        <w:jc w:val="both"/>
        <w:outlineLvl w:val="0"/>
        <w:rPr>
          <w:rFonts w:ascii="Arial" w:eastAsiaTheme="minorEastAsia" w:hAnsi="Arial" w:cs="Arial"/>
          <w:sz w:val="22"/>
          <w:szCs w:val="22"/>
          <w:lang w:val="en-GB" w:eastAsia="en-GB"/>
        </w:rPr>
      </w:pPr>
      <w:r w:rsidRPr="0029589E">
        <w:rPr>
          <w:rFonts w:ascii="Arial" w:eastAsiaTheme="minorEastAsia" w:hAnsi="Arial" w:cs="Arial"/>
          <w:b/>
          <w:bCs/>
          <w:sz w:val="22"/>
          <w:szCs w:val="22"/>
          <w:lang w:val="en-GB" w:eastAsia="en-GB"/>
        </w:rPr>
        <w:t>COMPETING INTERESTS DISCLAIMER:</w:t>
      </w:r>
    </w:p>
    <w:p w14:paraId="63B97E3C" w14:textId="77777777" w:rsidR="0029589E" w:rsidRPr="0029589E" w:rsidRDefault="0029589E" w:rsidP="0029589E">
      <w:pPr>
        <w:spacing w:after="200" w:line="276" w:lineRule="auto"/>
        <w:rPr>
          <w:rFonts w:asciiTheme="minorHAnsi" w:eastAsiaTheme="minorEastAsia" w:hAnsiTheme="minorHAnsi" w:cstheme="minorBidi"/>
          <w:sz w:val="22"/>
          <w:szCs w:val="22"/>
          <w:lang w:val="en-GB" w:eastAsia="en-GB"/>
        </w:rPr>
      </w:pPr>
      <w:r w:rsidRPr="0029589E">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E2CA953" w14:textId="77777777" w:rsidR="0029589E" w:rsidRPr="0029589E" w:rsidRDefault="0029589E" w:rsidP="0029589E">
      <w:pPr>
        <w:spacing w:after="200" w:line="276" w:lineRule="auto"/>
        <w:rPr>
          <w:rFonts w:asciiTheme="minorHAnsi" w:eastAsiaTheme="minorEastAsia" w:hAnsiTheme="minorHAnsi" w:cstheme="minorBidi"/>
          <w:sz w:val="22"/>
          <w:szCs w:val="22"/>
          <w:lang w:val="en-GB" w:eastAsia="en-GB"/>
        </w:rPr>
      </w:pPr>
    </w:p>
    <w:p w14:paraId="303D3071" w14:textId="77777777" w:rsidR="0029589E" w:rsidRDefault="0029589E">
      <w:pPr>
        <w:pStyle w:val="ReferHead"/>
        <w:spacing w:after="0"/>
        <w:jc w:val="both"/>
        <w:rPr>
          <w:rFonts w:ascii="Arial" w:hAnsi="Arial" w:cs="Arial"/>
        </w:rPr>
      </w:pPr>
    </w:p>
    <w:p w14:paraId="219308AF" w14:textId="77777777" w:rsidR="0029589E" w:rsidRDefault="0029589E">
      <w:pPr>
        <w:pStyle w:val="ReferHead"/>
        <w:spacing w:after="0"/>
        <w:jc w:val="both"/>
        <w:rPr>
          <w:rFonts w:ascii="Arial" w:hAnsi="Arial" w:cs="Arial"/>
        </w:rPr>
      </w:pPr>
    </w:p>
    <w:p w14:paraId="00309FDD" w14:textId="77777777" w:rsidR="0029589E" w:rsidRDefault="0029589E">
      <w:pPr>
        <w:pStyle w:val="ReferHead"/>
        <w:spacing w:after="0"/>
        <w:jc w:val="both"/>
        <w:rPr>
          <w:rFonts w:ascii="Arial" w:hAnsi="Arial" w:cs="Arial"/>
        </w:rPr>
      </w:pPr>
    </w:p>
    <w:p w14:paraId="775AF68D" w14:textId="77777777" w:rsidR="003768D5" w:rsidRDefault="005468AB">
      <w:pPr>
        <w:pStyle w:val="ReferHead"/>
        <w:spacing w:after="0"/>
        <w:jc w:val="both"/>
        <w:rPr>
          <w:rFonts w:ascii="Arial" w:hAnsi="Arial" w:cs="Arial"/>
        </w:rPr>
      </w:pPr>
      <w:r>
        <w:rPr>
          <w:rFonts w:ascii="Arial" w:hAnsi="Arial" w:cs="Arial"/>
        </w:rPr>
        <w:t>References</w:t>
      </w:r>
    </w:p>
    <w:p w14:paraId="77B1868A" w14:textId="77777777" w:rsidR="003768D5" w:rsidRDefault="003768D5">
      <w:pPr>
        <w:pStyle w:val="Body"/>
        <w:spacing w:after="0"/>
        <w:rPr>
          <w:rFonts w:ascii="Arial" w:hAnsi="Arial" w:cs="Arial"/>
        </w:rPr>
      </w:pPr>
    </w:p>
    <w:p w14:paraId="70835E21" w14:textId="77777777" w:rsidR="003768D5" w:rsidRDefault="005468AB">
      <w:pPr>
        <w:pStyle w:val="Body"/>
        <w:spacing w:after="0"/>
        <w:rPr>
          <w:rFonts w:ascii="Arial" w:hAnsi="Arial" w:cs="Arial"/>
        </w:rPr>
      </w:pPr>
      <w:proofErr w:type="spellStart"/>
      <w:r>
        <w:rPr>
          <w:rFonts w:ascii="Arial" w:hAnsi="Arial" w:cs="Arial" w:hint="eastAsia"/>
        </w:rPr>
        <w:t>Ajiono</w:t>
      </w:r>
      <w:proofErr w:type="spellEnd"/>
      <w:r>
        <w:rPr>
          <w:rFonts w:ascii="Arial" w:hAnsi="Arial" w:cs="Arial" w:hint="eastAsia"/>
        </w:rPr>
        <w:t xml:space="preserve">, A., &amp; </w:t>
      </w:r>
      <w:proofErr w:type="spellStart"/>
      <w:r>
        <w:rPr>
          <w:rFonts w:ascii="Arial" w:hAnsi="Arial" w:cs="Arial" w:hint="eastAsia"/>
        </w:rPr>
        <w:t>Hariguna</w:t>
      </w:r>
      <w:proofErr w:type="spellEnd"/>
      <w:r>
        <w:rPr>
          <w:rFonts w:ascii="Arial" w:hAnsi="Arial" w:cs="Arial" w:hint="eastAsia"/>
        </w:rPr>
        <w:t>, T. (</w:t>
      </w:r>
      <w:r>
        <w:rPr>
          <w:rFonts w:ascii="Arial" w:hAnsi="Arial" w:cs="Arial" w:hint="eastAsia"/>
        </w:rPr>
        <w:t xml:space="preserve">2023). Comparison of three time series forecasting methods on linear regression, exponential smoothing and weighted moving average. International Journal of Informatics and Information Systems, 6(2), 89-102. </w:t>
      </w:r>
      <w:hyperlink r:id="rId21" w:history="1">
        <w:r w:rsidR="003768D5">
          <w:rPr>
            <w:rStyle w:val="Hyperlink"/>
            <w:rFonts w:ascii="Arial" w:hAnsi="Arial" w:cs="Arial" w:hint="eastAsia"/>
          </w:rPr>
          <w:t>https://doi.org/10.47738/ijiis.v6i2.165</w:t>
        </w:r>
      </w:hyperlink>
    </w:p>
    <w:p w14:paraId="7ABF1DE2" w14:textId="77777777" w:rsidR="003768D5" w:rsidRDefault="003768D5">
      <w:pPr>
        <w:pStyle w:val="Body"/>
        <w:spacing w:after="0"/>
        <w:rPr>
          <w:rFonts w:ascii="Arial" w:hAnsi="Arial" w:cs="Arial"/>
        </w:rPr>
      </w:pPr>
    </w:p>
    <w:p w14:paraId="10EA57B9" w14:textId="77777777" w:rsidR="003768D5" w:rsidRDefault="005468AB">
      <w:pPr>
        <w:pStyle w:val="Body"/>
        <w:spacing w:after="0"/>
        <w:rPr>
          <w:rFonts w:ascii="Arial" w:hAnsi="Arial" w:cs="Arial"/>
        </w:rPr>
      </w:pPr>
      <w:r>
        <w:rPr>
          <w:rFonts w:ascii="Arial" w:hAnsi="Arial" w:cs="Arial" w:hint="eastAsia"/>
        </w:rPr>
        <w:t xml:space="preserve">Bashier, Y. M., Ahmed, E. M., </w:t>
      </w:r>
      <w:proofErr w:type="spellStart"/>
      <w:r>
        <w:rPr>
          <w:rFonts w:ascii="Arial" w:hAnsi="Arial" w:cs="Arial" w:hint="eastAsia"/>
        </w:rPr>
        <w:t>Elfaki</w:t>
      </w:r>
      <w:proofErr w:type="spellEnd"/>
      <w:r>
        <w:rPr>
          <w:rFonts w:ascii="Arial" w:hAnsi="Arial" w:cs="Arial" w:hint="eastAsia"/>
        </w:rPr>
        <w:t xml:space="preserve">, K. E., </w:t>
      </w:r>
      <w:proofErr w:type="spellStart"/>
      <w:r>
        <w:rPr>
          <w:rFonts w:ascii="Arial" w:hAnsi="Arial" w:cs="Arial" w:hint="eastAsia"/>
        </w:rPr>
        <w:t>Thambah</w:t>
      </w:r>
      <w:proofErr w:type="spellEnd"/>
      <w:r>
        <w:rPr>
          <w:rFonts w:ascii="Arial" w:hAnsi="Arial" w:cs="Arial" w:hint="eastAsia"/>
        </w:rPr>
        <w:t>, S., &amp; Khin, C. A. A. (2022). Factors Affecting the Malaysian Natural Rubber Production and Consumption. Academy of Strategic Management Journal, 21, 1-12</w:t>
      </w:r>
      <w:r>
        <w:rPr>
          <w:rFonts w:ascii="Arial" w:hAnsi="Arial" w:cs="Arial" w:hint="eastAsia"/>
        </w:rPr>
        <w:t xml:space="preserve">. </w:t>
      </w:r>
    </w:p>
    <w:p w14:paraId="093407FC" w14:textId="77777777" w:rsidR="003768D5" w:rsidRDefault="003768D5">
      <w:pPr>
        <w:pStyle w:val="Body"/>
        <w:spacing w:after="0"/>
        <w:rPr>
          <w:rFonts w:ascii="Arial" w:hAnsi="Arial" w:cs="Arial"/>
        </w:rPr>
      </w:pPr>
    </w:p>
    <w:p w14:paraId="2C2315BB" w14:textId="77777777" w:rsidR="003768D5" w:rsidRDefault="005468AB">
      <w:pPr>
        <w:pStyle w:val="Body"/>
        <w:spacing w:after="0"/>
        <w:rPr>
          <w:rFonts w:ascii="Arial" w:hAnsi="Arial" w:cs="Arial"/>
        </w:rPr>
      </w:pPr>
      <w:r>
        <w:rPr>
          <w:rFonts w:ascii="Arial" w:hAnsi="Arial" w:cs="Arial" w:hint="eastAsia"/>
        </w:rPr>
        <w:t xml:space="preserve">Ali, M. F., Akber, M. A., Smith, C., &amp; Aziz, A. A. (2021). The dynamics of rubber production in Malaysia: Potential impacts, challenges and proposed interventions. Forest Policy and Economics, 127, 102449. </w:t>
      </w:r>
      <w:hyperlink r:id="rId22" w:history="1">
        <w:r w:rsidR="003768D5">
          <w:rPr>
            <w:rStyle w:val="Hyperlink"/>
            <w:rFonts w:ascii="Arial" w:hAnsi="Arial" w:cs="Arial" w:hint="eastAsia"/>
          </w:rPr>
          <w:t>https://doi.org/10.1016/j.forpol.2021.102449</w:t>
        </w:r>
      </w:hyperlink>
    </w:p>
    <w:p w14:paraId="59056FD6" w14:textId="77777777" w:rsidR="003768D5" w:rsidRDefault="003768D5">
      <w:pPr>
        <w:pStyle w:val="Body"/>
        <w:spacing w:after="0"/>
        <w:rPr>
          <w:rFonts w:ascii="Arial" w:hAnsi="Arial" w:cs="Arial"/>
        </w:rPr>
      </w:pPr>
    </w:p>
    <w:p w14:paraId="40A05AD4" w14:textId="77777777" w:rsidR="003768D5" w:rsidRDefault="005468AB">
      <w:pPr>
        <w:pStyle w:val="Body"/>
        <w:spacing w:after="0"/>
        <w:rPr>
          <w:rFonts w:ascii="Arial" w:hAnsi="Arial" w:cs="Arial"/>
          <w:lang w:eastAsia="zh-CN"/>
        </w:rPr>
      </w:pPr>
      <w:r>
        <w:rPr>
          <w:rFonts w:ascii="Arial" w:hAnsi="Arial" w:cs="Arial" w:hint="eastAsia"/>
        </w:rPr>
        <w:t>Chen, Y., Fang, Y., Li, X., &amp; Wei, J. (2023). A factor pricing model based on double moving average strategy. Humanities and Social Sciences Communications, 10(1), 1-13.</w:t>
      </w:r>
      <w:r>
        <w:rPr>
          <w:rFonts w:ascii="Arial" w:hAnsi="Arial" w:cs="Arial" w:hint="eastAsia"/>
          <w:lang w:eastAsia="zh-CN"/>
        </w:rPr>
        <w:t xml:space="preserve"> </w:t>
      </w:r>
      <w:hyperlink r:id="rId23" w:history="1">
        <w:r w:rsidR="003768D5">
          <w:rPr>
            <w:rStyle w:val="Hyperlink"/>
            <w:rFonts w:ascii="Arial" w:hAnsi="Arial" w:cs="Arial" w:hint="eastAsia"/>
            <w:lang w:eastAsia="zh-CN"/>
          </w:rPr>
          <w:t>https://www.nature.com/articles/s41599-023-02362-x</w:t>
        </w:r>
      </w:hyperlink>
    </w:p>
    <w:p w14:paraId="62C95B0B" w14:textId="77777777" w:rsidR="003768D5" w:rsidRDefault="003768D5">
      <w:pPr>
        <w:pStyle w:val="Body"/>
        <w:spacing w:after="0"/>
        <w:rPr>
          <w:rFonts w:ascii="Arial" w:hAnsi="Arial" w:cs="Arial"/>
          <w:lang w:eastAsia="zh-CN"/>
        </w:rPr>
      </w:pPr>
    </w:p>
    <w:p w14:paraId="61B6A1A4" w14:textId="77777777" w:rsidR="003768D5" w:rsidRDefault="005468AB">
      <w:pPr>
        <w:pStyle w:val="Body"/>
        <w:spacing w:after="0"/>
        <w:rPr>
          <w:rFonts w:ascii="Arial" w:hAnsi="Arial" w:cs="Arial"/>
        </w:rPr>
      </w:pPr>
      <w:r>
        <w:rPr>
          <w:rFonts w:ascii="Arial" w:hAnsi="Arial" w:cs="Arial" w:hint="eastAsia"/>
        </w:rPr>
        <w:t xml:space="preserve">Chicco, D., Warrens, M. J., &amp; Jurman, G. (2021). The coefficient of determination R-squared is more informative than SMAPE, MAE, MAPE, MSE </w:t>
      </w:r>
      <w:r>
        <w:rPr>
          <w:rFonts w:ascii="Arial" w:hAnsi="Arial" w:cs="Arial" w:hint="eastAsia"/>
        </w:rPr>
        <w:t>and RMSE in regression analysis evaluation. </w:t>
      </w:r>
      <w:proofErr w:type="spellStart"/>
      <w:r>
        <w:rPr>
          <w:rFonts w:ascii="Arial" w:hAnsi="Arial" w:cs="Arial" w:hint="eastAsia"/>
        </w:rPr>
        <w:t>Peerj</w:t>
      </w:r>
      <w:proofErr w:type="spellEnd"/>
      <w:r>
        <w:rPr>
          <w:rFonts w:ascii="Arial" w:hAnsi="Arial" w:cs="Arial" w:hint="eastAsia"/>
        </w:rPr>
        <w:t xml:space="preserve"> computer science, 7, e623. </w:t>
      </w:r>
      <w:hyperlink r:id="rId24" w:history="1">
        <w:r w:rsidR="003768D5">
          <w:rPr>
            <w:rStyle w:val="Hyperlink"/>
            <w:rFonts w:ascii="Arial" w:hAnsi="Arial" w:cs="Arial" w:hint="eastAsia"/>
          </w:rPr>
          <w:t>https://doi.org/10.7717/peerj-cs.623</w:t>
        </w:r>
      </w:hyperlink>
    </w:p>
    <w:p w14:paraId="3663F8F4" w14:textId="77777777" w:rsidR="003768D5" w:rsidRDefault="003768D5">
      <w:pPr>
        <w:pStyle w:val="Body"/>
        <w:spacing w:after="0"/>
        <w:rPr>
          <w:rFonts w:ascii="Arial" w:hAnsi="Arial" w:cs="Arial"/>
        </w:rPr>
      </w:pPr>
    </w:p>
    <w:p w14:paraId="34528374" w14:textId="77777777" w:rsidR="003768D5" w:rsidRDefault="005468AB">
      <w:pPr>
        <w:pStyle w:val="Body"/>
        <w:spacing w:after="0"/>
        <w:rPr>
          <w:rFonts w:ascii="Arial" w:hAnsi="Arial" w:cs="Arial"/>
          <w:lang w:eastAsia="zh-CN"/>
        </w:rPr>
      </w:pPr>
      <w:proofErr w:type="spellStart"/>
      <w:r>
        <w:rPr>
          <w:rFonts w:ascii="Arial" w:hAnsi="Arial" w:cs="Arial" w:hint="eastAsia"/>
        </w:rPr>
        <w:t>Febrian</w:t>
      </w:r>
      <w:proofErr w:type="spellEnd"/>
      <w:r>
        <w:rPr>
          <w:rFonts w:ascii="Arial" w:hAnsi="Arial" w:cs="Arial" w:hint="eastAsia"/>
        </w:rPr>
        <w:t xml:space="preserve">, D., Al </w:t>
      </w:r>
      <w:proofErr w:type="spellStart"/>
      <w:r>
        <w:rPr>
          <w:rFonts w:ascii="Arial" w:hAnsi="Arial" w:cs="Arial" w:hint="eastAsia"/>
        </w:rPr>
        <w:t>Idrus</w:t>
      </w:r>
      <w:proofErr w:type="spellEnd"/>
      <w:r>
        <w:rPr>
          <w:rFonts w:ascii="Arial" w:hAnsi="Arial" w:cs="Arial" w:hint="eastAsia"/>
        </w:rPr>
        <w:t>, S. I., &amp; Nainggolan, D. A. J. (2020). The comparison of double mo</w:t>
      </w:r>
      <w:r>
        <w:rPr>
          <w:rFonts w:ascii="Arial" w:hAnsi="Arial" w:cs="Arial" w:hint="eastAsia"/>
        </w:rPr>
        <w:t>ving average and double exponential smoothing methods in forecasting the number of foreign tourists coming to North Sumatera. In Journal of Physics: Conference Series (Vol. 1462, No. 1, p. 012046). IOP Publishing.</w:t>
      </w:r>
      <w:r>
        <w:rPr>
          <w:rFonts w:ascii="Arial" w:hAnsi="Arial" w:cs="Arial" w:hint="eastAsia"/>
          <w:lang w:eastAsia="zh-CN"/>
        </w:rPr>
        <w:t xml:space="preserve"> </w:t>
      </w:r>
      <w:hyperlink r:id="rId25" w:history="1">
        <w:r w:rsidR="003768D5">
          <w:rPr>
            <w:rStyle w:val="Hyperlink"/>
            <w:rFonts w:ascii="Arial" w:hAnsi="Arial" w:cs="Arial" w:hint="eastAsia"/>
            <w:lang w:eastAsia="zh-CN"/>
          </w:rPr>
          <w:t>https://doi.org/10.1088/1742-6596/1462/1/012046</w:t>
        </w:r>
      </w:hyperlink>
    </w:p>
    <w:p w14:paraId="5C89D8AC" w14:textId="77777777" w:rsidR="003768D5" w:rsidRDefault="003768D5">
      <w:pPr>
        <w:pStyle w:val="Body"/>
        <w:spacing w:after="0"/>
        <w:rPr>
          <w:rFonts w:ascii="Arial" w:hAnsi="Arial" w:cs="Arial"/>
          <w:lang w:eastAsia="zh-CN"/>
        </w:rPr>
      </w:pPr>
    </w:p>
    <w:p w14:paraId="2F4A2F07" w14:textId="77777777" w:rsidR="003768D5" w:rsidRDefault="005468AB">
      <w:pPr>
        <w:pStyle w:val="Body"/>
        <w:spacing w:after="0"/>
        <w:rPr>
          <w:rFonts w:ascii="Arial" w:hAnsi="Arial" w:cs="Arial"/>
        </w:rPr>
      </w:pPr>
      <w:r>
        <w:rPr>
          <w:rFonts w:ascii="Arial" w:hAnsi="Arial" w:cs="Arial" w:hint="eastAsia"/>
        </w:rPr>
        <w:t>Estrada, M. D. R. C., Camarillo, M. E. G., Parraguirre, M. E. S., Edgar, M., Castillo, G., Juárez, E. M., &amp; Gómez, M. J. C. (2020). Evaluation of several error measures applied to the s</w:t>
      </w:r>
      <w:r>
        <w:rPr>
          <w:rFonts w:ascii="Arial" w:hAnsi="Arial" w:cs="Arial" w:hint="eastAsia"/>
        </w:rPr>
        <w:t xml:space="preserve">ales forecast system of chemicals supply enterprises. International Journal of Business Administration, 11(4), 39-51.  </w:t>
      </w:r>
      <w:hyperlink r:id="rId26" w:history="1">
        <w:r w:rsidR="003768D5">
          <w:rPr>
            <w:rStyle w:val="Hyperlink"/>
            <w:rFonts w:ascii="Arial" w:hAnsi="Arial" w:cs="Arial" w:hint="eastAsia"/>
          </w:rPr>
          <w:t>https://doi.org/10.5430/ijba.v11n4p39</w:t>
        </w:r>
      </w:hyperlink>
    </w:p>
    <w:p w14:paraId="4BFAF2A3" w14:textId="77777777" w:rsidR="003768D5" w:rsidRDefault="003768D5">
      <w:pPr>
        <w:pStyle w:val="Body"/>
        <w:spacing w:after="0"/>
        <w:rPr>
          <w:rFonts w:ascii="Arial" w:hAnsi="Arial" w:cs="Arial"/>
        </w:rPr>
      </w:pPr>
    </w:p>
    <w:p w14:paraId="753B41E9" w14:textId="77777777" w:rsidR="003768D5" w:rsidRDefault="005468AB">
      <w:pPr>
        <w:pStyle w:val="Body"/>
        <w:spacing w:after="0"/>
        <w:rPr>
          <w:rFonts w:ascii="Arial" w:hAnsi="Arial" w:cs="Arial"/>
        </w:rPr>
      </w:pPr>
      <w:r>
        <w:rPr>
          <w:rFonts w:ascii="Arial" w:hAnsi="Arial" w:cs="Arial" w:hint="eastAsia"/>
          <w:lang w:val="fi-FI"/>
        </w:rPr>
        <w:t xml:space="preserve">Fox, J., &amp; Castella, J. C. (2013). </w:t>
      </w:r>
      <w:r>
        <w:rPr>
          <w:rFonts w:ascii="Arial" w:hAnsi="Arial" w:cs="Arial" w:hint="eastAsia"/>
        </w:rPr>
        <w:t>Expansion of rubber (</w:t>
      </w:r>
      <w:proofErr w:type="spellStart"/>
      <w:r>
        <w:rPr>
          <w:rFonts w:ascii="Arial" w:hAnsi="Arial" w:cs="Arial" w:hint="eastAsia"/>
        </w:rPr>
        <w:t>Hevea</w:t>
      </w:r>
      <w:proofErr w:type="spellEnd"/>
      <w:r>
        <w:rPr>
          <w:rFonts w:ascii="Arial" w:hAnsi="Arial" w:cs="Arial" w:hint="eastAsia"/>
        </w:rPr>
        <w:t xml:space="preserve"> </w:t>
      </w:r>
      <w:proofErr w:type="spellStart"/>
      <w:r>
        <w:rPr>
          <w:rFonts w:ascii="Arial" w:hAnsi="Arial" w:cs="Arial" w:hint="eastAsia"/>
        </w:rPr>
        <w:t>brasiliensis</w:t>
      </w:r>
      <w:proofErr w:type="spellEnd"/>
      <w:r>
        <w:rPr>
          <w:rFonts w:ascii="Arial" w:hAnsi="Arial" w:cs="Arial" w:hint="eastAsia"/>
        </w:rPr>
        <w:t xml:space="preserve">) in Mainland Southeast Asia: what are the prospects for </w:t>
      </w:r>
      <w:proofErr w:type="gramStart"/>
      <w:r>
        <w:rPr>
          <w:rFonts w:ascii="Arial" w:hAnsi="Arial" w:cs="Arial" w:hint="eastAsia"/>
        </w:rPr>
        <w:t>smallholders?.</w:t>
      </w:r>
      <w:proofErr w:type="gramEnd"/>
      <w:r>
        <w:rPr>
          <w:rFonts w:ascii="Arial" w:hAnsi="Arial" w:cs="Arial" w:hint="eastAsia"/>
        </w:rPr>
        <w:t xml:space="preserve"> The Journal of Peasant Studies, 40(1), 155-170. </w:t>
      </w:r>
      <w:hyperlink r:id="rId27" w:history="1">
        <w:r w:rsidR="003768D5">
          <w:rPr>
            <w:rStyle w:val="Hyperlink"/>
            <w:rFonts w:ascii="Arial" w:hAnsi="Arial" w:cs="Arial" w:hint="eastAsia"/>
          </w:rPr>
          <w:t>https://doi.org/10.1080/03066150.2012.750605</w:t>
        </w:r>
      </w:hyperlink>
    </w:p>
    <w:p w14:paraId="7D5C7AA8" w14:textId="77777777" w:rsidR="003768D5" w:rsidRDefault="003768D5">
      <w:pPr>
        <w:pStyle w:val="Body"/>
        <w:spacing w:after="0"/>
        <w:rPr>
          <w:rFonts w:ascii="Arial" w:hAnsi="Arial" w:cs="Arial"/>
        </w:rPr>
      </w:pPr>
    </w:p>
    <w:p w14:paraId="5FDA7857" w14:textId="77777777" w:rsidR="003768D5" w:rsidRDefault="005468AB">
      <w:pPr>
        <w:pStyle w:val="Body"/>
        <w:spacing w:after="0"/>
        <w:rPr>
          <w:rFonts w:ascii="Arial" w:hAnsi="Arial" w:cs="Arial"/>
        </w:rPr>
      </w:pPr>
      <w:r>
        <w:rPr>
          <w:rFonts w:ascii="Arial" w:hAnsi="Arial" w:cs="Arial" w:hint="eastAsia"/>
        </w:rPr>
        <w:t xml:space="preserve">Hashim, Z., Yusof, Z. M., Rahman, R. A., &amp; </w:t>
      </w:r>
      <w:proofErr w:type="spellStart"/>
      <w:r>
        <w:rPr>
          <w:rFonts w:ascii="Arial" w:hAnsi="Arial" w:cs="Arial" w:hint="eastAsia"/>
        </w:rPr>
        <w:t>Norizan</w:t>
      </w:r>
      <w:proofErr w:type="spellEnd"/>
      <w:r>
        <w:rPr>
          <w:rFonts w:ascii="Arial" w:hAnsi="Arial" w:cs="Arial" w:hint="eastAsia"/>
        </w:rPr>
        <w:t xml:space="preserve">, N. F. H. M. (2023, November). Factors that affecting natural rubber price in Malaysia: A perspective from a </w:t>
      </w:r>
      <w:proofErr w:type="gramStart"/>
      <w:r>
        <w:rPr>
          <w:rFonts w:ascii="Arial" w:hAnsi="Arial" w:cs="Arial" w:hint="eastAsia"/>
        </w:rPr>
        <w:t>rubber tappers</w:t>
      </w:r>
      <w:proofErr w:type="gramEnd"/>
      <w:r>
        <w:rPr>
          <w:rFonts w:ascii="Arial" w:hAnsi="Arial" w:cs="Arial" w:hint="eastAsia"/>
        </w:rPr>
        <w:t xml:space="preserve"> in Padang </w:t>
      </w:r>
      <w:proofErr w:type="spellStart"/>
      <w:r>
        <w:rPr>
          <w:rFonts w:ascii="Arial" w:hAnsi="Arial" w:cs="Arial" w:hint="eastAsia"/>
        </w:rPr>
        <w:t>Terap</w:t>
      </w:r>
      <w:proofErr w:type="spellEnd"/>
      <w:r>
        <w:rPr>
          <w:rFonts w:ascii="Arial" w:hAnsi="Arial" w:cs="Arial" w:hint="eastAsia"/>
        </w:rPr>
        <w:t>, Kedah. In AIP Conference Proceedings (Vol. 2896, No. 1</w:t>
      </w:r>
      <w:r>
        <w:rPr>
          <w:rFonts w:ascii="Arial" w:hAnsi="Arial" w:cs="Arial" w:hint="eastAsia"/>
        </w:rPr>
        <w:t xml:space="preserve">). AIP Publishing. </w:t>
      </w:r>
      <w:hyperlink r:id="rId28" w:history="1">
        <w:r w:rsidR="003768D5">
          <w:rPr>
            <w:rStyle w:val="Hyperlink"/>
            <w:rFonts w:ascii="Arial" w:hAnsi="Arial" w:cs="Arial" w:hint="eastAsia"/>
          </w:rPr>
          <w:t>https://doi.org/10.1063/5.0177282</w:t>
        </w:r>
      </w:hyperlink>
    </w:p>
    <w:p w14:paraId="5B477E71" w14:textId="77777777" w:rsidR="003768D5" w:rsidRDefault="003768D5">
      <w:pPr>
        <w:pStyle w:val="Body"/>
        <w:spacing w:after="0"/>
        <w:rPr>
          <w:rFonts w:ascii="Arial" w:hAnsi="Arial" w:cs="Arial"/>
        </w:rPr>
      </w:pPr>
    </w:p>
    <w:p w14:paraId="60CA90E9" w14:textId="77777777" w:rsidR="003768D5" w:rsidRDefault="005468AB">
      <w:pPr>
        <w:pStyle w:val="Body"/>
        <w:spacing w:after="0"/>
        <w:rPr>
          <w:rFonts w:ascii="Arial" w:hAnsi="Arial" w:cs="Arial"/>
        </w:rPr>
      </w:pPr>
      <w:r>
        <w:rPr>
          <w:rFonts w:ascii="Arial" w:hAnsi="Arial" w:cs="Arial" w:hint="eastAsia"/>
        </w:rPr>
        <w:t>Hodson, T. O. (2022). Root mean square error (RMSE) or mean absolute error (MAE): When to use them or not. Geoscientific Model Development Discussions, </w:t>
      </w:r>
      <w:r>
        <w:rPr>
          <w:rFonts w:ascii="Arial" w:hAnsi="Arial" w:cs="Arial" w:hint="eastAsia"/>
        </w:rPr>
        <w:t xml:space="preserve">2022, 1-10. </w:t>
      </w:r>
      <w:hyperlink r:id="rId29" w:history="1">
        <w:r w:rsidR="003768D5">
          <w:rPr>
            <w:rStyle w:val="Hyperlink"/>
            <w:rFonts w:ascii="Arial" w:hAnsi="Arial" w:cs="Arial" w:hint="eastAsia"/>
          </w:rPr>
          <w:t>https://doi.org/10.5194/gmd-2022-64</w:t>
        </w:r>
      </w:hyperlink>
    </w:p>
    <w:p w14:paraId="56262F02" w14:textId="77777777" w:rsidR="003768D5" w:rsidRDefault="003768D5">
      <w:pPr>
        <w:pStyle w:val="Body"/>
        <w:spacing w:after="0"/>
        <w:rPr>
          <w:rFonts w:ascii="Arial" w:hAnsi="Arial" w:cs="Arial"/>
        </w:rPr>
      </w:pPr>
    </w:p>
    <w:p w14:paraId="11E63CF1" w14:textId="77777777" w:rsidR="003768D5" w:rsidRDefault="005468AB">
      <w:pPr>
        <w:pStyle w:val="Body"/>
        <w:spacing w:after="0"/>
        <w:rPr>
          <w:rFonts w:ascii="Arial" w:hAnsi="Arial" w:cs="Arial"/>
          <w:lang w:eastAsia="zh-CN"/>
        </w:rPr>
      </w:pPr>
      <w:r>
        <w:rPr>
          <w:rFonts w:ascii="Arial" w:hAnsi="Arial" w:cs="Arial" w:hint="eastAsia"/>
        </w:rPr>
        <w:lastRenderedPageBreak/>
        <w:t>Hu, T., Chen, C., &amp; Wei, H. (2024). A Novel Methodology for Forecasting Petrochemical Product Prices in East China Market by Applying ARIMAX Time Series an</w:t>
      </w:r>
      <w:r>
        <w:rPr>
          <w:rFonts w:ascii="Arial" w:hAnsi="Arial" w:cs="Arial" w:hint="eastAsia"/>
        </w:rPr>
        <w:t>d Machine Learning Models. In International Petroleum Technology Conference (p. D011S011R004). IPTC.</w:t>
      </w:r>
      <w:r>
        <w:rPr>
          <w:rFonts w:ascii="Arial" w:hAnsi="Arial" w:cs="Arial" w:hint="eastAsia"/>
          <w:lang w:eastAsia="zh-CN"/>
        </w:rPr>
        <w:t xml:space="preserve"> </w:t>
      </w:r>
      <w:hyperlink r:id="rId30" w:history="1">
        <w:r w:rsidR="003768D5">
          <w:rPr>
            <w:rStyle w:val="Hyperlink"/>
            <w:rFonts w:ascii="Arial" w:hAnsi="Arial" w:cs="Arial" w:hint="eastAsia"/>
            <w:lang w:eastAsia="zh-CN"/>
          </w:rPr>
          <w:t>https://doi.org/10.2523/IPTC-23115-MS</w:t>
        </w:r>
      </w:hyperlink>
    </w:p>
    <w:p w14:paraId="48BC9B87" w14:textId="77777777" w:rsidR="003768D5" w:rsidRDefault="003768D5">
      <w:pPr>
        <w:pStyle w:val="Body"/>
        <w:spacing w:after="0"/>
        <w:rPr>
          <w:rFonts w:ascii="Arial" w:hAnsi="Arial" w:cs="Arial"/>
          <w:lang w:eastAsia="zh-CN"/>
        </w:rPr>
      </w:pPr>
    </w:p>
    <w:p w14:paraId="06A769CE" w14:textId="77777777" w:rsidR="003768D5" w:rsidRDefault="005468AB">
      <w:pPr>
        <w:pStyle w:val="Body"/>
        <w:spacing w:after="0"/>
        <w:rPr>
          <w:rFonts w:ascii="Arial" w:hAnsi="Arial" w:cs="Arial"/>
          <w:lang w:eastAsia="zh-CN"/>
        </w:rPr>
      </w:pPr>
      <w:proofErr w:type="spellStart"/>
      <w:r>
        <w:rPr>
          <w:rFonts w:ascii="Arial" w:hAnsi="Arial" w:cs="Arial" w:hint="eastAsia"/>
        </w:rPr>
        <w:t>Lelwala</w:t>
      </w:r>
      <w:proofErr w:type="spellEnd"/>
      <w:r>
        <w:rPr>
          <w:rFonts w:ascii="Arial" w:hAnsi="Arial" w:cs="Arial" w:hint="eastAsia"/>
        </w:rPr>
        <w:t xml:space="preserve">, E. I., </w:t>
      </w:r>
      <w:proofErr w:type="spellStart"/>
      <w:r>
        <w:rPr>
          <w:rFonts w:ascii="Arial" w:hAnsi="Arial" w:cs="Arial" w:hint="eastAsia"/>
        </w:rPr>
        <w:t>Seamasinghe</w:t>
      </w:r>
      <w:proofErr w:type="spellEnd"/>
      <w:r>
        <w:rPr>
          <w:rFonts w:ascii="Arial" w:hAnsi="Arial" w:cs="Arial" w:hint="eastAsia"/>
        </w:rPr>
        <w:t xml:space="preserve">, W. M., &amp; Gunarathna, K. M. L. M. </w:t>
      </w:r>
      <w:r>
        <w:rPr>
          <w:rFonts w:ascii="Arial" w:hAnsi="Arial" w:cs="Arial" w:hint="eastAsia"/>
        </w:rPr>
        <w:t>(2024). Nonparametric Approach to Detecting Seasonality in Time Series: Application of the Kruskal-Wallis (KW) Test on Tourist Arrivals to Sri Lanka. South Asian Journal of Business Insights, 4(1).</w:t>
      </w:r>
      <w:r>
        <w:rPr>
          <w:rFonts w:ascii="Arial" w:hAnsi="Arial" w:cs="Arial" w:hint="eastAsia"/>
          <w:lang w:eastAsia="zh-CN"/>
        </w:rPr>
        <w:t xml:space="preserve"> </w:t>
      </w:r>
      <w:hyperlink r:id="rId31" w:history="1">
        <w:r w:rsidR="003768D5">
          <w:rPr>
            <w:rStyle w:val="Hyperlink"/>
            <w:rFonts w:ascii="Arial" w:hAnsi="Arial" w:cs="Arial"/>
          </w:rPr>
          <w:t>https://doi.org/</w:t>
        </w:r>
        <w:r w:rsidR="003768D5">
          <w:rPr>
            <w:rStyle w:val="Hyperlink"/>
            <w:rFonts w:ascii="Arial" w:hAnsi="Arial" w:cs="Arial" w:hint="eastAsia"/>
            <w:lang w:eastAsia="zh-CN"/>
          </w:rPr>
          <w:t>10.4038/sajbi.v4i1.61</w:t>
        </w:r>
      </w:hyperlink>
    </w:p>
    <w:p w14:paraId="5F92BC8E" w14:textId="77777777" w:rsidR="003768D5" w:rsidRDefault="003768D5">
      <w:pPr>
        <w:pStyle w:val="Body"/>
        <w:spacing w:after="0"/>
        <w:rPr>
          <w:rFonts w:ascii="Arial" w:hAnsi="Arial" w:cs="Arial"/>
          <w:lang w:eastAsia="zh-CN"/>
        </w:rPr>
      </w:pPr>
    </w:p>
    <w:p w14:paraId="1B5880AF" w14:textId="77777777" w:rsidR="003768D5" w:rsidRDefault="005468AB">
      <w:pPr>
        <w:pStyle w:val="Body"/>
        <w:spacing w:after="0"/>
        <w:rPr>
          <w:rFonts w:ascii="Arial" w:hAnsi="Arial" w:cs="Arial"/>
        </w:rPr>
      </w:pPr>
      <w:r>
        <w:rPr>
          <w:rFonts w:ascii="Arial" w:hAnsi="Arial" w:cs="Arial" w:hint="eastAsia"/>
        </w:rPr>
        <w:t xml:space="preserve">Martínez, S., Eguía, P., Granada, E., Moazami, A., &amp; Hamdy, M. (2020). A performance comparison of multi-objective optimization-based approaches for calibrating white-box building energy models. Energy and Buildings, 216, 109942. </w:t>
      </w:r>
      <w:hyperlink r:id="rId32" w:history="1">
        <w:r w:rsidR="003768D5">
          <w:rPr>
            <w:rFonts w:ascii="Arial" w:hAnsi="Arial" w:cs="Arial" w:hint="eastAsia"/>
          </w:rPr>
          <w:t>https://doi.org/10.1016/j.enbuild.2020.109942</w:t>
        </w:r>
      </w:hyperlink>
    </w:p>
    <w:p w14:paraId="2D4D7F09" w14:textId="77777777" w:rsidR="003768D5" w:rsidRDefault="003768D5">
      <w:pPr>
        <w:pStyle w:val="Body"/>
        <w:spacing w:after="0"/>
        <w:rPr>
          <w:rFonts w:ascii="Arial" w:hAnsi="Arial" w:cs="Arial"/>
        </w:rPr>
      </w:pPr>
    </w:p>
    <w:p w14:paraId="110F3E5C" w14:textId="77777777" w:rsidR="003768D5" w:rsidRDefault="005468AB">
      <w:pPr>
        <w:pStyle w:val="Body"/>
        <w:spacing w:after="0"/>
        <w:rPr>
          <w:rFonts w:ascii="Arial" w:hAnsi="Arial" w:cs="Arial"/>
          <w:lang w:eastAsia="zh-CN"/>
        </w:rPr>
      </w:pPr>
      <w:r>
        <w:rPr>
          <w:rFonts w:ascii="Arial" w:hAnsi="Arial" w:cs="Arial" w:hint="eastAsia"/>
        </w:rPr>
        <w:t>Mohammed, A. R., Hassan, K. S., &amp; Abdel-Aal, M. A. (2022). Moving average smoothing for Gregory-Newton interpolation: a novel approach for short-term demand forecasting. IFA</w:t>
      </w:r>
      <w:r>
        <w:rPr>
          <w:rFonts w:ascii="Arial" w:hAnsi="Arial" w:cs="Arial" w:hint="eastAsia"/>
        </w:rPr>
        <w:t>C-</w:t>
      </w:r>
      <w:proofErr w:type="spellStart"/>
      <w:r>
        <w:rPr>
          <w:rFonts w:ascii="Arial" w:hAnsi="Arial" w:cs="Arial" w:hint="eastAsia"/>
        </w:rPr>
        <w:t>PapersOnLine</w:t>
      </w:r>
      <w:proofErr w:type="spellEnd"/>
      <w:r>
        <w:rPr>
          <w:rFonts w:ascii="Arial" w:hAnsi="Arial" w:cs="Arial" w:hint="eastAsia"/>
        </w:rPr>
        <w:t>, 55(10), 749-754.</w:t>
      </w:r>
      <w:r>
        <w:rPr>
          <w:rFonts w:ascii="Arial" w:hAnsi="Arial" w:cs="Arial" w:hint="eastAsia"/>
          <w:lang w:eastAsia="zh-CN"/>
        </w:rPr>
        <w:t xml:space="preserve"> </w:t>
      </w:r>
      <w:hyperlink r:id="rId33" w:history="1">
        <w:r w:rsidR="003768D5">
          <w:rPr>
            <w:rStyle w:val="Hyperlink"/>
            <w:rFonts w:ascii="Arial" w:hAnsi="Arial" w:cs="Arial" w:hint="eastAsia"/>
            <w:lang w:eastAsia="zh-CN"/>
          </w:rPr>
          <w:t>https://doi.org/10.1016/j.ifacol.2022.09.499</w:t>
        </w:r>
      </w:hyperlink>
    </w:p>
    <w:p w14:paraId="10D80AD8" w14:textId="77777777" w:rsidR="003768D5" w:rsidRDefault="003768D5">
      <w:pPr>
        <w:pStyle w:val="Body"/>
        <w:spacing w:after="0"/>
        <w:rPr>
          <w:rFonts w:ascii="Arial" w:hAnsi="Arial" w:cs="Arial"/>
          <w:lang w:eastAsia="zh-CN"/>
        </w:rPr>
      </w:pPr>
    </w:p>
    <w:p w14:paraId="4B24B585" w14:textId="77777777" w:rsidR="003768D5" w:rsidRDefault="005468AB">
      <w:pPr>
        <w:pStyle w:val="Body"/>
        <w:spacing w:after="0"/>
        <w:rPr>
          <w:rFonts w:ascii="Arial" w:hAnsi="Arial" w:cs="Arial"/>
          <w:lang w:eastAsia="zh-CN"/>
        </w:rPr>
      </w:pPr>
      <w:r>
        <w:rPr>
          <w:rFonts w:ascii="Arial" w:hAnsi="Arial" w:cs="Arial" w:hint="eastAsia"/>
        </w:rPr>
        <w:t>Montesinos López, O. A., Montesinos López, A., &amp; Crossa, J. (2022). Overfitting, model tuning, and evaluation of pre</w:t>
      </w:r>
      <w:r>
        <w:rPr>
          <w:rFonts w:ascii="Arial" w:hAnsi="Arial" w:cs="Arial" w:hint="eastAsia"/>
        </w:rPr>
        <w:t>diction performance. In Multivariate statistical machine learning methods for genomic prediction (pp. 109-139). Cham: Springer International Publishing.</w:t>
      </w:r>
      <w:r>
        <w:rPr>
          <w:rFonts w:ascii="Arial" w:hAnsi="Arial" w:cs="Arial" w:hint="eastAsia"/>
          <w:lang w:eastAsia="zh-CN"/>
        </w:rPr>
        <w:t xml:space="preserve"> </w:t>
      </w:r>
    </w:p>
    <w:p w14:paraId="5A5479DE" w14:textId="77777777" w:rsidR="003768D5" w:rsidRDefault="003768D5">
      <w:pPr>
        <w:pStyle w:val="Body"/>
        <w:spacing w:after="0"/>
        <w:rPr>
          <w:rFonts w:ascii="Arial" w:hAnsi="Arial" w:cs="Arial"/>
        </w:rPr>
      </w:pPr>
    </w:p>
    <w:p w14:paraId="75D42F95" w14:textId="77777777" w:rsidR="003768D5" w:rsidRDefault="005468AB">
      <w:pPr>
        <w:pStyle w:val="Body"/>
        <w:spacing w:after="0"/>
        <w:rPr>
          <w:rFonts w:ascii="Arial" w:hAnsi="Arial" w:cs="Arial"/>
          <w:lang w:eastAsia="zh-CN"/>
        </w:rPr>
      </w:pPr>
      <w:r>
        <w:rPr>
          <w:rFonts w:ascii="Arial" w:hAnsi="Arial" w:cs="Arial" w:hint="eastAsia"/>
        </w:rPr>
        <w:t xml:space="preserve">Shukor, S. A., </w:t>
      </w:r>
      <w:proofErr w:type="spellStart"/>
      <w:r>
        <w:rPr>
          <w:rFonts w:ascii="Arial" w:hAnsi="Arial" w:cs="Arial" w:hint="eastAsia"/>
        </w:rPr>
        <w:t>Sufahani</w:t>
      </w:r>
      <w:proofErr w:type="spellEnd"/>
      <w:r>
        <w:rPr>
          <w:rFonts w:ascii="Arial" w:hAnsi="Arial" w:cs="Arial" w:hint="eastAsia"/>
        </w:rPr>
        <w:t xml:space="preserve">, S. F., Khalid, K., Abd Wahab, M. H., </w:t>
      </w:r>
      <w:proofErr w:type="spellStart"/>
      <w:r>
        <w:rPr>
          <w:rFonts w:ascii="Arial" w:hAnsi="Arial" w:cs="Arial" w:hint="eastAsia"/>
        </w:rPr>
        <w:t>Idrus</w:t>
      </w:r>
      <w:proofErr w:type="spellEnd"/>
      <w:r>
        <w:rPr>
          <w:rFonts w:ascii="Arial" w:hAnsi="Arial" w:cs="Arial" w:hint="eastAsia"/>
        </w:rPr>
        <w:t>, S. Z. S., Ahmad, A., &amp; Subramani</w:t>
      </w:r>
      <w:r>
        <w:rPr>
          <w:rFonts w:ascii="Arial" w:hAnsi="Arial" w:cs="Arial" w:hint="eastAsia"/>
        </w:rPr>
        <w:t>am, T. S. (2021, May). Forecasting stock market price of gold, silver, crude oil and platinum by using double exponential smoothing, Holt’s linear trend and random walk. In Journal of Physics: Conference Series (Vol. 1874, No. 1, p. 012087). IOP Publishing</w:t>
      </w:r>
      <w:r>
        <w:rPr>
          <w:rFonts w:ascii="Arial" w:hAnsi="Arial" w:cs="Arial" w:hint="eastAsia"/>
        </w:rPr>
        <w:t>.</w:t>
      </w:r>
      <w:r>
        <w:rPr>
          <w:rFonts w:ascii="Arial" w:hAnsi="Arial" w:cs="Arial" w:hint="eastAsia"/>
          <w:lang w:eastAsia="zh-CN"/>
        </w:rPr>
        <w:t xml:space="preserve"> </w:t>
      </w:r>
      <w:hyperlink r:id="rId34" w:history="1">
        <w:r w:rsidR="003768D5">
          <w:rPr>
            <w:rStyle w:val="Hyperlink"/>
            <w:rFonts w:ascii="Arial" w:hAnsi="Arial" w:cs="Arial" w:hint="eastAsia"/>
          </w:rPr>
          <w:t>https://doi.org/</w:t>
        </w:r>
        <w:r w:rsidR="003768D5">
          <w:rPr>
            <w:rStyle w:val="Hyperlink"/>
            <w:rFonts w:ascii="Arial" w:hAnsi="Arial" w:cs="Arial" w:hint="eastAsia"/>
            <w:lang w:eastAsia="zh-CN"/>
          </w:rPr>
          <w:t>10.1088/1742-6596/1874/1/012087</w:t>
        </w:r>
      </w:hyperlink>
    </w:p>
    <w:p w14:paraId="68326395" w14:textId="77777777" w:rsidR="003768D5" w:rsidRDefault="003768D5">
      <w:pPr>
        <w:pStyle w:val="Body"/>
        <w:spacing w:after="0"/>
        <w:rPr>
          <w:rFonts w:ascii="Arial" w:hAnsi="Arial" w:cs="Arial"/>
          <w:lang w:eastAsia="zh-CN"/>
        </w:rPr>
      </w:pPr>
    </w:p>
    <w:p w14:paraId="70234017" w14:textId="77777777" w:rsidR="003768D5" w:rsidRDefault="005468AB">
      <w:pPr>
        <w:pStyle w:val="Body"/>
        <w:spacing w:after="0"/>
        <w:rPr>
          <w:rFonts w:ascii="Arial" w:hAnsi="Arial" w:cs="Arial"/>
        </w:rPr>
      </w:pPr>
      <w:proofErr w:type="spellStart"/>
      <w:r>
        <w:rPr>
          <w:rFonts w:ascii="Arial" w:hAnsi="Arial" w:cs="Arial" w:hint="eastAsia"/>
        </w:rPr>
        <w:t>Sukiyono</w:t>
      </w:r>
      <w:proofErr w:type="spellEnd"/>
      <w:r>
        <w:rPr>
          <w:rFonts w:ascii="Arial" w:hAnsi="Arial" w:cs="Arial" w:hint="eastAsia"/>
        </w:rPr>
        <w:t xml:space="preserve">, K., </w:t>
      </w:r>
      <w:proofErr w:type="spellStart"/>
      <w:r>
        <w:rPr>
          <w:rFonts w:ascii="Arial" w:hAnsi="Arial" w:cs="Arial" w:hint="eastAsia"/>
        </w:rPr>
        <w:t>Yuliarso</w:t>
      </w:r>
      <w:proofErr w:type="spellEnd"/>
      <w:r>
        <w:rPr>
          <w:rFonts w:ascii="Arial" w:hAnsi="Arial" w:cs="Arial" w:hint="eastAsia"/>
        </w:rPr>
        <w:t xml:space="preserve">, M. Z. S. P., Utama, E., </w:t>
      </w:r>
      <w:proofErr w:type="spellStart"/>
      <w:r>
        <w:rPr>
          <w:rFonts w:ascii="Arial" w:hAnsi="Arial" w:cs="Arial" w:hint="eastAsia"/>
        </w:rPr>
        <w:t>Yuliarti</w:t>
      </w:r>
      <w:proofErr w:type="spellEnd"/>
      <w:r>
        <w:rPr>
          <w:rFonts w:ascii="Arial" w:hAnsi="Arial" w:cs="Arial" w:hint="eastAsia"/>
        </w:rPr>
        <w:t xml:space="preserve">, R., </w:t>
      </w:r>
      <w:proofErr w:type="spellStart"/>
      <w:r>
        <w:rPr>
          <w:rFonts w:ascii="Arial" w:hAnsi="Arial" w:cs="Arial" w:hint="eastAsia"/>
        </w:rPr>
        <w:t>Novanda</w:t>
      </w:r>
      <w:proofErr w:type="spellEnd"/>
      <w:r>
        <w:rPr>
          <w:rFonts w:ascii="Arial" w:hAnsi="Arial" w:cs="Arial" w:hint="eastAsia"/>
        </w:rPr>
        <w:t xml:space="preserve">, R., &amp; </w:t>
      </w:r>
      <w:proofErr w:type="spellStart"/>
      <w:r>
        <w:rPr>
          <w:rFonts w:ascii="Arial" w:hAnsi="Arial" w:cs="Arial" w:hint="eastAsia"/>
        </w:rPr>
        <w:t>Priyono</w:t>
      </w:r>
      <w:proofErr w:type="spellEnd"/>
      <w:r>
        <w:rPr>
          <w:rFonts w:ascii="Arial" w:hAnsi="Arial" w:cs="Arial" w:hint="eastAsia"/>
        </w:rPr>
        <w:t>, B. S. (2019). Possible method for monthly natural rubbe</w:t>
      </w:r>
      <w:r>
        <w:rPr>
          <w:rFonts w:ascii="Arial" w:hAnsi="Arial" w:cs="Arial" w:hint="eastAsia"/>
        </w:rPr>
        <w:t>r price forecasting. Journal of Advanced Research in Dynamical and Control Systems–</w:t>
      </w:r>
      <w:proofErr w:type="spellStart"/>
      <w:r>
        <w:rPr>
          <w:rFonts w:ascii="Arial" w:hAnsi="Arial" w:cs="Arial" w:hint="eastAsia"/>
        </w:rPr>
        <w:t>Jardcs</w:t>
      </w:r>
      <w:proofErr w:type="spellEnd"/>
      <w:r>
        <w:rPr>
          <w:rFonts w:ascii="Arial" w:hAnsi="Arial" w:cs="Arial" w:hint="eastAsia"/>
        </w:rPr>
        <w:t>, 11, 387-395.</w:t>
      </w:r>
    </w:p>
    <w:p w14:paraId="135EA0F4" w14:textId="77777777" w:rsidR="003768D5" w:rsidRDefault="003768D5">
      <w:pPr>
        <w:pStyle w:val="Body"/>
        <w:spacing w:after="0"/>
        <w:rPr>
          <w:rFonts w:ascii="Arial" w:hAnsi="Arial" w:cs="Arial"/>
        </w:rPr>
      </w:pPr>
    </w:p>
    <w:p w14:paraId="30516804" w14:textId="77777777" w:rsidR="003768D5" w:rsidRDefault="005468AB">
      <w:pPr>
        <w:pStyle w:val="Body"/>
        <w:spacing w:after="0"/>
        <w:rPr>
          <w:rFonts w:ascii="Arial" w:hAnsi="Arial" w:cs="Arial"/>
          <w:lang w:eastAsia="zh-CN"/>
        </w:rPr>
      </w:pPr>
      <w:r>
        <w:rPr>
          <w:rFonts w:ascii="Arial" w:hAnsi="Arial" w:cs="Arial" w:hint="eastAsia"/>
        </w:rPr>
        <w:t>Syed, M. A., Abdalla, A. A., Al-Hamdi, A., &amp; Khalid, M. (2020, November). Double moving average methodology for smoothing of solar power fluctuations w</w:t>
      </w:r>
      <w:r>
        <w:rPr>
          <w:rFonts w:ascii="Arial" w:hAnsi="Arial" w:cs="Arial" w:hint="eastAsia"/>
        </w:rPr>
        <w:t>ith battery energy storage. In 2020 International Conference on Smart Grids and Energy Systems (SGES) (pp. 291-296). IEEE.</w:t>
      </w:r>
      <w:r>
        <w:rPr>
          <w:rFonts w:ascii="Arial" w:hAnsi="Arial" w:cs="Arial" w:hint="eastAsia"/>
          <w:lang w:eastAsia="zh-CN"/>
        </w:rPr>
        <w:t xml:space="preserve"> </w:t>
      </w:r>
      <w:hyperlink r:id="rId35" w:history="1">
        <w:r w:rsidR="003768D5">
          <w:rPr>
            <w:rStyle w:val="Hyperlink"/>
            <w:rFonts w:ascii="Arial" w:hAnsi="Arial" w:cs="Arial" w:hint="eastAsia"/>
            <w:lang w:eastAsia="zh-CN"/>
          </w:rPr>
          <w:t>https://doi.org/10.1109/SGES51519.2020.00058</w:t>
        </w:r>
      </w:hyperlink>
    </w:p>
    <w:p w14:paraId="3E101DD9" w14:textId="77777777" w:rsidR="003768D5" w:rsidRDefault="003768D5">
      <w:pPr>
        <w:pStyle w:val="Body"/>
        <w:spacing w:after="0"/>
        <w:rPr>
          <w:rFonts w:ascii="Arial" w:hAnsi="Arial" w:cs="Arial"/>
          <w:lang w:eastAsia="zh-CN"/>
        </w:rPr>
      </w:pPr>
    </w:p>
    <w:p w14:paraId="0B55D0BF" w14:textId="77777777" w:rsidR="003768D5" w:rsidRDefault="005468AB">
      <w:pPr>
        <w:pStyle w:val="Body"/>
        <w:spacing w:after="0"/>
        <w:rPr>
          <w:rFonts w:ascii="Arial" w:hAnsi="Arial" w:cs="Arial"/>
          <w:lang w:eastAsia="zh-CN"/>
        </w:rPr>
      </w:pPr>
      <w:r>
        <w:rPr>
          <w:rFonts w:ascii="Arial" w:hAnsi="Arial" w:cs="Arial" w:hint="eastAsia"/>
        </w:rPr>
        <w:t>Wang, N., Zhuang, W., Ran,</w:t>
      </w:r>
      <w:r>
        <w:rPr>
          <w:rFonts w:ascii="Arial" w:hAnsi="Arial" w:cs="Arial" w:hint="eastAsia"/>
        </w:rPr>
        <w:t xml:space="preserve"> Z., Wan, P., &amp; Fu, J. (2024). Prediction of acute onset of chronic </w:t>
      </w:r>
      <w:proofErr w:type="spellStart"/>
      <w:r>
        <w:rPr>
          <w:rFonts w:ascii="Arial" w:hAnsi="Arial" w:cs="Arial" w:hint="eastAsia"/>
        </w:rPr>
        <w:t>cor</w:t>
      </w:r>
      <w:proofErr w:type="spellEnd"/>
      <w:r>
        <w:rPr>
          <w:rFonts w:ascii="Arial" w:hAnsi="Arial" w:cs="Arial" w:hint="eastAsia"/>
        </w:rPr>
        <w:t xml:space="preserve"> pulmonale: comparative analysis of Holt-Winters exponential smoothing and ARIMA model. BMC Medical Research Methodology, 24(1), 204.</w:t>
      </w:r>
      <w:r>
        <w:rPr>
          <w:rFonts w:ascii="Arial" w:hAnsi="Arial" w:cs="Arial" w:hint="eastAsia"/>
          <w:lang w:eastAsia="zh-CN"/>
        </w:rPr>
        <w:t xml:space="preserve"> </w:t>
      </w:r>
      <w:hyperlink r:id="rId36" w:history="1">
        <w:r w:rsidR="003768D5">
          <w:rPr>
            <w:rStyle w:val="Hyperlink"/>
            <w:rFonts w:ascii="Arial" w:hAnsi="Arial" w:cs="Arial" w:hint="eastAsia"/>
            <w:lang w:eastAsia="zh-CN"/>
          </w:rPr>
          <w:t>https://link.springer.com/article/10.1186/s12874-024-02325-z</w:t>
        </w:r>
      </w:hyperlink>
    </w:p>
    <w:p w14:paraId="7635EABA" w14:textId="77777777" w:rsidR="003768D5" w:rsidRDefault="003768D5">
      <w:pPr>
        <w:pStyle w:val="Body"/>
        <w:spacing w:after="0"/>
        <w:rPr>
          <w:rFonts w:ascii="Arial" w:hAnsi="Arial" w:cs="Arial"/>
          <w:lang w:eastAsia="zh-CN"/>
        </w:rPr>
      </w:pPr>
    </w:p>
    <w:p w14:paraId="0D7ADC62" w14:textId="77777777" w:rsidR="003768D5" w:rsidRDefault="005468AB">
      <w:pPr>
        <w:pStyle w:val="Body"/>
        <w:spacing w:after="0"/>
        <w:rPr>
          <w:rFonts w:ascii="Arial" w:hAnsi="Arial" w:cs="Arial"/>
        </w:rPr>
      </w:pPr>
      <w:proofErr w:type="spellStart"/>
      <w:r>
        <w:rPr>
          <w:rFonts w:ascii="Arial" w:hAnsi="Arial" w:cs="Arial" w:hint="eastAsia"/>
        </w:rPr>
        <w:t>Zuhdi</w:t>
      </w:r>
      <w:proofErr w:type="spellEnd"/>
      <w:r>
        <w:rPr>
          <w:rFonts w:ascii="Arial" w:hAnsi="Arial" w:cs="Arial" w:hint="eastAsia"/>
        </w:rPr>
        <w:t xml:space="preserve">, F. (2021). The Indonesian natural rubber export competitiveness in global market. International Journal of Agriculture System, 8(2), 130-139. </w:t>
      </w:r>
      <w:hyperlink r:id="rId37" w:history="1">
        <w:r w:rsidR="003768D5">
          <w:rPr>
            <w:rStyle w:val="Hyperlink"/>
            <w:rFonts w:ascii="Arial" w:hAnsi="Arial" w:cs="Arial" w:hint="eastAsia"/>
          </w:rPr>
          <w:t>http://dx.doi.org/10.20956/ijas.v8i2.2518</w:t>
        </w:r>
      </w:hyperlink>
    </w:p>
    <w:sectPr w:rsidR="003768D5" w:rsidSect="00CE67CA">
      <w:headerReference w:type="even" r:id="rId38"/>
      <w:headerReference w:type="default" r:id="rId39"/>
      <w:footerReference w:type="default" r:id="rId40"/>
      <w:headerReference w:type="first" r:id="rId4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AA103" w14:textId="77777777" w:rsidR="005468AB" w:rsidRDefault="005468AB">
      <w:r>
        <w:separator/>
      </w:r>
    </w:p>
  </w:endnote>
  <w:endnote w:type="continuationSeparator" w:id="0">
    <w:p w14:paraId="39EF1455" w14:textId="77777777" w:rsidR="005468AB" w:rsidRDefault="0054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E1881" w14:textId="77777777" w:rsidR="00CE67CA" w:rsidRDefault="00CE6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83F16" w14:textId="77777777" w:rsidR="00CE67CA" w:rsidRDefault="00CE67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DAB97" w14:textId="77777777" w:rsidR="003768D5" w:rsidRDefault="003768D5">
    <w:pPr>
      <w:pStyle w:val="Footer"/>
      <w:rPr>
        <w:rFonts w:ascii="Arial" w:hAnsi="Arial" w:cs="Arial"/>
        <w:sz w:val="16"/>
      </w:rPr>
    </w:pPr>
  </w:p>
  <w:p w14:paraId="083C9BF2" w14:textId="77777777" w:rsidR="003768D5" w:rsidRDefault="005468A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8374F75" w14:textId="77777777" w:rsidR="003768D5" w:rsidRDefault="003768D5">
    <w:pPr>
      <w:pStyle w:val="Footer"/>
      <w:rPr>
        <w:rFonts w:ascii="Arial" w:hAnsi="Arial" w:cs="Arial"/>
        <w:sz w:val="16"/>
      </w:rPr>
    </w:pPr>
  </w:p>
  <w:p w14:paraId="1CF00C5B" w14:textId="77777777" w:rsidR="003768D5" w:rsidRDefault="005468AB">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DA417" w14:textId="77777777" w:rsidR="003768D5" w:rsidRDefault="00376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0E859" w14:textId="77777777" w:rsidR="005468AB" w:rsidRDefault="005468AB">
      <w:r>
        <w:separator/>
      </w:r>
    </w:p>
  </w:footnote>
  <w:footnote w:type="continuationSeparator" w:id="0">
    <w:p w14:paraId="70C423DA" w14:textId="77777777" w:rsidR="005468AB" w:rsidRDefault="00546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C99A5" w14:textId="60A0AA94" w:rsidR="00CE67CA" w:rsidRDefault="00CE67CA">
    <w:pPr>
      <w:pStyle w:val="Header"/>
    </w:pPr>
    <w:r>
      <w:rPr>
        <w:noProof/>
      </w:rPr>
      <w:pict w14:anchorId="4FADF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713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79BE6" w14:textId="0DC597D1" w:rsidR="00CE67CA" w:rsidRDefault="00CE67CA">
    <w:pPr>
      <w:pStyle w:val="Header"/>
    </w:pPr>
    <w:r>
      <w:rPr>
        <w:noProof/>
      </w:rPr>
      <w:pict w14:anchorId="6E13E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713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065F" w14:textId="2E8B8C9C" w:rsidR="003768D5" w:rsidRDefault="00CE67CA">
    <w:pPr>
      <w:ind w:left="2160"/>
      <w:jc w:val="center"/>
      <w:rPr>
        <w:rFonts w:ascii="Times New Roman" w:eastAsia="Calibri" w:hAnsi="Times New Roman"/>
        <w:i/>
        <w:sz w:val="18"/>
        <w:szCs w:val="22"/>
      </w:rPr>
    </w:pPr>
    <w:r>
      <w:rPr>
        <w:noProof/>
      </w:rPr>
      <w:pict w14:anchorId="09878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713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8FA63E5" w14:textId="77777777" w:rsidR="003768D5" w:rsidRDefault="005468A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D72BEC" w14:textId="77777777" w:rsidR="003768D5" w:rsidRDefault="005468AB">
    <w:pPr>
      <w:jc w:val="center"/>
      <w:rPr>
        <w:rFonts w:ascii="Times New Roman" w:eastAsia="Calibri" w:hAnsi="Times New Roman"/>
        <w:i/>
        <w:sz w:val="18"/>
        <w:szCs w:val="22"/>
      </w:rPr>
    </w:pPr>
    <w:r>
      <w:rPr>
        <w:rFonts w:ascii="Times New Roman" w:eastAsia="Calibri" w:hAnsi="Times New Roman"/>
        <w:i/>
        <w:sz w:val="18"/>
        <w:szCs w:val="22"/>
      </w:rPr>
      <w:t>.</w:t>
    </w:r>
  </w:p>
  <w:p w14:paraId="01BCCD83" w14:textId="77777777" w:rsidR="003768D5" w:rsidRDefault="005468A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324C6B9" w14:textId="77777777" w:rsidR="003768D5" w:rsidRDefault="005468A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4E88085" w14:textId="77777777" w:rsidR="003768D5" w:rsidRDefault="005468A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69772F1" w14:textId="77777777" w:rsidR="003768D5" w:rsidRDefault="005468A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FF278" w14:textId="02CF0627" w:rsidR="00CE67CA" w:rsidRDefault="00CE67CA">
    <w:pPr>
      <w:pStyle w:val="Header"/>
    </w:pPr>
    <w:r>
      <w:rPr>
        <w:noProof/>
      </w:rPr>
      <w:pict w14:anchorId="6EDBD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713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CF1A" w14:textId="72782C97" w:rsidR="00CE67CA" w:rsidRDefault="00CE67CA">
    <w:pPr>
      <w:pStyle w:val="Header"/>
    </w:pPr>
    <w:r>
      <w:rPr>
        <w:noProof/>
      </w:rPr>
      <w:pict w14:anchorId="0E0F0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713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805AC" w14:textId="604A27A4" w:rsidR="00CE67CA" w:rsidRDefault="00CE67CA">
    <w:pPr>
      <w:pStyle w:val="Header"/>
    </w:pPr>
    <w:r>
      <w:rPr>
        <w:noProof/>
      </w:rPr>
      <w:pict w14:anchorId="6E557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713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0BE54"/>
    <w:multiLevelType w:val="multilevel"/>
    <w:tmpl w:val="3490BE54"/>
    <w:lvl w:ilvl="0">
      <w:start w:val="1"/>
      <w:numFmt w:val="cardinalText"/>
      <w:suff w:val="nothing"/>
      <w:lvlText w:val="CHAPTER %1"/>
      <w:lvlJc w:val="left"/>
      <w:pPr>
        <w:ind w:left="0" w:firstLine="0"/>
      </w:pPr>
      <w:rPr>
        <w:rFonts w:ascii="Times New Roman" w:hAnsi="Times New Roman" w:cs="Times New Roman" w:hint="default"/>
        <w:b/>
        <w:bCs w:val="0"/>
        <w:i w:val="0"/>
        <w:iCs w:val="0"/>
        <w:caps/>
        <w:smallCaps w:val="0"/>
        <w:strike w:val="0"/>
        <w:dstrike w:val="0"/>
        <w:vanish w:val="0"/>
        <w:spacing w:val="0"/>
        <w:kern w:val="0"/>
        <w:position w:val="0"/>
        <w:sz w:val="28"/>
        <w:u w:val="none"/>
        <w:vertAlign w:val="baseline"/>
      </w:rPr>
    </w:lvl>
    <w:lvl w:ilvl="1">
      <w:start w:val="1"/>
      <w:numFmt w:val="decimal"/>
      <w:pStyle w:val="Heading2"/>
      <w:isLgl/>
      <w:suff w:val="space"/>
      <w:lvlText w:val="%1.%2"/>
      <w:lvlJc w:val="left"/>
      <w:pPr>
        <w:ind w:left="0" w:firstLine="0"/>
      </w:pPr>
      <w:rPr>
        <w:rFonts w:hint="default"/>
      </w:rPr>
    </w:lvl>
    <w:lvl w:ilvl="2">
      <w:start w:val="1"/>
      <w:numFmt w:val="decimal"/>
      <w:pStyle w:val="Heading3"/>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4C30E790"/>
    <w:multiLevelType w:val="singleLevel"/>
    <w:tmpl w:val="4C30E790"/>
    <w:lvl w:ilvl="0">
      <w:start w:val="1"/>
      <w:numFmt w:val="decimal"/>
      <w:suff w:val="space"/>
      <w:lvlText w:val="%1."/>
      <w:lvlJc w:val="left"/>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6F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3201"/>
    <w:rsid w:val="00283105"/>
    <w:rsid w:val="00284C4C"/>
    <w:rsid w:val="00287E68"/>
    <w:rsid w:val="0029589E"/>
    <w:rsid w:val="00296529"/>
    <w:rsid w:val="002B27FB"/>
    <w:rsid w:val="002B685A"/>
    <w:rsid w:val="002C57D2"/>
    <w:rsid w:val="002E0D56"/>
    <w:rsid w:val="00306C50"/>
    <w:rsid w:val="00315186"/>
    <w:rsid w:val="0033343E"/>
    <w:rsid w:val="003512C2"/>
    <w:rsid w:val="00371FB6"/>
    <w:rsid w:val="003763C1"/>
    <w:rsid w:val="003768D5"/>
    <w:rsid w:val="00376BBE"/>
    <w:rsid w:val="0039224F"/>
    <w:rsid w:val="003A43A4"/>
    <w:rsid w:val="003A7E18"/>
    <w:rsid w:val="003C4C86"/>
    <w:rsid w:val="003C6258"/>
    <w:rsid w:val="003E2904"/>
    <w:rsid w:val="00401927"/>
    <w:rsid w:val="0041027F"/>
    <w:rsid w:val="00412475"/>
    <w:rsid w:val="00423789"/>
    <w:rsid w:val="004328EB"/>
    <w:rsid w:val="00440F43"/>
    <w:rsid w:val="00441B6F"/>
    <w:rsid w:val="00446221"/>
    <w:rsid w:val="00450E62"/>
    <w:rsid w:val="004539DB"/>
    <w:rsid w:val="00471A80"/>
    <w:rsid w:val="004D305E"/>
    <w:rsid w:val="004D4277"/>
    <w:rsid w:val="00502516"/>
    <w:rsid w:val="00505F06"/>
    <w:rsid w:val="00506828"/>
    <w:rsid w:val="0053056E"/>
    <w:rsid w:val="0053571B"/>
    <w:rsid w:val="005468AB"/>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4CC7"/>
    <w:rsid w:val="007369E6"/>
    <w:rsid w:val="00746E59"/>
    <w:rsid w:val="00754C9A"/>
    <w:rsid w:val="0075599A"/>
    <w:rsid w:val="00761D52"/>
    <w:rsid w:val="0077749E"/>
    <w:rsid w:val="00790ADA"/>
    <w:rsid w:val="007D2288"/>
    <w:rsid w:val="007E088F"/>
    <w:rsid w:val="007E5663"/>
    <w:rsid w:val="007F7B32"/>
    <w:rsid w:val="00804BC2"/>
    <w:rsid w:val="0081431A"/>
    <w:rsid w:val="0083216F"/>
    <w:rsid w:val="00860000"/>
    <w:rsid w:val="0086295B"/>
    <w:rsid w:val="00863BD3"/>
    <w:rsid w:val="008641ED"/>
    <w:rsid w:val="00866D66"/>
    <w:rsid w:val="008671C6"/>
    <w:rsid w:val="00875803"/>
    <w:rsid w:val="008B459E"/>
    <w:rsid w:val="008E13AE"/>
    <w:rsid w:val="008E1506"/>
    <w:rsid w:val="008E710C"/>
    <w:rsid w:val="008F69D6"/>
    <w:rsid w:val="008F75E2"/>
    <w:rsid w:val="00902823"/>
    <w:rsid w:val="0090486C"/>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7F15"/>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67CA"/>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2F40"/>
    <w:rsid w:val="00F755E4"/>
    <w:rsid w:val="00F77D02"/>
    <w:rsid w:val="00FB3A86"/>
    <w:rsid w:val="00FB58FC"/>
    <w:rsid w:val="00FD36C8"/>
    <w:rsid w:val="00FF7443"/>
    <w:rsid w:val="06501D30"/>
    <w:rsid w:val="0A8B30CA"/>
    <w:rsid w:val="0D88491D"/>
    <w:rsid w:val="0F242EBB"/>
    <w:rsid w:val="10250191"/>
    <w:rsid w:val="158C0325"/>
    <w:rsid w:val="2978253F"/>
    <w:rsid w:val="33FF169D"/>
    <w:rsid w:val="34DB19BE"/>
    <w:rsid w:val="37B4016C"/>
    <w:rsid w:val="495042D1"/>
    <w:rsid w:val="4E393F16"/>
    <w:rsid w:val="782347DB"/>
    <w:rsid w:val="7FE35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59A8B4F"/>
  <w15:docId w15:val="{BEA1FCDF-7613-43FA-9C32-5265D599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BodyText"/>
    <w:link w:val="Heading2Char"/>
    <w:unhideWhenUsed/>
    <w:qFormat/>
    <w:pPr>
      <w:keepNext/>
      <w:keepLines/>
      <w:numPr>
        <w:ilvl w:val="1"/>
        <w:numId w:val="1"/>
      </w:numPr>
      <w:spacing w:after="180" w:line="360" w:lineRule="auto"/>
      <w:outlineLvl w:val="1"/>
    </w:pPr>
    <w:rPr>
      <w:rFonts w:ascii="Times New Roman" w:eastAsiaTheme="majorEastAsia" w:hAnsi="Times New Roman"/>
      <w:b/>
      <w:bCs/>
      <w:szCs w:val="24"/>
    </w:rPr>
  </w:style>
  <w:style w:type="paragraph" w:styleId="Heading3">
    <w:name w:val="heading 3"/>
    <w:basedOn w:val="Normal"/>
    <w:next w:val="Normal"/>
    <w:link w:val="Heading3Char"/>
    <w:unhideWhenUsed/>
    <w:qFormat/>
    <w:pPr>
      <w:keepNext/>
      <w:keepLines/>
      <w:numPr>
        <w:ilvl w:val="2"/>
        <w:numId w:val="1"/>
      </w:numPr>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360"/>
    </w:p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semiHidden/>
    <w:unhideWhenUsed/>
    <w:qFormat/>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2"/>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qFormat/>
    <w:rPr>
      <w:rFonts w:eastAsiaTheme="majorEastAsia" w:cstheme="majorBidi"/>
      <w:b/>
      <w:bCs/>
    </w:rPr>
  </w:style>
  <w:style w:type="character" w:customStyle="1" w:styleId="Heading2Char">
    <w:name w:val="Heading 2 Char"/>
    <w:basedOn w:val="DefaultParagraphFont"/>
    <w:link w:val="Heading2"/>
    <w:qFormat/>
    <w:rPr>
      <w:rFonts w:ascii="Times New Roman" w:eastAsiaTheme="majorEastAsia" w:hAnsi="Times New Roman" w:cs="Times New Roman"/>
      <w:b/>
      <w:bCs/>
      <w:szCs w:val="24"/>
    </w:rPr>
  </w:style>
  <w:style w:type="paragraph" w:customStyle="1" w:styleId="table">
    <w:name w:val="table"/>
    <w:basedOn w:val="Normal"/>
    <w:qFormat/>
    <w:pPr>
      <w:keepNext/>
      <w:jc w:val="center"/>
    </w:pPr>
    <w:rPr>
      <w:rFonts w:ascii="Times New Roman" w:hAnsi="Times New Roman" w:hint="eastAsia"/>
      <w:i/>
      <w:iCs/>
      <w:color w:val="000000" w:themeColor="text1"/>
      <w:szCs w:val="24"/>
      <w:lang w:eastAsia="zh-CN"/>
    </w:rPr>
  </w:style>
  <w:style w:type="paragraph" w:customStyle="1" w:styleId="EndNoteBibliography">
    <w:name w:val="EndNote Bibliography"/>
    <w:basedOn w:val="Normal"/>
    <w:qFormat/>
    <w:pPr>
      <w:spacing w:after="200"/>
    </w:pPr>
    <w:rPr>
      <w:rFonts w:ascii="Calibri" w:eastAsiaTheme="minorHAnsi" w:hAnsi="Calibri" w:cs="Calibri"/>
      <w:sz w:val="22"/>
    </w:rPr>
  </w:style>
  <w:style w:type="character" w:styleId="UnresolvedMention">
    <w:name w:val="Unresolved Mention"/>
    <w:basedOn w:val="DefaultParagraphFont"/>
    <w:uiPriority w:val="99"/>
    <w:semiHidden/>
    <w:unhideWhenUsed/>
    <w:rsid w:val="00432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yperlink" Target="https://doi.org/10.5430/ijba.v11n4p39" TargetMode="External"/><Relationship Id="rId39" Type="http://schemas.openxmlformats.org/officeDocument/2006/relationships/header" Target="header5.xml"/><Relationship Id="rId21" Type="http://schemas.openxmlformats.org/officeDocument/2006/relationships/hyperlink" Target="https://doi.org/10.47738/ijiis.v6i2.165" TargetMode="External"/><Relationship Id="rId34" Type="http://schemas.openxmlformats.org/officeDocument/2006/relationships/hyperlink" Target="https://doi.org/10.1088/1742-6596/1874/1/012087"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s://doi.org/10.5194/gmd-2022-64"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7717/peerj-cs.623" TargetMode="External"/><Relationship Id="rId32" Type="http://schemas.openxmlformats.org/officeDocument/2006/relationships/hyperlink" Target="https://doi.org/10.1016/j.enbuild.2020.109942" TargetMode="External"/><Relationship Id="rId37" Type="http://schemas.openxmlformats.org/officeDocument/2006/relationships/hyperlink" Target="http://dx.doi.org/10.20956/ijas.v8i2.2518" TargetMode="Externa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www.nature.com/articles/s41599-023-02362-x" TargetMode="External"/><Relationship Id="rId28" Type="http://schemas.openxmlformats.org/officeDocument/2006/relationships/hyperlink" Target="https://doi.org/10.1063/5.0177282" TargetMode="External"/><Relationship Id="rId36" Type="http://schemas.openxmlformats.org/officeDocument/2006/relationships/hyperlink" Target="https://link.springer.com/article/10.1186/s12874-024-02325-z" TargetMode="Externa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hyperlink" Target="https://doi.org/10.4038/sajbi.v4i1.61"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forpol.2021.102449" TargetMode="External"/><Relationship Id="rId27" Type="http://schemas.openxmlformats.org/officeDocument/2006/relationships/hyperlink" Target="https://doi.org/10.1080/03066150.2012.750605" TargetMode="External"/><Relationship Id="rId30" Type="http://schemas.openxmlformats.org/officeDocument/2006/relationships/hyperlink" Target="https://doi.org/10.2523/IPTC-23115-MS" TargetMode="External"/><Relationship Id="rId35" Type="http://schemas.openxmlformats.org/officeDocument/2006/relationships/hyperlink" Target="https://doi.org/10.1109/SGES51519.2020.00058"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s://doi.org/10.1088/1742-6596/1462/1/012046" TargetMode="External"/><Relationship Id="rId33" Type="http://schemas.openxmlformats.org/officeDocument/2006/relationships/hyperlink" Target="https://doi.org/10.1016/j.ifacol.2022.09.499"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B367D4-09F0-4077-BC2D-385938C6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11</Pages>
  <Words>5454</Words>
  <Characters>31094</Characters>
  <Application>Microsoft Office Word</Application>
  <DocSecurity>0</DocSecurity>
  <Lines>259</Lines>
  <Paragraphs>72</Paragraphs>
  <ScaleCrop>false</ScaleCrop>
  <Company>aaaa</Company>
  <LinksUpToDate>false</LinksUpToDate>
  <CharactersWithSpaces>36476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2014-10-25T14:34:00Z</dcterms:created>
  <dcterms:modified xsi:type="dcterms:W3CDTF">2025-08-08T13:57:00Z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19E6738572B64910B373B1D616DD4F93_13</vt:lpwstr>
  </property>
  <property fmtid="{D5CDD505-2E9C-101B-9397-08002B2CF9AE}" pid="4" name="KSOTemplateDocerSaveRecord">
    <vt:lpwstr>eyJoZGlkIjoiYThjNjA2MzZhNWZhZGQxMzFkYTI2YjY1MGU3YTZjYjAiLCJ1c2VySWQiOiIyMzgzODkzNTUifQ==</vt:lpwstr>
  </property>
</Properties>
</file>