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D74B8" w14:textId="2A548421" w:rsidR="00E11D75" w:rsidRDefault="00022F94">
      <w:pPr>
        <w:autoSpaceDE w:val="0"/>
        <w:autoSpaceDN w:val="0"/>
        <w:adjustRightInd w:val="0"/>
        <w:spacing w:after="0" w:line="360" w:lineRule="auto"/>
        <w:jc w:val="both"/>
        <w:rPr>
          <w:rFonts w:ascii="Times New Roman" w:hAnsi="Times New Roman" w:cs="Times New Roman"/>
          <w:sz w:val="24"/>
          <w:szCs w:val="24"/>
        </w:rPr>
      </w:pPr>
      <w:r w:rsidRPr="00022F94">
        <w:rPr>
          <w:rFonts w:ascii="Times New Roman" w:hAnsi="Times New Roman" w:cs="Times New Roman"/>
          <w:sz w:val="24"/>
          <w:szCs w:val="24"/>
        </w:rPr>
        <w:t>Original Research Article</w:t>
      </w:r>
    </w:p>
    <w:p w14:paraId="32CB973B" w14:textId="77777777" w:rsidR="00022F94" w:rsidRDefault="00022F94">
      <w:pPr>
        <w:autoSpaceDE w:val="0"/>
        <w:autoSpaceDN w:val="0"/>
        <w:adjustRightInd w:val="0"/>
        <w:spacing w:after="0" w:line="360" w:lineRule="auto"/>
        <w:jc w:val="both"/>
        <w:rPr>
          <w:rFonts w:ascii="Times New Roman" w:hAnsi="Times New Roman" w:cs="Times New Roman"/>
          <w:sz w:val="24"/>
          <w:szCs w:val="24"/>
        </w:rPr>
      </w:pPr>
    </w:p>
    <w:p w14:paraId="32E39BA0" w14:textId="7483FA6D"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Improved Cerebellar Structure and Neuronal Restoration by Combined Extracts of Ginger, Garlic, and Turmeric in Lead-Exposed Rats: A Histological and Morphometric Study</w:t>
      </w:r>
    </w:p>
    <w:p w14:paraId="60D6085D"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7465E9A9"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04C1F454" w14:textId="77777777" w:rsidR="00E11D75" w:rsidRDefault="00090F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Abstract</w:t>
      </w:r>
    </w:p>
    <w:p w14:paraId="1FC6FEC7" w14:textId="77777777" w:rsidR="00E11D75" w:rsidRDefault="00E11D75">
      <w:pPr>
        <w:autoSpaceDE w:val="0"/>
        <w:autoSpaceDN w:val="0"/>
        <w:adjustRightInd w:val="0"/>
        <w:spacing w:after="0" w:line="240" w:lineRule="auto"/>
        <w:jc w:val="both"/>
        <w:rPr>
          <w:rFonts w:ascii="Times New Roman" w:hAnsi="Times New Roman" w:cs="Times New Roman"/>
          <w:sz w:val="24"/>
          <w:szCs w:val="24"/>
        </w:rPr>
      </w:pPr>
    </w:p>
    <w:p w14:paraId="3028DDFA" w14:textId="77777777" w:rsidR="00E11D75" w:rsidRDefault="00090F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Background: Heavy metal toxicity, particularly from lead exposure, poses significant neurodevelopmental risks, wit</w:t>
      </w:r>
      <w:r>
        <w:rPr>
          <w:rFonts w:ascii="Times New Roman" w:hAnsi="Times New Roman" w:cs="Times New Roman"/>
          <w:sz w:val="24"/>
          <w:szCs w:val="24"/>
        </w:rPr>
        <w:t xml:space="preserve">h the cerebellum being a key target. This study evaluated the ameliorative potential of a </w:t>
      </w:r>
      <w:proofErr w:type="spellStart"/>
      <w:r>
        <w:rPr>
          <w:rFonts w:ascii="Times New Roman" w:hAnsi="Times New Roman" w:cs="Times New Roman"/>
          <w:sz w:val="24"/>
          <w:szCs w:val="24"/>
        </w:rPr>
        <w:t>phytobiotic</w:t>
      </w:r>
      <w:proofErr w:type="spellEnd"/>
      <w:r>
        <w:rPr>
          <w:rFonts w:ascii="Times New Roman" w:hAnsi="Times New Roman" w:cs="Times New Roman"/>
          <w:sz w:val="24"/>
          <w:szCs w:val="24"/>
        </w:rPr>
        <w:t xml:space="preserve"> formulation comprising aqueous extracts of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(ginger), </w:t>
      </w:r>
      <w:r>
        <w:rPr>
          <w:rFonts w:ascii="Times New Roman" w:hAnsi="Times New Roman" w:cs="Times New Roman"/>
          <w:i/>
          <w:iCs/>
          <w:sz w:val="24"/>
          <w:szCs w:val="24"/>
        </w:rPr>
        <w:t xml:space="preserve">Allium sativum </w:t>
      </w:r>
      <w:r>
        <w:rPr>
          <w:rFonts w:ascii="Times New Roman" w:hAnsi="Times New Roman" w:cs="Times New Roman"/>
          <w:sz w:val="24"/>
          <w:szCs w:val="24"/>
        </w:rPr>
        <w:t xml:space="preserve">(garlic), and </w:t>
      </w:r>
      <w:r>
        <w:rPr>
          <w:rFonts w:ascii="Times New Roman" w:hAnsi="Times New Roman" w:cs="Times New Roman"/>
          <w:i/>
          <w:iCs/>
          <w:sz w:val="24"/>
          <w:szCs w:val="24"/>
        </w:rPr>
        <w:t>Curcuma longa</w:t>
      </w:r>
      <w:r>
        <w:rPr>
          <w:rFonts w:ascii="Times New Roman" w:hAnsi="Times New Roman" w:cs="Times New Roman"/>
          <w:sz w:val="24"/>
          <w:szCs w:val="24"/>
        </w:rPr>
        <w:t xml:space="preserve"> (turmeric) on lead-induced cerebellar damage in Wistar rats.</w:t>
      </w:r>
    </w:p>
    <w:p w14:paraId="2AD896D0" w14:textId="77777777" w:rsidR="00E11D75" w:rsidRDefault="00E11D75">
      <w:pPr>
        <w:autoSpaceDE w:val="0"/>
        <w:autoSpaceDN w:val="0"/>
        <w:adjustRightInd w:val="0"/>
        <w:spacing w:after="0" w:line="240" w:lineRule="auto"/>
        <w:jc w:val="both"/>
        <w:rPr>
          <w:rFonts w:ascii="Times New Roman" w:hAnsi="Times New Roman" w:cs="Times New Roman"/>
          <w:sz w:val="24"/>
          <w:szCs w:val="24"/>
        </w:rPr>
      </w:pPr>
    </w:p>
    <w:p w14:paraId="521E7EFB" w14:textId="77777777" w:rsidR="00E11D75" w:rsidRDefault="00090F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Methods: Twenty-five (25) adult male Wistar rats were randomly assigned into five groups (n = 5). Lead neurotoxicity was induced via oral administration of lead acetate (150 mg/kg/day) for 14 d</w:t>
      </w:r>
      <w:r>
        <w:rPr>
          <w:rFonts w:ascii="Times New Roman" w:hAnsi="Times New Roman" w:cs="Times New Roman"/>
          <w:sz w:val="24"/>
          <w:szCs w:val="24"/>
        </w:rPr>
        <w:t xml:space="preserve">ays. Groups 3–5 received combined </w:t>
      </w:r>
      <w:proofErr w:type="spellStart"/>
      <w:r>
        <w:rPr>
          <w:rFonts w:ascii="Times New Roman" w:hAnsi="Times New Roman" w:cs="Times New Roman"/>
          <w:sz w:val="24"/>
          <w:szCs w:val="24"/>
        </w:rPr>
        <w:t>phytobiotic</w:t>
      </w:r>
      <w:proofErr w:type="spellEnd"/>
      <w:r>
        <w:rPr>
          <w:rFonts w:ascii="Times New Roman" w:hAnsi="Times New Roman" w:cs="Times New Roman"/>
          <w:sz w:val="24"/>
          <w:szCs w:val="24"/>
        </w:rPr>
        <w:t xml:space="preserve"> extracts at 300, 400, and 500 mg/kg body weight, respectively, co-administered with lead acetate. Group 6 received </w:t>
      </w:r>
      <w:proofErr w:type="spellStart"/>
      <w:r>
        <w:rPr>
          <w:rFonts w:ascii="Times New Roman" w:hAnsi="Times New Roman" w:cs="Times New Roman"/>
          <w:sz w:val="24"/>
          <w:szCs w:val="24"/>
        </w:rPr>
        <w:t>phytobiotics</w:t>
      </w:r>
      <w:proofErr w:type="spellEnd"/>
      <w:r>
        <w:rPr>
          <w:rFonts w:ascii="Times New Roman" w:hAnsi="Times New Roman" w:cs="Times New Roman"/>
          <w:sz w:val="24"/>
          <w:szCs w:val="24"/>
        </w:rPr>
        <w:t xml:space="preserve"> alone. Extracts were prepared by aqueous maceration of authenticated plant materia</w:t>
      </w:r>
      <w:r>
        <w:rPr>
          <w:rFonts w:ascii="Times New Roman" w:hAnsi="Times New Roman" w:cs="Times New Roman"/>
          <w:sz w:val="24"/>
          <w:szCs w:val="24"/>
        </w:rPr>
        <w:t>ls, concentrated by evaporation, and administered via oral gavage. Following treatment, cerebellar tissues were harvested, fixed in 10% buffered formalin, and processed for hematoxylin and eosin (H\&amp;E) staining. Morphometric analysis of Purkinje cell count</w:t>
      </w:r>
      <w:r>
        <w:rPr>
          <w:rFonts w:ascii="Times New Roman" w:hAnsi="Times New Roman" w:cs="Times New Roman"/>
          <w:sz w:val="24"/>
          <w:szCs w:val="24"/>
        </w:rPr>
        <w:t xml:space="preserve"> and morphology was conducted using ImageJ software. Statistical analysis was performed using one-way ANOVA with Tukey’s post hoc test (SPSS v26).</w:t>
      </w:r>
    </w:p>
    <w:p w14:paraId="76FA3FB8" w14:textId="77777777" w:rsidR="00E11D75" w:rsidRDefault="00E11D75">
      <w:pPr>
        <w:autoSpaceDE w:val="0"/>
        <w:autoSpaceDN w:val="0"/>
        <w:adjustRightInd w:val="0"/>
        <w:spacing w:after="0" w:line="240" w:lineRule="auto"/>
        <w:jc w:val="both"/>
        <w:rPr>
          <w:rFonts w:ascii="Times New Roman" w:hAnsi="Times New Roman" w:cs="Times New Roman"/>
          <w:sz w:val="24"/>
          <w:szCs w:val="24"/>
        </w:rPr>
      </w:pPr>
    </w:p>
    <w:p w14:paraId="796B5C31" w14:textId="77777777" w:rsidR="00E11D75" w:rsidRDefault="00090F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Results: Lead exposure resulted in significant loss and shrinkage of Purkinje cells, cortical disorganizatio</w:t>
      </w:r>
      <w:r>
        <w:rPr>
          <w:rFonts w:ascii="Times New Roman" w:hAnsi="Times New Roman" w:cs="Times New Roman"/>
          <w:sz w:val="24"/>
          <w:szCs w:val="24"/>
        </w:rPr>
        <w:t xml:space="preserve">n, and reduced cell count (p &lt; 0.05). Co-administration of the </w:t>
      </w:r>
      <w:proofErr w:type="spellStart"/>
      <w:r>
        <w:rPr>
          <w:rFonts w:ascii="Times New Roman" w:hAnsi="Times New Roman" w:cs="Times New Roman"/>
          <w:sz w:val="24"/>
          <w:szCs w:val="24"/>
        </w:rPr>
        <w:t>phytobiotic</w:t>
      </w:r>
      <w:proofErr w:type="spellEnd"/>
      <w:r>
        <w:rPr>
          <w:rFonts w:ascii="Times New Roman" w:hAnsi="Times New Roman" w:cs="Times New Roman"/>
          <w:sz w:val="24"/>
          <w:szCs w:val="24"/>
        </w:rPr>
        <w:t xml:space="preserve"> formulation, particularly at moderate and high doses, markedly preserved cerebellar cytoarchitecture and significantly improved Purkinje cell density and morphology (</w:t>
      </w:r>
      <w:r>
        <w:rPr>
          <w:rFonts w:ascii="Times New Roman" w:hAnsi="Times New Roman" w:cs="Times New Roman"/>
          <w:i/>
          <w:iCs/>
          <w:sz w:val="24"/>
          <w:szCs w:val="24"/>
        </w:rPr>
        <w:t>p</w:t>
      </w:r>
      <w:r>
        <w:rPr>
          <w:rFonts w:ascii="Times New Roman" w:hAnsi="Times New Roman" w:cs="Times New Roman"/>
          <w:sz w:val="24"/>
          <w:szCs w:val="24"/>
        </w:rPr>
        <w:t xml:space="preserve"> &lt; 0.05) compa</w:t>
      </w:r>
      <w:r>
        <w:rPr>
          <w:rFonts w:ascii="Times New Roman" w:hAnsi="Times New Roman" w:cs="Times New Roman"/>
          <w:sz w:val="24"/>
          <w:szCs w:val="24"/>
        </w:rPr>
        <w:t>red to the lead-only group.</w:t>
      </w:r>
    </w:p>
    <w:p w14:paraId="26BCC8CD" w14:textId="77777777" w:rsidR="00E11D75" w:rsidRDefault="00E11D75">
      <w:pPr>
        <w:autoSpaceDE w:val="0"/>
        <w:autoSpaceDN w:val="0"/>
        <w:adjustRightInd w:val="0"/>
        <w:spacing w:after="0" w:line="240" w:lineRule="auto"/>
        <w:jc w:val="both"/>
        <w:rPr>
          <w:rFonts w:ascii="Times New Roman" w:hAnsi="Times New Roman" w:cs="Times New Roman"/>
          <w:sz w:val="24"/>
          <w:szCs w:val="24"/>
        </w:rPr>
      </w:pPr>
    </w:p>
    <w:p w14:paraId="337023D6" w14:textId="77777777" w:rsidR="00E11D75" w:rsidRDefault="00090F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Conclusion: The aqueous </w:t>
      </w:r>
      <w:proofErr w:type="spellStart"/>
      <w:r>
        <w:rPr>
          <w:rFonts w:ascii="Times New Roman" w:hAnsi="Times New Roman" w:cs="Times New Roman"/>
          <w:sz w:val="24"/>
          <w:szCs w:val="24"/>
        </w:rPr>
        <w:t>phytobiotic</w:t>
      </w:r>
      <w:proofErr w:type="spellEnd"/>
      <w:r>
        <w:rPr>
          <w:rFonts w:ascii="Times New Roman" w:hAnsi="Times New Roman" w:cs="Times New Roman"/>
          <w:sz w:val="24"/>
          <w:szCs w:val="24"/>
        </w:rPr>
        <w:t xml:space="preserve"> mixture of ginger, garlic, and turmeric confers dose-dependent neuroprotection against lead-induced cerebellar damage, likely due to their synergistic antioxidant and anti-inflammatory proper</w:t>
      </w:r>
      <w:r>
        <w:rPr>
          <w:rFonts w:ascii="Times New Roman" w:hAnsi="Times New Roman" w:cs="Times New Roman"/>
          <w:sz w:val="24"/>
          <w:szCs w:val="24"/>
        </w:rPr>
        <w:t>ties. These findings support their therapeutic potential in environmental neurotoxicity.</w:t>
      </w:r>
    </w:p>
    <w:p w14:paraId="701B8788" w14:textId="77777777" w:rsidR="00E11D75" w:rsidRDefault="00E11D75">
      <w:pPr>
        <w:autoSpaceDE w:val="0"/>
        <w:autoSpaceDN w:val="0"/>
        <w:adjustRightInd w:val="0"/>
        <w:spacing w:after="0" w:line="240" w:lineRule="auto"/>
        <w:jc w:val="both"/>
        <w:rPr>
          <w:rFonts w:ascii="Times New Roman" w:hAnsi="Times New Roman" w:cs="Times New Roman"/>
          <w:sz w:val="24"/>
          <w:szCs w:val="24"/>
        </w:rPr>
      </w:pPr>
    </w:p>
    <w:p w14:paraId="6B2B4E7C" w14:textId="77777777" w:rsidR="00E11D75" w:rsidRDefault="00090F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Keywords: Lead acetate, Cerebellum, </w:t>
      </w:r>
      <w:proofErr w:type="spellStart"/>
      <w:r>
        <w:rPr>
          <w:rFonts w:ascii="Times New Roman" w:hAnsi="Times New Roman" w:cs="Times New Roman"/>
          <w:sz w:val="24"/>
          <w:szCs w:val="24"/>
        </w:rPr>
        <w:t>Phytobiotics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i/>
          <w:iCs/>
          <w:sz w:val="24"/>
          <w:szCs w:val="24"/>
        </w:rPr>
        <w:t xml:space="preserve">, Curcuma longa, Allium sativum, </w:t>
      </w:r>
      <w:r>
        <w:rPr>
          <w:rFonts w:ascii="Times New Roman" w:hAnsi="Times New Roman" w:cs="Times New Roman"/>
          <w:sz w:val="24"/>
          <w:szCs w:val="24"/>
        </w:rPr>
        <w:t>Purkinje cells, Neuroprotection</w:t>
      </w:r>
    </w:p>
    <w:p w14:paraId="776EE268" w14:textId="77777777" w:rsidR="00E11D75" w:rsidRDefault="00E11D75">
      <w:pPr>
        <w:autoSpaceDE w:val="0"/>
        <w:autoSpaceDN w:val="0"/>
        <w:adjustRightInd w:val="0"/>
        <w:spacing w:after="0" w:line="240" w:lineRule="auto"/>
        <w:jc w:val="both"/>
        <w:rPr>
          <w:rFonts w:ascii="Times New Roman" w:hAnsi="Times New Roman" w:cs="Times New Roman"/>
          <w:sz w:val="24"/>
          <w:szCs w:val="24"/>
        </w:rPr>
      </w:pPr>
    </w:p>
    <w:p w14:paraId="73F09741"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6FE792F8"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703E1E33"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1A196EC9"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5CBBC9FE"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2B40FF39"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Introduction</w:t>
      </w:r>
    </w:p>
    <w:p w14:paraId="778C0166"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Heavy </w:t>
      </w:r>
      <w:r>
        <w:rPr>
          <w:rFonts w:ascii="Times New Roman" w:hAnsi="Times New Roman" w:cs="Times New Roman"/>
          <w:sz w:val="24"/>
          <w:szCs w:val="24"/>
        </w:rPr>
        <w:t>metal pollution remains a major environmental and public health challenge worldwide, with lead (Pb) being one of the most prevalent and toxic contaminants. Lead exposure occurs through various sources including industrial emissions, contaminated water, soi</w:t>
      </w:r>
      <w:r>
        <w:rPr>
          <w:rFonts w:ascii="Times New Roman" w:hAnsi="Times New Roman" w:cs="Times New Roman"/>
          <w:sz w:val="24"/>
          <w:szCs w:val="24"/>
        </w:rPr>
        <w:t>l, paints, and food (</w:t>
      </w:r>
      <w:proofErr w:type="spellStart"/>
      <w:r>
        <w:rPr>
          <w:rFonts w:ascii="Times New Roman" w:hAnsi="Times New Roman" w:cs="Times New Roman"/>
          <w:sz w:val="24"/>
          <w:szCs w:val="24"/>
        </w:rPr>
        <w:t>Jaishankar</w:t>
      </w:r>
      <w:proofErr w:type="spellEnd"/>
      <w:r>
        <w:rPr>
          <w:rFonts w:ascii="Times New Roman" w:hAnsi="Times New Roman" w:cs="Times New Roman"/>
          <w:sz w:val="24"/>
          <w:szCs w:val="24"/>
        </w:rPr>
        <w:t xml:space="preserve"> et al., 2014). Once in the body, lead accumulates in soft tissues and bones, crossing the blood-brain barrier to exert profound neurotoxic effects, particularly on the developing nervous system (Flora et al., 2012). The cere</w:t>
      </w:r>
      <w:r>
        <w:rPr>
          <w:rFonts w:ascii="Times New Roman" w:hAnsi="Times New Roman" w:cs="Times New Roman"/>
          <w:sz w:val="24"/>
          <w:szCs w:val="24"/>
        </w:rPr>
        <w:t xml:space="preserve">bellum, responsible for motor coordination and balance, is highly vulnerable to oxidative damage </w:t>
      </w:r>
      <w:r>
        <w:rPr>
          <w:rFonts w:ascii="Times New Roman" w:hAnsi="Times New Roman" w:cs="Times New Roman"/>
          <w:sz w:val="24"/>
          <w:szCs w:val="24"/>
        </w:rPr>
        <w:lastRenderedPageBreak/>
        <w:t>caused by lead due to its high lipid content and oxygen consumption (Zhou et al., 2026). Mechanistically, lead induces oxidative stress, disrupts neurotransmit</w:t>
      </w:r>
      <w:r>
        <w:rPr>
          <w:rFonts w:ascii="Times New Roman" w:hAnsi="Times New Roman" w:cs="Times New Roman"/>
          <w:sz w:val="24"/>
          <w:szCs w:val="24"/>
        </w:rPr>
        <w:t>ter release, interferes with calcium homeostasis, and damages neuronal integrity, resulting in long-term neurobehavioral deficits (</w:t>
      </w:r>
      <w:proofErr w:type="spellStart"/>
      <w:r>
        <w:rPr>
          <w:rFonts w:ascii="Times New Roman" w:hAnsi="Times New Roman" w:cs="Times New Roman"/>
          <w:sz w:val="24"/>
          <w:szCs w:val="24"/>
        </w:rPr>
        <w:t>Virgolini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Aschner</w:t>
      </w:r>
      <w:proofErr w:type="spellEnd"/>
      <w:r>
        <w:rPr>
          <w:rFonts w:ascii="Times New Roman" w:hAnsi="Times New Roman" w:cs="Times New Roman"/>
          <w:sz w:val="24"/>
          <w:szCs w:val="24"/>
        </w:rPr>
        <w:t>, 2021).</w:t>
      </w:r>
    </w:p>
    <w:p w14:paraId="511EA223"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1F3EEAC3"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Although chelation therapy remains the conventional treatment for lead toxicity, it is often ass</w:t>
      </w:r>
      <w:r>
        <w:rPr>
          <w:rFonts w:ascii="Times New Roman" w:hAnsi="Times New Roman" w:cs="Times New Roman"/>
          <w:sz w:val="24"/>
          <w:szCs w:val="24"/>
        </w:rPr>
        <w:t>ociated with adverse effects, high costs, and limited efficacy, particularly in reversing neuronal damage (</w:t>
      </w:r>
      <w:proofErr w:type="spellStart"/>
      <w:r>
        <w:rPr>
          <w:rFonts w:ascii="Times New Roman" w:hAnsi="Times New Roman" w:cs="Times New Roman"/>
          <w:sz w:val="24"/>
          <w:szCs w:val="24"/>
        </w:rPr>
        <w:t>Gracia</w:t>
      </w:r>
      <w:proofErr w:type="spellEnd"/>
      <w:r>
        <w:rPr>
          <w:rFonts w:ascii="Times New Roman" w:hAnsi="Times New Roman" w:cs="Times New Roman"/>
          <w:sz w:val="24"/>
          <w:szCs w:val="24"/>
        </w:rPr>
        <w:t xml:space="preserve"> &amp; Snodgrass, 2007). Consequently, there is growing interest in exploring safer and more affordable alternative therapies, particularly phytoch</w:t>
      </w:r>
      <w:r>
        <w:rPr>
          <w:rFonts w:ascii="Times New Roman" w:hAnsi="Times New Roman" w:cs="Times New Roman"/>
          <w:sz w:val="24"/>
          <w:szCs w:val="24"/>
        </w:rPr>
        <w:t>emicals with antioxidant and neuroprotective properties.</w:t>
      </w:r>
    </w:p>
    <w:p w14:paraId="4BC110B5"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48AACFBD"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such natural agents, </w:t>
      </w:r>
      <w:r>
        <w:rPr>
          <w:rFonts w:ascii="Times New Roman" w:hAnsi="Times New Roman" w:cs="Times New Roman"/>
          <w:i/>
          <w:iCs/>
          <w:sz w:val="24"/>
          <w:szCs w:val="24"/>
        </w:rPr>
        <w:t>Curcuma longa</w:t>
      </w:r>
      <w:r>
        <w:rPr>
          <w:rFonts w:ascii="Times New Roman" w:hAnsi="Times New Roman" w:cs="Times New Roman"/>
          <w:sz w:val="24"/>
          <w:szCs w:val="24"/>
        </w:rPr>
        <w:t xml:space="preserve"> (turmeric),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(ginger), and </w:t>
      </w:r>
      <w:r>
        <w:rPr>
          <w:rFonts w:ascii="Times New Roman" w:hAnsi="Times New Roman" w:cs="Times New Roman"/>
          <w:i/>
          <w:iCs/>
          <w:sz w:val="24"/>
          <w:szCs w:val="24"/>
        </w:rPr>
        <w:t>Allium sativum</w:t>
      </w:r>
      <w:r>
        <w:rPr>
          <w:rFonts w:ascii="Times New Roman" w:hAnsi="Times New Roman" w:cs="Times New Roman"/>
          <w:sz w:val="24"/>
          <w:szCs w:val="24"/>
        </w:rPr>
        <w:t xml:space="preserve"> (garlic) have received considerable attention. These plants are rich in bioactive compounds such</w:t>
      </w:r>
      <w:r>
        <w:rPr>
          <w:rFonts w:ascii="Times New Roman" w:hAnsi="Times New Roman" w:cs="Times New Roman"/>
          <w:sz w:val="24"/>
          <w:szCs w:val="24"/>
        </w:rPr>
        <w:t xml:space="preserve"> as curcumin (from turmeric), gingerol and shogaol (from ginger), and allicin and organosulfur compounds (from garlic), which exhibit potent antioxidant, anti-inflammatory, antimicrobial, and neuroprotective activities (</w:t>
      </w:r>
      <w:proofErr w:type="spellStart"/>
      <w:r>
        <w:rPr>
          <w:rFonts w:ascii="Times New Roman" w:hAnsi="Times New Roman" w:cs="Times New Roman"/>
          <w:sz w:val="24"/>
          <w:szCs w:val="24"/>
        </w:rPr>
        <w:t>Ajanaku</w:t>
      </w:r>
      <w:proofErr w:type="spellEnd"/>
      <w:r>
        <w:rPr>
          <w:rFonts w:ascii="Times New Roman" w:hAnsi="Times New Roman" w:cs="Times New Roman"/>
          <w:sz w:val="24"/>
          <w:szCs w:val="24"/>
        </w:rPr>
        <w:t xml:space="preserve"> et al., 2022; </w:t>
      </w:r>
      <w:proofErr w:type="spellStart"/>
      <w:r>
        <w:rPr>
          <w:rFonts w:ascii="Times New Roman" w:hAnsi="Times New Roman" w:cs="Times New Roman"/>
          <w:sz w:val="24"/>
          <w:szCs w:val="24"/>
        </w:rPr>
        <w:t>Dilip</w:t>
      </w:r>
      <w:proofErr w:type="spellEnd"/>
      <w:r>
        <w:rPr>
          <w:rFonts w:ascii="Times New Roman" w:hAnsi="Times New Roman" w:cs="Times New Roman"/>
          <w:sz w:val="24"/>
          <w:szCs w:val="24"/>
        </w:rPr>
        <w:t xml:space="preserve"> et al., </w:t>
      </w:r>
      <w:r>
        <w:rPr>
          <w:rFonts w:ascii="Times New Roman" w:hAnsi="Times New Roman" w:cs="Times New Roman"/>
          <w:sz w:val="24"/>
          <w:szCs w:val="24"/>
        </w:rPr>
        <w:t>2021).</w:t>
      </w:r>
    </w:p>
    <w:p w14:paraId="5BF05349"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2DB7F841"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Studies have demonstrated the individual benefits of these botanicals in combating oxidative stress and heavy metal-induced damage. For instance, </w:t>
      </w:r>
      <w:proofErr w:type="spellStart"/>
      <w:r>
        <w:rPr>
          <w:rFonts w:ascii="Times New Roman" w:hAnsi="Times New Roman" w:cs="Times New Roman"/>
          <w:sz w:val="24"/>
          <w:szCs w:val="24"/>
        </w:rPr>
        <w:t>Sudjarwo</w:t>
      </w:r>
      <w:proofErr w:type="spellEnd"/>
      <w:r>
        <w:rPr>
          <w:rFonts w:ascii="Times New Roman" w:hAnsi="Times New Roman" w:cs="Times New Roman"/>
          <w:sz w:val="24"/>
          <w:szCs w:val="24"/>
        </w:rPr>
        <w:t xml:space="preserve"> et al. (2017) reported that curcumin significantly ameliorated lead acetate-induced testicula</w:t>
      </w:r>
      <w:r>
        <w:rPr>
          <w:rFonts w:ascii="Times New Roman" w:hAnsi="Times New Roman" w:cs="Times New Roman"/>
          <w:sz w:val="24"/>
          <w:szCs w:val="24"/>
        </w:rPr>
        <w:t>r toxicity in rats by enhancing antioxidant defense mechanisms and reducing lipid peroxidation. Similarly, Abubakar et al. (2019) demonstrated that curcumin protected against Pb-induced cerebellar neurotoxicity by attenuating oxidative stress and chelating</w:t>
      </w:r>
      <w:r>
        <w:rPr>
          <w:rFonts w:ascii="Times New Roman" w:hAnsi="Times New Roman" w:cs="Times New Roman"/>
          <w:sz w:val="24"/>
          <w:szCs w:val="24"/>
        </w:rPr>
        <w:t xml:space="preserve"> free lead ions. The phytochemicals in ginger and garlic have also shown promise against bacterial pathogens and oxidative injury. Awan et al. (2017), using phytochemical and FT-IR analysis, confirmed that extracts of </w:t>
      </w:r>
      <w:r>
        <w:rPr>
          <w:rFonts w:ascii="Times New Roman" w:hAnsi="Times New Roman" w:cs="Times New Roman"/>
          <w:i/>
          <w:iCs/>
          <w:sz w:val="24"/>
          <w:szCs w:val="24"/>
        </w:rPr>
        <w:t xml:space="preserve">Z. </w:t>
      </w:r>
      <w:proofErr w:type="spellStart"/>
      <w:r>
        <w:rPr>
          <w:rFonts w:ascii="Times New Roman" w:hAnsi="Times New Roman" w:cs="Times New Roman"/>
          <w:i/>
          <w:iCs/>
          <w:sz w:val="24"/>
          <w:szCs w:val="24"/>
        </w:rPr>
        <w:t>officinale</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A. sativum</w:t>
      </w:r>
      <w:r>
        <w:rPr>
          <w:rFonts w:ascii="Times New Roman" w:hAnsi="Times New Roman" w:cs="Times New Roman"/>
          <w:sz w:val="24"/>
          <w:szCs w:val="24"/>
        </w:rPr>
        <w:t xml:space="preserve"> possess s</w:t>
      </w:r>
      <w:r>
        <w:rPr>
          <w:rFonts w:ascii="Times New Roman" w:hAnsi="Times New Roman" w:cs="Times New Roman"/>
          <w:sz w:val="24"/>
          <w:szCs w:val="24"/>
        </w:rPr>
        <w:t>ignificant antibacterial properties and may offer cost-effective means of managing disease and combating antimicrobial resistance.</w:t>
      </w:r>
    </w:p>
    <w:p w14:paraId="05BB9C33"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0964080E"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the application of </w:t>
      </w:r>
      <w:proofErr w:type="spellStart"/>
      <w:r>
        <w:rPr>
          <w:rFonts w:ascii="Times New Roman" w:hAnsi="Times New Roman" w:cs="Times New Roman"/>
          <w:sz w:val="24"/>
          <w:szCs w:val="24"/>
        </w:rPr>
        <w:t>phytobiotics</w:t>
      </w:r>
      <w:proofErr w:type="spellEnd"/>
      <w:r>
        <w:rPr>
          <w:rFonts w:ascii="Times New Roman" w:hAnsi="Times New Roman" w:cs="Times New Roman"/>
          <w:sz w:val="24"/>
          <w:szCs w:val="24"/>
        </w:rPr>
        <w:t xml:space="preserve"> in animal nutrition has yielded promising results in aquaculture. </w:t>
      </w:r>
      <w:proofErr w:type="spellStart"/>
      <w:r>
        <w:rPr>
          <w:rFonts w:ascii="Times New Roman" w:hAnsi="Times New Roman" w:cs="Times New Roman"/>
          <w:sz w:val="24"/>
          <w:szCs w:val="24"/>
        </w:rPr>
        <w:t>Kusi</w:t>
      </w:r>
      <w:proofErr w:type="spellEnd"/>
      <w:r>
        <w:rPr>
          <w:rFonts w:ascii="Times New Roman" w:hAnsi="Times New Roman" w:cs="Times New Roman"/>
          <w:sz w:val="24"/>
          <w:szCs w:val="24"/>
        </w:rPr>
        <w:t xml:space="preserve"> et al. (202</w:t>
      </w:r>
      <w:r>
        <w:rPr>
          <w:rFonts w:ascii="Times New Roman" w:hAnsi="Times New Roman" w:cs="Times New Roman"/>
          <w:sz w:val="24"/>
          <w:szCs w:val="24"/>
        </w:rPr>
        <w:t xml:space="preserve">5) evaluated the dietary supplementation of </w:t>
      </w:r>
      <w:r>
        <w:rPr>
          <w:rFonts w:ascii="Times New Roman" w:hAnsi="Times New Roman" w:cs="Times New Roman"/>
          <w:i/>
          <w:iCs/>
          <w:sz w:val="24"/>
          <w:szCs w:val="24"/>
        </w:rPr>
        <w:t>C. longa</w:t>
      </w:r>
      <w:r>
        <w:rPr>
          <w:rFonts w:ascii="Times New Roman" w:hAnsi="Times New Roman" w:cs="Times New Roman"/>
          <w:sz w:val="24"/>
          <w:szCs w:val="24"/>
        </w:rPr>
        <w:t xml:space="preserve">, </w:t>
      </w:r>
      <w:r>
        <w:rPr>
          <w:rFonts w:ascii="Times New Roman" w:hAnsi="Times New Roman" w:cs="Times New Roman"/>
          <w:i/>
          <w:iCs/>
          <w:sz w:val="24"/>
          <w:szCs w:val="24"/>
        </w:rPr>
        <w:t>A. sativum,</w:t>
      </w:r>
      <w:r>
        <w:rPr>
          <w:rFonts w:ascii="Times New Roman" w:hAnsi="Times New Roman" w:cs="Times New Roman"/>
          <w:sz w:val="24"/>
          <w:szCs w:val="24"/>
        </w:rPr>
        <w:t xml:space="preserve"> and </w:t>
      </w:r>
      <w:r>
        <w:rPr>
          <w:rFonts w:ascii="Times New Roman" w:hAnsi="Times New Roman" w:cs="Times New Roman"/>
          <w:i/>
          <w:iCs/>
          <w:sz w:val="24"/>
          <w:szCs w:val="24"/>
        </w:rPr>
        <w:t xml:space="preserve">Z. </w:t>
      </w:r>
      <w:proofErr w:type="spellStart"/>
      <w:r>
        <w:rPr>
          <w:rFonts w:ascii="Times New Roman" w:hAnsi="Times New Roman" w:cs="Times New Roman"/>
          <w:i/>
          <w:iCs/>
          <w:sz w:val="24"/>
          <w:szCs w:val="24"/>
        </w:rPr>
        <w:t>officinale</w:t>
      </w:r>
      <w:proofErr w:type="spellEnd"/>
      <w:r>
        <w:rPr>
          <w:rFonts w:ascii="Times New Roman" w:hAnsi="Times New Roman" w:cs="Times New Roman"/>
          <w:sz w:val="24"/>
          <w:szCs w:val="24"/>
        </w:rPr>
        <w:t xml:space="preserve"> in Nile tilapia (</w:t>
      </w:r>
      <w:r>
        <w:rPr>
          <w:rFonts w:ascii="Times New Roman" w:hAnsi="Times New Roman" w:cs="Times New Roman"/>
          <w:i/>
          <w:iCs/>
          <w:sz w:val="24"/>
          <w:szCs w:val="24"/>
        </w:rPr>
        <w:t xml:space="preserve">Oreochromis </w:t>
      </w:r>
      <w:proofErr w:type="spellStart"/>
      <w:r>
        <w:rPr>
          <w:rFonts w:ascii="Times New Roman" w:hAnsi="Times New Roman" w:cs="Times New Roman"/>
          <w:i/>
          <w:iCs/>
          <w:sz w:val="24"/>
          <w:szCs w:val="24"/>
        </w:rPr>
        <w:t>niloticus</w:t>
      </w:r>
      <w:proofErr w:type="spellEnd"/>
      <w:r>
        <w:rPr>
          <w:rFonts w:ascii="Times New Roman" w:hAnsi="Times New Roman" w:cs="Times New Roman"/>
          <w:sz w:val="24"/>
          <w:szCs w:val="24"/>
        </w:rPr>
        <w:t xml:space="preserve">) and found enhanced growth performance, feed utilization, and resistance to </w:t>
      </w:r>
      <w:r>
        <w:rPr>
          <w:rFonts w:ascii="Times New Roman" w:hAnsi="Times New Roman" w:cs="Times New Roman"/>
          <w:i/>
          <w:iCs/>
          <w:sz w:val="24"/>
          <w:szCs w:val="24"/>
        </w:rPr>
        <w:t>Streptococcus agalactiae</w:t>
      </w:r>
      <w:r>
        <w:rPr>
          <w:rFonts w:ascii="Times New Roman" w:hAnsi="Times New Roman" w:cs="Times New Roman"/>
          <w:sz w:val="24"/>
          <w:szCs w:val="24"/>
        </w:rPr>
        <w:t xml:space="preserve"> infection. These findings sugges</w:t>
      </w:r>
      <w:r>
        <w:rPr>
          <w:rFonts w:ascii="Times New Roman" w:hAnsi="Times New Roman" w:cs="Times New Roman"/>
          <w:sz w:val="24"/>
          <w:szCs w:val="24"/>
        </w:rPr>
        <w:t>t a potential for the synergistic use of these botanicals in improving systemic health and resilience to environmental stressors, including infections and toxicants.</w:t>
      </w:r>
    </w:p>
    <w:p w14:paraId="5D95A50D"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50E9C4C1"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Despite these promising findings, there remains a significant gap in the literature regar</w:t>
      </w:r>
      <w:r>
        <w:rPr>
          <w:rFonts w:ascii="Times New Roman" w:hAnsi="Times New Roman" w:cs="Times New Roman"/>
          <w:sz w:val="24"/>
          <w:szCs w:val="24"/>
        </w:rPr>
        <w:t xml:space="preserve">ding the combined effect of aqueous extracts of these three plants on the nervous system, particularly the cerebellum, under lead-induced oxidative stress. Most existing studies have examined the effects of individual extracts or focused on organs such as </w:t>
      </w:r>
      <w:r>
        <w:rPr>
          <w:rFonts w:ascii="Times New Roman" w:hAnsi="Times New Roman" w:cs="Times New Roman"/>
          <w:sz w:val="24"/>
          <w:szCs w:val="24"/>
        </w:rPr>
        <w:t xml:space="preserve">the liver, kidneys, and testes (Flora et al., 2012; </w:t>
      </w:r>
      <w:proofErr w:type="spellStart"/>
      <w:r>
        <w:rPr>
          <w:rFonts w:ascii="Times New Roman" w:hAnsi="Times New Roman" w:cs="Times New Roman"/>
          <w:sz w:val="24"/>
          <w:szCs w:val="24"/>
        </w:rPr>
        <w:t>Sudjarwo</w:t>
      </w:r>
      <w:proofErr w:type="spellEnd"/>
      <w:r>
        <w:rPr>
          <w:rFonts w:ascii="Times New Roman" w:hAnsi="Times New Roman" w:cs="Times New Roman"/>
          <w:sz w:val="24"/>
          <w:szCs w:val="24"/>
        </w:rPr>
        <w:t xml:space="preserve"> et al., 2017). The cerebellum, being a critical hub for motor control and cognition, deserves focused investigation, especially under heavy metal exposure scenarios.</w:t>
      </w:r>
    </w:p>
    <w:p w14:paraId="332E0292"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07256872"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 there is limite</w:t>
      </w:r>
      <w:r>
        <w:rPr>
          <w:rFonts w:ascii="Times New Roman" w:hAnsi="Times New Roman" w:cs="Times New Roman"/>
          <w:sz w:val="24"/>
          <w:szCs w:val="24"/>
        </w:rPr>
        <w:t xml:space="preserve">d quantitative histological data—such as neuronal cell counts, mean cell size, area percentage, and intensity of staining—supporting the neuroprotective claims of these phytochemicals. </w:t>
      </w:r>
      <w:proofErr w:type="spellStart"/>
      <w:r>
        <w:rPr>
          <w:rFonts w:ascii="Times New Roman" w:hAnsi="Times New Roman" w:cs="Times New Roman"/>
          <w:sz w:val="24"/>
          <w:szCs w:val="24"/>
        </w:rPr>
        <w:t>Histomorphometric</w:t>
      </w:r>
      <w:proofErr w:type="spellEnd"/>
      <w:r>
        <w:rPr>
          <w:rFonts w:ascii="Times New Roman" w:hAnsi="Times New Roman" w:cs="Times New Roman"/>
          <w:sz w:val="24"/>
          <w:szCs w:val="24"/>
        </w:rPr>
        <w:t xml:space="preserve"> analysis using Hematoxylin and Eosin (H\&amp;E) staining,</w:t>
      </w:r>
      <w:r>
        <w:rPr>
          <w:rFonts w:ascii="Times New Roman" w:hAnsi="Times New Roman" w:cs="Times New Roman"/>
          <w:sz w:val="24"/>
          <w:szCs w:val="24"/>
        </w:rPr>
        <w:t xml:space="preserve"> alongside image-based quantification, provides critical insights into tissue architecture and cellular integrity in neurotoxicological studies.</w:t>
      </w:r>
    </w:p>
    <w:p w14:paraId="412482E1"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30BDC4AF"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Therefore, this study seeks to fill this knowledge gap by investigating the protective effects of combined aqu</w:t>
      </w:r>
      <w:r>
        <w:rPr>
          <w:rFonts w:ascii="Times New Roman" w:hAnsi="Times New Roman" w:cs="Times New Roman"/>
          <w:sz w:val="24"/>
          <w:szCs w:val="24"/>
        </w:rPr>
        <w:t xml:space="preserve">eous extracts of </w:t>
      </w:r>
      <w:r>
        <w:rPr>
          <w:rFonts w:ascii="Times New Roman" w:hAnsi="Times New Roman" w:cs="Times New Roman"/>
          <w:i/>
          <w:iCs/>
          <w:sz w:val="24"/>
          <w:szCs w:val="24"/>
        </w:rPr>
        <w:t xml:space="preserve">Z. </w:t>
      </w:r>
      <w:proofErr w:type="spellStart"/>
      <w:r>
        <w:rPr>
          <w:rFonts w:ascii="Times New Roman" w:hAnsi="Times New Roman" w:cs="Times New Roman"/>
          <w:i/>
          <w:iCs/>
          <w:sz w:val="24"/>
          <w:szCs w:val="24"/>
        </w:rPr>
        <w:t>officinale</w:t>
      </w:r>
      <w:proofErr w:type="spellEnd"/>
      <w:r>
        <w:rPr>
          <w:rFonts w:ascii="Times New Roman" w:hAnsi="Times New Roman" w:cs="Times New Roman"/>
          <w:i/>
          <w:iCs/>
          <w:sz w:val="24"/>
          <w:szCs w:val="24"/>
        </w:rPr>
        <w:t xml:space="preserve">, A. sativum, and C. longa </w:t>
      </w:r>
      <w:r>
        <w:rPr>
          <w:rFonts w:ascii="Times New Roman" w:hAnsi="Times New Roman" w:cs="Times New Roman"/>
          <w:sz w:val="24"/>
          <w:szCs w:val="24"/>
        </w:rPr>
        <w:t>on Pb-induced cerebellar damage in Wistar rats. It evaluates not only the general histopathological features but also employs morphometric assessments to objectively quantify neuronal preservation. B</w:t>
      </w:r>
      <w:r>
        <w:rPr>
          <w:rFonts w:ascii="Times New Roman" w:hAnsi="Times New Roman" w:cs="Times New Roman"/>
          <w:sz w:val="24"/>
          <w:szCs w:val="24"/>
        </w:rPr>
        <w:t>y elucidating the neuroprotective potential of this phytochemical combination, this research aims to contribute to the development of effective, affordable, and accessible interventions for managing lead neurotoxicity.</w:t>
      </w:r>
    </w:p>
    <w:p w14:paraId="7B2F4A55"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60439A22"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1C7D02EA"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Materials and Methods</w:t>
      </w:r>
    </w:p>
    <w:p w14:paraId="02E58874"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2.1. Exper</w:t>
      </w:r>
      <w:r>
        <w:rPr>
          <w:rFonts w:ascii="Times New Roman" w:hAnsi="Times New Roman" w:cs="Times New Roman"/>
          <w:sz w:val="24"/>
          <w:szCs w:val="24"/>
        </w:rPr>
        <w:t>imental Animals</w:t>
      </w:r>
    </w:p>
    <w:p w14:paraId="3AB07B85" w14:textId="77777777" w:rsidR="00E11D75" w:rsidRDefault="00090F71">
      <w:pPr>
        <w:spacing w:line="360" w:lineRule="auto"/>
        <w:jc w:val="both"/>
        <w:rPr>
          <w:rFonts w:ascii="Times New Roman" w:hAnsi="Times New Roman" w:cs="Times New Roman"/>
          <w:sz w:val="24"/>
          <w:szCs w:val="24"/>
        </w:rPr>
      </w:pPr>
      <w:r>
        <w:rPr>
          <w:rFonts w:ascii="Times New Roman" w:hAnsi="Times New Roman" w:cs="Times New Roman"/>
          <w:sz w:val="24"/>
          <w:szCs w:val="24"/>
        </w:rPr>
        <w:t>Twenty-five adult Wistar rats (weighing 150–200 g) were used in this study. The animals were obtained from the Animal House of the Faculty of Basic Medical Sciences, University of Calabar, and acclimatized for one week under standard labora</w:t>
      </w:r>
      <w:r>
        <w:rPr>
          <w:rFonts w:ascii="Times New Roman" w:hAnsi="Times New Roman" w:cs="Times New Roman"/>
          <w:sz w:val="24"/>
          <w:szCs w:val="24"/>
        </w:rPr>
        <w:t xml:space="preserve">tory conditions (temperature 22–26°C, 12 h light/dark cycle) with free access to food and water. All animal handling procedures were conducted in accordance with guidelines </w:t>
      </w:r>
      <w:proofErr w:type="spellStart"/>
      <w:r>
        <w:rPr>
          <w:rFonts w:ascii="Times New Roman" w:hAnsi="Times New Roman" w:cs="Times New Roman"/>
          <w:sz w:val="24"/>
          <w:szCs w:val="24"/>
        </w:rPr>
        <w:t>nof</w:t>
      </w:r>
      <w:proofErr w:type="spellEnd"/>
      <w:r>
        <w:rPr>
          <w:rFonts w:ascii="Times New Roman" w:hAnsi="Times New Roman" w:cs="Times New Roman"/>
          <w:sz w:val="24"/>
          <w:szCs w:val="24"/>
        </w:rPr>
        <w:t xml:space="preserve"> the </w:t>
      </w:r>
      <w:r>
        <w:rPr>
          <w:rFonts w:ascii="Times New Roman" w:eastAsia="Times New Roman" w:hAnsi="Times New Roman" w:cs="Times New Roman"/>
          <w:sz w:val="24"/>
          <w:szCs w:val="24"/>
        </w:rPr>
        <w:t>Faculty Animal Research Ethics Committee (FAREC-FBMS), Faculty of Basic Med</w:t>
      </w:r>
      <w:r>
        <w:rPr>
          <w:rFonts w:ascii="Times New Roman" w:eastAsia="Times New Roman" w:hAnsi="Times New Roman" w:cs="Times New Roman"/>
          <w:sz w:val="24"/>
          <w:szCs w:val="24"/>
        </w:rPr>
        <w:t>ical Science, University of Calabar, Calabar with an issued number: 312ANA5821.</w:t>
      </w:r>
    </w:p>
    <w:p w14:paraId="1F7F6BB2"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765355FD" w14:textId="77777777" w:rsidR="00E11D75" w:rsidRDefault="00090F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eastAsia="Times New Roman" w:hAnsi="Times New Roman" w:cs="Times New Roman"/>
          <w:b/>
          <w:bCs/>
          <w:sz w:val="24"/>
          <w:szCs w:val="24"/>
        </w:rPr>
        <w:t>Identification of Plants and Chemicals</w:t>
      </w:r>
      <w:r>
        <w:rPr>
          <w:rFonts w:ascii="Times New Roman" w:eastAsia="Times New Roman" w:hAnsi="Times New Roman" w:cs="Times New Roman"/>
          <w:sz w:val="24"/>
          <w:szCs w:val="24"/>
        </w:rPr>
        <w:t xml:space="preserve"> </w:t>
      </w:r>
    </w:p>
    <w:p w14:paraId="7616D24D"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Aqueous extracts of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Allium sativum, </w:t>
      </w:r>
      <w:r>
        <w:rPr>
          <w:rFonts w:ascii="Times New Roman" w:hAnsi="Times New Roman" w:cs="Times New Roman"/>
          <w:sz w:val="24"/>
          <w:szCs w:val="24"/>
        </w:rPr>
        <w:t xml:space="preserve">and </w:t>
      </w:r>
      <w:r>
        <w:rPr>
          <w:rFonts w:ascii="Times New Roman" w:hAnsi="Times New Roman" w:cs="Times New Roman"/>
          <w:i/>
          <w:iCs/>
          <w:sz w:val="24"/>
          <w:szCs w:val="24"/>
        </w:rPr>
        <w:t xml:space="preserve">Curcuma longa </w:t>
      </w:r>
      <w:r>
        <w:rPr>
          <w:rFonts w:ascii="Times New Roman" w:hAnsi="Times New Roman" w:cs="Times New Roman"/>
          <w:sz w:val="24"/>
          <w:szCs w:val="24"/>
        </w:rPr>
        <w:t>were prepared using standardized procedures involving drying, pulverizing, and decoction in distilled water, followed by filtration and concentration (</w:t>
      </w:r>
      <w:proofErr w:type="spellStart"/>
      <w:r>
        <w:rPr>
          <w:rFonts w:ascii="Times New Roman" w:hAnsi="Times New Roman" w:cs="Times New Roman"/>
          <w:sz w:val="24"/>
          <w:szCs w:val="24"/>
        </w:rPr>
        <w:t>Krakowska-Sieprawska</w:t>
      </w:r>
      <w:proofErr w:type="spellEnd"/>
      <w:r>
        <w:rPr>
          <w:rFonts w:ascii="Times New Roman" w:hAnsi="Times New Roman" w:cs="Times New Roman"/>
          <w:sz w:val="24"/>
          <w:szCs w:val="24"/>
        </w:rPr>
        <w:t xml:space="preserve"> et al., 2022). Matured rhizomes of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 xml:space="preserve">Curcuma longa, </w:t>
      </w:r>
      <w:r>
        <w:rPr>
          <w:rFonts w:ascii="Times New Roman" w:hAnsi="Times New Roman" w:cs="Times New Roman"/>
          <w:sz w:val="24"/>
          <w:szCs w:val="24"/>
        </w:rPr>
        <w:t xml:space="preserve">as well as mature bulbs of </w:t>
      </w:r>
      <w:r>
        <w:rPr>
          <w:rFonts w:ascii="Times New Roman" w:hAnsi="Times New Roman" w:cs="Times New Roman"/>
          <w:i/>
          <w:iCs/>
          <w:sz w:val="24"/>
          <w:szCs w:val="24"/>
        </w:rPr>
        <w:t>Allium sativum</w:t>
      </w:r>
      <w:r>
        <w:rPr>
          <w:rFonts w:ascii="Times New Roman" w:hAnsi="Times New Roman" w:cs="Times New Roman"/>
          <w:sz w:val="24"/>
          <w:szCs w:val="24"/>
        </w:rPr>
        <w:t>, were sourced from Watt Market in Calabar, located in Cross River State. These plant materials were identified by a taxonomist from the Department of Botany, Faculty of Biological Sciences, University of Calabar. V</w:t>
      </w:r>
      <w:r>
        <w:rPr>
          <w:rFonts w:ascii="Times New Roman" w:hAnsi="Times New Roman" w:cs="Times New Roman"/>
          <w:sz w:val="24"/>
          <w:szCs w:val="24"/>
        </w:rPr>
        <w:t xml:space="preserve">oucher numbers assigned to each specimen are as follows: Bot/Herb/UCC/179 for </w:t>
      </w:r>
      <w:r>
        <w:rPr>
          <w:rFonts w:ascii="Times New Roman" w:hAnsi="Times New Roman" w:cs="Times New Roman"/>
          <w:i/>
          <w:iCs/>
          <w:sz w:val="24"/>
          <w:szCs w:val="24"/>
        </w:rPr>
        <w:t>Allium sativum</w:t>
      </w:r>
      <w:r>
        <w:rPr>
          <w:rFonts w:ascii="Times New Roman" w:hAnsi="Times New Roman" w:cs="Times New Roman"/>
          <w:sz w:val="24"/>
          <w:szCs w:val="24"/>
        </w:rPr>
        <w:t xml:space="preserve">, Bot/Herb/UCC/178 for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sz w:val="24"/>
          <w:szCs w:val="24"/>
        </w:rPr>
        <w:t xml:space="preserve">, and Bot/Herb/UCC/177 for </w:t>
      </w:r>
      <w:r>
        <w:rPr>
          <w:rFonts w:ascii="Times New Roman" w:hAnsi="Times New Roman" w:cs="Times New Roman"/>
          <w:i/>
          <w:iCs/>
          <w:sz w:val="24"/>
          <w:szCs w:val="24"/>
        </w:rPr>
        <w:t>Curcuma longa.</w:t>
      </w:r>
    </w:p>
    <w:p w14:paraId="648EDCDD"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Additionally, approximately 50 grams of lead acetate was obtained, weighed, and </w:t>
      </w:r>
      <w:r>
        <w:rPr>
          <w:rFonts w:ascii="Times New Roman" w:hAnsi="Times New Roman" w:cs="Times New Roman"/>
          <w:sz w:val="24"/>
          <w:szCs w:val="24"/>
        </w:rPr>
        <w:t xml:space="preserve">purchased from the Department of Pure and Applied Chemistry, Faculty of Physical Sciences, University of Calabar. The chemical was supplied by </w:t>
      </w:r>
      <w:proofErr w:type="spellStart"/>
      <w:r>
        <w:rPr>
          <w:rFonts w:ascii="Times New Roman" w:hAnsi="Times New Roman" w:cs="Times New Roman"/>
          <w:sz w:val="24"/>
          <w:szCs w:val="24"/>
        </w:rPr>
        <w:t>Archit</w:t>
      </w:r>
      <w:proofErr w:type="spellEnd"/>
      <w:r>
        <w:rPr>
          <w:rFonts w:ascii="Times New Roman" w:hAnsi="Times New Roman" w:cs="Times New Roman"/>
          <w:sz w:val="24"/>
          <w:szCs w:val="24"/>
        </w:rPr>
        <w:t xml:space="preserve"> Meta Chem, Ahmedabad-380004, Gujarat, India, with CAS number 301-04-2.</w:t>
      </w:r>
    </w:p>
    <w:p w14:paraId="57BC0517"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631C3864"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2.3. Experimental Design</w:t>
      </w:r>
    </w:p>
    <w:p w14:paraId="4CAC49E4"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089B8972"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rats</w:t>
      </w:r>
      <w:r>
        <w:rPr>
          <w:rFonts w:ascii="Times New Roman" w:hAnsi="Times New Roman" w:cs="Times New Roman"/>
          <w:sz w:val="24"/>
          <w:szCs w:val="24"/>
        </w:rPr>
        <w:t xml:space="preserve"> were randomly divided into five (5) groups (n = 5 per group):</w:t>
      </w:r>
    </w:p>
    <w:p w14:paraId="51F4972E"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2F58A577"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Group A (Negative Control): Received distilled water only.</w:t>
      </w:r>
    </w:p>
    <w:p w14:paraId="76D09354"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Group B (Positive Control): Received lead acetate (150 mg/kg/day, orally) for 14 days.</w:t>
      </w:r>
    </w:p>
    <w:p w14:paraId="3AB0FA32"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Group C (Low Dose Treatment): Received lead ac</w:t>
      </w:r>
      <w:r>
        <w:rPr>
          <w:rFonts w:ascii="Times New Roman" w:hAnsi="Times New Roman" w:cs="Times New Roman"/>
          <w:sz w:val="24"/>
          <w:szCs w:val="24"/>
        </w:rPr>
        <w:t>etate (150 mg/kg/day) for 14 days, then co-administered 300 mg/kg of each extract for 14 days.</w:t>
      </w:r>
    </w:p>
    <w:p w14:paraId="327B3398"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Group D (Moderate Dose Treatment): Received lead acetate (150 mg/kg/day) for 14 days, then 400 mg/kg of each extract for 14 days.</w:t>
      </w:r>
    </w:p>
    <w:p w14:paraId="3B77297B"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Group E (High Dose Treatment): </w:t>
      </w:r>
      <w:r>
        <w:rPr>
          <w:rFonts w:ascii="Times New Roman" w:hAnsi="Times New Roman" w:cs="Times New Roman"/>
          <w:sz w:val="24"/>
          <w:szCs w:val="24"/>
        </w:rPr>
        <w:t>Received lead acetate (150 mg/kg/day) for 14 days, then 500 mg/kg of each extract for 14 days.</w:t>
      </w:r>
    </w:p>
    <w:p w14:paraId="657F36A9"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5C60EF93"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2.4. Anesthesia and Euthanasia</w:t>
      </w:r>
    </w:p>
    <w:p w14:paraId="0DD3AFC0"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0D0A07F5"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Animals were anesthetized with an intraperitoneal injection of ketamine (80 mg/kg) prior to sacrifice to harvest the brain tissu</w:t>
      </w:r>
      <w:r>
        <w:rPr>
          <w:rFonts w:ascii="Times New Roman" w:hAnsi="Times New Roman" w:cs="Times New Roman"/>
          <w:sz w:val="24"/>
          <w:szCs w:val="24"/>
        </w:rPr>
        <w:t>es.</w:t>
      </w:r>
    </w:p>
    <w:p w14:paraId="54E0061D"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315764A5"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2.5. Tissue Processing and Histological Analysis</w:t>
      </w:r>
    </w:p>
    <w:p w14:paraId="00BCED2E"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6AE3AC04"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Brain tissues were dissected and fixed in 10% neutral-buffered formalin for 48 hours. Standard paraffin-embedding techniques were followed. Sections of 5 µm thickness were obtained using a rotary micro</w:t>
      </w:r>
      <w:r>
        <w:rPr>
          <w:rFonts w:ascii="Times New Roman" w:hAnsi="Times New Roman" w:cs="Times New Roman"/>
          <w:sz w:val="24"/>
          <w:szCs w:val="24"/>
        </w:rPr>
        <w:t>tome and stained with Hematoxylin and Eosin (H\&amp;E) using established protocols (Cardiff et al., 2014).</w:t>
      </w:r>
    </w:p>
    <w:p w14:paraId="3B4AF909"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46409CB8"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2.6. Microscopy and Image Analysis</w:t>
      </w:r>
    </w:p>
    <w:p w14:paraId="37C91F81"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39CA577A"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Photomicrographs of the cerebellar sections were taken at ×400 magnification using a light microscope fitted with a </w:t>
      </w:r>
      <w:r>
        <w:rPr>
          <w:rFonts w:ascii="Times New Roman" w:hAnsi="Times New Roman" w:cs="Times New Roman"/>
          <w:sz w:val="24"/>
          <w:szCs w:val="24"/>
        </w:rPr>
        <w:t>digital camera. The images were calibrated using a micrometer scale and analyzed using ImageJ software (NIH, USA) for the following parameters:</w:t>
      </w:r>
    </w:p>
    <w:p w14:paraId="228AC554"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40C0F178"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Cell count (n): Manual or semi-automated counting of stained neuronal cell bodies within defined regions of int</w:t>
      </w:r>
      <w:r>
        <w:rPr>
          <w:rFonts w:ascii="Times New Roman" w:hAnsi="Times New Roman" w:cs="Times New Roman"/>
          <w:sz w:val="24"/>
          <w:szCs w:val="24"/>
        </w:rPr>
        <w:t>erest (ROIs).</w:t>
      </w:r>
    </w:p>
    <w:p w14:paraId="44FC6D26"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Total area (µm²): Area covered by neuronal profiles within the ROI, determined via thresholding and segmentation tools.</w:t>
      </w:r>
    </w:p>
    <w:p w14:paraId="22F41B81"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Average cell size (µm²): Calculated by dividing total area by the number of counted cells.</w:t>
      </w:r>
    </w:p>
    <w:p w14:paraId="09CFEF65"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Percentage area (% ROI)' </w:t>
      </w:r>
      <w:r>
        <w:rPr>
          <w:rFonts w:ascii="Times New Roman" w:hAnsi="Times New Roman" w:cs="Times New Roman"/>
          <w:sz w:val="24"/>
          <w:szCs w:val="24"/>
        </w:rPr>
        <w:t>Proportion of the field occupied by neurons relative to the total field area.</w:t>
      </w:r>
    </w:p>
    <w:p w14:paraId="091FACC4"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Intensity values (mean gray value): Reflecting the average pixel intensity of neuronal structures to assess staining density.</w:t>
      </w:r>
    </w:p>
    <w:p w14:paraId="1F33A216"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 Parameter Quantification:</w:t>
      </w:r>
    </w:p>
    <w:p w14:paraId="1ADDF964"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For each image, the </w:t>
      </w:r>
      <w:r>
        <w:rPr>
          <w:rFonts w:ascii="Times New Roman" w:hAnsi="Times New Roman" w:cs="Times New Roman"/>
          <w:sz w:val="24"/>
          <w:szCs w:val="24"/>
        </w:rPr>
        <w:t>following parameters were evaluated:</w:t>
      </w:r>
    </w:p>
    <w:p w14:paraId="50B52B2C"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Each measurement was repeated in multiple fields per animal (minimum of 3–5 ROIs), and the mean value was used for statistical analysis.</w:t>
      </w:r>
    </w:p>
    <w:p w14:paraId="51461984"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7. Statistical Analysis</w:t>
      </w:r>
    </w:p>
    <w:p w14:paraId="094DB153" w14:textId="77777777" w:rsidR="00E11D75" w:rsidRDefault="00E11D75">
      <w:pPr>
        <w:autoSpaceDE w:val="0"/>
        <w:autoSpaceDN w:val="0"/>
        <w:adjustRightInd w:val="0"/>
        <w:spacing w:after="0" w:line="360" w:lineRule="auto"/>
        <w:jc w:val="both"/>
        <w:rPr>
          <w:rFonts w:ascii="Times New Roman" w:hAnsi="Times New Roman" w:cs="Times New Roman"/>
          <w:sz w:val="24"/>
          <w:szCs w:val="24"/>
        </w:rPr>
      </w:pPr>
    </w:p>
    <w:p w14:paraId="049884DD" w14:textId="77777777" w:rsidR="00E11D75" w:rsidRDefault="00090F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All data were expressed as mean ± standard deviation (SD)</w:t>
      </w:r>
      <w:r>
        <w:rPr>
          <w:rFonts w:ascii="Times New Roman" w:hAnsi="Times New Roman" w:cs="Times New Roman"/>
          <w:sz w:val="24"/>
          <w:szCs w:val="24"/>
        </w:rPr>
        <w:t>. Statistical comparisons among groups were performed using **one-way ANOVA followed by Tukey’s post hoc test for multiple comparisons using IBM SPSS version 25.0.</w:t>
      </w:r>
    </w:p>
    <w:p w14:paraId="6A2DBF3D" w14:textId="77777777" w:rsidR="00E11D75" w:rsidRDefault="00E11D75">
      <w:pPr>
        <w:autoSpaceDE w:val="0"/>
        <w:autoSpaceDN w:val="0"/>
        <w:adjustRightInd w:val="0"/>
        <w:spacing w:after="0" w:line="360" w:lineRule="auto"/>
        <w:jc w:val="both"/>
        <w:rPr>
          <w:rFonts w:eastAsia="MS Gothic"/>
          <w:color w:val="365F91"/>
          <w:sz w:val="24"/>
          <w:szCs w:val="24"/>
        </w:rPr>
      </w:pPr>
    </w:p>
    <w:p w14:paraId="5B80C689" w14:textId="77777777" w:rsidR="00E11D75" w:rsidRDefault="00E11D75">
      <w:pPr>
        <w:autoSpaceDE w:val="0"/>
        <w:autoSpaceDN w:val="0"/>
        <w:adjustRightInd w:val="0"/>
        <w:spacing w:line="360" w:lineRule="auto"/>
        <w:jc w:val="both"/>
        <w:rPr>
          <w:rFonts w:ascii="Times New Roman" w:hAnsi="Times New Roman" w:cs="Times New Roman"/>
          <w:sz w:val="24"/>
          <w:szCs w:val="24"/>
        </w:rPr>
      </w:pPr>
    </w:p>
    <w:p w14:paraId="764D5573" w14:textId="77777777" w:rsidR="00E11D75" w:rsidRDefault="00090F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Results </w:t>
      </w:r>
    </w:p>
    <w:p w14:paraId="0FD41B42"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 xml:space="preserve">3.1 Histological Observations </w:t>
      </w:r>
    </w:p>
    <w:p w14:paraId="57267DD4"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Following a 14-day experimental period, histolo</w:t>
      </w:r>
      <w:r>
        <w:rPr>
          <w:rFonts w:ascii="Times New Roman" w:hAnsi="Times New Roman" w:cs="Times New Roman"/>
          <w:sz w:val="24"/>
          <w:szCs w:val="24"/>
        </w:rPr>
        <w:t>gical analysis of cerebellar tissue stained with hematoxylin and eosin (H\&amp;E) and examined at 400× magnification revealed the following observations across the experimental groups:</w:t>
      </w:r>
    </w:p>
    <w:p w14:paraId="7AB61976"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A (Negative Control)</w:t>
      </w:r>
    </w:p>
    <w:p w14:paraId="36FBAFD7"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Cerebellar sections from the negative control gr</w:t>
      </w:r>
      <w:r>
        <w:rPr>
          <w:rFonts w:ascii="Times New Roman" w:hAnsi="Times New Roman" w:cs="Times New Roman"/>
          <w:sz w:val="24"/>
          <w:szCs w:val="24"/>
        </w:rPr>
        <w:t>oup, which did not receive either lead acetate or plant extracts, exhibited normal histoarchitecture. The molecular (M), Purkinje (P), and granular (G) layers were clearly delineated and well preserved. Numerous intact Purkinje neurons were prominently obs</w:t>
      </w:r>
      <w:r>
        <w:rPr>
          <w:rFonts w:ascii="Times New Roman" w:hAnsi="Times New Roman" w:cs="Times New Roman"/>
          <w:sz w:val="24"/>
          <w:szCs w:val="24"/>
        </w:rPr>
        <w:t xml:space="preserve">erved at the interface between the molecular and granular layers (Figure 1; Plate 1). </w:t>
      </w:r>
    </w:p>
    <w:p w14:paraId="70959B34"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B (Positive Control/Lead Acetate)</w:t>
      </w:r>
    </w:p>
    <w:p w14:paraId="366FFA66"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Sections from the group treated with 150 mg/kg body weight of lead acetate for 14 days displayed significant histological alterat</w:t>
      </w:r>
      <w:r>
        <w:rPr>
          <w:rFonts w:ascii="Times New Roman" w:hAnsi="Times New Roman" w:cs="Times New Roman"/>
          <w:sz w:val="24"/>
          <w:szCs w:val="24"/>
        </w:rPr>
        <w:t>ions. There was notable degeneration of Purkinje cells, with prominent vacuolations within the Purkinje cell layer and the granular layer. The Purkinje cells appeared sparse and structurally compromised (Figure 1; Plate 2).</w:t>
      </w:r>
    </w:p>
    <w:p w14:paraId="00E5F319"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C (Low Dose Treatment)</w:t>
      </w:r>
    </w:p>
    <w:p w14:paraId="10ABC9F8"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 xml:space="preserve">Tissues from the group that received lead acetate followed by treatment with 300 mg/kg body weight of each aqueous extract of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Allium sativum,</w:t>
      </w:r>
      <w:r>
        <w:rPr>
          <w:rFonts w:ascii="Times New Roman" w:hAnsi="Times New Roman" w:cs="Times New Roman"/>
          <w:sz w:val="24"/>
          <w:szCs w:val="24"/>
        </w:rPr>
        <w:t xml:space="preserve"> and </w:t>
      </w:r>
      <w:r>
        <w:rPr>
          <w:rFonts w:ascii="Times New Roman" w:hAnsi="Times New Roman" w:cs="Times New Roman"/>
          <w:i/>
          <w:iCs/>
          <w:sz w:val="24"/>
          <w:szCs w:val="24"/>
        </w:rPr>
        <w:t xml:space="preserve">Curcuma longa </w:t>
      </w:r>
      <w:r>
        <w:rPr>
          <w:rFonts w:ascii="Times New Roman" w:hAnsi="Times New Roman" w:cs="Times New Roman"/>
          <w:sz w:val="24"/>
          <w:szCs w:val="24"/>
        </w:rPr>
        <w:t>showed moderate architectural disruption. Degenerating Purkinje neurons and</w:t>
      </w:r>
      <w:r>
        <w:rPr>
          <w:rFonts w:ascii="Times New Roman" w:hAnsi="Times New Roman" w:cs="Times New Roman"/>
          <w:sz w:val="24"/>
          <w:szCs w:val="24"/>
        </w:rPr>
        <w:t xml:space="preserve"> marked vacuolations were evident in both the Purkinje and granular layers (Figure 1; Plate 3).</w:t>
      </w:r>
    </w:p>
    <w:p w14:paraId="296FF84D"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D (Moderate Dose Treatment)</w:t>
      </w:r>
    </w:p>
    <w:p w14:paraId="479572B5"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lastRenderedPageBreak/>
        <w:t>Cerebellar sections from animals treated with 400 mg/kg of each plant extract following lead exposure revealed improved cytoar</w:t>
      </w:r>
      <w:r>
        <w:rPr>
          <w:rFonts w:ascii="Times New Roman" w:hAnsi="Times New Roman" w:cs="Times New Roman"/>
          <w:sz w:val="24"/>
          <w:szCs w:val="24"/>
        </w:rPr>
        <w:t>chitecture compared to the low-dose group. However, mild vacuolations persisted within the Purkinje cell layer, and fewer Purkinje neurons were observed (Figure 1; Plate 4).</w:t>
      </w:r>
    </w:p>
    <w:p w14:paraId="4B5E6BF2"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E (High Dose Treatment)</w:t>
      </w:r>
    </w:p>
    <w:p w14:paraId="00601183" w14:textId="77777777" w:rsidR="00E11D75" w:rsidRDefault="00090F71">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The group administered 500 mg/kg of each extract pos</w:t>
      </w:r>
      <w:r>
        <w:rPr>
          <w:rFonts w:ascii="Times New Roman" w:hAnsi="Times New Roman" w:cs="Times New Roman"/>
          <w:sz w:val="24"/>
          <w:szCs w:val="24"/>
        </w:rPr>
        <w:t>t-lead exposure exhibited significant histological recovery. The cerebellar layers—molecular, Purkinje, and granular—appeared distinct and intact. Numerous healthy Purkinje neurons were evident, indicating a dose-dependent neuroprotective effect of the ext</w:t>
      </w:r>
      <w:r>
        <w:rPr>
          <w:rFonts w:ascii="Times New Roman" w:hAnsi="Times New Roman" w:cs="Times New Roman"/>
          <w:sz w:val="24"/>
          <w:szCs w:val="24"/>
        </w:rPr>
        <w:t>racts (Figure 1; Plate 5).</w:t>
      </w:r>
    </w:p>
    <w:p w14:paraId="008C85F7" w14:textId="1638CD46" w:rsidR="00E11D75" w:rsidRDefault="001D3262">
      <w:pPr>
        <w:autoSpaceDE w:val="0"/>
        <w:autoSpaceDN w:val="0"/>
        <w:adjustRightInd w:val="0"/>
        <w:spacing w:line="240" w:lineRule="auto"/>
        <w:jc w:val="both"/>
        <w:rPr>
          <w:rFonts w:eastAsia="MS Gothic"/>
          <w:sz w:val="24"/>
          <w:szCs w:val="24"/>
        </w:rPr>
      </w:pPr>
      <w:r>
        <w:rPr>
          <w:rFonts w:eastAsia="MS Gothic"/>
          <w:sz w:val="24"/>
          <w:szCs w:val="24"/>
        </w:rPr>
        <w:t>Plate 1-5: Photomicrographs of H&amp;E-Stained Cerebellar Sections from Experimental Groups at ×400 Magnification</w:t>
      </w:r>
    </w:p>
    <w:p w14:paraId="29FC1120" w14:textId="77777777" w:rsidR="00E11D75" w:rsidRDefault="00090F71">
      <w:pPr>
        <w:autoSpaceDE w:val="0"/>
        <w:autoSpaceDN w:val="0"/>
        <w:adjustRightInd w:val="0"/>
        <w:spacing w:line="240" w:lineRule="auto"/>
        <w:jc w:val="center"/>
        <w:rPr>
          <w:rFonts w:eastAsia="MS Gothic"/>
          <w:b/>
          <w:bCs/>
          <w:color w:val="365F91"/>
          <w:sz w:val="24"/>
          <w:szCs w:val="24"/>
        </w:rPr>
      </w:pPr>
      <w:r>
        <w:rPr>
          <w:noProof/>
          <w:sz w:val="24"/>
          <w:szCs w:val="24"/>
        </w:rPr>
        <w:drawing>
          <wp:inline distT="0" distB="0" distL="0" distR="0" wp14:anchorId="25625C4C" wp14:editId="497B991D">
            <wp:extent cx="6965695" cy="4645152"/>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srcRect/>
                    <a:stretch/>
                  </pic:blipFill>
                  <pic:spPr>
                    <a:xfrm>
                      <a:off x="0" y="0"/>
                      <a:ext cx="6965695" cy="4645152"/>
                    </a:xfrm>
                    <a:prstGeom prst="rect">
                      <a:avLst/>
                    </a:prstGeom>
                  </pic:spPr>
                </pic:pic>
              </a:graphicData>
            </a:graphic>
          </wp:inline>
        </w:drawing>
      </w:r>
    </w:p>
    <w:p w14:paraId="4629C9E9" w14:textId="77777777" w:rsidR="00E11D75" w:rsidRDefault="00090F71">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PLATE 1: Photomicrograph of the cerebellum – Group A (Negative Control)</w:t>
      </w:r>
    </w:p>
    <w:p w14:paraId="4C33C12B" w14:textId="77777777" w:rsidR="00E11D75" w:rsidRDefault="00090F71">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Hematoxylin and eosin (H\&amp;E) stained section showing well-preserved cerebellar cytoarchitecture. The molecular layer (M), Purkinje cell layer (P), and granular layer (G) appear clearly defined and intact. Numerous normal Purkinje neurons are visible at the</w:t>
      </w:r>
      <w:r>
        <w:rPr>
          <w:rFonts w:ascii="Times New Roman" w:hAnsi="Times New Roman" w:cs="Times New Roman"/>
          <w:sz w:val="24"/>
          <w:szCs w:val="24"/>
        </w:rPr>
        <w:t xml:space="preserve"> junction between the molecular and granular layers. </w:t>
      </w:r>
      <w:r>
        <w:rPr>
          <w:rFonts w:ascii="Times New Roman" w:hAnsi="Times New Roman" w:cs="Times New Roman"/>
          <w:i/>
          <w:iCs/>
          <w:sz w:val="24"/>
          <w:szCs w:val="24"/>
        </w:rPr>
        <w:t>(H\&amp;E, ×400)</w:t>
      </w:r>
    </w:p>
    <w:p w14:paraId="78865A12" w14:textId="77777777" w:rsidR="00E11D75" w:rsidRDefault="00090F71">
      <w:pPr>
        <w:autoSpaceDE w:val="0"/>
        <w:autoSpaceDN w:val="0"/>
        <w:adjustRightInd w:val="0"/>
        <w:spacing w:line="240" w:lineRule="auto"/>
        <w:jc w:val="center"/>
        <w:rPr>
          <w:rFonts w:eastAsia="MS Gothic"/>
          <w:b/>
          <w:bCs/>
          <w:color w:val="365F91"/>
          <w:sz w:val="24"/>
          <w:szCs w:val="24"/>
        </w:rPr>
      </w:pPr>
      <w:r>
        <w:rPr>
          <w:noProof/>
          <w:sz w:val="24"/>
          <w:szCs w:val="24"/>
        </w:rPr>
        <w:lastRenderedPageBreak/>
        <w:drawing>
          <wp:inline distT="0" distB="0" distL="0" distR="0" wp14:anchorId="25ADCEA5" wp14:editId="17DD5301">
            <wp:extent cx="7029068" cy="4762246"/>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7" cstate="print"/>
                    <a:srcRect/>
                    <a:stretch/>
                  </pic:blipFill>
                  <pic:spPr>
                    <a:xfrm>
                      <a:off x="0" y="0"/>
                      <a:ext cx="7029068" cy="4762246"/>
                    </a:xfrm>
                    <a:prstGeom prst="rect">
                      <a:avLst/>
                    </a:prstGeom>
                  </pic:spPr>
                </pic:pic>
              </a:graphicData>
            </a:graphic>
          </wp:inline>
        </w:drawing>
      </w:r>
    </w:p>
    <w:p w14:paraId="553A615E" w14:textId="77777777" w:rsidR="00E11D75" w:rsidRDefault="00E11D75">
      <w:pPr>
        <w:autoSpaceDE w:val="0"/>
        <w:autoSpaceDN w:val="0"/>
        <w:adjustRightInd w:val="0"/>
        <w:spacing w:line="240" w:lineRule="auto"/>
        <w:rPr>
          <w:rFonts w:eastAsia="MS Gothic"/>
          <w:b/>
          <w:bCs/>
          <w:color w:val="365F91"/>
          <w:sz w:val="24"/>
          <w:szCs w:val="24"/>
        </w:rPr>
      </w:pPr>
    </w:p>
    <w:p w14:paraId="3BB644AA" w14:textId="77777777" w:rsidR="00E11D75" w:rsidRDefault="00090F71">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PLATE 2: Photomicrograph of the cerebellum – Group B (Positive Control/Lead Acetate)</w:t>
      </w:r>
    </w:p>
    <w:p w14:paraId="5A750EB7" w14:textId="77777777" w:rsidR="00E11D75" w:rsidRDefault="00090F71">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Section showing cerebellar architecture following administration of lead acetate (150 mg/kg). There is</w:t>
      </w:r>
      <w:r>
        <w:rPr>
          <w:rFonts w:ascii="Times New Roman" w:hAnsi="Times New Roman" w:cs="Times New Roman"/>
          <w:sz w:val="24"/>
          <w:szCs w:val="24"/>
        </w:rPr>
        <w:t xml:space="preserve"> marked depletion and degeneration of Purkinje neurons, with extensive vacuolations in both the Purkinje and granular layers. The Purkinje cell population appears reduced and scattered. </w:t>
      </w:r>
      <w:r>
        <w:rPr>
          <w:rFonts w:ascii="Times New Roman" w:hAnsi="Times New Roman" w:cs="Times New Roman"/>
          <w:i/>
          <w:iCs/>
          <w:sz w:val="24"/>
          <w:szCs w:val="24"/>
        </w:rPr>
        <w:t>(H\&amp;E, ×400)</w:t>
      </w:r>
    </w:p>
    <w:p w14:paraId="57C25DF7" w14:textId="77777777" w:rsidR="00E11D75" w:rsidRDefault="00E11D75">
      <w:pPr>
        <w:autoSpaceDE w:val="0"/>
        <w:autoSpaceDN w:val="0"/>
        <w:adjustRightInd w:val="0"/>
        <w:spacing w:line="240" w:lineRule="auto"/>
        <w:rPr>
          <w:rFonts w:eastAsia="MS Gothic"/>
          <w:b/>
          <w:bCs/>
          <w:color w:val="365F91"/>
          <w:sz w:val="24"/>
          <w:szCs w:val="24"/>
        </w:rPr>
      </w:pPr>
    </w:p>
    <w:p w14:paraId="569BC49D" w14:textId="77777777" w:rsidR="00E11D75" w:rsidRDefault="00090F71">
      <w:pPr>
        <w:autoSpaceDE w:val="0"/>
        <w:autoSpaceDN w:val="0"/>
        <w:adjustRightInd w:val="0"/>
        <w:spacing w:line="240" w:lineRule="auto"/>
        <w:jc w:val="center"/>
        <w:rPr>
          <w:rFonts w:eastAsia="MS Gothic"/>
          <w:b/>
          <w:bCs/>
          <w:color w:val="365F91"/>
          <w:sz w:val="24"/>
          <w:szCs w:val="24"/>
        </w:rPr>
      </w:pPr>
      <w:r>
        <w:rPr>
          <w:rFonts w:ascii="Times New Roman" w:hAnsi="Times New Roman" w:cs="Times New Roman"/>
          <w:sz w:val="24"/>
          <w:szCs w:val="24"/>
        </w:rPr>
        <w:lastRenderedPageBreak/>
        <w:t>-</w:t>
      </w:r>
      <w:r>
        <w:rPr>
          <w:noProof/>
          <w:sz w:val="24"/>
          <w:szCs w:val="24"/>
        </w:rPr>
        <w:drawing>
          <wp:inline distT="0" distB="0" distL="0" distR="0" wp14:anchorId="20C616A5" wp14:editId="6A5F8424">
            <wp:extent cx="6965315" cy="4755515"/>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8" cstate="print"/>
                    <a:srcRect/>
                    <a:stretch/>
                  </pic:blipFill>
                  <pic:spPr>
                    <a:xfrm>
                      <a:off x="0" y="0"/>
                      <a:ext cx="6965315" cy="4755515"/>
                    </a:xfrm>
                    <a:prstGeom prst="rect">
                      <a:avLst/>
                    </a:prstGeom>
                  </pic:spPr>
                </pic:pic>
              </a:graphicData>
            </a:graphic>
          </wp:inline>
        </w:drawing>
      </w:r>
    </w:p>
    <w:p w14:paraId="30D2ACDA" w14:textId="77777777" w:rsidR="00E11D75" w:rsidRDefault="00090F71">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 xml:space="preserve">PLATE 3: Photomicrograph of the cerebellum – Group C </w:t>
      </w:r>
      <w:r>
        <w:rPr>
          <w:rFonts w:ascii="Times New Roman" w:hAnsi="Times New Roman" w:cs="Times New Roman"/>
          <w:sz w:val="24"/>
          <w:szCs w:val="24"/>
        </w:rPr>
        <w:t>(Low Dose Treatment)</w:t>
      </w:r>
    </w:p>
    <w:p w14:paraId="1D3DFDAA" w14:textId="77777777" w:rsidR="00E11D75" w:rsidRDefault="00090F71">
      <w:pPr>
        <w:autoSpaceDE w:val="0"/>
        <w:autoSpaceDN w:val="0"/>
        <w:adjustRightInd w:val="0"/>
        <w:spacing w:line="240" w:lineRule="auto"/>
        <w:rPr>
          <w:rFonts w:eastAsia="MS Gothic"/>
          <w:b/>
          <w:bCs/>
          <w:i/>
          <w:iCs/>
          <w:color w:val="365F91"/>
          <w:sz w:val="24"/>
          <w:szCs w:val="24"/>
        </w:rPr>
      </w:pPr>
      <w:r>
        <w:rPr>
          <w:rFonts w:ascii="Times New Roman" w:hAnsi="Times New Roman" w:cs="Times New Roman"/>
          <w:sz w:val="24"/>
          <w:szCs w:val="24"/>
        </w:rPr>
        <w:t xml:space="preserve">Cerebellar section from rats exposed to lead acetate followed by treatment with low-dose aqueous extracts (300 mg/kg each of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i/>
          <w:iCs/>
          <w:sz w:val="24"/>
          <w:szCs w:val="24"/>
        </w:rPr>
        <w:t>, Allium sativum, and Curcuma longa</w:t>
      </w:r>
      <w:r>
        <w:rPr>
          <w:rFonts w:ascii="Times New Roman" w:hAnsi="Times New Roman" w:cs="Times New Roman"/>
          <w:sz w:val="24"/>
          <w:szCs w:val="24"/>
        </w:rPr>
        <w:t>). Moderate cytoarchitectural distortion and neuronal de</w:t>
      </w:r>
      <w:r>
        <w:rPr>
          <w:rFonts w:ascii="Times New Roman" w:hAnsi="Times New Roman" w:cs="Times New Roman"/>
          <w:sz w:val="24"/>
          <w:szCs w:val="24"/>
        </w:rPr>
        <w:t xml:space="preserve">generation are evident, with vacuolations within the Purkinje and granular layers. </w:t>
      </w:r>
      <w:r>
        <w:rPr>
          <w:rFonts w:ascii="Times New Roman" w:hAnsi="Times New Roman" w:cs="Times New Roman"/>
          <w:i/>
          <w:iCs/>
          <w:sz w:val="24"/>
          <w:szCs w:val="24"/>
        </w:rPr>
        <w:t>(H\&amp;E, ×400)</w:t>
      </w:r>
    </w:p>
    <w:p w14:paraId="6E392DC2" w14:textId="77777777" w:rsidR="00E11D75" w:rsidRDefault="00090F71">
      <w:pPr>
        <w:autoSpaceDE w:val="0"/>
        <w:autoSpaceDN w:val="0"/>
        <w:adjustRightInd w:val="0"/>
        <w:spacing w:line="240" w:lineRule="auto"/>
        <w:jc w:val="center"/>
        <w:rPr>
          <w:rFonts w:eastAsia="MS Gothic"/>
          <w:b/>
          <w:bCs/>
          <w:color w:val="365F91"/>
          <w:sz w:val="24"/>
          <w:szCs w:val="24"/>
        </w:rPr>
      </w:pPr>
      <w:r>
        <w:rPr>
          <w:noProof/>
          <w:sz w:val="24"/>
          <w:szCs w:val="24"/>
        </w:rPr>
        <w:lastRenderedPageBreak/>
        <w:drawing>
          <wp:inline distT="0" distB="0" distL="0" distR="0" wp14:anchorId="6D5D4EDD" wp14:editId="2FA762CE">
            <wp:extent cx="6923405" cy="4638675"/>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9" cstate="print"/>
                    <a:srcRect/>
                    <a:stretch/>
                  </pic:blipFill>
                  <pic:spPr>
                    <a:xfrm>
                      <a:off x="0" y="0"/>
                      <a:ext cx="6923405" cy="4638675"/>
                    </a:xfrm>
                    <a:prstGeom prst="rect">
                      <a:avLst/>
                    </a:prstGeom>
                  </pic:spPr>
                </pic:pic>
              </a:graphicData>
            </a:graphic>
          </wp:inline>
        </w:drawing>
      </w:r>
    </w:p>
    <w:p w14:paraId="229D64DD" w14:textId="77777777" w:rsidR="00E11D75" w:rsidRDefault="00090F71">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PLATE 4: Photomicrograph of the cerebellum – Group D (Moderate Dose Treatment)</w:t>
      </w:r>
    </w:p>
    <w:p w14:paraId="0B332FA8" w14:textId="77777777" w:rsidR="00E11D75" w:rsidRDefault="00090F71">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 xml:space="preserve">Section showing cerebellar tissue post-lead exposure and moderate-dose extract </w:t>
      </w:r>
      <w:r>
        <w:rPr>
          <w:rFonts w:ascii="Times New Roman" w:hAnsi="Times New Roman" w:cs="Times New Roman"/>
          <w:sz w:val="24"/>
          <w:szCs w:val="24"/>
        </w:rPr>
        <w:t xml:space="preserve">treatment (400 mg/kg of each plant extract). Fewer Purkinje cells are observed, with mild to moderate vacuolation in the Purkinje layer, indicating partial neuroprotection. </w:t>
      </w:r>
      <w:r>
        <w:rPr>
          <w:rFonts w:ascii="Times New Roman" w:hAnsi="Times New Roman" w:cs="Times New Roman"/>
          <w:i/>
          <w:iCs/>
          <w:sz w:val="24"/>
          <w:szCs w:val="24"/>
        </w:rPr>
        <w:t>(H\&amp;E, ×400)</w:t>
      </w:r>
    </w:p>
    <w:p w14:paraId="45B7EA71" w14:textId="77777777" w:rsidR="00E11D75" w:rsidRDefault="00090F71">
      <w:pPr>
        <w:autoSpaceDE w:val="0"/>
        <w:autoSpaceDN w:val="0"/>
        <w:adjustRightInd w:val="0"/>
        <w:spacing w:line="240" w:lineRule="auto"/>
        <w:jc w:val="center"/>
        <w:rPr>
          <w:rFonts w:eastAsia="MS Gothic"/>
          <w:b/>
          <w:bCs/>
          <w:color w:val="365F91"/>
          <w:sz w:val="24"/>
          <w:szCs w:val="24"/>
        </w:rPr>
      </w:pPr>
      <w:r>
        <w:rPr>
          <w:noProof/>
          <w:sz w:val="24"/>
          <w:szCs w:val="24"/>
        </w:rPr>
        <w:lastRenderedPageBreak/>
        <w:drawing>
          <wp:inline distT="0" distB="0" distL="0" distR="0" wp14:anchorId="43864FAE" wp14:editId="12AB8DB2">
            <wp:extent cx="7388479" cy="498284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0" cstate="print"/>
                    <a:srcRect/>
                    <a:stretch/>
                  </pic:blipFill>
                  <pic:spPr>
                    <a:xfrm>
                      <a:off x="0" y="0"/>
                      <a:ext cx="7388479" cy="4982845"/>
                    </a:xfrm>
                    <a:prstGeom prst="rect">
                      <a:avLst/>
                    </a:prstGeom>
                  </pic:spPr>
                </pic:pic>
              </a:graphicData>
            </a:graphic>
          </wp:inline>
        </w:drawing>
      </w:r>
    </w:p>
    <w:p w14:paraId="3BA9C38C" w14:textId="77777777" w:rsidR="00E11D75" w:rsidRDefault="00E11D75">
      <w:pPr>
        <w:autoSpaceDE w:val="0"/>
        <w:autoSpaceDN w:val="0"/>
        <w:adjustRightInd w:val="0"/>
        <w:spacing w:line="240" w:lineRule="auto"/>
        <w:rPr>
          <w:rFonts w:eastAsia="MS Gothic"/>
          <w:b/>
          <w:bCs/>
          <w:color w:val="365F91"/>
          <w:sz w:val="24"/>
          <w:szCs w:val="24"/>
        </w:rPr>
      </w:pPr>
    </w:p>
    <w:p w14:paraId="7ABFAB2C" w14:textId="77777777" w:rsidR="00E11D75" w:rsidRDefault="00090F71">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PLATE 5: Photomicrograph of the cerebellum – Group E (High Dose Tre</w:t>
      </w:r>
      <w:r>
        <w:rPr>
          <w:rFonts w:ascii="Times New Roman" w:hAnsi="Times New Roman" w:cs="Times New Roman"/>
          <w:sz w:val="24"/>
          <w:szCs w:val="24"/>
        </w:rPr>
        <w:t>atment)</w:t>
      </w:r>
    </w:p>
    <w:p w14:paraId="2616A49B" w14:textId="77777777" w:rsidR="00E11D75" w:rsidRDefault="00090F71">
      <w:pPr>
        <w:autoSpaceDE w:val="0"/>
        <w:autoSpaceDN w:val="0"/>
        <w:adjustRightInd w:val="0"/>
        <w:spacing w:line="240" w:lineRule="auto"/>
        <w:rPr>
          <w:rFonts w:eastAsia="MS Gothic"/>
          <w:b/>
          <w:bCs/>
          <w:i/>
          <w:iCs/>
          <w:color w:val="365F91"/>
          <w:sz w:val="24"/>
          <w:szCs w:val="24"/>
        </w:rPr>
      </w:pPr>
      <w:r>
        <w:rPr>
          <w:rFonts w:ascii="Times New Roman" w:hAnsi="Times New Roman" w:cs="Times New Roman"/>
          <w:sz w:val="24"/>
          <w:szCs w:val="24"/>
        </w:rPr>
        <w:t>H\&amp;E-stained section showing nearly normal cerebellar architecture in rats treated with high-dose plant extracts (500 mg/kg each) after lead exposure. The molecular (M), Purkinje (P), and granular (G) layers are well defined, with prominent and int</w:t>
      </w:r>
      <w:r>
        <w:rPr>
          <w:rFonts w:ascii="Times New Roman" w:hAnsi="Times New Roman" w:cs="Times New Roman"/>
          <w:sz w:val="24"/>
          <w:szCs w:val="24"/>
        </w:rPr>
        <w:t xml:space="preserve">act Purkinje neurons, suggesting effective histological recovery. </w:t>
      </w:r>
      <w:r>
        <w:rPr>
          <w:rFonts w:ascii="Times New Roman" w:hAnsi="Times New Roman" w:cs="Times New Roman"/>
          <w:i/>
          <w:iCs/>
          <w:sz w:val="24"/>
          <w:szCs w:val="24"/>
        </w:rPr>
        <w:t>(H\&amp;E, ×400)</w:t>
      </w:r>
    </w:p>
    <w:p w14:paraId="4DB59E42" w14:textId="77777777" w:rsidR="00E11D75" w:rsidRDefault="00E11D75">
      <w:pPr>
        <w:autoSpaceDE w:val="0"/>
        <w:autoSpaceDN w:val="0"/>
        <w:adjustRightInd w:val="0"/>
        <w:spacing w:line="240" w:lineRule="auto"/>
        <w:rPr>
          <w:rFonts w:eastAsia="MS Gothic"/>
          <w:b/>
          <w:bCs/>
          <w:color w:val="365F91"/>
          <w:sz w:val="24"/>
          <w:szCs w:val="24"/>
        </w:rPr>
      </w:pPr>
    </w:p>
    <w:p w14:paraId="4B851C8C" w14:textId="77777777" w:rsidR="00E11D75" w:rsidRDefault="00E11D75">
      <w:pPr>
        <w:autoSpaceDE w:val="0"/>
        <w:autoSpaceDN w:val="0"/>
        <w:adjustRightInd w:val="0"/>
        <w:spacing w:line="240" w:lineRule="auto"/>
        <w:jc w:val="center"/>
        <w:rPr>
          <w:rFonts w:eastAsia="MS Gothic"/>
          <w:b/>
          <w:bCs/>
          <w:color w:val="365F91"/>
          <w:sz w:val="24"/>
          <w:szCs w:val="24"/>
        </w:rPr>
      </w:pPr>
    </w:p>
    <w:p w14:paraId="4CA50724" w14:textId="77777777" w:rsidR="00E11D75" w:rsidRDefault="00E11D75">
      <w:pPr>
        <w:autoSpaceDE w:val="0"/>
        <w:autoSpaceDN w:val="0"/>
        <w:adjustRightInd w:val="0"/>
        <w:spacing w:line="240" w:lineRule="auto"/>
        <w:rPr>
          <w:rFonts w:eastAsia="MS Gothic"/>
          <w:b/>
          <w:bCs/>
          <w:color w:val="365F91"/>
          <w:sz w:val="24"/>
          <w:szCs w:val="24"/>
        </w:rPr>
      </w:pPr>
    </w:p>
    <w:p w14:paraId="720FD993" w14:textId="77777777" w:rsidR="00E11D75" w:rsidRDefault="00E11D75">
      <w:pPr>
        <w:autoSpaceDE w:val="0"/>
        <w:autoSpaceDN w:val="0"/>
        <w:adjustRightInd w:val="0"/>
        <w:spacing w:line="360" w:lineRule="auto"/>
        <w:rPr>
          <w:rFonts w:eastAsia="MS Gothic"/>
          <w:b/>
          <w:bCs/>
          <w:color w:val="365F91"/>
          <w:sz w:val="24"/>
          <w:szCs w:val="24"/>
        </w:rPr>
      </w:pPr>
    </w:p>
    <w:p w14:paraId="651AD303" w14:textId="77777777" w:rsidR="00E11D75" w:rsidRDefault="00E11D75">
      <w:pPr>
        <w:autoSpaceDE w:val="0"/>
        <w:autoSpaceDN w:val="0"/>
        <w:adjustRightInd w:val="0"/>
        <w:spacing w:after="0" w:line="360" w:lineRule="auto"/>
        <w:rPr>
          <w:rFonts w:eastAsia="MS Gothic"/>
          <w:b/>
          <w:bCs/>
          <w:color w:val="365F91"/>
          <w:sz w:val="24"/>
          <w:szCs w:val="24"/>
        </w:rPr>
      </w:pPr>
    </w:p>
    <w:p w14:paraId="511E089C" w14:textId="77777777" w:rsidR="00E11D75" w:rsidRDefault="00E11D75">
      <w:pPr>
        <w:autoSpaceDE w:val="0"/>
        <w:autoSpaceDN w:val="0"/>
        <w:adjustRightInd w:val="0"/>
        <w:spacing w:after="0" w:line="360" w:lineRule="auto"/>
        <w:rPr>
          <w:rFonts w:eastAsia="MS Gothic"/>
          <w:b/>
          <w:bCs/>
          <w:color w:val="365F91"/>
          <w:sz w:val="24"/>
          <w:szCs w:val="24"/>
        </w:rPr>
      </w:pPr>
    </w:p>
    <w:p w14:paraId="083D1F71" w14:textId="77777777" w:rsidR="00E11D75" w:rsidRDefault="00090F71">
      <w:pPr>
        <w:autoSpaceDE w:val="0"/>
        <w:autoSpaceDN w:val="0"/>
        <w:adjustRightInd w:val="0"/>
        <w:spacing w:after="0" w:line="360" w:lineRule="auto"/>
        <w:rPr>
          <w:b/>
          <w:bCs/>
          <w:sz w:val="24"/>
          <w:szCs w:val="24"/>
        </w:rPr>
      </w:pPr>
      <w:r>
        <w:rPr>
          <w:rFonts w:eastAsia="MS Gothic"/>
          <w:b/>
          <w:bCs/>
          <w:sz w:val="24"/>
          <w:szCs w:val="24"/>
        </w:rPr>
        <w:lastRenderedPageBreak/>
        <w:t>3.2 Morphometric Evaluation of Cerebellar Neurons Using ImageJ Analysis</w:t>
      </w:r>
    </w:p>
    <w:p w14:paraId="2BEBF291" w14:textId="77777777" w:rsidR="00E11D75" w:rsidRDefault="00090F71">
      <w:pPr>
        <w:autoSpaceDE w:val="0"/>
        <w:autoSpaceDN w:val="0"/>
        <w:adjustRightInd w:val="0"/>
        <w:spacing w:after="0" w:line="360" w:lineRule="auto"/>
        <w:rPr>
          <w:b/>
          <w:bCs/>
          <w:sz w:val="24"/>
          <w:szCs w:val="24"/>
        </w:rPr>
      </w:pPr>
      <w:r>
        <w:rPr>
          <w:b/>
          <w:bCs/>
          <w:sz w:val="24"/>
          <w:szCs w:val="24"/>
        </w:rPr>
        <w:t xml:space="preserve">The morphometric data extracted using ImageJ from cerebellar sections stained with hematoxylin and </w:t>
      </w:r>
      <w:r>
        <w:rPr>
          <w:b/>
          <w:bCs/>
          <w:sz w:val="24"/>
          <w:szCs w:val="24"/>
        </w:rPr>
        <w:t>eosin (H\&amp;E) demonstrate significant alterations across experimental groups:</w:t>
      </w:r>
    </w:p>
    <w:p w14:paraId="15C56737" w14:textId="77777777" w:rsidR="00E11D75" w:rsidRDefault="00090F71">
      <w:pPr>
        <w:keepNext/>
        <w:keepLines/>
        <w:spacing w:before="480" w:line="360" w:lineRule="auto"/>
        <w:outlineLvl w:val="0"/>
        <w:rPr>
          <w:b/>
          <w:bCs/>
          <w:sz w:val="24"/>
          <w:szCs w:val="24"/>
        </w:rPr>
      </w:pPr>
      <w:r>
        <w:rPr>
          <w:b/>
          <w:bCs/>
          <w:sz w:val="24"/>
          <w:szCs w:val="24"/>
        </w:rPr>
        <w:t>The negative control group exhibited the highest cell count (110.00 ± 2.00), larger total measured area (14,480.00 ± 86.59 µm²), and highest percentage area occupied by cells (32.</w:t>
      </w:r>
      <w:r>
        <w:rPr>
          <w:b/>
          <w:bCs/>
          <w:sz w:val="24"/>
          <w:szCs w:val="24"/>
        </w:rPr>
        <w:t>83%), indicating intact cerebellar architecture.</w:t>
      </w:r>
    </w:p>
    <w:p w14:paraId="511567D8" w14:textId="77777777" w:rsidR="00E11D75" w:rsidRDefault="00090F71">
      <w:pPr>
        <w:keepNext/>
        <w:keepLines/>
        <w:spacing w:before="480" w:line="360" w:lineRule="auto"/>
        <w:outlineLvl w:val="0"/>
        <w:rPr>
          <w:rFonts w:ascii="Times New Roman" w:hAnsi="Times New Roman" w:cs="Times New Roman"/>
          <w:sz w:val="24"/>
          <w:szCs w:val="24"/>
        </w:rPr>
      </w:pPr>
      <w:r>
        <w:rPr>
          <w:b/>
          <w:bCs/>
          <w:sz w:val="24"/>
          <w:szCs w:val="24"/>
        </w:rPr>
        <w:t xml:space="preserve">In contrast, the positive control group (lead acetate only) showed marked reductions in all parameters: cell count (55.00 ± 3.00), total area (6,450.00 ± 63.41 µm²), and area percentage (17.70%), reflecting </w:t>
      </w:r>
      <w:r>
        <w:rPr>
          <w:b/>
          <w:bCs/>
          <w:sz w:val="24"/>
          <w:szCs w:val="24"/>
        </w:rPr>
        <w:t>severe cellular loss and tissue damage.</w:t>
      </w:r>
    </w:p>
    <w:p w14:paraId="3D3DB285" w14:textId="77777777" w:rsidR="00E11D75" w:rsidRDefault="00090F71">
      <w:pPr>
        <w:keepNext/>
        <w:keepLines/>
        <w:spacing w:before="480" w:line="360" w:lineRule="auto"/>
        <w:outlineLvl w:val="0"/>
        <w:rPr>
          <w:b/>
          <w:bCs/>
          <w:sz w:val="24"/>
          <w:szCs w:val="24"/>
        </w:rPr>
      </w:pPr>
      <w:r>
        <w:rPr>
          <w:b/>
          <w:bCs/>
          <w:sz w:val="24"/>
          <w:szCs w:val="24"/>
        </w:rPr>
        <w:t xml:space="preserve">Treatment groups (low, moderate, and high dose) showed a dose-dependent improvement in all </w:t>
      </w:r>
      <w:proofErr w:type="spellStart"/>
      <w:r>
        <w:rPr>
          <w:b/>
          <w:bCs/>
          <w:sz w:val="24"/>
          <w:szCs w:val="24"/>
        </w:rPr>
        <w:t>histomorphometric</w:t>
      </w:r>
      <w:proofErr w:type="spellEnd"/>
      <w:r>
        <w:rPr>
          <w:b/>
          <w:bCs/>
          <w:sz w:val="24"/>
          <w:szCs w:val="24"/>
        </w:rPr>
        <w:t xml:space="preserve"> indices. The high dose group showed near-complete restoration:</w:t>
      </w:r>
    </w:p>
    <w:p w14:paraId="02F6651F" w14:textId="77777777" w:rsidR="00E11D75" w:rsidRDefault="00090F71">
      <w:pPr>
        <w:keepNext/>
        <w:keepLines/>
        <w:spacing w:before="480" w:line="360" w:lineRule="auto"/>
        <w:outlineLvl w:val="0"/>
        <w:rPr>
          <w:b/>
          <w:bCs/>
          <w:sz w:val="24"/>
          <w:szCs w:val="24"/>
        </w:rPr>
      </w:pPr>
      <w:r>
        <w:rPr>
          <w:b/>
          <w:bCs/>
          <w:sz w:val="24"/>
          <w:szCs w:val="24"/>
        </w:rPr>
        <w:t>Cell count: 104.00 ± 2.00</w:t>
      </w:r>
    </w:p>
    <w:p w14:paraId="419210B5" w14:textId="77777777" w:rsidR="00E11D75" w:rsidRDefault="00090F71">
      <w:pPr>
        <w:keepNext/>
        <w:keepLines/>
        <w:spacing w:before="480" w:line="360" w:lineRule="auto"/>
        <w:outlineLvl w:val="0"/>
        <w:rPr>
          <w:rFonts w:ascii="Times New Roman" w:hAnsi="Times New Roman" w:cs="Times New Roman"/>
          <w:sz w:val="24"/>
          <w:szCs w:val="24"/>
        </w:rPr>
      </w:pPr>
      <w:r>
        <w:rPr>
          <w:b/>
          <w:bCs/>
          <w:sz w:val="24"/>
          <w:szCs w:val="24"/>
        </w:rPr>
        <w:t>Total area: 14,055</w:t>
      </w:r>
      <w:r>
        <w:rPr>
          <w:b/>
          <w:bCs/>
          <w:sz w:val="24"/>
          <w:szCs w:val="24"/>
        </w:rPr>
        <w:t>.67 ± 136.26 µm²</w:t>
      </w:r>
    </w:p>
    <w:p w14:paraId="1B97BD4F" w14:textId="77777777" w:rsidR="00E11D75" w:rsidRDefault="00090F71">
      <w:pPr>
        <w:keepNext/>
        <w:keepLines/>
        <w:spacing w:before="480" w:line="360" w:lineRule="auto"/>
        <w:outlineLvl w:val="0"/>
        <w:rPr>
          <w:rFonts w:ascii="Times New Roman" w:hAnsi="Times New Roman" w:cs="Times New Roman"/>
          <w:sz w:val="24"/>
          <w:szCs w:val="24"/>
        </w:rPr>
      </w:pPr>
      <w:r>
        <w:rPr>
          <w:b/>
          <w:bCs/>
          <w:sz w:val="24"/>
          <w:szCs w:val="24"/>
        </w:rPr>
        <w:t>Area percentage: 30.73%</w:t>
      </w:r>
    </w:p>
    <w:p w14:paraId="27464A1B" w14:textId="77777777" w:rsidR="00E11D75" w:rsidRDefault="00090F71">
      <w:pPr>
        <w:keepNext/>
        <w:keepLines/>
        <w:spacing w:before="480" w:line="360" w:lineRule="auto"/>
        <w:outlineLvl w:val="0"/>
        <w:rPr>
          <w:rFonts w:ascii="Times New Roman" w:hAnsi="Times New Roman" w:cs="Times New Roman"/>
          <w:sz w:val="24"/>
          <w:szCs w:val="24"/>
        </w:rPr>
      </w:pPr>
      <w:r>
        <w:rPr>
          <w:b/>
          <w:bCs/>
          <w:sz w:val="24"/>
          <w:szCs w:val="24"/>
        </w:rPr>
        <w:t>Similarly, average cell size and staining intensity (pixel value) followed a restorative trend in treated groups, with the high dose group values approaching those of the negative control.</w:t>
      </w:r>
    </w:p>
    <w:p w14:paraId="4E95AF72" w14:textId="77777777" w:rsidR="00E11D75" w:rsidRDefault="00090F71">
      <w:pPr>
        <w:keepNext/>
        <w:keepLines/>
        <w:spacing w:before="480" w:line="240" w:lineRule="auto"/>
        <w:outlineLvl w:val="0"/>
        <w:rPr>
          <w:rFonts w:ascii="Times New Roman" w:hAnsi="Times New Roman" w:cs="Times New Roman"/>
          <w:sz w:val="24"/>
          <w:szCs w:val="24"/>
        </w:rPr>
      </w:pPr>
      <w:r>
        <w:rPr>
          <w:b/>
          <w:bCs/>
          <w:sz w:val="24"/>
          <w:szCs w:val="24"/>
        </w:rPr>
        <w:t>Table 1: Morphometric Para</w:t>
      </w:r>
      <w:r>
        <w:rPr>
          <w:b/>
          <w:bCs/>
          <w:sz w:val="24"/>
          <w:szCs w:val="24"/>
        </w:rPr>
        <w:t>meters of H&amp;E-Stained Cerebellar Sections Analyzed at ×400 Magnification Using ImageJ</w:t>
      </w:r>
    </w:p>
    <w:tbl>
      <w:tblPr>
        <w:tblW w:w="0" w:type="auto"/>
        <w:tblLook w:val="04A0" w:firstRow="1" w:lastRow="0" w:firstColumn="1" w:lastColumn="0" w:noHBand="0" w:noVBand="1"/>
      </w:tblPr>
      <w:tblGrid>
        <w:gridCol w:w="1540"/>
        <w:gridCol w:w="1440"/>
        <w:gridCol w:w="1440"/>
        <w:gridCol w:w="1440"/>
        <w:gridCol w:w="1440"/>
        <w:gridCol w:w="1440"/>
      </w:tblGrid>
      <w:tr w:rsidR="00E11D75" w14:paraId="390E99DD" w14:textId="77777777">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7886BF"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Group</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D64187"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Cell Count (Mean ± SD)</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9CA05A"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Total Area Measured (µm²)</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05B0A"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Average Size (µm²)</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7146E8"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Area %</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B9F591"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Intensity Value (0–255)</w:t>
            </w:r>
          </w:p>
        </w:tc>
      </w:tr>
      <w:tr w:rsidR="00E11D75" w14:paraId="30704CC9" w14:textId="77777777">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317321"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Negative Control</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1A632D"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110.00 ± 2.00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B72F2"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14874.00 ± 77.38</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55553C"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135.23 ± 3.00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B3D5F9"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32.83 ± 0.31</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4A239"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145.00 ± 1.00</w:t>
            </w:r>
          </w:p>
        </w:tc>
      </w:tr>
      <w:tr w:rsidR="00E11D75" w14:paraId="4ABF3479" w14:textId="77777777">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E7A08"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Positive Control</w:t>
            </w:r>
            <w:r>
              <w:rPr>
                <w:rFonts w:eastAsia="MS Mincho" w:hAnsi="Cambria"/>
                <w:sz w:val="24"/>
                <w:szCs w:val="24"/>
              </w:rPr>
              <w:t xml:space="preserve">/Lead </w:t>
            </w:r>
            <w:r>
              <w:rPr>
                <w:rFonts w:eastAsia="MS Mincho" w:hAnsi="Cambria"/>
                <w:sz w:val="24"/>
                <w:szCs w:val="24"/>
              </w:rPr>
              <w:lastRenderedPageBreak/>
              <w:t xml:space="preserve">Acetate </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DC7BE4"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55.00 ± </w:t>
            </w:r>
            <w:r>
              <w:rPr>
                <w:rFonts w:ascii="Cambria" w:eastAsia="MS Mincho" w:hAnsi="Cambria"/>
                <w:sz w:val="24"/>
                <w:szCs w:val="24"/>
              </w:rPr>
              <w:lastRenderedPageBreak/>
              <w:t>3.00</w:t>
            </w:r>
            <w:r>
              <w:rPr>
                <w:rFonts w:eastAsia="MS Mincho" w:hAnsi="Cambria"/>
                <w:sz w:val="24"/>
                <w:szCs w:val="24"/>
              </w:rP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89C4BF"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6450.00 ± </w:t>
            </w:r>
            <w:r>
              <w:rPr>
                <w:rFonts w:ascii="Cambria" w:eastAsia="MS Mincho" w:hAnsi="Cambria"/>
                <w:sz w:val="24"/>
                <w:szCs w:val="24"/>
              </w:rPr>
              <w:lastRenderedPageBreak/>
              <w:t>63.41</w:t>
            </w:r>
            <w:r>
              <w:rPr>
                <w:rFonts w:eastAsia="MS Mincho" w:hAnsi="Cambria"/>
                <w:sz w:val="24"/>
                <w:szCs w:val="24"/>
              </w:rP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4DDB61"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117.50 ± </w:t>
            </w:r>
            <w:r>
              <w:rPr>
                <w:rFonts w:ascii="Cambria" w:eastAsia="MS Mincho" w:hAnsi="Cambria"/>
                <w:sz w:val="24"/>
                <w:szCs w:val="24"/>
              </w:rPr>
              <w:lastRenderedPageBreak/>
              <w:t>5.37</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E60C26"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17.70 ± </w:t>
            </w:r>
            <w:r>
              <w:rPr>
                <w:rFonts w:ascii="Cambria" w:eastAsia="MS Mincho" w:hAnsi="Cambria"/>
                <w:sz w:val="24"/>
                <w:szCs w:val="24"/>
              </w:rPr>
              <w:lastRenderedPageBreak/>
              <w:t>0.56</w:t>
            </w:r>
            <w:r>
              <w:rPr>
                <w:rFonts w:eastAsia="MS Mincho" w:hAnsi="Cambria"/>
                <w:sz w:val="24"/>
                <w:szCs w:val="24"/>
              </w:rP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6D0E02"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122.00 ± </w:t>
            </w:r>
            <w:r>
              <w:rPr>
                <w:rFonts w:ascii="Cambria" w:eastAsia="MS Mincho" w:hAnsi="Cambria"/>
                <w:sz w:val="24"/>
                <w:szCs w:val="24"/>
              </w:rPr>
              <w:lastRenderedPageBreak/>
              <w:t>2.00</w:t>
            </w:r>
            <w:r>
              <w:rPr>
                <w:rFonts w:eastAsia="MS Mincho" w:hAnsi="Cambria"/>
                <w:sz w:val="24"/>
                <w:szCs w:val="24"/>
              </w:rPr>
              <w:t>*</w:t>
            </w:r>
          </w:p>
        </w:tc>
      </w:tr>
      <w:tr w:rsidR="00E11D75" w14:paraId="5633F0AE" w14:textId="77777777">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4CE651"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Low Dose</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C7B88"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66.33 ± 2.52</w:t>
            </w:r>
            <w:r>
              <w:rPr>
                <w:rFonts w:eastAsia="MS Mincho" w:hAnsi="Cambria"/>
                <w:sz w:val="24"/>
                <w:szCs w:val="24"/>
              </w:rPr>
              <w:t>*a</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8BDC8A"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7932.00 ± 80.29</w:t>
            </w:r>
            <w:r>
              <w:rPr>
                <w:rFonts w:eastAsia="MS Mincho" w:hAnsi="Cambria"/>
                <w:sz w:val="24"/>
                <w:szCs w:val="24"/>
              </w:rPr>
              <w:t>*a</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83C3A"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119.67 ± 3.30</w:t>
            </w:r>
            <w:r>
              <w:rPr>
                <w:rFonts w:eastAsia="MS Mincho" w:hAnsi="Cambria"/>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4B4958"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21.20 ± 0.36</w:t>
            </w:r>
            <w:r>
              <w:rPr>
                <w:rFonts w:eastAsia="MS Mincho" w:hAnsi="Cambria"/>
                <w:sz w:val="24"/>
                <w:szCs w:val="24"/>
              </w:rPr>
              <w:t>*a</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49B1B9"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131.67 ± 1.53</w:t>
            </w:r>
            <w:r>
              <w:rPr>
                <w:rFonts w:eastAsia="MS Mincho" w:hAnsi="Cambria"/>
                <w:sz w:val="24"/>
                <w:szCs w:val="24"/>
              </w:rPr>
              <w:t>*a</w:t>
            </w:r>
          </w:p>
        </w:tc>
      </w:tr>
      <w:tr w:rsidR="00E11D75" w14:paraId="7301F779" w14:textId="77777777">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A52166"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Moderate Dose</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F05E4"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74.00 ± 2.00</w:t>
            </w:r>
            <w:r>
              <w:rPr>
                <w:rFonts w:eastAsia="MS Mincho" w:hAnsi="Cambria"/>
                <w:sz w:val="24"/>
                <w:szCs w:val="24"/>
              </w:rPr>
              <w:t>*a</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1F2BE"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9485.00 ± 85.00</w:t>
            </w:r>
            <w:r>
              <w:rPr>
                <w:rFonts w:eastAsia="MS Mincho" w:hAnsi="Cambria"/>
                <w:sz w:val="24"/>
                <w:szCs w:val="24"/>
              </w:rPr>
              <w:t>*ab</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A209D"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128.20 ± 4.23</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20CB6"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26.20 ± 0.76</w:t>
            </w:r>
            <w:r>
              <w:rPr>
                <w:rFonts w:eastAsia="MS Mincho" w:hAnsi="Cambria"/>
                <w:sz w:val="24"/>
                <w:szCs w:val="24"/>
              </w:rPr>
              <w:t>*ab</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E8E9D"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138.00 ± 1.00</w:t>
            </w:r>
            <w:r>
              <w:rPr>
                <w:rFonts w:eastAsia="MS Mincho" w:hAnsi="Cambria"/>
                <w:sz w:val="24"/>
                <w:szCs w:val="24"/>
              </w:rPr>
              <w:t>*b</w:t>
            </w:r>
          </w:p>
        </w:tc>
      </w:tr>
      <w:tr w:rsidR="00E11D75" w14:paraId="1D927AFB" w14:textId="77777777">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7FC004"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 xml:space="preserve">High </w:t>
            </w:r>
            <w:proofErr w:type="spellStart"/>
            <w:r>
              <w:rPr>
                <w:rFonts w:ascii="Cambria" w:eastAsia="MS Mincho" w:hAnsi="Cambria"/>
                <w:sz w:val="24"/>
                <w:szCs w:val="24"/>
              </w:rPr>
              <w:t>Dose</w:t>
            </w:r>
            <w:r>
              <w:rPr>
                <w:rFonts w:eastAsia="MS Mincho" w:hAnsi="Cambria"/>
                <w:sz w:val="24"/>
                <w:szCs w:val="24"/>
              </w:rPr>
              <w:t>abc</w:t>
            </w:r>
            <w:proofErr w:type="spellEnd"/>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61207"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104.00 ± 2.00</w:t>
            </w:r>
            <w:r>
              <w:rPr>
                <w:rFonts w:eastAsia="MS Mincho" w:hAnsi="Cambria"/>
                <w:sz w:val="24"/>
                <w:szCs w:val="24"/>
              </w:rPr>
              <w:t>abc</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1E4F57"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14055.67 ± 136.26</w:t>
            </w:r>
            <w:r>
              <w:rPr>
                <w:rFonts w:eastAsia="MS Mincho" w:hAnsi="Cambria"/>
                <w:sz w:val="24"/>
                <w:szCs w:val="24"/>
              </w:rPr>
              <w:t>*</w:t>
            </w:r>
            <w:proofErr w:type="spellStart"/>
            <w:r>
              <w:rPr>
                <w:rFonts w:eastAsia="MS Mincho" w:hAnsi="Cambria"/>
                <w:sz w:val="24"/>
                <w:szCs w:val="24"/>
              </w:rPr>
              <w:t>abc</w:t>
            </w:r>
            <w:proofErr w:type="spellEnd"/>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68A4F"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135.20 ± 1.42</w:t>
            </w:r>
            <w:r>
              <w:rPr>
                <w:rFonts w:eastAsia="MS Mincho" w:hAnsi="Cambria"/>
                <w:sz w:val="24"/>
                <w:szCs w:val="24"/>
              </w:rPr>
              <w:t>b</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84BA0A"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30.73 ± 0.65</w:t>
            </w:r>
            <w:r>
              <w:rPr>
                <w:rFonts w:eastAsia="MS Mincho" w:hAnsi="Cambria"/>
                <w:sz w:val="24"/>
                <w:szCs w:val="24"/>
              </w:rPr>
              <w:t>abc</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1D419"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143.33 ± 0.58</w:t>
            </w:r>
            <w:r>
              <w:rPr>
                <w:rFonts w:eastAsia="MS Mincho" w:hAnsi="Cambria"/>
                <w:sz w:val="24"/>
                <w:szCs w:val="24"/>
              </w:rPr>
              <w:t>abc</w:t>
            </w:r>
          </w:p>
        </w:tc>
      </w:tr>
      <w:tr w:rsidR="00E11D75" w14:paraId="74A6E299" w14:textId="77777777">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84B5FE"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Total (All Groups)</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469DB3"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81.87 ± 22.32</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1CC05C"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10559.33 ± 3458.30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0C4537"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127.16 ± 8.36</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826DF"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25.73 ± 5.89</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881552" w14:textId="77777777" w:rsidR="00E11D75" w:rsidRDefault="00090F71">
            <w:pPr>
              <w:spacing w:line="240" w:lineRule="auto"/>
              <w:rPr>
                <w:rFonts w:ascii="Times New Roman" w:hAnsi="Times New Roman" w:cs="Times New Roman"/>
                <w:sz w:val="24"/>
                <w:szCs w:val="24"/>
              </w:rPr>
            </w:pPr>
            <w:r>
              <w:rPr>
                <w:rFonts w:ascii="Cambria" w:eastAsia="MS Mincho" w:hAnsi="Cambria"/>
                <w:sz w:val="24"/>
                <w:szCs w:val="24"/>
              </w:rPr>
              <w:t>136.00 ± 8</w:t>
            </w:r>
            <w:r>
              <w:rPr>
                <w:rFonts w:ascii="Cambria" w:eastAsia="MS Mincho" w:hAnsi="Cambria"/>
                <w:sz w:val="24"/>
                <w:szCs w:val="24"/>
              </w:rPr>
              <w:t>.78</w:t>
            </w:r>
          </w:p>
        </w:tc>
      </w:tr>
    </w:tbl>
    <w:p w14:paraId="414FF281" w14:textId="77777777" w:rsidR="00E11D75" w:rsidRDefault="00090F71">
      <w:pPr>
        <w:autoSpaceDE w:val="0"/>
        <w:autoSpaceDN w:val="0"/>
        <w:adjustRightInd w:val="0"/>
        <w:spacing w:after="0" w:line="240" w:lineRule="auto"/>
        <w:rPr>
          <w:rFonts w:ascii="Times New Roman" w:hAnsi="Times New Roman" w:cs="Times New Roman"/>
          <w:sz w:val="24"/>
          <w:szCs w:val="24"/>
        </w:rPr>
      </w:pPr>
      <w:r>
        <w:rPr>
          <w:rFonts w:ascii="Cambria" w:eastAsia="MS Mincho" w:hAnsi="Cambria"/>
          <w:sz w:val="24"/>
          <w:szCs w:val="24"/>
        </w:rPr>
        <w:t>Note: All values are expressed as Mean ± Standard Deviation (SD).</w:t>
      </w:r>
    </w:p>
    <w:p w14:paraId="3317207F" w14:textId="77777777" w:rsidR="00E11D75" w:rsidRDefault="00E11D75">
      <w:pPr>
        <w:autoSpaceDE w:val="0"/>
        <w:autoSpaceDN w:val="0"/>
        <w:adjustRightInd w:val="0"/>
        <w:spacing w:after="0" w:line="240" w:lineRule="auto"/>
        <w:jc w:val="center"/>
        <w:rPr>
          <w:rFonts w:ascii="Times New Roman" w:hAnsi="Times New Roman" w:cs="Times New Roman"/>
          <w:sz w:val="24"/>
          <w:szCs w:val="24"/>
        </w:rPr>
      </w:pPr>
    </w:p>
    <w:p w14:paraId="1946759E" w14:textId="77777777" w:rsidR="00E11D75" w:rsidRDefault="00090F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 1: Cerebellar Cell Count Across Experimental Groups Following Lead Exposure and Treatment</w:t>
      </w:r>
    </w:p>
    <w:p w14:paraId="3F1ADAD5"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67A414" wp14:editId="550E78DE">
            <wp:extent cx="4347210" cy="4395470"/>
            <wp:effectExtent l="19050" t="0" r="0" b="0"/>
            <wp:docPr id="103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3"/>
                    <pic:cNvPicPr/>
                  </pic:nvPicPr>
                  <pic:blipFill>
                    <a:blip r:embed="rId11" cstate="print"/>
                    <a:srcRect/>
                    <a:stretch/>
                  </pic:blipFill>
                  <pic:spPr>
                    <a:xfrm>
                      <a:off x="0" y="0"/>
                      <a:ext cx="4347210" cy="4395470"/>
                    </a:xfrm>
                    <a:prstGeom prst="rect">
                      <a:avLst/>
                    </a:prstGeom>
                    <a:ln>
                      <a:noFill/>
                    </a:ln>
                  </pic:spPr>
                </pic:pic>
              </a:graphicData>
            </a:graphic>
          </wp:inline>
        </w:drawing>
      </w:r>
    </w:p>
    <w:p w14:paraId="0449EC35"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22F76407"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Bar chart showing the mean number of neurons per region of interest in H&amp;E-stained </w:t>
      </w:r>
      <w:r>
        <w:rPr>
          <w:rFonts w:ascii="Times New Roman" w:hAnsi="Times New Roman" w:cs="Times New Roman"/>
          <w:sz w:val="24"/>
          <w:szCs w:val="24"/>
        </w:rPr>
        <w:t xml:space="preserve">cerebellar sections analyzed at ×400 magnification using ImageJ. A significant decrease was observed in the positive control group compared to the negative control, while treatment groups showed dose-dependent restoration. Data are expressed as Mean ± SD; </w:t>
      </w:r>
      <w:r>
        <w:rPr>
          <w:rFonts w:ascii="Times New Roman" w:hAnsi="Times New Roman" w:cs="Times New Roman"/>
          <w:sz w:val="24"/>
          <w:szCs w:val="24"/>
        </w:rPr>
        <w:t>p &lt; 0.05 indicates significant difference from negative control, a from lead acetate, b from low dose, c from moderate dose.</w:t>
      </w:r>
    </w:p>
    <w:p w14:paraId="07C531EB"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3318C1E3"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57D3002C"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54BA889A"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13175603"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014B714F"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46468A5D" w14:textId="77777777" w:rsidR="00E11D75" w:rsidRDefault="00090F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 2: Comparison of Total Neuronal Area in H&amp;E-Stained Cerebellar Tissue Following Treatments</w:t>
      </w:r>
    </w:p>
    <w:p w14:paraId="1B36E123" w14:textId="77777777" w:rsidR="00E11D75" w:rsidRDefault="00090F71">
      <w:pPr>
        <w:autoSpaceDE w:val="0"/>
        <w:autoSpaceDN w:val="0"/>
        <w:adjustRightInd w:val="0"/>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73FC22E" wp14:editId="540916E8">
            <wp:extent cx="4438015" cy="4389120"/>
            <wp:effectExtent l="19050" t="0" r="635" b="0"/>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12" cstate="print"/>
                    <a:srcRect/>
                    <a:stretch/>
                  </pic:blipFill>
                  <pic:spPr>
                    <a:xfrm>
                      <a:off x="0" y="0"/>
                      <a:ext cx="4438015" cy="4389120"/>
                    </a:xfrm>
                    <a:prstGeom prst="rect">
                      <a:avLst/>
                    </a:prstGeom>
                    <a:ln>
                      <a:noFill/>
                    </a:ln>
                  </pic:spPr>
                </pic:pic>
              </a:graphicData>
            </a:graphic>
          </wp:inline>
        </w:drawing>
      </w:r>
    </w:p>
    <w:p w14:paraId="2367C85E"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 xml:space="preserve">This figure depicts the </w:t>
      </w:r>
      <w:r>
        <w:rPr>
          <w:rFonts w:ascii="Times New Roman" w:hAnsi="Times New Roman" w:cs="Times New Roman"/>
          <w:noProof/>
          <w:sz w:val="24"/>
          <w:szCs w:val="24"/>
        </w:rPr>
        <w:t>total region (µm²) occupied by neuronal structures as assessed via ImageJ in ×400 magnification H&amp;E-stained sections. The positive control group showed reduced area, while increasing doses of the test agent significantly improved the neuronal coverage. Dat</w:t>
      </w:r>
      <w:r>
        <w:rPr>
          <w:rFonts w:ascii="Times New Roman" w:hAnsi="Times New Roman" w:cs="Times New Roman"/>
          <w:noProof/>
          <w:sz w:val="24"/>
          <w:szCs w:val="24"/>
        </w:rPr>
        <w:t>a are expressed as Mean ± SD; statistical notations as described in Fig. 1.</w:t>
      </w:r>
    </w:p>
    <w:p w14:paraId="5F7E9104" w14:textId="77777777" w:rsidR="00E11D75" w:rsidRDefault="00E11D75">
      <w:pPr>
        <w:autoSpaceDE w:val="0"/>
        <w:autoSpaceDN w:val="0"/>
        <w:adjustRightInd w:val="0"/>
        <w:spacing w:after="0" w:line="240" w:lineRule="auto"/>
        <w:jc w:val="center"/>
        <w:rPr>
          <w:rFonts w:ascii="Times New Roman" w:hAnsi="Times New Roman" w:cs="Times New Roman"/>
          <w:sz w:val="24"/>
          <w:szCs w:val="24"/>
        </w:rPr>
      </w:pPr>
    </w:p>
    <w:p w14:paraId="158E429D" w14:textId="77777777" w:rsidR="00E11D75" w:rsidRDefault="00E11D75">
      <w:pPr>
        <w:autoSpaceDE w:val="0"/>
        <w:autoSpaceDN w:val="0"/>
        <w:adjustRightInd w:val="0"/>
        <w:spacing w:after="0" w:line="240" w:lineRule="auto"/>
        <w:jc w:val="center"/>
        <w:rPr>
          <w:rFonts w:ascii="Times New Roman" w:hAnsi="Times New Roman" w:cs="Times New Roman"/>
          <w:sz w:val="24"/>
          <w:szCs w:val="24"/>
        </w:rPr>
      </w:pPr>
    </w:p>
    <w:p w14:paraId="0D9E33B1" w14:textId="77777777" w:rsidR="00E11D75" w:rsidRDefault="00E11D75">
      <w:pPr>
        <w:autoSpaceDE w:val="0"/>
        <w:autoSpaceDN w:val="0"/>
        <w:adjustRightInd w:val="0"/>
        <w:spacing w:after="0" w:line="240" w:lineRule="auto"/>
        <w:jc w:val="center"/>
        <w:rPr>
          <w:rFonts w:ascii="Times New Roman" w:hAnsi="Times New Roman" w:cs="Times New Roman"/>
          <w:sz w:val="24"/>
          <w:szCs w:val="24"/>
        </w:rPr>
      </w:pPr>
    </w:p>
    <w:p w14:paraId="0931B8B0" w14:textId="77777777" w:rsidR="00E11D75" w:rsidRDefault="00090F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3: Group-wise Variation in Cerebellar Neuronal Size (µm²) </w:t>
      </w:r>
    </w:p>
    <w:p w14:paraId="5386F1EE"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C0A4F5" wp14:editId="288553AD">
            <wp:extent cx="4340225" cy="4389120"/>
            <wp:effectExtent l="19050" t="0" r="3175" b="0"/>
            <wp:docPr id="10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3" cstate="print"/>
                    <a:srcRect/>
                    <a:stretch/>
                  </pic:blipFill>
                  <pic:spPr>
                    <a:xfrm>
                      <a:off x="0" y="0"/>
                      <a:ext cx="4340225" cy="4389120"/>
                    </a:xfrm>
                    <a:prstGeom prst="rect">
                      <a:avLst/>
                    </a:prstGeom>
                    <a:ln>
                      <a:noFill/>
                    </a:ln>
                  </pic:spPr>
                </pic:pic>
              </a:graphicData>
            </a:graphic>
          </wp:inline>
        </w:drawing>
      </w:r>
    </w:p>
    <w:p w14:paraId="7AFC27ED"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bar chart illustrates the mean cell size (µm²) calculated from segmented neurons. While the lead-exposed </w:t>
      </w:r>
      <w:r>
        <w:rPr>
          <w:rFonts w:ascii="Times New Roman" w:hAnsi="Times New Roman" w:cs="Times New Roman"/>
          <w:sz w:val="24"/>
          <w:szCs w:val="24"/>
        </w:rPr>
        <w:t>group had slightly reduced sizes, treatment groups—particularly moderate and high doses—approached normal cell dimensions. Mean ± SD; significance indicated as in Fig. 1.</w:t>
      </w:r>
    </w:p>
    <w:p w14:paraId="3694A197"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7F07E64F" w14:textId="77777777" w:rsidR="00E11D75" w:rsidRDefault="00090F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 4: Group-wise Comparison of Total Neuronal Area in the Cerebellum</w:t>
      </w:r>
    </w:p>
    <w:p w14:paraId="6D1B5756"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E7D350" wp14:editId="61A27821">
            <wp:extent cx="4340225" cy="4389120"/>
            <wp:effectExtent l="19050" t="0" r="3175" b="0"/>
            <wp:docPr id="103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14" cstate="print"/>
                    <a:srcRect/>
                    <a:stretch/>
                  </pic:blipFill>
                  <pic:spPr>
                    <a:xfrm>
                      <a:off x="0" y="0"/>
                      <a:ext cx="4340225" cy="4389120"/>
                    </a:xfrm>
                    <a:prstGeom prst="rect">
                      <a:avLst/>
                    </a:prstGeom>
                    <a:ln>
                      <a:noFill/>
                    </a:ln>
                  </pic:spPr>
                </pic:pic>
              </a:graphicData>
            </a:graphic>
          </wp:inline>
        </w:drawing>
      </w:r>
    </w:p>
    <w:p w14:paraId="4CF27B26"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Chart rep</w:t>
      </w:r>
      <w:r>
        <w:rPr>
          <w:rFonts w:ascii="Times New Roman" w:hAnsi="Times New Roman" w:cs="Times New Roman"/>
          <w:sz w:val="24"/>
          <w:szCs w:val="24"/>
        </w:rPr>
        <w:t>resents the proportion of the ROI (%) occupied by neurons. Lead exposure drastically reduced area %, which was ameliorated in a dose-responsive manner in treated groups. Mean ± SD; p &lt; 0.05 compared to control and treatment differences as denoted in Fig. 1</w:t>
      </w:r>
      <w:r>
        <w:rPr>
          <w:rFonts w:ascii="Times New Roman" w:hAnsi="Times New Roman" w:cs="Times New Roman"/>
          <w:sz w:val="24"/>
          <w:szCs w:val="24"/>
        </w:rPr>
        <w:t>.</w:t>
      </w:r>
    </w:p>
    <w:p w14:paraId="0D6B32DB"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648AAB10"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36D164CC"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1A14B3BD"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27401408" w14:textId="77777777" w:rsidR="00E11D75" w:rsidRDefault="00E11D75">
      <w:pPr>
        <w:autoSpaceDE w:val="0"/>
        <w:autoSpaceDN w:val="0"/>
        <w:adjustRightInd w:val="0"/>
        <w:spacing w:after="0" w:line="240" w:lineRule="auto"/>
        <w:rPr>
          <w:rFonts w:ascii="Times New Roman" w:hAnsi="Times New Roman" w:cs="Times New Roman"/>
          <w:sz w:val="24"/>
          <w:szCs w:val="24"/>
        </w:rPr>
      </w:pPr>
    </w:p>
    <w:p w14:paraId="604D3D7D" w14:textId="77777777" w:rsidR="00E11D75" w:rsidRDefault="00090F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 5: Comparative Mean Pixel Intensity of Neurons in the Cerebellum</w:t>
      </w:r>
    </w:p>
    <w:p w14:paraId="0E3CC24C"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E7828D" wp14:editId="3C8818AA">
            <wp:extent cx="4340225" cy="4389120"/>
            <wp:effectExtent l="19050" t="0" r="3175" b="0"/>
            <wp:docPr id="10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0"/>
                    <pic:cNvPicPr/>
                  </pic:nvPicPr>
                  <pic:blipFill>
                    <a:blip r:embed="rId15" cstate="print"/>
                    <a:srcRect/>
                    <a:stretch/>
                  </pic:blipFill>
                  <pic:spPr>
                    <a:xfrm>
                      <a:off x="0" y="0"/>
                      <a:ext cx="4340225" cy="4389120"/>
                    </a:xfrm>
                    <a:prstGeom prst="rect">
                      <a:avLst/>
                    </a:prstGeom>
                    <a:ln>
                      <a:noFill/>
                    </a:ln>
                  </pic:spPr>
                </pic:pic>
              </a:graphicData>
            </a:graphic>
          </wp:inline>
        </w:drawing>
      </w:r>
    </w:p>
    <w:p w14:paraId="4BF6A7F0"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This figure shows pixel intensity (0–255 grayscale) reflecting the staining density of neuronal regions in the cerebellum. Lower intensity values in the positive control </w:t>
      </w:r>
      <w:r>
        <w:rPr>
          <w:rFonts w:ascii="Times New Roman" w:hAnsi="Times New Roman" w:cs="Times New Roman"/>
          <w:sz w:val="24"/>
          <w:szCs w:val="24"/>
        </w:rPr>
        <w:t>indicate weaker staining, while treatment improved staining uniformity. Data are expressed as Mean ± SD; statistical indicators follow the same notation as in preceding figures.</w:t>
      </w:r>
    </w:p>
    <w:p w14:paraId="50958338" w14:textId="77777777" w:rsidR="00E11D75" w:rsidRDefault="00090F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Average signal intensity within cells in the cerebellum</w:t>
      </w:r>
    </w:p>
    <w:p w14:paraId="12D7DDCD" w14:textId="77777777" w:rsidR="00E11D75" w:rsidRDefault="00E11D75">
      <w:pPr>
        <w:autoSpaceDE w:val="0"/>
        <w:autoSpaceDN w:val="0"/>
        <w:adjustRightInd w:val="0"/>
        <w:spacing w:after="0" w:line="240" w:lineRule="auto"/>
        <w:jc w:val="center"/>
        <w:rPr>
          <w:rFonts w:ascii="Times New Roman" w:hAnsi="Times New Roman" w:cs="Times New Roman"/>
          <w:sz w:val="24"/>
          <w:szCs w:val="24"/>
        </w:rPr>
      </w:pPr>
    </w:p>
    <w:p w14:paraId="7E64CEDF" w14:textId="77777777" w:rsidR="00E11D75" w:rsidRDefault="00E11D75">
      <w:pPr>
        <w:autoSpaceDE w:val="0"/>
        <w:autoSpaceDN w:val="0"/>
        <w:adjustRightInd w:val="0"/>
        <w:spacing w:after="0" w:line="240" w:lineRule="auto"/>
        <w:jc w:val="center"/>
        <w:rPr>
          <w:rFonts w:ascii="Times New Roman" w:hAnsi="Times New Roman" w:cs="Times New Roman"/>
          <w:sz w:val="24"/>
          <w:szCs w:val="24"/>
        </w:rPr>
      </w:pPr>
    </w:p>
    <w:p w14:paraId="7C613333"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37F624D6"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 Discussion</w:t>
      </w:r>
    </w:p>
    <w:p w14:paraId="78F00293"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2A9FC3A1"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This</w:t>
      </w:r>
      <w:r>
        <w:rPr>
          <w:rFonts w:ascii="Times New Roman" w:hAnsi="Times New Roman" w:cs="Times New Roman"/>
          <w:sz w:val="24"/>
          <w:szCs w:val="24"/>
        </w:rPr>
        <w:t xml:space="preserve"> study investigated the neuroprotective potential of combined aqueous extracts of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Allium sativum,</w:t>
      </w:r>
      <w:r>
        <w:rPr>
          <w:rFonts w:ascii="Times New Roman" w:hAnsi="Times New Roman" w:cs="Times New Roman"/>
          <w:sz w:val="24"/>
          <w:szCs w:val="24"/>
        </w:rPr>
        <w:t xml:space="preserve"> and </w:t>
      </w:r>
      <w:r>
        <w:rPr>
          <w:rFonts w:ascii="Times New Roman" w:hAnsi="Times New Roman" w:cs="Times New Roman"/>
          <w:i/>
          <w:iCs/>
          <w:sz w:val="24"/>
          <w:szCs w:val="24"/>
        </w:rPr>
        <w:t>Curcuma longa</w:t>
      </w:r>
      <w:r>
        <w:rPr>
          <w:rFonts w:ascii="Times New Roman" w:hAnsi="Times New Roman" w:cs="Times New Roman"/>
          <w:sz w:val="24"/>
          <w:szCs w:val="24"/>
        </w:rPr>
        <w:t xml:space="preserve"> against lead acetate-induced cerebellar toxicity in Wistar rats, using both qualitative histopathology and quantitative</w:t>
      </w:r>
      <w:r>
        <w:rPr>
          <w:rFonts w:ascii="Times New Roman" w:hAnsi="Times New Roman" w:cs="Times New Roman"/>
          <w:sz w:val="24"/>
          <w:szCs w:val="24"/>
        </w:rPr>
        <w:t xml:space="preserve"> morphometric analysis. The findings revealed that lead exposure (150 mg/kg body weight) induced significant </w:t>
      </w:r>
      <w:bookmarkStart w:id="0" w:name="_GoBack"/>
      <w:bookmarkEnd w:id="0"/>
      <w:r>
        <w:rPr>
          <w:rFonts w:ascii="Times New Roman" w:hAnsi="Times New Roman" w:cs="Times New Roman"/>
          <w:sz w:val="24"/>
          <w:szCs w:val="24"/>
        </w:rPr>
        <w:t>neurodegeneration in the cerebellum, characterized by the loss and degeneration of Purkinje cells, vacuolations within the granular and Purkinje la</w:t>
      </w:r>
      <w:r>
        <w:rPr>
          <w:rFonts w:ascii="Times New Roman" w:hAnsi="Times New Roman" w:cs="Times New Roman"/>
          <w:sz w:val="24"/>
          <w:szCs w:val="24"/>
        </w:rPr>
        <w:t xml:space="preserve">yers, and distortion of the overall cerebellar cytoarchitecture. These observations are consistent with previous reports on the neurotoxic effects of lead, which include oxidative stress, mitochondrial dysfunction, apoptosis, and structural derangement in </w:t>
      </w:r>
      <w:r>
        <w:rPr>
          <w:rFonts w:ascii="Times New Roman" w:hAnsi="Times New Roman" w:cs="Times New Roman"/>
          <w:sz w:val="24"/>
          <w:szCs w:val="24"/>
        </w:rPr>
        <w:t>brain regions involved in motor control (</w:t>
      </w:r>
      <w:proofErr w:type="spellStart"/>
      <w:r>
        <w:rPr>
          <w:rFonts w:ascii="Times New Roman" w:hAnsi="Times New Roman" w:cs="Times New Roman"/>
          <w:sz w:val="24"/>
          <w:szCs w:val="24"/>
        </w:rPr>
        <w:t>Alqahtani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Albasher</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Ayinla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Asuku</w:t>
      </w:r>
      <w:proofErr w:type="spellEnd"/>
      <w:r>
        <w:rPr>
          <w:rFonts w:ascii="Times New Roman" w:hAnsi="Times New Roman" w:cs="Times New Roman"/>
          <w:sz w:val="24"/>
          <w:szCs w:val="24"/>
        </w:rPr>
        <w:t xml:space="preserve">, 2025; Zhang et al., 2022; Chao et al., 2007, </w:t>
      </w:r>
      <w:proofErr w:type="spellStart"/>
      <w:r>
        <w:rPr>
          <w:rFonts w:ascii="Times New Roman" w:hAnsi="Times New Roman" w:cs="Times New Roman"/>
          <w:sz w:val="24"/>
          <w:szCs w:val="24"/>
        </w:rPr>
        <w:t>Amedu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Omotoso</w:t>
      </w:r>
      <w:proofErr w:type="spellEnd"/>
      <w:r>
        <w:rPr>
          <w:rFonts w:ascii="Times New Roman" w:hAnsi="Times New Roman" w:cs="Times New Roman"/>
          <w:sz w:val="24"/>
          <w:szCs w:val="24"/>
        </w:rPr>
        <w:t>, 2020).</w:t>
      </w:r>
    </w:p>
    <w:p w14:paraId="4E20C5A3"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5A4AE95C"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In the current study, the negative control group exhibited normal cerebellar architecture, with intac</w:t>
      </w:r>
      <w:r>
        <w:rPr>
          <w:rFonts w:ascii="Times New Roman" w:hAnsi="Times New Roman" w:cs="Times New Roman"/>
          <w:sz w:val="24"/>
          <w:szCs w:val="24"/>
        </w:rPr>
        <w:t>t molecular, Purkinje, and granular layers, and well-defined Purkinje neurons—serving as a baseline for comparison. In contrast, the positive control group (Pb-only) presented extensive histological damage and a marked reduction in all morphometric paramet</w:t>
      </w:r>
      <w:r>
        <w:rPr>
          <w:rFonts w:ascii="Times New Roman" w:hAnsi="Times New Roman" w:cs="Times New Roman"/>
          <w:sz w:val="24"/>
          <w:szCs w:val="24"/>
        </w:rPr>
        <w:t>ers, including cell count, neuronal area, area percentage, average size, and staining intensity. This reflects the toxic impact of lead acetate on neuronal structure, likely mediated through mechanisms such as increased lipid peroxidation, disruption of ca</w:t>
      </w:r>
      <w:r>
        <w:rPr>
          <w:rFonts w:ascii="Times New Roman" w:hAnsi="Times New Roman" w:cs="Times New Roman"/>
          <w:sz w:val="24"/>
          <w:szCs w:val="24"/>
        </w:rPr>
        <w:t>lcium homeostasis, and inhibition of antioxidant enzymes (Sanders et al., 2009; Abubakar et al., 2019).</w:t>
      </w:r>
    </w:p>
    <w:p w14:paraId="06E764E3"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7616129B"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However, treatment with combined aqueous extracts of ginger, garlic, and turmeric at graded doses (300, 400, and 500 mg/kg each) conferred dose-depende</w:t>
      </w:r>
      <w:r>
        <w:rPr>
          <w:rFonts w:ascii="Times New Roman" w:hAnsi="Times New Roman" w:cs="Times New Roman"/>
          <w:sz w:val="24"/>
          <w:szCs w:val="24"/>
        </w:rPr>
        <w:t>nt neuroprotection. The low-dose group showed moderate improvement with partial restoration of cerebellar layers and Purkinje neurons. The moderate-dose group revealed fewer vacuolations and better cellular preservation. The high-dose group, notably, demon</w:t>
      </w:r>
      <w:r>
        <w:rPr>
          <w:rFonts w:ascii="Times New Roman" w:hAnsi="Times New Roman" w:cs="Times New Roman"/>
          <w:sz w:val="24"/>
          <w:szCs w:val="24"/>
        </w:rPr>
        <w:t>strated near-complete restoration of histoarchitecture, with clearly delineated layers and numerous intact Purkinje neurons—approaching the normalcy observed in the negative control.</w:t>
      </w:r>
    </w:p>
    <w:p w14:paraId="47D4C2B6"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483EAA71"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These results are corroborated by the morphometric findings. The cell co</w:t>
      </w:r>
      <w:r>
        <w:rPr>
          <w:rFonts w:ascii="Times New Roman" w:hAnsi="Times New Roman" w:cs="Times New Roman"/>
          <w:sz w:val="24"/>
          <w:szCs w:val="24"/>
        </w:rPr>
        <w:t>unt, total neuronal area, and area percentage in the high-dose group were significantly higher than in the Pb-only group and comparable to the control. Average neuronal size and pixel intensity, indicators of structural integrity and staining affinity, als</w:t>
      </w:r>
      <w:r>
        <w:rPr>
          <w:rFonts w:ascii="Times New Roman" w:hAnsi="Times New Roman" w:cs="Times New Roman"/>
          <w:sz w:val="24"/>
          <w:szCs w:val="24"/>
        </w:rPr>
        <w:t>o followed a restorative trend, suggesting improvement in cell viability and preservation of proteinaceous content (Gupta et al., 2013; Christian et al., 2017).</w:t>
      </w:r>
    </w:p>
    <w:p w14:paraId="271D813A"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31F34F2F"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therapeutic effects observed in this study may be attributed to the phytochemical synergy </w:t>
      </w:r>
      <w:r>
        <w:rPr>
          <w:rFonts w:ascii="Times New Roman" w:hAnsi="Times New Roman" w:cs="Times New Roman"/>
          <w:sz w:val="24"/>
          <w:szCs w:val="24"/>
        </w:rPr>
        <w:t xml:space="preserve">among the three extracts. </w:t>
      </w:r>
      <w:r>
        <w:rPr>
          <w:rFonts w:ascii="Times New Roman" w:hAnsi="Times New Roman" w:cs="Times New Roman"/>
          <w:i/>
          <w:iCs/>
          <w:sz w:val="24"/>
          <w:szCs w:val="24"/>
        </w:rPr>
        <w:t xml:space="preserve">Curcuma longa </w:t>
      </w:r>
      <w:r>
        <w:rPr>
          <w:rFonts w:ascii="Times New Roman" w:hAnsi="Times New Roman" w:cs="Times New Roman"/>
          <w:sz w:val="24"/>
          <w:szCs w:val="24"/>
        </w:rPr>
        <w:t>(turmeric) contains curcumin, a potent antioxidant and metal chelator, known to reduce Pb accumulation and ameliorate oxidative damage in neural tissues (</w:t>
      </w:r>
      <w:proofErr w:type="spellStart"/>
      <w:r>
        <w:rPr>
          <w:rFonts w:ascii="Times New Roman" w:hAnsi="Times New Roman" w:cs="Times New Roman"/>
          <w:sz w:val="24"/>
          <w:szCs w:val="24"/>
        </w:rPr>
        <w:t>Sudjarwo</w:t>
      </w:r>
      <w:proofErr w:type="spellEnd"/>
      <w:r>
        <w:rPr>
          <w:rFonts w:ascii="Times New Roman" w:hAnsi="Times New Roman" w:cs="Times New Roman"/>
          <w:sz w:val="24"/>
          <w:szCs w:val="24"/>
        </w:rPr>
        <w:t xml:space="preserve"> et al., 2017; Abubakar et al., 2019).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w:t>
      </w:r>
      <w:r>
        <w:rPr>
          <w:rFonts w:ascii="Times New Roman" w:hAnsi="Times New Roman" w:cs="Times New Roman"/>
          <w:i/>
          <w:iCs/>
          <w:sz w:val="24"/>
          <w:szCs w:val="24"/>
        </w:rPr>
        <w:t>nale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(ginger) is rich in gingerols, shogaols, and flavonoids, which possess anti-inflammatory and antioxidant activities that mitigate neural inflammation and apoptosis (Christian et al., 2017). </w:t>
      </w:r>
      <w:r>
        <w:rPr>
          <w:rFonts w:ascii="Times New Roman" w:hAnsi="Times New Roman" w:cs="Times New Roman"/>
          <w:i/>
          <w:iCs/>
          <w:sz w:val="24"/>
          <w:szCs w:val="24"/>
        </w:rPr>
        <w:t>Allium sativum</w:t>
      </w:r>
      <w:r>
        <w:rPr>
          <w:rFonts w:ascii="Times New Roman" w:hAnsi="Times New Roman" w:cs="Times New Roman"/>
          <w:sz w:val="24"/>
          <w:szCs w:val="24"/>
        </w:rPr>
        <w:t xml:space="preserve"> (garlic) contains organosulfur compounds (e.g.</w:t>
      </w:r>
      <w:r>
        <w:rPr>
          <w:rFonts w:ascii="Times New Roman" w:hAnsi="Times New Roman" w:cs="Times New Roman"/>
          <w:sz w:val="24"/>
          <w:szCs w:val="24"/>
        </w:rPr>
        <w:t>, allicin) and selenium that enhance endogenous antioxidant systems and inhibit lipid peroxidation, reducing Pb-induced cytotoxicity (</w:t>
      </w:r>
      <w:proofErr w:type="spellStart"/>
      <w:r>
        <w:rPr>
          <w:rFonts w:ascii="Times New Roman" w:hAnsi="Times New Roman" w:cs="Times New Roman"/>
          <w:sz w:val="24"/>
          <w:szCs w:val="24"/>
        </w:rPr>
        <w:t>Uzma</w:t>
      </w:r>
      <w:proofErr w:type="spellEnd"/>
      <w:r>
        <w:rPr>
          <w:rFonts w:ascii="Times New Roman" w:hAnsi="Times New Roman" w:cs="Times New Roman"/>
          <w:sz w:val="24"/>
          <w:szCs w:val="24"/>
        </w:rPr>
        <w:t xml:space="preserve"> et al., 2017).</w:t>
      </w:r>
    </w:p>
    <w:p w14:paraId="5E3191FE"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2EBAA7E6"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Together, these bioactive components likely acted synergistically to reduce oxidative stress, scaveng</w:t>
      </w:r>
      <w:r>
        <w:rPr>
          <w:rFonts w:ascii="Times New Roman" w:hAnsi="Times New Roman" w:cs="Times New Roman"/>
          <w:sz w:val="24"/>
          <w:szCs w:val="24"/>
        </w:rPr>
        <w:t xml:space="preserve">e free radicals, stabilize neuronal membranes, and chelate lead ions, thereby mitigating neurodegeneration. The dose-response relationship observed further supports the therapeutic potential of phytochemical combinations, especially in chronic or subacute </w:t>
      </w:r>
      <w:r>
        <w:rPr>
          <w:rFonts w:ascii="Times New Roman" w:hAnsi="Times New Roman" w:cs="Times New Roman"/>
          <w:sz w:val="24"/>
          <w:szCs w:val="24"/>
        </w:rPr>
        <w:t>toxicological conditions.</w:t>
      </w:r>
    </w:p>
    <w:p w14:paraId="49C7E83D"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15254328"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While the findings are promising, several limitations warrant consideration. The study used only male rats, hence sex-specific variations in neurotoxicity and treatment response were not assessed. Biochemical assays of oxidative </w:t>
      </w:r>
      <w:r>
        <w:rPr>
          <w:rFonts w:ascii="Times New Roman" w:hAnsi="Times New Roman" w:cs="Times New Roman"/>
          <w:sz w:val="24"/>
          <w:szCs w:val="24"/>
        </w:rPr>
        <w:t xml:space="preserve">stress markers (e.g., SOD, MDA, </w:t>
      </w:r>
      <w:proofErr w:type="spellStart"/>
      <w:r>
        <w:rPr>
          <w:rFonts w:ascii="Times New Roman" w:hAnsi="Times New Roman" w:cs="Times New Roman"/>
          <w:sz w:val="24"/>
          <w:szCs w:val="24"/>
        </w:rPr>
        <w:t>GPx</w:t>
      </w:r>
      <w:proofErr w:type="spellEnd"/>
      <w:r>
        <w:rPr>
          <w:rFonts w:ascii="Times New Roman" w:hAnsi="Times New Roman" w:cs="Times New Roman"/>
          <w:sz w:val="24"/>
          <w:szCs w:val="24"/>
        </w:rPr>
        <w:t>) were not conducted alongside histology, which could have strengthened the mechanistic insights. The study duration was relatively short (14 days); longer studies may be needed to assess chronic outcomes or delayed neuro</w:t>
      </w:r>
      <w:r>
        <w:rPr>
          <w:rFonts w:ascii="Times New Roman" w:hAnsi="Times New Roman" w:cs="Times New Roman"/>
          <w:sz w:val="24"/>
          <w:szCs w:val="24"/>
        </w:rPr>
        <w:t>degeneration.</w:t>
      </w:r>
    </w:p>
    <w:p w14:paraId="518E0496"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5052CB07"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This study adds to the growing evidence supporting the use of phytochemicals as affordable neuroprotectants in heavy metal-induced toxicity. Given the widespread environmental exposure to lead—especially in developing countries—such interven</w:t>
      </w:r>
      <w:r>
        <w:rPr>
          <w:rFonts w:ascii="Times New Roman" w:hAnsi="Times New Roman" w:cs="Times New Roman"/>
          <w:sz w:val="24"/>
          <w:szCs w:val="24"/>
        </w:rPr>
        <w:t>tions could serve as preventive or adjunct therapies for at-risk populations.</w:t>
      </w:r>
    </w:p>
    <w:p w14:paraId="1343B1E6"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270C7CAE"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 Conclusion</w:t>
      </w:r>
    </w:p>
    <w:p w14:paraId="2517D490"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1E425861"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present study demonstrates that **combined aqueous extracts of *</w:t>
      </w:r>
      <w:proofErr w:type="spellStart"/>
      <w:r>
        <w:rPr>
          <w:rFonts w:ascii="Times New Roman" w:hAnsi="Times New Roman" w:cs="Times New Roman"/>
          <w:sz w:val="24"/>
          <w:szCs w:val="24"/>
        </w:rPr>
        <w:t>Zingiber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officinale</w:t>
      </w:r>
      <w:proofErr w:type="spellEnd"/>
      <w:r>
        <w:rPr>
          <w:rFonts w:ascii="Times New Roman" w:hAnsi="Times New Roman" w:cs="Times New Roman"/>
          <w:sz w:val="24"/>
          <w:szCs w:val="24"/>
        </w:rPr>
        <w:t>*, *Allium sativum*, and *Curcuma longa*** exhibit **significant neuroprote</w:t>
      </w:r>
      <w:r>
        <w:rPr>
          <w:rFonts w:ascii="Times New Roman" w:hAnsi="Times New Roman" w:cs="Times New Roman"/>
          <w:sz w:val="24"/>
          <w:szCs w:val="24"/>
        </w:rPr>
        <w:t>ctive effects** against lead-induced cerebellar damage in Wistar rats. These effects were evident both histologically and morphometrically, with the high-dose treatment group showing the **most pronounced restoration of cerebellar architecture and neuronal</w:t>
      </w:r>
      <w:r>
        <w:rPr>
          <w:rFonts w:ascii="Times New Roman" w:hAnsi="Times New Roman" w:cs="Times New Roman"/>
          <w:sz w:val="24"/>
          <w:szCs w:val="24"/>
        </w:rPr>
        <w:t xml:space="preserve"> integrity**. The findings suggest that these commonly available plant-based extracts may offer a **cost-effective and natural therapeutic strategy for mitigating lead-induced neurotoxicity. Further studies are warranted to elucidate the molecular pathways</w:t>
      </w:r>
      <w:r>
        <w:rPr>
          <w:rFonts w:ascii="Times New Roman" w:hAnsi="Times New Roman" w:cs="Times New Roman"/>
          <w:sz w:val="24"/>
          <w:szCs w:val="24"/>
        </w:rPr>
        <w:t xml:space="preserve"> involved and to explore clinical translation.</w:t>
      </w:r>
    </w:p>
    <w:p w14:paraId="72454053"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65C1AE1B"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524128AF"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28C2AA7A" w14:textId="77777777" w:rsidR="00E11D75" w:rsidRDefault="00E11D75">
      <w:pPr>
        <w:autoSpaceDE w:val="0"/>
        <w:autoSpaceDN w:val="0"/>
        <w:adjustRightInd w:val="0"/>
        <w:spacing w:line="360" w:lineRule="auto"/>
        <w:jc w:val="both"/>
        <w:rPr>
          <w:rFonts w:ascii="Times New Roman" w:hAnsi="Times New Roman" w:cs="Times New Roman"/>
          <w:sz w:val="24"/>
          <w:szCs w:val="24"/>
        </w:rPr>
      </w:pPr>
    </w:p>
    <w:p w14:paraId="4F12C92F" w14:textId="77777777" w:rsidR="00E11D75" w:rsidRDefault="00090F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References</w:t>
      </w:r>
      <w:r>
        <w:rPr>
          <w:rFonts w:ascii="Times New Roman" w:hAnsi="Times New Roman" w:cs="Times New Roman"/>
          <w:sz w:val="24"/>
          <w:szCs w:val="24"/>
        </w:rPr>
        <w:t xml:space="preserve"> </w:t>
      </w:r>
    </w:p>
    <w:p w14:paraId="1EBCF920" w14:textId="77777777" w:rsidR="00E11D75" w:rsidRDefault="00E11D75">
      <w:pPr>
        <w:autoSpaceDE w:val="0"/>
        <w:autoSpaceDN w:val="0"/>
        <w:adjustRightInd w:val="0"/>
        <w:spacing w:after="0" w:line="360" w:lineRule="auto"/>
        <w:rPr>
          <w:rFonts w:ascii="Times New Roman" w:hAnsi="Times New Roman" w:cs="Times New Roman"/>
          <w:sz w:val="24"/>
          <w:szCs w:val="24"/>
        </w:rPr>
      </w:pPr>
    </w:p>
    <w:p w14:paraId="52AE0D6D" w14:textId="77777777" w:rsidR="00E11D75" w:rsidRDefault="00090F71">
      <w:pPr>
        <w:spacing w:line="240" w:lineRule="auto"/>
        <w:rPr>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Jaishankar</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Tseten</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Anbalagan</w:t>
      </w:r>
      <w:proofErr w:type="spellEnd"/>
      <w:r>
        <w:rPr>
          <w:rFonts w:ascii="Times New Roman" w:hAnsi="Times New Roman" w:cs="Times New Roman"/>
          <w:sz w:val="24"/>
          <w:szCs w:val="24"/>
        </w:rPr>
        <w:t xml:space="preserve">, N., Mathew, B. B., &amp; </w:t>
      </w:r>
      <w:proofErr w:type="spellStart"/>
      <w:r>
        <w:rPr>
          <w:rFonts w:ascii="Times New Roman" w:hAnsi="Times New Roman" w:cs="Times New Roman"/>
          <w:sz w:val="24"/>
          <w:szCs w:val="24"/>
        </w:rPr>
        <w:t>Beeregowda</w:t>
      </w:r>
      <w:proofErr w:type="spellEnd"/>
      <w:r>
        <w:rPr>
          <w:rFonts w:ascii="Times New Roman" w:hAnsi="Times New Roman" w:cs="Times New Roman"/>
          <w:sz w:val="24"/>
          <w:szCs w:val="24"/>
        </w:rPr>
        <w:t xml:space="preserve">, K. N. (2014). Toxicity, mechanism and health effects of some heavy metals. </w:t>
      </w:r>
      <w:r>
        <w:rPr>
          <w:rFonts w:ascii="Times New Roman" w:hAnsi="Times New Roman" w:cs="Times New Roman"/>
          <w:i/>
          <w:iCs/>
          <w:sz w:val="24"/>
          <w:szCs w:val="24"/>
        </w:rPr>
        <w:t xml:space="preserve">Interdisciplinary Toxicology, </w:t>
      </w:r>
      <w:r>
        <w:rPr>
          <w:rFonts w:ascii="Times New Roman" w:hAnsi="Times New Roman" w:cs="Times New Roman"/>
          <w:sz w:val="24"/>
          <w:szCs w:val="24"/>
        </w:rPr>
        <w:t>7(2), 60–72.</w:t>
      </w:r>
      <w:r>
        <w:rPr>
          <w:rFonts w:ascii="Times New Roman" w:hAnsi="Times New Roman" w:cs="Times New Roman"/>
          <w:sz w:val="24"/>
          <w:szCs w:val="24"/>
        </w:rPr>
        <w:t xml:space="preserve"> https://doi.org/10.2478/intox-2014-0009</w:t>
      </w:r>
    </w:p>
    <w:p w14:paraId="7A45EF67" w14:textId="77777777" w:rsidR="00E11D75" w:rsidRDefault="00090F71">
      <w:pPr>
        <w:spacing w:line="240" w:lineRule="auto"/>
        <w:rPr>
          <w:sz w:val="24"/>
          <w:szCs w:val="24"/>
        </w:rPr>
      </w:pPr>
      <w:r>
        <w:rPr>
          <w:rFonts w:ascii="Times New Roman" w:hAnsi="Times New Roman" w:cs="Times New Roman"/>
          <w:sz w:val="24"/>
          <w:szCs w:val="24"/>
        </w:rPr>
        <w:t xml:space="preserve">2. Flora, G., Gupta, D., &amp; Tiwari, A. (2012). Toxicity of lead: A review with recent updates. </w:t>
      </w:r>
      <w:r>
        <w:rPr>
          <w:rFonts w:ascii="Times New Roman" w:hAnsi="Times New Roman" w:cs="Times New Roman"/>
          <w:i/>
          <w:iCs/>
          <w:sz w:val="24"/>
          <w:szCs w:val="24"/>
        </w:rPr>
        <w:t>Interdisciplinary Toxicology, 5</w:t>
      </w:r>
      <w:r>
        <w:rPr>
          <w:rFonts w:ascii="Times New Roman" w:hAnsi="Times New Roman" w:cs="Times New Roman"/>
          <w:sz w:val="24"/>
          <w:szCs w:val="24"/>
        </w:rPr>
        <w:t>(2), 47–58. https://doi.org/10.2478/v10102-012-0009-2</w:t>
      </w:r>
    </w:p>
    <w:p w14:paraId="67FE3654" w14:textId="77777777" w:rsidR="00E11D75" w:rsidRDefault="00090F71">
      <w:pPr>
        <w:spacing w:line="240" w:lineRule="auto"/>
        <w:rPr>
          <w:sz w:val="24"/>
          <w:szCs w:val="24"/>
        </w:rPr>
      </w:pPr>
      <w:r>
        <w:rPr>
          <w:rFonts w:ascii="Times New Roman" w:hAnsi="Times New Roman" w:cs="Times New Roman"/>
          <w:sz w:val="24"/>
          <w:szCs w:val="24"/>
        </w:rPr>
        <w:t>3. Zhou, Y., Sanchez, V. B., Xu, P.,</w:t>
      </w:r>
      <w:r>
        <w:rPr>
          <w:rFonts w:ascii="Times New Roman" w:hAnsi="Times New Roman" w:cs="Times New Roman"/>
          <w:sz w:val="24"/>
          <w:szCs w:val="24"/>
        </w:rPr>
        <w:t xml:space="preserve"> </w:t>
      </w:r>
      <w:proofErr w:type="spellStart"/>
      <w:r>
        <w:rPr>
          <w:rFonts w:ascii="Times New Roman" w:hAnsi="Times New Roman" w:cs="Times New Roman"/>
          <w:sz w:val="24"/>
          <w:szCs w:val="24"/>
        </w:rPr>
        <w:t>Roule</w:t>
      </w:r>
      <w:proofErr w:type="spellEnd"/>
      <w:r>
        <w:rPr>
          <w:rFonts w:ascii="Times New Roman" w:hAnsi="Times New Roman" w:cs="Times New Roman"/>
          <w:sz w:val="24"/>
          <w:szCs w:val="24"/>
        </w:rPr>
        <w:t xml:space="preserve">, T., Flores-Mendez, M., Ciesielski, B., </w:t>
      </w:r>
      <w:proofErr w:type="spellStart"/>
      <w:r>
        <w:rPr>
          <w:rFonts w:ascii="Times New Roman" w:hAnsi="Times New Roman" w:cs="Times New Roman"/>
          <w:sz w:val="24"/>
          <w:szCs w:val="24"/>
        </w:rPr>
        <w:t>Yoo</w:t>
      </w:r>
      <w:proofErr w:type="spellEnd"/>
      <w:r>
        <w:rPr>
          <w:rFonts w:ascii="Times New Roman" w:hAnsi="Times New Roman" w:cs="Times New Roman"/>
          <w:sz w:val="24"/>
          <w:szCs w:val="24"/>
        </w:rPr>
        <w:t xml:space="preserve">, D., Teshome, H., Jimenez, T., Liu, S., </w:t>
      </w:r>
      <w:proofErr w:type="spellStart"/>
      <w:r>
        <w:rPr>
          <w:rFonts w:ascii="Times New Roman" w:hAnsi="Times New Roman" w:cs="Times New Roman"/>
          <w:sz w:val="24"/>
          <w:szCs w:val="24"/>
        </w:rPr>
        <w:t>Henne</w:t>
      </w:r>
      <w:proofErr w:type="spellEnd"/>
      <w:r>
        <w:rPr>
          <w:rFonts w:ascii="Times New Roman" w:hAnsi="Times New Roman" w:cs="Times New Roman"/>
          <w:sz w:val="24"/>
          <w:szCs w:val="24"/>
        </w:rPr>
        <w:t xml:space="preserve">, M., O'Brien, T., He, Y., </w:t>
      </w:r>
      <w:proofErr w:type="spellStart"/>
      <w:r>
        <w:rPr>
          <w:rFonts w:ascii="Times New Roman" w:hAnsi="Times New Roman" w:cs="Times New Roman"/>
          <w:sz w:val="24"/>
          <w:szCs w:val="24"/>
        </w:rPr>
        <w:t>Mesaros</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Tobalu</w:t>
      </w:r>
      <w:proofErr w:type="spellEnd"/>
      <w:r>
        <w:rPr>
          <w:rFonts w:ascii="Times New Roman" w:hAnsi="Times New Roman" w:cs="Times New Roman"/>
          <w:sz w:val="24"/>
          <w:szCs w:val="24"/>
        </w:rPr>
        <w:t xml:space="preserve">, F. O., &amp; </w:t>
      </w:r>
      <w:proofErr w:type="spellStart"/>
      <w:r>
        <w:rPr>
          <w:rFonts w:ascii="Times New Roman" w:hAnsi="Times New Roman" w:cs="Times New Roman"/>
          <w:sz w:val="24"/>
          <w:szCs w:val="24"/>
        </w:rPr>
        <w:t>Enogieru</w:t>
      </w:r>
      <w:proofErr w:type="spellEnd"/>
      <w:r>
        <w:rPr>
          <w:rFonts w:ascii="Times New Roman" w:hAnsi="Times New Roman" w:cs="Times New Roman"/>
          <w:sz w:val="24"/>
          <w:szCs w:val="24"/>
        </w:rPr>
        <w:t>, A. B. (2025). Lead neurotoxicity in experimental models: A systematic review on effects on th</w:t>
      </w:r>
      <w:r>
        <w:rPr>
          <w:rFonts w:ascii="Times New Roman" w:hAnsi="Times New Roman" w:cs="Times New Roman"/>
          <w:sz w:val="24"/>
          <w:szCs w:val="24"/>
        </w:rPr>
        <w:t xml:space="preserve">e cerebrum, cerebellum, and hippocampus. </w:t>
      </w:r>
      <w:r>
        <w:rPr>
          <w:rFonts w:ascii="Times New Roman" w:hAnsi="Times New Roman" w:cs="Times New Roman"/>
          <w:i/>
          <w:iCs/>
          <w:sz w:val="24"/>
          <w:szCs w:val="24"/>
        </w:rPr>
        <w:t>Toxicology Reports, 14</w:t>
      </w:r>
      <w:r>
        <w:rPr>
          <w:rFonts w:ascii="Times New Roman" w:hAnsi="Times New Roman" w:cs="Times New Roman"/>
          <w:sz w:val="24"/>
          <w:szCs w:val="24"/>
        </w:rPr>
        <w:t>, 102044. https://doi.org/10.1016/j.toxrep.2025.102044</w:t>
      </w:r>
    </w:p>
    <w:p w14:paraId="1E7734B8" w14:textId="77777777" w:rsidR="00E11D75" w:rsidRDefault="00090F71">
      <w:pPr>
        <w:spacing w:line="240" w:lineRule="auto"/>
        <w:rPr>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Virgolini</w:t>
      </w:r>
      <w:proofErr w:type="spellEnd"/>
      <w:r>
        <w:rPr>
          <w:rFonts w:ascii="Times New Roman" w:hAnsi="Times New Roman" w:cs="Times New Roman"/>
          <w:sz w:val="24"/>
          <w:szCs w:val="24"/>
        </w:rPr>
        <w:t xml:space="preserve">, M. B., &amp; </w:t>
      </w:r>
      <w:proofErr w:type="spellStart"/>
      <w:r>
        <w:rPr>
          <w:rFonts w:ascii="Times New Roman" w:hAnsi="Times New Roman" w:cs="Times New Roman"/>
          <w:sz w:val="24"/>
          <w:szCs w:val="24"/>
        </w:rPr>
        <w:t>Aschner</w:t>
      </w:r>
      <w:proofErr w:type="spellEnd"/>
      <w:r>
        <w:rPr>
          <w:rFonts w:ascii="Times New Roman" w:hAnsi="Times New Roman" w:cs="Times New Roman"/>
          <w:sz w:val="24"/>
          <w:szCs w:val="24"/>
        </w:rPr>
        <w:t xml:space="preserve">, M. (2021). Molecular mechanisms of lead neurotoxicity. </w:t>
      </w:r>
      <w:r>
        <w:rPr>
          <w:rFonts w:ascii="Times New Roman" w:hAnsi="Times New Roman" w:cs="Times New Roman"/>
          <w:i/>
          <w:iCs/>
          <w:sz w:val="24"/>
          <w:szCs w:val="24"/>
        </w:rPr>
        <w:t>Advances in Neurotoxicology, 5</w:t>
      </w:r>
      <w:r>
        <w:rPr>
          <w:rFonts w:ascii="Times New Roman" w:hAnsi="Times New Roman" w:cs="Times New Roman"/>
          <w:sz w:val="24"/>
          <w:szCs w:val="24"/>
        </w:rPr>
        <w:t>, 159–213. https://do</w:t>
      </w:r>
      <w:r>
        <w:rPr>
          <w:rFonts w:ascii="Times New Roman" w:hAnsi="Times New Roman" w:cs="Times New Roman"/>
          <w:sz w:val="24"/>
          <w:szCs w:val="24"/>
        </w:rPr>
        <w:t>i.org/10.1016/bs.ant.2020.11.002</w:t>
      </w:r>
    </w:p>
    <w:p w14:paraId="5E2E4884" w14:textId="77777777" w:rsidR="00E11D75" w:rsidRDefault="00090F71">
      <w:pPr>
        <w:spacing w:line="240" w:lineRule="auto"/>
        <w:rPr>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Gracia</w:t>
      </w:r>
      <w:proofErr w:type="spellEnd"/>
      <w:r>
        <w:rPr>
          <w:rFonts w:ascii="Times New Roman" w:hAnsi="Times New Roman" w:cs="Times New Roman"/>
          <w:sz w:val="24"/>
          <w:szCs w:val="24"/>
        </w:rPr>
        <w:t xml:space="preserve">, R. C., &amp; Snodgrass, W. R. (2007). Lead toxicity and chelation therapy. </w:t>
      </w:r>
      <w:r>
        <w:rPr>
          <w:rFonts w:ascii="Times New Roman" w:hAnsi="Times New Roman" w:cs="Times New Roman"/>
          <w:i/>
          <w:iCs/>
          <w:sz w:val="24"/>
          <w:szCs w:val="24"/>
        </w:rPr>
        <w:t>American Journal of Health-System Pharmacy, 64</w:t>
      </w:r>
      <w:r>
        <w:rPr>
          <w:rFonts w:ascii="Times New Roman" w:hAnsi="Times New Roman" w:cs="Times New Roman"/>
          <w:sz w:val="24"/>
          <w:szCs w:val="24"/>
        </w:rPr>
        <w:t>(1), 45–53. https://doi.org/10.2146/ajhp060175</w:t>
      </w:r>
    </w:p>
    <w:p w14:paraId="30A0C958" w14:textId="77777777" w:rsidR="00E11D75" w:rsidRDefault="00090F71">
      <w:pPr>
        <w:spacing w:line="240" w:lineRule="auto"/>
        <w:rPr>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Ajanaku</w:t>
      </w:r>
      <w:proofErr w:type="spellEnd"/>
      <w:r>
        <w:rPr>
          <w:rFonts w:ascii="Times New Roman" w:hAnsi="Times New Roman" w:cs="Times New Roman"/>
          <w:sz w:val="24"/>
          <w:szCs w:val="24"/>
        </w:rPr>
        <w:t xml:space="preserve">, C. O., </w:t>
      </w:r>
      <w:proofErr w:type="spellStart"/>
      <w:r>
        <w:rPr>
          <w:rFonts w:ascii="Times New Roman" w:hAnsi="Times New Roman" w:cs="Times New Roman"/>
          <w:sz w:val="24"/>
          <w:szCs w:val="24"/>
        </w:rPr>
        <w:t>Ademosun</w:t>
      </w:r>
      <w:proofErr w:type="spellEnd"/>
      <w:r>
        <w:rPr>
          <w:rFonts w:ascii="Times New Roman" w:hAnsi="Times New Roman" w:cs="Times New Roman"/>
          <w:sz w:val="24"/>
          <w:szCs w:val="24"/>
        </w:rPr>
        <w:t xml:space="preserve">, O. T., </w:t>
      </w:r>
      <w:proofErr w:type="spellStart"/>
      <w:r>
        <w:rPr>
          <w:rFonts w:ascii="Times New Roman" w:hAnsi="Times New Roman" w:cs="Times New Roman"/>
          <w:sz w:val="24"/>
          <w:szCs w:val="24"/>
        </w:rPr>
        <w:t>Atohengbe</w:t>
      </w:r>
      <w:proofErr w:type="spellEnd"/>
      <w:r>
        <w:rPr>
          <w:rFonts w:ascii="Times New Roman" w:hAnsi="Times New Roman" w:cs="Times New Roman"/>
          <w:sz w:val="24"/>
          <w:szCs w:val="24"/>
        </w:rPr>
        <w:t>, P</w:t>
      </w:r>
      <w:r>
        <w:rPr>
          <w:rFonts w:ascii="Times New Roman" w:hAnsi="Times New Roman" w:cs="Times New Roman"/>
          <w:sz w:val="24"/>
          <w:szCs w:val="24"/>
        </w:rPr>
        <w:t xml:space="preserve">. O., Ajayi, S. O., Obafemi, Y. D., Owolabi, O. A., </w:t>
      </w:r>
      <w:proofErr w:type="spellStart"/>
      <w:r>
        <w:rPr>
          <w:rFonts w:ascii="Times New Roman" w:hAnsi="Times New Roman" w:cs="Times New Roman"/>
          <w:sz w:val="24"/>
          <w:szCs w:val="24"/>
        </w:rPr>
        <w:t>Akinduti</w:t>
      </w:r>
      <w:proofErr w:type="spellEnd"/>
      <w:r>
        <w:rPr>
          <w:rFonts w:ascii="Times New Roman" w:hAnsi="Times New Roman" w:cs="Times New Roman"/>
          <w:sz w:val="24"/>
          <w:szCs w:val="24"/>
        </w:rPr>
        <w:t xml:space="preserve">, P. A., &amp; </w:t>
      </w:r>
      <w:proofErr w:type="spellStart"/>
      <w:r>
        <w:rPr>
          <w:rFonts w:ascii="Times New Roman" w:hAnsi="Times New Roman" w:cs="Times New Roman"/>
          <w:sz w:val="24"/>
          <w:szCs w:val="24"/>
        </w:rPr>
        <w:t>Ajanaku</w:t>
      </w:r>
      <w:proofErr w:type="spellEnd"/>
      <w:r>
        <w:rPr>
          <w:rFonts w:ascii="Times New Roman" w:hAnsi="Times New Roman" w:cs="Times New Roman"/>
          <w:sz w:val="24"/>
          <w:szCs w:val="24"/>
        </w:rPr>
        <w:t xml:space="preserve">, K. O. (2022). Functional bioactive compounds in ginger, turmeric, and garlic. </w:t>
      </w:r>
      <w:r>
        <w:rPr>
          <w:rFonts w:ascii="Times New Roman" w:hAnsi="Times New Roman" w:cs="Times New Roman"/>
          <w:i/>
          <w:iCs/>
          <w:sz w:val="24"/>
          <w:szCs w:val="24"/>
        </w:rPr>
        <w:t>Frontiers in Nutrition, 9</w:t>
      </w:r>
      <w:r>
        <w:rPr>
          <w:rFonts w:ascii="Times New Roman" w:hAnsi="Times New Roman" w:cs="Times New Roman"/>
          <w:sz w:val="24"/>
          <w:szCs w:val="24"/>
        </w:rPr>
        <w:t>, 1012023. https://doi.org/10.3389/fnut.2022.1012023</w:t>
      </w:r>
    </w:p>
    <w:p w14:paraId="23590332" w14:textId="77777777" w:rsidR="00E11D75" w:rsidRDefault="00090F71">
      <w:pPr>
        <w:spacing w:line="240" w:lineRule="auto"/>
        <w:rPr>
          <w:sz w:val="24"/>
          <w:szCs w:val="24"/>
        </w:rPr>
      </w:pPr>
      <w:r>
        <w:rPr>
          <w:rFonts w:ascii="Times New Roman" w:hAnsi="Times New Roman" w:cs="Times New Roman"/>
          <w:sz w:val="24"/>
          <w:szCs w:val="24"/>
        </w:rPr>
        <w:t>7. Chowdhury, D. K.,</w:t>
      </w:r>
      <w:r>
        <w:rPr>
          <w:rFonts w:ascii="Times New Roman" w:hAnsi="Times New Roman" w:cs="Times New Roman"/>
          <w:sz w:val="24"/>
          <w:szCs w:val="24"/>
        </w:rPr>
        <w:t xml:space="preserve"> </w:t>
      </w:r>
      <w:proofErr w:type="spellStart"/>
      <w:r>
        <w:rPr>
          <w:rFonts w:ascii="Times New Roman" w:hAnsi="Times New Roman" w:cs="Times New Roman"/>
          <w:sz w:val="24"/>
          <w:szCs w:val="24"/>
        </w:rPr>
        <w:t>Sahu</w:t>
      </w:r>
      <w:proofErr w:type="spellEnd"/>
      <w:r>
        <w:rPr>
          <w:rFonts w:ascii="Times New Roman" w:hAnsi="Times New Roman" w:cs="Times New Roman"/>
          <w:sz w:val="24"/>
          <w:szCs w:val="24"/>
        </w:rPr>
        <w:t xml:space="preserve">, N. P., Sardar, P., Deo, A. D., </w:t>
      </w:r>
      <w:proofErr w:type="spellStart"/>
      <w:r>
        <w:rPr>
          <w:rFonts w:ascii="Times New Roman" w:hAnsi="Times New Roman" w:cs="Times New Roman"/>
          <w:sz w:val="24"/>
          <w:szCs w:val="24"/>
        </w:rPr>
        <w:t>Bedekar</w:t>
      </w:r>
      <w:proofErr w:type="spellEnd"/>
      <w:r>
        <w:rPr>
          <w:rFonts w:ascii="Times New Roman" w:hAnsi="Times New Roman" w:cs="Times New Roman"/>
          <w:sz w:val="24"/>
          <w:szCs w:val="24"/>
        </w:rPr>
        <w:t xml:space="preserve">, M. K., Singha, K. P., &amp; </w:t>
      </w:r>
      <w:proofErr w:type="spellStart"/>
      <w:r>
        <w:rPr>
          <w:rFonts w:ascii="Times New Roman" w:hAnsi="Times New Roman" w:cs="Times New Roman"/>
          <w:sz w:val="24"/>
          <w:szCs w:val="24"/>
        </w:rPr>
        <w:t>Maiti</w:t>
      </w:r>
      <w:proofErr w:type="spellEnd"/>
      <w:r>
        <w:rPr>
          <w:rFonts w:ascii="Times New Roman" w:hAnsi="Times New Roman" w:cs="Times New Roman"/>
          <w:sz w:val="24"/>
          <w:szCs w:val="24"/>
        </w:rPr>
        <w:t xml:space="preserve">, M. K. (2021). Feeding turmeric in combination with ginger or garlic enhances the digestive enzyme activities, growth and immunity in </w:t>
      </w:r>
      <w:proofErr w:type="spellStart"/>
      <w:r>
        <w:rPr>
          <w:rFonts w:ascii="Times New Roman" w:hAnsi="Times New Roman" w:cs="Times New Roman"/>
          <w:i/>
          <w:iCs/>
          <w:sz w:val="24"/>
          <w:szCs w:val="24"/>
        </w:rPr>
        <w:t>Labeo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rohita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fingerlings. </w:t>
      </w:r>
      <w:r>
        <w:rPr>
          <w:rFonts w:ascii="Times New Roman" w:hAnsi="Times New Roman" w:cs="Times New Roman"/>
          <w:i/>
          <w:iCs/>
          <w:sz w:val="24"/>
          <w:szCs w:val="24"/>
        </w:rPr>
        <w:t>Animal Feed Science</w:t>
      </w:r>
      <w:r>
        <w:rPr>
          <w:rFonts w:ascii="Times New Roman" w:hAnsi="Times New Roman" w:cs="Times New Roman"/>
          <w:i/>
          <w:iCs/>
          <w:sz w:val="24"/>
          <w:szCs w:val="24"/>
        </w:rPr>
        <w:t xml:space="preserve"> and Technology, 277</w:t>
      </w:r>
      <w:r>
        <w:rPr>
          <w:rFonts w:ascii="Times New Roman" w:hAnsi="Times New Roman" w:cs="Times New Roman"/>
          <w:sz w:val="24"/>
          <w:szCs w:val="24"/>
        </w:rPr>
        <w:t>, 114964. https://doi.org/10.1016/j.anifeedsci.2021.114964</w:t>
      </w:r>
    </w:p>
    <w:p w14:paraId="28DC60EB" w14:textId="77777777" w:rsidR="00E11D75" w:rsidRDefault="00090F71">
      <w:pPr>
        <w:spacing w:line="240" w:lineRule="auto"/>
        <w:rPr>
          <w:sz w:val="24"/>
          <w:szCs w:val="24"/>
        </w:rPr>
      </w:pPr>
      <w:r>
        <w:rPr>
          <w:rFonts w:ascii="Times New Roman" w:hAnsi="Times New Roman" w:cs="Times New Roman"/>
          <w:sz w:val="24"/>
          <w:szCs w:val="24"/>
        </w:rPr>
        <w:lastRenderedPageBreak/>
        <w:t xml:space="preserve">8. </w:t>
      </w:r>
      <w:proofErr w:type="spellStart"/>
      <w:r>
        <w:rPr>
          <w:rFonts w:ascii="Times New Roman" w:hAnsi="Times New Roman" w:cs="Times New Roman"/>
          <w:sz w:val="24"/>
          <w:szCs w:val="24"/>
        </w:rPr>
        <w:t>Sudjarwo</w:t>
      </w:r>
      <w:proofErr w:type="spellEnd"/>
      <w:r>
        <w:rPr>
          <w:rFonts w:ascii="Times New Roman" w:hAnsi="Times New Roman" w:cs="Times New Roman"/>
          <w:sz w:val="24"/>
          <w:szCs w:val="24"/>
        </w:rPr>
        <w:t xml:space="preserve">, S. A., </w:t>
      </w:r>
      <w:proofErr w:type="spellStart"/>
      <w:r>
        <w:rPr>
          <w:rFonts w:ascii="Times New Roman" w:hAnsi="Times New Roman" w:cs="Times New Roman"/>
          <w:sz w:val="24"/>
          <w:szCs w:val="24"/>
        </w:rPr>
        <w:t>Sudjarwo</w:t>
      </w:r>
      <w:proofErr w:type="spellEnd"/>
      <w:r>
        <w:rPr>
          <w:rFonts w:ascii="Times New Roman" w:hAnsi="Times New Roman" w:cs="Times New Roman"/>
          <w:sz w:val="24"/>
          <w:szCs w:val="24"/>
        </w:rPr>
        <w:t xml:space="preserve">, G. W., &amp; </w:t>
      </w:r>
      <w:proofErr w:type="spellStart"/>
      <w:r>
        <w:rPr>
          <w:rFonts w:ascii="Times New Roman" w:hAnsi="Times New Roman" w:cs="Times New Roman"/>
          <w:sz w:val="24"/>
          <w:szCs w:val="24"/>
        </w:rPr>
        <w:t>Koerniasari</w:t>
      </w:r>
      <w:proofErr w:type="spellEnd"/>
      <w:r>
        <w:rPr>
          <w:rFonts w:ascii="Times New Roman" w:hAnsi="Times New Roman" w:cs="Times New Roman"/>
          <w:sz w:val="24"/>
          <w:szCs w:val="24"/>
        </w:rPr>
        <w:t xml:space="preserve">. (2017). Protective effect of curcumin on lead acetate-induced testicular toxicity in Wistar rats. </w:t>
      </w:r>
      <w:r>
        <w:rPr>
          <w:rFonts w:ascii="Times New Roman" w:hAnsi="Times New Roman" w:cs="Times New Roman"/>
          <w:i/>
          <w:iCs/>
          <w:sz w:val="24"/>
          <w:szCs w:val="24"/>
        </w:rPr>
        <w:t xml:space="preserve">Research in Pharmaceutical </w:t>
      </w:r>
      <w:r>
        <w:rPr>
          <w:rFonts w:ascii="Times New Roman" w:hAnsi="Times New Roman" w:cs="Times New Roman"/>
          <w:i/>
          <w:iCs/>
          <w:sz w:val="24"/>
          <w:szCs w:val="24"/>
        </w:rPr>
        <w:t>Sciences, 12</w:t>
      </w:r>
      <w:r>
        <w:rPr>
          <w:rFonts w:ascii="Times New Roman" w:hAnsi="Times New Roman" w:cs="Times New Roman"/>
          <w:sz w:val="24"/>
          <w:szCs w:val="24"/>
        </w:rPr>
        <w:t>(5), 381–390. https://doi.org/10.4103/1735-5362.213983</w:t>
      </w:r>
    </w:p>
    <w:p w14:paraId="297EE35A" w14:textId="77777777" w:rsidR="00E11D75" w:rsidRDefault="00090F71">
      <w:pPr>
        <w:spacing w:line="240" w:lineRule="auto"/>
        <w:rPr>
          <w:sz w:val="24"/>
          <w:szCs w:val="24"/>
        </w:rPr>
      </w:pPr>
      <w:r>
        <w:rPr>
          <w:rFonts w:ascii="Times New Roman" w:hAnsi="Times New Roman" w:cs="Times New Roman"/>
          <w:sz w:val="24"/>
          <w:szCs w:val="24"/>
        </w:rPr>
        <w:t xml:space="preserve">9. Abubakar, K., Muhammad </w:t>
      </w:r>
      <w:proofErr w:type="spellStart"/>
      <w:r>
        <w:rPr>
          <w:rFonts w:ascii="Times New Roman" w:hAnsi="Times New Roman" w:cs="Times New Roman"/>
          <w:sz w:val="24"/>
          <w:szCs w:val="24"/>
        </w:rPr>
        <w:t>Mailafiya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Danmaigoro</w:t>
      </w:r>
      <w:proofErr w:type="spellEnd"/>
      <w:r>
        <w:rPr>
          <w:rFonts w:ascii="Times New Roman" w:hAnsi="Times New Roman" w:cs="Times New Roman"/>
          <w:sz w:val="24"/>
          <w:szCs w:val="24"/>
        </w:rPr>
        <w:t xml:space="preserve">, A., Musa </w:t>
      </w:r>
      <w:proofErr w:type="spellStart"/>
      <w:r>
        <w:rPr>
          <w:rFonts w:ascii="Times New Roman" w:hAnsi="Times New Roman" w:cs="Times New Roman"/>
          <w:sz w:val="24"/>
          <w:szCs w:val="24"/>
        </w:rPr>
        <w:t>Chiroma</w:t>
      </w:r>
      <w:proofErr w:type="spellEnd"/>
      <w:r>
        <w:rPr>
          <w:rFonts w:ascii="Times New Roman" w:hAnsi="Times New Roman" w:cs="Times New Roman"/>
          <w:sz w:val="24"/>
          <w:szCs w:val="24"/>
        </w:rPr>
        <w:t>, S., Abdul Rahim, E. B., &amp; Abu Bakar Zakaria, M. Z. (2019). Curcumin attenuates lead-induced cerebellar toxicity in rat</w:t>
      </w:r>
      <w:r>
        <w:rPr>
          <w:rFonts w:ascii="Times New Roman" w:hAnsi="Times New Roman" w:cs="Times New Roman"/>
          <w:sz w:val="24"/>
          <w:szCs w:val="24"/>
        </w:rPr>
        <w:t xml:space="preserve">s via chelating activity and inhibition of oxidative stress. </w:t>
      </w:r>
      <w:r>
        <w:rPr>
          <w:rFonts w:ascii="Times New Roman" w:hAnsi="Times New Roman" w:cs="Times New Roman"/>
          <w:i/>
          <w:iCs/>
          <w:sz w:val="24"/>
          <w:szCs w:val="24"/>
        </w:rPr>
        <w:t>Biomolecules, 9</w:t>
      </w:r>
      <w:r>
        <w:rPr>
          <w:rFonts w:ascii="Times New Roman" w:hAnsi="Times New Roman" w:cs="Times New Roman"/>
          <w:sz w:val="24"/>
          <w:szCs w:val="24"/>
        </w:rPr>
        <w:t>(9), 453. https://doi.org/10.3390/biom9090453</w:t>
      </w:r>
    </w:p>
    <w:p w14:paraId="03E4AE38" w14:textId="77777777" w:rsidR="00E11D75" w:rsidRDefault="00090F71">
      <w:pPr>
        <w:spacing w:line="240" w:lineRule="auto"/>
        <w:rPr>
          <w:sz w:val="24"/>
          <w:szCs w:val="24"/>
        </w:rPr>
      </w:pPr>
      <w:r>
        <w:rPr>
          <w:rFonts w:ascii="Times New Roman" w:hAnsi="Times New Roman" w:cs="Times New Roman"/>
          <w:sz w:val="24"/>
          <w:szCs w:val="24"/>
        </w:rPr>
        <w:t xml:space="preserve">10. Awan, U. A., Ali, S., Shahnawaz, A. M., Shafique, I., Zafar, A., Khan, M. A. R., </w:t>
      </w:r>
      <w:proofErr w:type="spellStart"/>
      <w:r>
        <w:rPr>
          <w:rFonts w:ascii="Times New Roman" w:hAnsi="Times New Roman" w:cs="Times New Roman"/>
          <w:sz w:val="24"/>
          <w:szCs w:val="24"/>
        </w:rPr>
        <w:t>Ghous</w:t>
      </w:r>
      <w:proofErr w:type="spellEnd"/>
      <w:r>
        <w:rPr>
          <w:rFonts w:ascii="Times New Roman" w:hAnsi="Times New Roman" w:cs="Times New Roman"/>
          <w:sz w:val="24"/>
          <w:szCs w:val="24"/>
        </w:rPr>
        <w:t xml:space="preserve">, T., Saleem, A., &amp; </w:t>
      </w:r>
      <w:proofErr w:type="spellStart"/>
      <w:r>
        <w:rPr>
          <w:rFonts w:ascii="Times New Roman" w:hAnsi="Times New Roman" w:cs="Times New Roman"/>
          <w:sz w:val="24"/>
          <w:szCs w:val="24"/>
        </w:rPr>
        <w:t>Andleeb</w:t>
      </w:r>
      <w:proofErr w:type="spellEnd"/>
      <w:r>
        <w:rPr>
          <w:rFonts w:ascii="Times New Roman" w:hAnsi="Times New Roman" w:cs="Times New Roman"/>
          <w:sz w:val="24"/>
          <w:szCs w:val="24"/>
        </w:rPr>
        <w:t>, S. (2017). Biol</w:t>
      </w:r>
      <w:r>
        <w:rPr>
          <w:rFonts w:ascii="Times New Roman" w:hAnsi="Times New Roman" w:cs="Times New Roman"/>
          <w:sz w:val="24"/>
          <w:szCs w:val="24"/>
        </w:rPr>
        <w:t xml:space="preserve">ogical activities of </w:t>
      </w:r>
      <w:r>
        <w:rPr>
          <w:rFonts w:ascii="Times New Roman" w:hAnsi="Times New Roman" w:cs="Times New Roman"/>
          <w:i/>
          <w:iCs/>
          <w:sz w:val="24"/>
          <w:szCs w:val="24"/>
        </w:rPr>
        <w:t xml:space="preserve">Allium sativum </w:t>
      </w:r>
      <w:r>
        <w:rPr>
          <w:rFonts w:ascii="Times New Roman" w:hAnsi="Times New Roman" w:cs="Times New Roman"/>
          <w:sz w:val="24"/>
          <w:szCs w:val="24"/>
        </w:rPr>
        <w:t xml:space="preserve">and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sz w:val="24"/>
          <w:szCs w:val="24"/>
        </w:rPr>
        <w:t xml:space="preserve"> extracts on clinically important bacterial pathogens, their phytochemical and FT-IR spectroscopic analysis. </w:t>
      </w:r>
      <w:r>
        <w:rPr>
          <w:rFonts w:ascii="Times New Roman" w:hAnsi="Times New Roman" w:cs="Times New Roman"/>
          <w:i/>
          <w:iCs/>
          <w:sz w:val="24"/>
          <w:szCs w:val="24"/>
        </w:rPr>
        <w:t>Pakistan Journal of Pharmaceutical Sciences, 30</w:t>
      </w:r>
      <w:r>
        <w:rPr>
          <w:rFonts w:ascii="Times New Roman" w:hAnsi="Times New Roman" w:cs="Times New Roman"/>
          <w:sz w:val="24"/>
          <w:szCs w:val="24"/>
        </w:rPr>
        <w:t>(3), 729–745.</w:t>
      </w:r>
    </w:p>
    <w:p w14:paraId="76FC487F" w14:textId="77777777" w:rsidR="00E11D75" w:rsidRDefault="00090F71">
      <w:pPr>
        <w:spacing w:line="240" w:lineRule="auto"/>
        <w:rPr>
          <w:sz w:val="24"/>
          <w:szCs w:val="24"/>
        </w:rPr>
      </w:pPr>
      <w:r>
        <w:rPr>
          <w:rFonts w:ascii="Times New Roman" w:hAnsi="Times New Roman" w:cs="Times New Roman"/>
          <w:sz w:val="24"/>
          <w:szCs w:val="24"/>
        </w:rPr>
        <w:t xml:space="preserve">11. </w:t>
      </w:r>
      <w:proofErr w:type="spellStart"/>
      <w:r>
        <w:rPr>
          <w:rFonts w:ascii="Times New Roman" w:hAnsi="Times New Roman" w:cs="Times New Roman"/>
          <w:sz w:val="24"/>
          <w:szCs w:val="24"/>
        </w:rPr>
        <w:t>Kusi</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Obirikorang</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K. A., &amp; Adjei-Boateng, D. (2025). Effects of </w:t>
      </w:r>
      <w:proofErr w:type="spellStart"/>
      <w:r>
        <w:rPr>
          <w:rFonts w:ascii="Times New Roman" w:hAnsi="Times New Roman" w:cs="Times New Roman"/>
          <w:sz w:val="24"/>
          <w:szCs w:val="24"/>
        </w:rPr>
        <w:t>phytobiotic</w:t>
      </w:r>
      <w:proofErr w:type="spellEnd"/>
      <w:r>
        <w:rPr>
          <w:rFonts w:ascii="Times New Roman" w:hAnsi="Times New Roman" w:cs="Times New Roman"/>
          <w:sz w:val="24"/>
          <w:szCs w:val="24"/>
        </w:rPr>
        <w:t xml:space="preserve"> Curcuma longa, </w:t>
      </w:r>
      <w:r>
        <w:rPr>
          <w:rFonts w:ascii="Times New Roman" w:hAnsi="Times New Roman" w:cs="Times New Roman"/>
          <w:i/>
          <w:iCs/>
          <w:sz w:val="24"/>
          <w:szCs w:val="24"/>
        </w:rPr>
        <w:t>Allium sativum</w:t>
      </w:r>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i/>
          <w:iCs/>
          <w:sz w:val="24"/>
          <w:szCs w:val="24"/>
        </w:rPr>
        <w:t>-</w:t>
      </w:r>
      <w:r>
        <w:rPr>
          <w:rFonts w:ascii="Times New Roman" w:hAnsi="Times New Roman" w:cs="Times New Roman"/>
          <w:sz w:val="24"/>
          <w:szCs w:val="24"/>
        </w:rPr>
        <w:t>supplemented diets on growth, utilization of feed, and Nile tilapia (</w:t>
      </w:r>
      <w:r>
        <w:rPr>
          <w:rFonts w:ascii="Times New Roman" w:hAnsi="Times New Roman" w:cs="Times New Roman"/>
          <w:i/>
          <w:iCs/>
          <w:sz w:val="24"/>
          <w:szCs w:val="24"/>
        </w:rPr>
        <w:t xml:space="preserve">Oreochromis </w:t>
      </w:r>
      <w:proofErr w:type="spellStart"/>
      <w:r>
        <w:rPr>
          <w:rFonts w:ascii="Times New Roman" w:hAnsi="Times New Roman" w:cs="Times New Roman"/>
          <w:i/>
          <w:iCs/>
          <w:sz w:val="24"/>
          <w:szCs w:val="24"/>
        </w:rPr>
        <w:t>niloticus</w:t>
      </w:r>
      <w:proofErr w:type="spellEnd"/>
      <w:r>
        <w:rPr>
          <w:rFonts w:ascii="Times New Roman" w:hAnsi="Times New Roman" w:cs="Times New Roman"/>
          <w:sz w:val="24"/>
          <w:szCs w:val="24"/>
        </w:rPr>
        <w:t xml:space="preserve">) resistance against </w:t>
      </w:r>
      <w:r>
        <w:rPr>
          <w:rFonts w:ascii="Times New Roman" w:hAnsi="Times New Roman" w:cs="Times New Roman"/>
          <w:i/>
          <w:iCs/>
          <w:sz w:val="24"/>
          <w:szCs w:val="24"/>
        </w:rPr>
        <w:t>Streptococcus agalactiae. Aquacu</w:t>
      </w:r>
      <w:r>
        <w:rPr>
          <w:rFonts w:ascii="Times New Roman" w:hAnsi="Times New Roman" w:cs="Times New Roman"/>
          <w:i/>
          <w:iCs/>
          <w:sz w:val="24"/>
          <w:szCs w:val="24"/>
        </w:rPr>
        <w:t>lture Research</w:t>
      </w:r>
      <w:r>
        <w:rPr>
          <w:rFonts w:ascii="Times New Roman" w:hAnsi="Times New Roman" w:cs="Times New Roman"/>
          <w:sz w:val="24"/>
          <w:szCs w:val="24"/>
        </w:rPr>
        <w:t>. Advance online publication. https://doi.org/10.1155/are/9911375</w:t>
      </w:r>
    </w:p>
    <w:p w14:paraId="47762C25" w14:textId="77777777" w:rsidR="00E11D75" w:rsidRDefault="00090F71">
      <w:pPr>
        <w:spacing w:line="240" w:lineRule="auto"/>
        <w:rPr>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Krakowska-Sieprawska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Kiełbasa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Rafińska</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Ligor</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Buszewski</w:t>
      </w:r>
      <w:proofErr w:type="spellEnd"/>
      <w:r>
        <w:rPr>
          <w:rFonts w:ascii="Times New Roman" w:hAnsi="Times New Roman" w:cs="Times New Roman"/>
          <w:sz w:val="24"/>
          <w:szCs w:val="24"/>
        </w:rPr>
        <w:t>, B. (2022). Modern methods of pre-treatment of plant material for the extraction of bioactive c</w:t>
      </w:r>
      <w:r>
        <w:rPr>
          <w:rFonts w:ascii="Times New Roman" w:hAnsi="Times New Roman" w:cs="Times New Roman"/>
          <w:sz w:val="24"/>
          <w:szCs w:val="24"/>
        </w:rPr>
        <w:t xml:space="preserve">ompounds. </w:t>
      </w:r>
      <w:r>
        <w:rPr>
          <w:rFonts w:ascii="Times New Roman" w:hAnsi="Times New Roman" w:cs="Times New Roman"/>
          <w:i/>
          <w:iCs/>
          <w:sz w:val="24"/>
          <w:szCs w:val="24"/>
        </w:rPr>
        <w:t>Molecules, 27</w:t>
      </w:r>
      <w:r>
        <w:rPr>
          <w:rFonts w:ascii="Times New Roman" w:hAnsi="Times New Roman" w:cs="Times New Roman"/>
          <w:sz w:val="24"/>
          <w:szCs w:val="24"/>
        </w:rPr>
        <w:t>(3), 730. https://doi.org/10.3390/molecules27030730</w:t>
      </w:r>
    </w:p>
    <w:p w14:paraId="1B885299" w14:textId="77777777" w:rsidR="00E11D75" w:rsidRDefault="00090F71">
      <w:pPr>
        <w:spacing w:line="240" w:lineRule="auto"/>
        <w:rPr>
          <w:sz w:val="24"/>
          <w:szCs w:val="24"/>
        </w:rPr>
      </w:pPr>
      <w:r>
        <w:rPr>
          <w:rFonts w:ascii="Times New Roman" w:hAnsi="Times New Roman" w:cs="Times New Roman"/>
          <w:sz w:val="24"/>
          <w:szCs w:val="24"/>
        </w:rPr>
        <w:t xml:space="preserve">13. Cardiff, R., Miller, C. H., &amp; Munn, R. J. (2014). Manual hematoxylin and eosin staining of mouse tissue sections. </w:t>
      </w:r>
      <w:r>
        <w:rPr>
          <w:rFonts w:ascii="Times New Roman" w:hAnsi="Times New Roman" w:cs="Times New Roman"/>
          <w:i/>
          <w:iCs/>
          <w:sz w:val="24"/>
          <w:szCs w:val="24"/>
        </w:rPr>
        <w:t>Cold Spring Harbor Protocols, 2014</w:t>
      </w:r>
      <w:r>
        <w:rPr>
          <w:rFonts w:ascii="Times New Roman" w:hAnsi="Times New Roman" w:cs="Times New Roman"/>
          <w:sz w:val="24"/>
          <w:szCs w:val="24"/>
        </w:rPr>
        <w:t xml:space="preserve">(6), </w:t>
      </w:r>
      <w:proofErr w:type="gramStart"/>
      <w:r>
        <w:rPr>
          <w:rFonts w:ascii="Times New Roman" w:hAnsi="Times New Roman" w:cs="Times New Roman"/>
          <w:sz w:val="24"/>
          <w:szCs w:val="24"/>
        </w:rPr>
        <w:t>pdb.prot</w:t>
      </w:r>
      <w:proofErr w:type="gramEnd"/>
      <w:r>
        <w:rPr>
          <w:rFonts w:ascii="Times New Roman" w:hAnsi="Times New Roman" w:cs="Times New Roman"/>
          <w:sz w:val="24"/>
          <w:szCs w:val="24"/>
        </w:rPr>
        <w:t>073411. https://</w:t>
      </w:r>
      <w:r>
        <w:rPr>
          <w:rFonts w:ascii="Times New Roman" w:hAnsi="Times New Roman" w:cs="Times New Roman"/>
          <w:sz w:val="24"/>
          <w:szCs w:val="24"/>
        </w:rPr>
        <w:t>doi.org/10.1101/pdb.prot073411</w:t>
      </w:r>
    </w:p>
    <w:p w14:paraId="57D5722D" w14:textId="77777777" w:rsidR="00E11D75" w:rsidRDefault="00090F71">
      <w:pPr>
        <w:spacing w:line="240" w:lineRule="auto"/>
        <w:rPr>
          <w:sz w:val="24"/>
          <w:szCs w:val="24"/>
        </w:rPr>
      </w:pPr>
      <w:r>
        <w:rPr>
          <w:rFonts w:ascii="Times New Roman" w:hAnsi="Times New Roman" w:cs="Times New Roman"/>
          <w:sz w:val="24"/>
          <w:szCs w:val="24"/>
        </w:rPr>
        <w:t xml:space="preserve">14. </w:t>
      </w:r>
      <w:proofErr w:type="spellStart"/>
      <w:r>
        <w:rPr>
          <w:rFonts w:ascii="Times New Roman" w:hAnsi="Times New Roman" w:cs="Times New Roman"/>
          <w:sz w:val="24"/>
          <w:szCs w:val="24"/>
        </w:rPr>
        <w:t>Alqahtani</w:t>
      </w:r>
      <w:proofErr w:type="spellEnd"/>
      <w:r>
        <w:rPr>
          <w:rFonts w:ascii="Times New Roman" w:hAnsi="Times New Roman" w:cs="Times New Roman"/>
          <w:sz w:val="24"/>
          <w:szCs w:val="24"/>
        </w:rPr>
        <w:t xml:space="preserve">, W. S., &amp; </w:t>
      </w:r>
      <w:proofErr w:type="spellStart"/>
      <w:r>
        <w:rPr>
          <w:rFonts w:ascii="Times New Roman" w:hAnsi="Times New Roman" w:cs="Times New Roman"/>
          <w:sz w:val="24"/>
          <w:szCs w:val="24"/>
        </w:rPr>
        <w:t>Albasher</w:t>
      </w:r>
      <w:proofErr w:type="spellEnd"/>
      <w:r>
        <w:rPr>
          <w:rFonts w:ascii="Times New Roman" w:hAnsi="Times New Roman" w:cs="Times New Roman"/>
          <w:sz w:val="24"/>
          <w:szCs w:val="24"/>
        </w:rPr>
        <w:t xml:space="preserve">, G. (2021). Moringa oleifera Lam. extract rescues lead-induced oxidative stress, inflammation, and apoptosis in the rat cerebral cortex. </w:t>
      </w:r>
      <w:r>
        <w:rPr>
          <w:rFonts w:ascii="Times New Roman" w:hAnsi="Times New Roman" w:cs="Times New Roman"/>
          <w:i/>
          <w:iCs/>
          <w:sz w:val="24"/>
          <w:szCs w:val="24"/>
        </w:rPr>
        <w:t>Journal of Food Biochemistry, 45</w:t>
      </w:r>
      <w:r>
        <w:rPr>
          <w:rFonts w:ascii="Times New Roman" w:hAnsi="Times New Roman" w:cs="Times New Roman"/>
          <w:sz w:val="24"/>
          <w:szCs w:val="24"/>
        </w:rPr>
        <w:t xml:space="preserve">(1), e13579. </w:t>
      </w:r>
      <w:r>
        <w:rPr>
          <w:rFonts w:ascii="Times New Roman" w:hAnsi="Times New Roman" w:cs="Times New Roman"/>
          <w:sz w:val="24"/>
          <w:szCs w:val="24"/>
        </w:rPr>
        <w:t>https://doi.org/10.1111/jfbc.13579</w:t>
      </w:r>
    </w:p>
    <w:p w14:paraId="328A03D6" w14:textId="77777777" w:rsidR="00E11D75" w:rsidRDefault="00090F71">
      <w:pPr>
        <w:spacing w:line="240" w:lineRule="auto"/>
        <w:rPr>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Ayinla</w:t>
      </w:r>
      <w:proofErr w:type="spellEnd"/>
      <w:r>
        <w:rPr>
          <w:rFonts w:ascii="Times New Roman" w:hAnsi="Times New Roman" w:cs="Times New Roman"/>
          <w:sz w:val="24"/>
          <w:szCs w:val="24"/>
        </w:rPr>
        <w:t xml:space="preserve">, M. T., &amp; </w:t>
      </w:r>
      <w:proofErr w:type="spellStart"/>
      <w:r>
        <w:rPr>
          <w:rFonts w:ascii="Times New Roman" w:hAnsi="Times New Roman" w:cs="Times New Roman"/>
          <w:sz w:val="24"/>
          <w:szCs w:val="24"/>
        </w:rPr>
        <w:t>Asuku</w:t>
      </w:r>
      <w:proofErr w:type="spellEnd"/>
      <w:r>
        <w:rPr>
          <w:rFonts w:ascii="Times New Roman" w:hAnsi="Times New Roman" w:cs="Times New Roman"/>
          <w:sz w:val="24"/>
          <w:szCs w:val="24"/>
        </w:rPr>
        <w:t xml:space="preserve">, O. A. (2025). The neurotoxic effects of lead acetate and the abrogating actions of 6-gingerol-rich extract of ginger via modulation of antioxidant </w:t>
      </w:r>
      <w:proofErr w:type="spellStart"/>
      <w:r>
        <w:rPr>
          <w:rFonts w:ascii="Times New Roman" w:hAnsi="Times New Roman" w:cs="Times New Roman"/>
          <w:sz w:val="24"/>
          <w:szCs w:val="24"/>
        </w:rPr>
        <w:t>defence</w:t>
      </w:r>
      <w:proofErr w:type="spellEnd"/>
      <w:r>
        <w:rPr>
          <w:rFonts w:ascii="Times New Roman" w:hAnsi="Times New Roman" w:cs="Times New Roman"/>
          <w:sz w:val="24"/>
          <w:szCs w:val="24"/>
        </w:rPr>
        <w:t xml:space="preserve"> system, pro-inflammatory markers, and </w:t>
      </w:r>
      <w:r>
        <w:rPr>
          <w:rFonts w:ascii="Times New Roman" w:hAnsi="Times New Roman" w:cs="Times New Roman"/>
          <w:sz w:val="24"/>
          <w:szCs w:val="24"/>
        </w:rPr>
        <w:t xml:space="preserve">apoptotic cascade. </w:t>
      </w:r>
      <w:proofErr w:type="spellStart"/>
      <w:r>
        <w:rPr>
          <w:rFonts w:ascii="Times New Roman" w:hAnsi="Times New Roman" w:cs="Times New Roman"/>
          <w:i/>
          <w:iCs/>
          <w:sz w:val="24"/>
          <w:szCs w:val="24"/>
        </w:rPr>
        <w:t>Naunyn-Schmiedeberg's</w:t>
      </w:r>
      <w:proofErr w:type="spellEnd"/>
      <w:r>
        <w:rPr>
          <w:rFonts w:ascii="Times New Roman" w:hAnsi="Times New Roman" w:cs="Times New Roman"/>
          <w:i/>
          <w:iCs/>
          <w:sz w:val="24"/>
          <w:szCs w:val="24"/>
        </w:rPr>
        <w:t xml:space="preserve"> Archives of Pharmacology, 398 </w:t>
      </w:r>
      <w:r>
        <w:rPr>
          <w:rFonts w:ascii="Times New Roman" w:hAnsi="Times New Roman" w:cs="Times New Roman"/>
          <w:sz w:val="24"/>
          <w:szCs w:val="24"/>
        </w:rPr>
        <w:t>(7), 9341–9356. https://doi.org/10.1007/s00210-025-03873-x</w:t>
      </w:r>
    </w:p>
    <w:p w14:paraId="73C1FA43" w14:textId="77777777" w:rsidR="00E11D75" w:rsidRDefault="00E11D75">
      <w:pPr>
        <w:spacing w:line="240" w:lineRule="auto"/>
        <w:rPr>
          <w:sz w:val="24"/>
          <w:szCs w:val="24"/>
        </w:rPr>
      </w:pPr>
    </w:p>
    <w:p w14:paraId="73AACE27" w14:textId="77777777" w:rsidR="00E11D75" w:rsidRDefault="00090F71">
      <w:pPr>
        <w:spacing w:line="240" w:lineRule="auto"/>
        <w:rPr>
          <w:sz w:val="24"/>
          <w:szCs w:val="24"/>
        </w:rPr>
      </w:pPr>
      <w:r>
        <w:rPr>
          <w:rFonts w:ascii="Times New Roman" w:hAnsi="Times New Roman" w:cs="Times New Roman"/>
          <w:sz w:val="24"/>
          <w:szCs w:val="24"/>
        </w:rPr>
        <w:t xml:space="preserve">16. Zhang, J.,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Xue</w:t>
      </w:r>
      <w:proofErr w:type="spellEnd"/>
      <w:r>
        <w:rPr>
          <w:rFonts w:ascii="Times New Roman" w:hAnsi="Times New Roman" w:cs="Times New Roman"/>
          <w:sz w:val="24"/>
          <w:szCs w:val="24"/>
        </w:rPr>
        <w:t>, C., Wang, D., Zhao, F., Shen, X., &amp; Luo, W. (2022). Lead disrupts mitochondrial morphology and fu</w:t>
      </w:r>
      <w:r>
        <w:rPr>
          <w:rFonts w:ascii="Times New Roman" w:hAnsi="Times New Roman" w:cs="Times New Roman"/>
          <w:sz w:val="24"/>
          <w:szCs w:val="24"/>
        </w:rPr>
        <w:t xml:space="preserve">nction through induction of ER stress in models of neurotoxicity. </w:t>
      </w:r>
      <w:r>
        <w:rPr>
          <w:rFonts w:ascii="Times New Roman" w:hAnsi="Times New Roman" w:cs="Times New Roman"/>
          <w:i/>
          <w:iCs/>
          <w:sz w:val="24"/>
          <w:szCs w:val="24"/>
        </w:rPr>
        <w:t>International Journal of Molecular Sciences, 23</w:t>
      </w:r>
      <w:r>
        <w:rPr>
          <w:rFonts w:ascii="Times New Roman" w:hAnsi="Times New Roman" w:cs="Times New Roman"/>
          <w:sz w:val="24"/>
          <w:szCs w:val="24"/>
        </w:rPr>
        <w:t>(19), 11435. https://doi.org/10.3390/ijms231911435</w:t>
      </w:r>
    </w:p>
    <w:p w14:paraId="7AB3AB12" w14:textId="77777777" w:rsidR="00E11D75" w:rsidRDefault="00090F71">
      <w:pPr>
        <w:spacing w:line="240" w:lineRule="auto"/>
        <w:rPr>
          <w:sz w:val="24"/>
          <w:szCs w:val="24"/>
        </w:rPr>
      </w:pPr>
      <w:r>
        <w:rPr>
          <w:rFonts w:ascii="Times New Roman" w:hAnsi="Times New Roman" w:cs="Times New Roman"/>
          <w:sz w:val="24"/>
          <w:szCs w:val="24"/>
        </w:rPr>
        <w:t xml:space="preserve">17. Chao, S. L., Moss, J. M., &amp; Harry, G. J. (2007). Lead-induced alterations of apoptosis and neurotrophic factor mRNA in the developing rat cortex, hippocampus, and cerebellum. </w:t>
      </w:r>
      <w:r>
        <w:rPr>
          <w:rFonts w:ascii="Times New Roman" w:hAnsi="Times New Roman" w:cs="Times New Roman"/>
          <w:i/>
          <w:iCs/>
          <w:sz w:val="24"/>
          <w:szCs w:val="24"/>
        </w:rPr>
        <w:t>Journal of Biochemical and Molecular Toxicology, 21</w:t>
      </w:r>
      <w:r>
        <w:rPr>
          <w:rFonts w:ascii="Times New Roman" w:hAnsi="Times New Roman" w:cs="Times New Roman"/>
          <w:sz w:val="24"/>
          <w:szCs w:val="24"/>
        </w:rPr>
        <w:t>(5), 265–272. https://doi.</w:t>
      </w:r>
      <w:r>
        <w:rPr>
          <w:rFonts w:ascii="Times New Roman" w:hAnsi="Times New Roman" w:cs="Times New Roman"/>
          <w:sz w:val="24"/>
          <w:szCs w:val="24"/>
        </w:rPr>
        <w:t>org/10.1002/jbt.20191</w:t>
      </w:r>
    </w:p>
    <w:p w14:paraId="59B6C9F3" w14:textId="77777777" w:rsidR="00E11D75" w:rsidRDefault="00090F71">
      <w:pPr>
        <w:spacing w:line="240" w:lineRule="auto"/>
        <w:rPr>
          <w:sz w:val="24"/>
          <w:szCs w:val="24"/>
        </w:rPr>
      </w:pPr>
      <w:r>
        <w:rPr>
          <w:rFonts w:ascii="Times New Roman" w:hAnsi="Times New Roman" w:cs="Times New Roman"/>
          <w:sz w:val="24"/>
          <w:szCs w:val="24"/>
        </w:rPr>
        <w:t xml:space="preserve">18. </w:t>
      </w:r>
      <w:proofErr w:type="spellStart"/>
      <w:r>
        <w:rPr>
          <w:rFonts w:ascii="Times New Roman" w:hAnsi="Times New Roman" w:cs="Times New Roman"/>
          <w:sz w:val="24"/>
          <w:szCs w:val="24"/>
        </w:rPr>
        <w:t>Niu</w:t>
      </w:r>
      <w:proofErr w:type="spellEnd"/>
      <w:r>
        <w:rPr>
          <w:rFonts w:ascii="Times New Roman" w:hAnsi="Times New Roman" w:cs="Times New Roman"/>
          <w:sz w:val="24"/>
          <w:szCs w:val="24"/>
        </w:rPr>
        <w:t xml:space="preserve">, Y., Zhang, R., Cheng, Y., Sun, X., &amp; Tian, J. (2002). Effect of lead acetate on the apoptosis and the expression of bcl-2 and </w:t>
      </w:r>
      <w:proofErr w:type="spellStart"/>
      <w:r>
        <w:rPr>
          <w:rFonts w:ascii="Times New Roman" w:hAnsi="Times New Roman" w:cs="Times New Roman"/>
          <w:sz w:val="24"/>
          <w:szCs w:val="24"/>
        </w:rPr>
        <w:t>bax</w:t>
      </w:r>
      <w:proofErr w:type="spellEnd"/>
      <w:r>
        <w:rPr>
          <w:rFonts w:ascii="Times New Roman" w:hAnsi="Times New Roman" w:cs="Times New Roman"/>
          <w:sz w:val="24"/>
          <w:szCs w:val="24"/>
        </w:rPr>
        <w:t xml:space="preserve"> genes in rat brain cells. </w:t>
      </w:r>
      <w:proofErr w:type="spellStart"/>
      <w:r>
        <w:rPr>
          <w:rFonts w:ascii="Times New Roman" w:hAnsi="Times New Roman" w:cs="Times New Roman"/>
          <w:i/>
          <w:iCs/>
          <w:sz w:val="24"/>
          <w:szCs w:val="24"/>
        </w:rPr>
        <w:t>Zhonghua</w:t>
      </w:r>
      <w:proofErr w:type="spellEnd"/>
      <w:r>
        <w:rPr>
          <w:rFonts w:ascii="Times New Roman" w:hAnsi="Times New Roman" w:cs="Times New Roman"/>
          <w:i/>
          <w:iCs/>
          <w:sz w:val="24"/>
          <w:szCs w:val="24"/>
        </w:rPr>
        <w:t xml:space="preserve"> Yu Fang Yi </w:t>
      </w:r>
      <w:proofErr w:type="spellStart"/>
      <w:r>
        <w:rPr>
          <w:rFonts w:ascii="Times New Roman" w:hAnsi="Times New Roman" w:cs="Times New Roman"/>
          <w:i/>
          <w:iCs/>
          <w:sz w:val="24"/>
          <w:szCs w:val="24"/>
        </w:rPr>
        <w:t>Xue</w:t>
      </w:r>
      <w:proofErr w:type="spellEnd"/>
      <w:r>
        <w:rPr>
          <w:rFonts w:ascii="Times New Roman" w:hAnsi="Times New Roman" w:cs="Times New Roman"/>
          <w:i/>
          <w:iCs/>
          <w:sz w:val="24"/>
          <w:szCs w:val="24"/>
        </w:rPr>
        <w:t xml:space="preserve"> Za </w:t>
      </w:r>
      <w:proofErr w:type="spellStart"/>
      <w:r>
        <w:rPr>
          <w:rFonts w:ascii="Times New Roman" w:hAnsi="Times New Roman" w:cs="Times New Roman"/>
          <w:i/>
          <w:iCs/>
          <w:sz w:val="24"/>
          <w:szCs w:val="24"/>
        </w:rPr>
        <w:t>Zhi</w:t>
      </w:r>
      <w:proofErr w:type="spellEnd"/>
      <w:r>
        <w:rPr>
          <w:rFonts w:ascii="Times New Roman" w:hAnsi="Times New Roman" w:cs="Times New Roman"/>
          <w:i/>
          <w:iCs/>
          <w:sz w:val="24"/>
          <w:szCs w:val="24"/>
        </w:rPr>
        <w:t>, 36</w:t>
      </w:r>
      <w:r>
        <w:rPr>
          <w:rFonts w:ascii="Times New Roman" w:hAnsi="Times New Roman" w:cs="Times New Roman"/>
          <w:sz w:val="24"/>
          <w:szCs w:val="24"/>
        </w:rPr>
        <w:t>(1), 30–33. PMID: 11955345</w:t>
      </w:r>
    </w:p>
    <w:p w14:paraId="546E4538" w14:textId="77777777" w:rsidR="00E11D75" w:rsidRDefault="00090F71">
      <w:pPr>
        <w:spacing w:line="240" w:lineRule="auto"/>
        <w:rPr>
          <w:sz w:val="24"/>
          <w:szCs w:val="24"/>
        </w:rPr>
      </w:pPr>
      <w:r>
        <w:rPr>
          <w:rFonts w:ascii="Times New Roman" w:hAnsi="Times New Roman" w:cs="Times New Roman"/>
          <w:sz w:val="24"/>
          <w:szCs w:val="24"/>
        </w:rPr>
        <w:t xml:space="preserve">19. </w:t>
      </w:r>
      <w:proofErr w:type="spellStart"/>
      <w:r>
        <w:rPr>
          <w:rFonts w:ascii="Times New Roman" w:hAnsi="Times New Roman" w:cs="Times New Roman"/>
          <w:sz w:val="24"/>
          <w:szCs w:val="24"/>
        </w:rPr>
        <w:t>Amed</w:t>
      </w:r>
      <w:r>
        <w:rPr>
          <w:rFonts w:ascii="Times New Roman" w:hAnsi="Times New Roman" w:cs="Times New Roman"/>
          <w:sz w:val="24"/>
          <w:szCs w:val="24"/>
        </w:rPr>
        <w:t>u</w:t>
      </w:r>
      <w:proofErr w:type="spellEnd"/>
      <w:r>
        <w:rPr>
          <w:rFonts w:ascii="Times New Roman" w:hAnsi="Times New Roman" w:cs="Times New Roman"/>
          <w:sz w:val="24"/>
          <w:szCs w:val="24"/>
        </w:rPr>
        <w:t xml:space="preserve">, N. O., &amp; </w:t>
      </w:r>
      <w:proofErr w:type="spellStart"/>
      <w:r>
        <w:rPr>
          <w:rFonts w:ascii="Times New Roman" w:hAnsi="Times New Roman" w:cs="Times New Roman"/>
          <w:sz w:val="24"/>
          <w:szCs w:val="24"/>
        </w:rPr>
        <w:t>Omotoso</w:t>
      </w:r>
      <w:proofErr w:type="spellEnd"/>
      <w:r>
        <w:rPr>
          <w:rFonts w:ascii="Times New Roman" w:hAnsi="Times New Roman" w:cs="Times New Roman"/>
          <w:sz w:val="24"/>
          <w:szCs w:val="24"/>
        </w:rPr>
        <w:t xml:space="preserve">, G. O. (2020). Lead acetate-induced neurodegenerative changes in the dorsolateral prefrontal cortex of mice: The role of vitexin. </w:t>
      </w:r>
      <w:r>
        <w:rPr>
          <w:rFonts w:ascii="Times New Roman" w:hAnsi="Times New Roman" w:cs="Times New Roman"/>
          <w:i/>
          <w:iCs/>
          <w:sz w:val="24"/>
          <w:szCs w:val="24"/>
        </w:rPr>
        <w:t>Environmental Analysis, Health &amp; Toxicology, 35</w:t>
      </w:r>
      <w:r>
        <w:rPr>
          <w:rFonts w:ascii="Times New Roman" w:hAnsi="Times New Roman" w:cs="Times New Roman"/>
          <w:sz w:val="24"/>
          <w:szCs w:val="24"/>
        </w:rPr>
        <w:t>(1), e2020001. https://doi.org/10.5620/eaht.e2020001</w:t>
      </w:r>
    </w:p>
    <w:sectPr w:rsidR="00E11D75">
      <w:headerReference w:type="even" r:id="rId16"/>
      <w:headerReference w:type="default" r:id="rId17"/>
      <w:footerReference w:type="even" r:id="rId18"/>
      <w:footerReference w:type="default" r:id="rId19"/>
      <w:headerReference w:type="first" r:id="rId20"/>
      <w:footerReference w:type="first" r:id="rId21"/>
      <w:pgSz w:w="17980" w:h="15840" w:orient="landscape"/>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F3D2E" w14:textId="77777777" w:rsidR="00090F71" w:rsidRDefault="00090F71">
      <w:pPr>
        <w:spacing w:after="0" w:line="240" w:lineRule="auto"/>
      </w:pPr>
      <w:r>
        <w:separator/>
      </w:r>
    </w:p>
  </w:endnote>
  <w:endnote w:type="continuationSeparator" w:id="0">
    <w:p w14:paraId="5F4B65B5" w14:textId="77777777" w:rsidR="00090F71" w:rsidRDefault="00090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8A0C1" w14:textId="77777777" w:rsidR="00AA26C5" w:rsidRDefault="00AA26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6694" w14:textId="77777777" w:rsidR="00E11D75" w:rsidRDefault="00E11D75">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C0117" w14:textId="77777777" w:rsidR="00AA26C5" w:rsidRDefault="00AA2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9F989" w14:textId="77777777" w:rsidR="00090F71" w:rsidRDefault="00090F71">
      <w:pPr>
        <w:spacing w:after="0" w:line="240" w:lineRule="auto"/>
      </w:pPr>
      <w:r>
        <w:separator/>
      </w:r>
    </w:p>
  </w:footnote>
  <w:footnote w:type="continuationSeparator" w:id="0">
    <w:p w14:paraId="4EE038D2" w14:textId="77777777" w:rsidR="00090F71" w:rsidRDefault="00090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11EF9" w14:textId="2F2CA79C" w:rsidR="00AA26C5" w:rsidRDefault="00AA26C5">
    <w:pPr>
      <w:pStyle w:val="Header"/>
    </w:pPr>
    <w:r>
      <w:rPr>
        <w:noProof/>
      </w:rPr>
      <w:pict w14:anchorId="55761C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363032" o:spid="_x0000_s2050" type="#_x0000_t136" style="position:absolute;margin-left:0;margin-top:0;width:769.3pt;height:144.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A7912" w14:textId="51BD6B13" w:rsidR="00E11D75" w:rsidRDefault="00AA26C5">
    <w:pPr>
      <w:jc w:val="center"/>
    </w:pPr>
    <w:r>
      <w:rPr>
        <w:noProof/>
      </w:rPr>
      <w:pict w14:anchorId="2CEB16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363033" o:spid="_x0000_s2051" type="#_x0000_t136" style="position:absolute;left:0;text-align:left;margin-left:0;margin-top:0;width:769.3pt;height:144.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1E42F" w14:textId="1802047A" w:rsidR="00AA26C5" w:rsidRDefault="00AA26C5">
    <w:pPr>
      <w:pStyle w:val="Header"/>
    </w:pPr>
    <w:r>
      <w:rPr>
        <w:noProof/>
      </w:rPr>
      <w:pict w14:anchorId="606B8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363031" o:spid="_x0000_s2049" type="#_x0000_t136" style="position:absolute;margin-left:0;margin-top:0;width:769.3pt;height:144.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11D75"/>
    <w:rsid w:val="00022F94"/>
    <w:rsid w:val="000544D4"/>
    <w:rsid w:val="00090F71"/>
    <w:rsid w:val="0016688B"/>
    <w:rsid w:val="001D3262"/>
    <w:rsid w:val="00290314"/>
    <w:rsid w:val="003F2D71"/>
    <w:rsid w:val="0060183F"/>
    <w:rsid w:val="006972CC"/>
    <w:rsid w:val="00A3347D"/>
    <w:rsid w:val="00AA26C5"/>
    <w:rsid w:val="00DD0363"/>
    <w:rsid w:val="00E11D75"/>
    <w:rsid w:val="00EF3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72FD44"/>
  <w15:docId w15:val="{9650F577-5122-4857-BC49-EEF1215C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keepNext/>
      <w:keepLines/>
      <w:widowControl w:val="0"/>
      <w:spacing w:before="480" w:after="0"/>
      <w:outlineLvl w:val="0"/>
    </w:pPr>
    <w:rPr>
      <w:rFonts w:eastAsia="MS Gothic"/>
      <w:b/>
      <w:bCs/>
      <w:color w:val="365F91"/>
      <w:sz w:val="28"/>
      <w:szCs w:val="28"/>
    </w:rPr>
  </w:style>
  <w:style w:type="paragraph" w:styleId="Heading2">
    <w:name w:val="heading 2"/>
    <w:uiPriority w:val="9"/>
    <w:semiHidden/>
    <w:unhideWhenUsed/>
    <w:qFormat/>
    <w:pPr>
      <w:keepNext/>
      <w:keepLines/>
      <w:widowControl w:val="0"/>
      <w:spacing w:before="360" w:after="120"/>
      <w:outlineLvl w:val="1"/>
    </w:pPr>
    <w:rPr>
      <w:rFonts w:ascii="Times New Roman" w:eastAsia="SimSun" w:hAnsi="Times New Roman" w:cs="Times New Roman"/>
      <w:sz w:val="32"/>
      <w:szCs w:val="32"/>
    </w:rPr>
  </w:style>
  <w:style w:type="paragraph" w:styleId="Heading3">
    <w:name w:val="heading 3"/>
    <w:uiPriority w:val="9"/>
    <w:semiHidden/>
    <w:unhideWhenUsed/>
    <w:qFormat/>
    <w:pPr>
      <w:keepNext/>
      <w:keepLines/>
      <w:widowControl w:val="0"/>
      <w:spacing w:before="320" w:after="80"/>
      <w:outlineLvl w:val="2"/>
    </w:pPr>
    <w:rPr>
      <w:rFonts w:ascii="Times New Roman" w:eastAsia="SimSun" w:hAnsi="Times New Roman" w:cs="Times New Roman"/>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normal0">
    <w:name w:val="&quot;normal&quot;"/>
  </w:style>
  <w:style w:type="paragraph" w:customStyle="1" w:styleId="normal1">
    <w:name w:val="&quot;normal&quot;"/>
  </w:style>
  <w:style w:type="paragraph" w:customStyle="1" w:styleId="normal2">
    <w:name w:val="&quot;normal&quot;"/>
  </w:style>
  <w:style w:type="character" w:styleId="Hyperlink">
    <w:name w:val="Hyperlink"/>
    <w:basedOn w:val="DefaultParagraphFont"/>
    <w:uiPriority w:val="99"/>
    <w:unhideWhenUsed/>
    <w:rsid w:val="0060183F"/>
    <w:rPr>
      <w:color w:val="0000FF" w:themeColor="hyperlink"/>
      <w:u w:val="single"/>
    </w:rPr>
  </w:style>
  <w:style w:type="character" w:styleId="UnresolvedMention">
    <w:name w:val="Unresolved Mention"/>
    <w:basedOn w:val="DefaultParagraphFont"/>
    <w:uiPriority w:val="99"/>
    <w:semiHidden/>
    <w:unhideWhenUsed/>
    <w:rsid w:val="0060183F"/>
    <w:rPr>
      <w:color w:val="605E5C"/>
      <w:shd w:val="clear" w:color="auto" w:fill="E1DFDD"/>
    </w:rPr>
  </w:style>
  <w:style w:type="paragraph" w:styleId="Header">
    <w:name w:val="header"/>
    <w:basedOn w:val="Normal"/>
    <w:link w:val="HeaderChar"/>
    <w:uiPriority w:val="99"/>
    <w:unhideWhenUsed/>
    <w:rsid w:val="00AA2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6C5"/>
  </w:style>
  <w:style w:type="paragraph" w:styleId="Footer">
    <w:name w:val="footer"/>
    <w:basedOn w:val="Normal"/>
    <w:link w:val="FooterChar"/>
    <w:uiPriority w:val="99"/>
    <w:unhideWhenUsed/>
    <w:rsid w:val="00AA2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857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19</Pages>
  <Words>4552</Words>
  <Characters>25952</Characters>
  <Application>Microsoft Office Word</Application>
  <DocSecurity>0</DocSecurity>
  <Lines>216</Lines>
  <Paragraphs>60</Paragraphs>
  <ScaleCrop>false</ScaleCrop>
  <Company/>
  <LinksUpToDate>false</LinksUpToDate>
  <CharactersWithSpaces>30444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ODOM</dc:creator>
  <cp:lastModifiedBy>SDI 1084</cp:lastModifiedBy>
  <cp:revision>10</cp:revision>
  <dcterms:created xsi:type="dcterms:W3CDTF">2025-06-14T06:28:00Z</dcterms:created>
  <dcterms:modified xsi:type="dcterms:W3CDTF">2025-07-26T10:56:00Z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6ca4e86d0387470e84ba9dd1e08d9d13</vt:lpwstr>
  </property>
</Properties>
</file>