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275B7" w14:textId="6DDA0958" w:rsidR="00484E81" w:rsidRPr="00BE0AA8" w:rsidRDefault="00A1062E" w:rsidP="00A1062E">
      <w:pPr>
        <w:pStyle w:val="NormalWeb"/>
        <w:spacing w:line="276" w:lineRule="auto"/>
        <w:jc w:val="center"/>
      </w:pPr>
      <w:r w:rsidRPr="00BE0AA8">
        <w:rPr>
          <w:rStyle w:val="Strong"/>
        </w:rPr>
        <w:t>INTEGRATED GRAVITY AND MAGNETIC DERIVATIVE MODELLING FOR STRUCTURAL CONTROL OF GOLD MINERALIZATION IN NORTH-CENTRAL NIGERIA</w:t>
      </w:r>
    </w:p>
    <w:p w14:paraId="41C461D3" w14:textId="77777777" w:rsidR="00A1062E" w:rsidRDefault="00A1062E" w:rsidP="00A1062E">
      <w:pPr>
        <w:pStyle w:val="NormalWeb"/>
        <w:spacing w:line="276" w:lineRule="auto"/>
        <w:jc w:val="both"/>
        <w:rPr>
          <w:rStyle w:val="Strong"/>
        </w:rPr>
      </w:pPr>
    </w:p>
    <w:p w14:paraId="34C078D8" w14:textId="5B5F5411" w:rsidR="00B82630" w:rsidRPr="00BE0AA8" w:rsidRDefault="00484E81" w:rsidP="00D91D67">
      <w:pPr>
        <w:pStyle w:val="NormalWeb"/>
        <w:spacing w:before="0" w:beforeAutospacing="0" w:after="0" w:afterAutospacing="0" w:line="276" w:lineRule="auto"/>
        <w:jc w:val="both"/>
      </w:pPr>
      <w:bookmarkStart w:id="0" w:name="_GoBack"/>
      <w:bookmarkEnd w:id="0"/>
      <w:r w:rsidRPr="00BE0AA8">
        <w:rPr>
          <w:rStyle w:val="Strong"/>
        </w:rPr>
        <w:t>Abstract</w:t>
      </w:r>
      <w:r w:rsidRPr="00BE0AA8">
        <w:t xml:space="preserve"> </w:t>
      </w:r>
    </w:p>
    <w:p w14:paraId="1D3ADD93" w14:textId="444E1335" w:rsidR="00484E81" w:rsidRPr="00BE0AA8" w:rsidRDefault="00B82630" w:rsidP="00D91D67">
      <w:pPr>
        <w:pStyle w:val="NormalWeb"/>
        <w:spacing w:before="0" w:beforeAutospacing="0" w:after="0" w:afterAutospacing="0" w:line="276" w:lineRule="auto"/>
        <w:jc w:val="both"/>
      </w:pPr>
      <w:r w:rsidRPr="00BE0AA8">
        <w:t xml:space="preserve">Structural controls play a critical role in the localization of gold mineralization within Precambrian basement terrains. In North-Central Nigeria, the combination of complex lithology, tectonic structures, and hydrothermal processes necessitates an integrated approach for mineral targeting. </w:t>
      </w:r>
      <w:r w:rsidR="003C4889" w:rsidRPr="00BE0AA8">
        <w:t xml:space="preserve">The study area, approximately 72,600 square kilometres, constituting about 7.86 % of the country’s landmass covers part of Niger state, Federal Capital Territory (FCT) and few other towns in Kaduna, Plateau and Nasarawa adjoining the FCT. </w:t>
      </w:r>
      <w:r w:rsidRPr="00BE0AA8">
        <w:t>This study applies derivative modelling of gravity and magnetic datasets to delineate structural features controlling gold mineralization. Bouguer gravity anomaly, tilt derivative, and vertical derivative maps were integrated with magnetic total field intensity, analytic signal, and first vertical derivative to reveal major and minor lineament trends. Structural orientations were compared with known gold occurrences, revealing strong associations with NE–SW and NW–SE fault systems. The results highlight structurally favourable zones for gold exploration, particularly along deep-seated lineaments interpreted as conduits for hydrothermal fluid migration.</w:t>
      </w:r>
      <w:r w:rsidR="00484E81" w:rsidRPr="00BE0AA8">
        <w:t xml:space="preserve"> The integration of geophysical derivatives with geological data improves the accuracy of mineral targeting and supports the development of predictive models for mineral prospectivity.</w:t>
      </w:r>
    </w:p>
    <w:p w14:paraId="56606A1C" w14:textId="77777777" w:rsidR="00D91D67" w:rsidRDefault="00D91D67" w:rsidP="00A1062E">
      <w:pPr>
        <w:pStyle w:val="NormalWeb"/>
        <w:spacing w:line="276" w:lineRule="auto"/>
        <w:jc w:val="both"/>
        <w:rPr>
          <w:rStyle w:val="Strong"/>
        </w:rPr>
      </w:pPr>
    </w:p>
    <w:p w14:paraId="7653200C" w14:textId="53B809E5" w:rsidR="00484E81" w:rsidRPr="00BE0AA8" w:rsidRDefault="00484E81" w:rsidP="00A1062E">
      <w:pPr>
        <w:pStyle w:val="NormalWeb"/>
        <w:spacing w:line="276" w:lineRule="auto"/>
        <w:jc w:val="both"/>
      </w:pPr>
      <w:r w:rsidRPr="00BE0AA8">
        <w:rPr>
          <w:rStyle w:val="Strong"/>
        </w:rPr>
        <w:t>Keywords:</w:t>
      </w:r>
      <w:r w:rsidRPr="00BE0AA8">
        <w:t xml:space="preserve"> Mineral Prospectivity, Gravity, Magnetic Derivatives, Lineaments, Structural Control, North-Central Nigeria, Gold Exploration</w:t>
      </w:r>
    </w:p>
    <w:p w14:paraId="29669E5F" w14:textId="77777777" w:rsidR="00486D2A" w:rsidRDefault="00486D2A" w:rsidP="00A1062E">
      <w:pPr>
        <w:pStyle w:val="NormalWeb"/>
        <w:spacing w:line="276" w:lineRule="auto"/>
        <w:jc w:val="both"/>
      </w:pPr>
    </w:p>
    <w:p w14:paraId="4757C8C1" w14:textId="0A62749B" w:rsidR="00D421C8" w:rsidRPr="00BE0AA8" w:rsidRDefault="00484E81" w:rsidP="00A1062E">
      <w:pPr>
        <w:pStyle w:val="NormalWeb"/>
        <w:numPr>
          <w:ilvl w:val="0"/>
          <w:numId w:val="5"/>
        </w:numPr>
        <w:spacing w:line="276" w:lineRule="auto"/>
        <w:jc w:val="both"/>
        <w:rPr>
          <w:rStyle w:val="Strong"/>
        </w:rPr>
      </w:pPr>
      <w:r w:rsidRPr="00BE0AA8">
        <w:rPr>
          <w:rStyle w:val="Strong"/>
        </w:rPr>
        <w:t xml:space="preserve"> Introduction</w:t>
      </w:r>
    </w:p>
    <w:p w14:paraId="6E016FC8" w14:textId="1D565515" w:rsidR="00484E81" w:rsidRPr="00BE0AA8" w:rsidRDefault="00484E81" w:rsidP="00A1062E">
      <w:pPr>
        <w:pStyle w:val="NormalWeb"/>
        <w:spacing w:line="276" w:lineRule="auto"/>
        <w:jc w:val="both"/>
      </w:pPr>
      <w:r w:rsidRPr="00BE0AA8">
        <w:t>Gold mineralization in Precambrian basement terrains is commonly controlled by structural features such as faults, fractures, and shear zones</w:t>
      </w:r>
      <w:r w:rsidR="00EC53A6" w:rsidRPr="00BE0AA8">
        <w:t xml:space="preserve"> (Ajibade </w:t>
      </w:r>
      <w:r w:rsidR="00033267" w:rsidRPr="00BE0AA8">
        <w:rPr>
          <w:i/>
          <w:iCs/>
        </w:rPr>
        <w:t>et al</w:t>
      </w:r>
      <w:r w:rsidR="00EC53A6" w:rsidRPr="00BE0AA8">
        <w:t>., 2008)</w:t>
      </w:r>
      <w:r w:rsidRPr="00BE0AA8">
        <w:t xml:space="preserve">. Geophysical methods, especially gravity and magnetic surveys, are powerful tools for mapping </w:t>
      </w:r>
      <w:r w:rsidR="00EC53A6" w:rsidRPr="00BE0AA8">
        <w:t xml:space="preserve">these features because variations in density and magnetic susceptibility often reflect structural and lithological contrasts (Telford </w:t>
      </w:r>
      <w:r w:rsidR="00033267" w:rsidRPr="00BE0AA8">
        <w:rPr>
          <w:i/>
          <w:iCs/>
        </w:rPr>
        <w:t>et al</w:t>
      </w:r>
      <w:r w:rsidR="00EC53A6" w:rsidRPr="00BE0AA8">
        <w:t>., 1990). The</w:t>
      </w:r>
      <w:r w:rsidR="00731AC9" w:rsidRPr="00BE0AA8">
        <w:t>se</w:t>
      </w:r>
      <w:r w:rsidR="00EC53A6" w:rsidRPr="00BE0AA8">
        <w:t xml:space="preserve"> </w:t>
      </w:r>
      <w:r w:rsidRPr="00BE0AA8">
        <w:t xml:space="preserve">subsurface </w:t>
      </w:r>
      <w:r w:rsidR="00731AC9" w:rsidRPr="00BE0AA8">
        <w:t>features</w:t>
      </w:r>
      <w:r w:rsidRPr="00BE0AA8">
        <w:t xml:space="preserve"> </w:t>
      </w:r>
      <w:r w:rsidR="00986FA2" w:rsidRPr="00BE0AA8">
        <w:t>influence</w:t>
      </w:r>
      <w:r w:rsidRPr="00BE0AA8">
        <w:t xml:space="preserve"> ore deposition</w:t>
      </w:r>
      <w:r w:rsidR="00EC53A6" w:rsidRPr="00BE0AA8">
        <w:t xml:space="preserve"> as mineral exploration in crystalline basement terrains often relies on identifying geological structures that serve as conduits for mineralizing fluids (Groves </w:t>
      </w:r>
      <w:r w:rsidR="00033267" w:rsidRPr="00BE0AA8">
        <w:rPr>
          <w:i/>
          <w:iCs/>
        </w:rPr>
        <w:t>et al</w:t>
      </w:r>
      <w:r w:rsidR="00EC53A6" w:rsidRPr="00BE0AA8">
        <w:t>., 2016).</w:t>
      </w:r>
      <w:r w:rsidRPr="00BE0AA8">
        <w:t xml:space="preserve"> In North-Central Nigeria, several gold occurrences are hosted in structurally complex schist belts and granitic intrusions (</w:t>
      </w:r>
      <w:proofErr w:type="spellStart"/>
      <w:r w:rsidRPr="00BE0AA8">
        <w:t>Obaje</w:t>
      </w:r>
      <w:proofErr w:type="spellEnd"/>
      <w:r w:rsidRPr="00BE0AA8">
        <w:t xml:space="preserve">, 2009; Akintola </w:t>
      </w:r>
      <w:r w:rsidR="00033267" w:rsidRPr="00BE0AA8">
        <w:rPr>
          <w:i/>
          <w:iCs/>
        </w:rPr>
        <w:t>et al</w:t>
      </w:r>
      <w:r w:rsidRPr="00BE0AA8">
        <w:t xml:space="preserve">., 2022). However, much of the region remains underexplored. </w:t>
      </w:r>
    </w:p>
    <w:p w14:paraId="1E58F9B5" w14:textId="015644AF" w:rsidR="00B82630" w:rsidRPr="00BE0AA8" w:rsidRDefault="00B82630" w:rsidP="00A1062E">
      <w:pPr>
        <w:pStyle w:val="NormalWeb"/>
        <w:spacing w:line="276" w:lineRule="auto"/>
        <w:jc w:val="both"/>
      </w:pPr>
      <w:r w:rsidRPr="00BE0AA8">
        <w:t>Previous studies in Nigeria have demonstrated the effectiveness of integrating geophysical datasets for mineral exploration (</w:t>
      </w:r>
      <w:proofErr w:type="spellStart"/>
      <w:r w:rsidRPr="00BE0AA8">
        <w:t>Anakwuba</w:t>
      </w:r>
      <w:proofErr w:type="spellEnd"/>
      <w:r w:rsidRPr="00BE0AA8">
        <w:t xml:space="preserve"> </w:t>
      </w:r>
      <w:r w:rsidR="00033267" w:rsidRPr="00BE0AA8">
        <w:rPr>
          <w:i/>
          <w:iCs/>
        </w:rPr>
        <w:t>et al</w:t>
      </w:r>
      <w:r w:rsidRPr="00BE0AA8">
        <w:t xml:space="preserve">., 2014; Oden </w:t>
      </w:r>
      <w:r w:rsidR="00033267" w:rsidRPr="00BE0AA8">
        <w:rPr>
          <w:i/>
          <w:iCs/>
        </w:rPr>
        <w:t>et al</w:t>
      </w:r>
      <w:r w:rsidRPr="00BE0AA8">
        <w:t xml:space="preserve">., 2019). </w:t>
      </w:r>
      <w:r w:rsidR="00A85579" w:rsidRPr="00E53E96">
        <w:t xml:space="preserve">Recent studies like </w:t>
      </w:r>
      <w:r w:rsidR="00A85579" w:rsidRPr="00E53E96">
        <w:lastRenderedPageBreak/>
        <w:t>Augie</w:t>
      </w:r>
      <w:r w:rsidR="00A85579" w:rsidRPr="00E53E96">
        <w:rPr>
          <w:i/>
          <w:iCs/>
        </w:rPr>
        <w:t xml:space="preserve"> et al</w:t>
      </w:r>
      <w:r w:rsidR="00A85579" w:rsidRPr="00E53E96">
        <w:t>., 2024, Salako</w:t>
      </w:r>
      <w:r w:rsidR="00A85579" w:rsidRPr="00E53E96">
        <w:rPr>
          <w:i/>
          <w:iCs/>
        </w:rPr>
        <w:t xml:space="preserve"> et al</w:t>
      </w:r>
      <w:r w:rsidR="00A85579" w:rsidRPr="00E53E96">
        <w:t>., 2024</w:t>
      </w:r>
      <w:r w:rsidR="00191DEF">
        <w:t>, and akin</w:t>
      </w:r>
      <w:r w:rsidR="00A85579" w:rsidRPr="00E53E96">
        <w:t xml:space="preserve"> have delineated geologic structures like faults, fractures, and lineaments which may be potential hosts to minerals such as gold</w:t>
      </w:r>
      <w:r w:rsidR="00A85579">
        <w:t xml:space="preserve"> using geophysical dataset. </w:t>
      </w:r>
      <w:r w:rsidRPr="00BE0AA8">
        <w:t xml:space="preserve">Gravity methods provide insight into subsurface density variations, </w:t>
      </w:r>
      <w:r w:rsidR="00E54E8F">
        <w:t xml:space="preserve">and on the other hand </w:t>
      </w:r>
      <w:r w:rsidRPr="00BE0AA8">
        <w:t xml:space="preserve">magnetic surveys detect variations in the magnetic properties of rocks, both of which can be enhanced through derivative filtering techniques to highlight structural features. This study focuses on integrating gravity and magnetic derivatives </w:t>
      </w:r>
      <w:r w:rsidR="00986FA2" w:rsidRPr="00BE0AA8">
        <w:t xml:space="preserve">techniques </w:t>
      </w:r>
      <w:r w:rsidRPr="00BE0AA8">
        <w:t>to delineate structures controlling gold mineralization in North-Central Nigeria</w:t>
      </w:r>
      <w:r w:rsidR="00986FA2" w:rsidRPr="00BE0AA8">
        <w:t xml:space="preserve"> contributing to improved mineral prospectivity mapping in the region.</w:t>
      </w:r>
    </w:p>
    <w:p w14:paraId="4C5B0539" w14:textId="77777777" w:rsidR="00986FA2" w:rsidRPr="00EB2A65" w:rsidRDefault="00986FA2" w:rsidP="00A1062E">
      <w:pPr>
        <w:pStyle w:val="NormalWeb"/>
        <w:spacing w:line="276" w:lineRule="auto"/>
        <w:jc w:val="both"/>
        <w:rPr>
          <w:b/>
          <w:bCs/>
        </w:rPr>
      </w:pPr>
    </w:p>
    <w:p w14:paraId="402B9863" w14:textId="1E8717B5" w:rsidR="00D421C8" w:rsidRPr="00EB2A65" w:rsidRDefault="00A1062E" w:rsidP="00A1062E">
      <w:pPr>
        <w:pStyle w:val="NormalWeb"/>
        <w:numPr>
          <w:ilvl w:val="0"/>
          <w:numId w:val="5"/>
        </w:numPr>
        <w:spacing w:line="276" w:lineRule="auto"/>
        <w:jc w:val="both"/>
        <w:rPr>
          <w:b/>
          <w:bCs/>
        </w:rPr>
      </w:pPr>
      <w:r w:rsidRPr="00EB2A65">
        <w:rPr>
          <w:rStyle w:val="Strong"/>
        </w:rPr>
        <w:t xml:space="preserve">Location and </w:t>
      </w:r>
      <w:r w:rsidR="00484E81" w:rsidRPr="00EB2A65">
        <w:rPr>
          <w:rStyle w:val="Strong"/>
        </w:rPr>
        <w:t>Geological Setting</w:t>
      </w:r>
      <w:r w:rsidR="00484E81" w:rsidRPr="00EB2A65">
        <w:rPr>
          <w:b/>
          <w:bCs/>
        </w:rPr>
        <w:t xml:space="preserve"> </w:t>
      </w:r>
    </w:p>
    <w:p w14:paraId="37E1419D" w14:textId="3A03B302" w:rsidR="00B82630" w:rsidRDefault="00B82630" w:rsidP="00A1062E">
      <w:pPr>
        <w:pStyle w:val="NormalWeb"/>
        <w:spacing w:line="276" w:lineRule="auto"/>
        <w:jc w:val="both"/>
      </w:pPr>
      <w:r w:rsidRPr="00BE0AA8">
        <w:t xml:space="preserve">The study area </w:t>
      </w:r>
      <w:r w:rsidR="00EB2A65" w:rsidRPr="00DE7FBF">
        <w:t>bounded by latitude 8</w:t>
      </w:r>
      <w:r w:rsidR="00EB2A65" w:rsidRPr="00DE7FBF">
        <w:rPr>
          <w:vertAlign w:val="superscript"/>
        </w:rPr>
        <w:t>o</w:t>
      </w:r>
      <w:r w:rsidR="00EB2A65" w:rsidRPr="00DE7FBF">
        <w:t>30’00”– 10</w:t>
      </w:r>
      <w:r w:rsidR="00EB2A65" w:rsidRPr="00DE7FBF">
        <w:rPr>
          <w:vertAlign w:val="superscript"/>
        </w:rPr>
        <w:t>o</w:t>
      </w:r>
      <w:r w:rsidR="00EB2A65" w:rsidRPr="00DE7FBF">
        <w:t>00’00” North of the equator and longitude 5</w:t>
      </w:r>
      <w:r w:rsidR="00EB2A65" w:rsidRPr="00DE7FBF">
        <w:rPr>
          <w:vertAlign w:val="superscript"/>
        </w:rPr>
        <w:t>o</w:t>
      </w:r>
      <w:r w:rsidR="00EB2A65" w:rsidRPr="00DE7FBF">
        <w:t>00’00” – 9</w:t>
      </w:r>
      <w:r w:rsidR="00EB2A65" w:rsidRPr="00DE7FBF">
        <w:rPr>
          <w:vertAlign w:val="superscript"/>
        </w:rPr>
        <w:t>o</w:t>
      </w:r>
      <w:r w:rsidR="00EB2A65" w:rsidRPr="00DE7FBF">
        <w:t>00’00” East of the Greenwich meridian</w:t>
      </w:r>
      <w:r w:rsidR="00EB2A65" w:rsidRPr="00BE0AA8">
        <w:t xml:space="preserve"> </w:t>
      </w:r>
      <w:r w:rsidR="00731AC9" w:rsidRPr="00BE0AA8">
        <w:t xml:space="preserve">(Figure </w:t>
      </w:r>
      <w:r w:rsidR="009A21C5">
        <w:t>1</w:t>
      </w:r>
      <w:r w:rsidR="00731AC9" w:rsidRPr="00BE0AA8">
        <w:t xml:space="preserve">) </w:t>
      </w:r>
      <w:r w:rsidRPr="00BE0AA8">
        <w:t xml:space="preserve">lies within the North-Central part of Nigeria, underlain </w:t>
      </w:r>
      <w:r w:rsidR="00731AC9" w:rsidRPr="00BE0AA8">
        <w:t xml:space="preserve">majorly </w:t>
      </w:r>
      <w:r w:rsidRPr="00BE0AA8">
        <w:t xml:space="preserve">by the Precambrian Basement Complex comprising migmatite-gneiss complexes, schist belts, </w:t>
      </w:r>
      <w:r w:rsidR="00731AC9" w:rsidRPr="00BE0AA8">
        <w:t xml:space="preserve">gneisses, granites, and metavolcanic sequences </w:t>
      </w:r>
      <w:r w:rsidR="00486D2A" w:rsidRPr="00BE0AA8">
        <w:t xml:space="preserve">or </w:t>
      </w:r>
      <w:r w:rsidRPr="00BE0AA8">
        <w:t>Pan-African granitoids (</w:t>
      </w:r>
      <w:proofErr w:type="spellStart"/>
      <w:r w:rsidRPr="00BE0AA8">
        <w:t>Rahaman</w:t>
      </w:r>
      <w:proofErr w:type="spellEnd"/>
      <w:r w:rsidRPr="00BE0AA8">
        <w:t xml:space="preserve">, 1988; </w:t>
      </w:r>
      <w:proofErr w:type="spellStart"/>
      <w:r w:rsidRPr="00BE0AA8">
        <w:t>Obaje</w:t>
      </w:r>
      <w:proofErr w:type="spellEnd"/>
      <w:r w:rsidRPr="00BE0AA8">
        <w:t>, 2009</w:t>
      </w:r>
      <w:r w:rsidR="00486D2A" w:rsidRPr="00BE0AA8">
        <w:t xml:space="preserve">; </w:t>
      </w:r>
      <w:proofErr w:type="spellStart"/>
      <w:r w:rsidR="00486D2A" w:rsidRPr="00BE0AA8">
        <w:t>Bolarinwa</w:t>
      </w:r>
      <w:proofErr w:type="spellEnd"/>
      <w:r w:rsidR="00486D2A" w:rsidRPr="00BE0AA8">
        <w:t xml:space="preserve"> </w:t>
      </w:r>
      <w:r w:rsidR="00033267" w:rsidRPr="00BE0AA8">
        <w:rPr>
          <w:i/>
          <w:iCs/>
        </w:rPr>
        <w:t>et al</w:t>
      </w:r>
      <w:r w:rsidR="00486D2A" w:rsidRPr="00BE0AA8">
        <w:t>., 2021</w:t>
      </w:r>
      <w:r w:rsidRPr="00BE0AA8">
        <w:t xml:space="preserve">). These rocks are intruded by quartz veins and pegmatites, often associated with gold mineralization. Structurally, </w:t>
      </w:r>
      <w:r w:rsidR="00486D2A" w:rsidRPr="00BE0AA8">
        <w:t>The</w:t>
      </w:r>
      <w:r w:rsidR="00EB2A65">
        <w:t xml:space="preserve"> </w:t>
      </w:r>
      <w:r w:rsidR="00D14BB9">
        <w:t xml:space="preserve">North central </w:t>
      </w:r>
      <w:r w:rsidR="00486D2A" w:rsidRPr="00BE0AA8">
        <w:t xml:space="preserve">region is traversed by N-S, NE-SW, and NW-SE trending </w:t>
      </w:r>
      <w:r w:rsidR="00601F3D">
        <w:t xml:space="preserve">structures as documented in articles </w:t>
      </w:r>
      <w:r w:rsidR="00D14BB9">
        <w:t xml:space="preserve">like Ogunmola </w:t>
      </w:r>
      <w:r w:rsidR="00D14BB9" w:rsidRPr="00BE0AA8">
        <w:rPr>
          <w:i/>
          <w:iCs/>
        </w:rPr>
        <w:t>et al</w:t>
      </w:r>
      <w:r w:rsidR="00D14BB9" w:rsidRPr="00BE0AA8">
        <w:t>.</w:t>
      </w:r>
      <w:r w:rsidR="00D14BB9">
        <w:t xml:space="preserve"> 2015, Daniel </w:t>
      </w:r>
      <w:r w:rsidR="00D14BB9" w:rsidRPr="00BE0AA8">
        <w:rPr>
          <w:i/>
          <w:iCs/>
        </w:rPr>
        <w:t>et al</w:t>
      </w:r>
      <w:r w:rsidR="00D14BB9" w:rsidRPr="00BE0AA8">
        <w:t>.,</w:t>
      </w:r>
      <w:r w:rsidR="00D14BB9">
        <w:t xml:space="preserve"> 2019, Mustapha </w:t>
      </w:r>
      <w:r w:rsidR="00D14BB9" w:rsidRPr="00BE0AA8">
        <w:rPr>
          <w:i/>
          <w:iCs/>
        </w:rPr>
        <w:t>et al</w:t>
      </w:r>
      <w:r w:rsidR="00D14BB9" w:rsidRPr="00BE0AA8">
        <w:t>.,</w:t>
      </w:r>
      <w:r w:rsidR="00D14BB9">
        <w:t xml:space="preserve"> 2020, Ahmed </w:t>
      </w:r>
      <w:r w:rsidR="00D14BB9" w:rsidRPr="00BE0AA8">
        <w:rPr>
          <w:i/>
          <w:iCs/>
        </w:rPr>
        <w:t>et al</w:t>
      </w:r>
      <w:r w:rsidR="00D14BB9" w:rsidRPr="00BE0AA8">
        <w:t>.,</w:t>
      </w:r>
      <w:r w:rsidR="00D14BB9">
        <w:t xml:space="preserve"> 2020, Ebele </w:t>
      </w:r>
      <w:r w:rsidR="00D14BB9" w:rsidRPr="00BE0AA8">
        <w:rPr>
          <w:i/>
          <w:iCs/>
        </w:rPr>
        <w:t>et al</w:t>
      </w:r>
      <w:r w:rsidR="00D14BB9" w:rsidRPr="00BE0AA8">
        <w:t>.,</w:t>
      </w:r>
      <w:r w:rsidR="00D14BB9">
        <w:t xml:space="preserve"> 2021, </w:t>
      </w:r>
      <w:proofErr w:type="spellStart"/>
      <w:r w:rsidR="00D14BB9">
        <w:t>Arogundade</w:t>
      </w:r>
      <w:proofErr w:type="spellEnd"/>
      <w:r w:rsidR="00D14BB9">
        <w:t xml:space="preserve"> </w:t>
      </w:r>
      <w:r w:rsidR="00D14BB9" w:rsidRPr="00BE0AA8">
        <w:rPr>
          <w:i/>
          <w:iCs/>
        </w:rPr>
        <w:t>et al</w:t>
      </w:r>
      <w:r w:rsidR="00D14BB9" w:rsidRPr="00BE0AA8">
        <w:t>.,</w:t>
      </w:r>
      <w:r w:rsidR="00D14BB9">
        <w:t xml:space="preserve"> 2022, and </w:t>
      </w:r>
      <w:proofErr w:type="spellStart"/>
      <w:r w:rsidR="00601F3D">
        <w:t>Egbelehulu</w:t>
      </w:r>
      <w:proofErr w:type="spellEnd"/>
      <w:r w:rsidR="00601F3D">
        <w:t xml:space="preserve"> and Abu (2024)</w:t>
      </w:r>
      <w:r w:rsidR="00486D2A" w:rsidRPr="00BE0AA8">
        <w:t xml:space="preserve">, many of which are believed to control gold mineralization. </w:t>
      </w:r>
      <w:r w:rsidRPr="00BE0AA8">
        <w:t xml:space="preserve">Historical artisanal gold mining has been documented in locations such as Minna, </w:t>
      </w:r>
      <w:proofErr w:type="spellStart"/>
      <w:r w:rsidRPr="00BE0AA8">
        <w:t>Wushishi</w:t>
      </w:r>
      <w:proofErr w:type="spellEnd"/>
      <w:r w:rsidRPr="00BE0AA8">
        <w:t xml:space="preserve">, </w:t>
      </w:r>
      <w:proofErr w:type="spellStart"/>
      <w:r w:rsidRPr="00BE0AA8">
        <w:t>Paikoro</w:t>
      </w:r>
      <w:proofErr w:type="spellEnd"/>
      <w:r w:rsidRPr="00BE0AA8">
        <w:t>, and Keffi, indicating the presence of auriferous quartz veins and hydrothermally altered zones.</w:t>
      </w:r>
    </w:p>
    <w:p w14:paraId="06986B09" w14:textId="77777777" w:rsidR="00E32C10" w:rsidRDefault="00E32C10" w:rsidP="00E32C10">
      <w:pPr>
        <w:spacing w:line="276" w:lineRule="auto"/>
        <w:jc w:val="both"/>
        <w:rPr>
          <w:rFonts w:ascii="Times New Roman" w:eastAsia="Times New Roman" w:hAnsi="Times New Roman" w:cs="Times New Roman"/>
          <w:sz w:val="24"/>
          <w:szCs w:val="24"/>
        </w:rPr>
      </w:pPr>
    </w:p>
    <w:p w14:paraId="107FBDCC" w14:textId="77777777" w:rsidR="00D91D67" w:rsidRDefault="00D91D67" w:rsidP="00E32C10">
      <w:pPr>
        <w:spacing w:line="276" w:lineRule="auto"/>
        <w:jc w:val="both"/>
        <w:rPr>
          <w:rFonts w:ascii="Times New Roman" w:eastAsia="Times New Roman" w:hAnsi="Times New Roman" w:cs="Times New Roman"/>
          <w:sz w:val="24"/>
          <w:szCs w:val="24"/>
        </w:rPr>
      </w:pPr>
    </w:p>
    <w:p w14:paraId="2B808714" w14:textId="77777777" w:rsidR="00D91D67" w:rsidRDefault="00D91D67" w:rsidP="00E32C10">
      <w:pPr>
        <w:spacing w:line="276" w:lineRule="auto"/>
        <w:jc w:val="both"/>
        <w:rPr>
          <w:rFonts w:ascii="Times New Roman" w:eastAsia="Times New Roman" w:hAnsi="Times New Roman" w:cs="Times New Roman"/>
          <w:sz w:val="24"/>
          <w:szCs w:val="24"/>
        </w:rPr>
      </w:pPr>
    </w:p>
    <w:p w14:paraId="0CC4CB44" w14:textId="3389753E" w:rsidR="00D421C8" w:rsidRPr="00BE0AA8" w:rsidRDefault="00D421C8" w:rsidP="00A1062E">
      <w:pPr>
        <w:pStyle w:val="NormalWeb"/>
        <w:spacing w:line="276" w:lineRule="auto"/>
        <w:jc w:val="both"/>
        <w:rPr>
          <w:b/>
          <w:bCs/>
          <w:lang w:val="en-US"/>
        </w:rPr>
      </w:pPr>
      <w:r w:rsidRPr="00BE0AA8">
        <w:rPr>
          <w:b/>
          <w:bCs/>
          <w:noProof/>
          <w:lang w:val="en-US"/>
        </w:rPr>
        <w:lastRenderedPageBreak/>
        <w:drawing>
          <wp:inline distT="0" distB="0" distL="0" distR="0" wp14:anchorId="5B0FEB5A" wp14:editId="5261B3E7">
            <wp:extent cx="5731118" cy="4194048"/>
            <wp:effectExtent l="0" t="0" r="3175" b="0"/>
            <wp:docPr id="6323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23"/>
                    <a:stretch/>
                  </pic:blipFill>
                  <pic:spPr bwMode="auto">
                    <a:xfrm>
                      <a:off x="0" y="0"/>
                      <a:ext cx="5744582" cy="4203901"/>
                    </a:xfrm>
                    <a:prstGeom prst="rect">
                      <a:avLst/>
                    </a:prstGeom>
                    <a:noFill/>
                    <a:ln>
                      <a:noFill/>
                    </a:ln>
                    <a:extLst>
                      <a:ext uri="{53640926-AAD7-44D8-BBD7-CCE9431645EC}">
                        <a14:shadowObscured xmlns:a14="http://schemas.microsoft.com/office/drawing/2010/main"/>
                      </a:ext>
                    </a:extLst>
                  </pic:spPr>
                </pic:pic>
              </a:graphicData>
            </a:graphic>
          </wp:inline>
        </w:drawing>
      </w:r>
    </w:p>
    <w:p w14:paraId="368B8880" w14:textId="13BD078A" w:rsidR="00F44A94" w:rsidRDefault="00986FA2" w:rsidP="00E32C10">
      <w:pPr>
        <w:spacing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Figure</w:t>
      </w:r>
      <w:r w:rsidR="009A21C5">
        <w:rPr>
          <w:rFonts w:ascii="Times New Roman" w:eastAsia="Times New Roman" w:hAnsi="Times New Roman" w:cs="Times New Roman"/>
          <w:sz w:val="24"/>
          <w:szCs w:val="24"/>
        </w:rPr>
        <w:t>.</w:t>
      </w:r>
      <w:r w:rsidRPr="00BE0AA8">
        <w:rPr>
          <w:rFonts w:ascii="Times New Roman" w:eastAsia="Times New Roman" w:hAnsi="Times New Roman" w:cs="Times New Roman"/>
          <w:sz w:val="24"/>
          <w:szCs w:val="24"/>
        </w:rPr>
        <w:t xml:space="preserve">1: The geological map of the study area (Extracted from </w:t>
      </w:r>
      <w:proofErr w:type="gramStart"/>
      <w:r w:rsidRPr="00BE0AA8">
        <w:rPr>
          <w:rFonts w:ascii="Times New Roman" w:eastAsia="Times New Roman" w:hAnsi="Times New Roman" w:cs="Times New Roman"/>
          <w:sz w:val="24"/>
          <w:szCs w:val="24"/>
        </w:rPr>
        <w:t xml:space="preserve">USGS </w:t>
      </w:r>
      <w:r w:rsidR="00A1062E" w:rsidRPr="00BE0AA8">
        <w:rPr>
          <w:rFonts w:ascii="Times New Roman" w:eastAsia="Times New Roman" w:hAnsi="Times New Roman" w:cs="Times New Roman"/>
          <w:sz w:val="24"/>
          <w:szCs w:val="24"/>
        </w:rPr>
        <w:t xml:space="preserve"> </w:t>
      </w:r>
      <w:r w:rsidR="00A1062E">
        <w:rPr>
          <w:rFonts w:ascii="Times New Roman" w:eastAsia="Times New Roman" w:hAnsi="Times New Roman" w:cs="Times New Roman"/>
          <w:sz w:val="24"/>
          <w:szCs w:val="24"/>
          <w:lang w:eastAsia="en-GB"/>
        </w:rPr>
        <w:t>World</w:t>
      </w:r>
      <w:proofErr w:type="gramEnd"/>
      <w:r w:rsidR="00A1062E">
        <w:rPr>
          <w:rFonts w:ascii="Times New Roman" w:eastAsia="Times New Roman" w:hAnsi="Times New Roman" w:cs="Times New Roman"/>
          <w:sz w:val="24"/>
          <w:szCs w:val="24"/>
          <w:lang w:eastAsia="en-GB"/>
        </w:rPr>
        <w:t xml:space="preserve"> Geologic Maps website</w:t>
      </w:r>
      <w:r w:rsidRPr="00BE0AA8">
        <w:rPr>
          <w:rFonts w:ascii="Times New Roman" w:eastAsia="Times New Roman" w:hAnsi="Times New Roman" w:cs="Times New Roman"/>
          <w:sz w:val="24"/>
          <w:szCs w:val="24"/>
        </w:rPr>
        <w:t xml:space="preserve">) </w:t>
      </w:r>
    </w:p>
    <w:p w14:paraId="43B95C1F" w14:textId="77777777" w:rsidR="00E32C10" w:rsidRPr="00BE0AA8" w:rsidRDefault="00E32C10" w:rsidP="00E32C10">
      <w:pPr>
        <w:spacing w:line="276" w:lineRule="auto"/>
        <w:jc w:val="both"/>
        <w:rPr>
          <w:rFonts w:ascii="Times New Roman" w:hAnsi="Times New Roman" w:cs="Times New Roman"/>
          <w:sz w:val="24"/>
          <w:szCs w:val="24"/>
        </w:rPr>
      </w:pPr>
    </w:p>
    <w:p w14:paraId="6EE27530" w14:textId="77777777" w:rsidR="00D91D67" w:rsidRPr="00E32C10" w:rsidRDefault="00D91D67" w:rsidP="00AC49A3">
      <w:pPr>
        <w:pStyle w:val="NormalWeb"/>
        <w:numPr>
          <w:ilvl w:val="0"/>
          <w:numId w:val="5"/>
        </w:numPr>
        <w:spacing w:before="0" w:beforeAutospacing="0" w:after="0" w:afterAutospacing="0" w:line="276" w:lineRule="auto"/>
        <w:ind w:left="90"/>
        <w:jc w:val="both"/>
      </w:pPr>
      <w:r w:rsidRPr="00E32C10">
        <w:rPr>
          <w:b/>
          <w:bCs/>
        </w:rPr>
        <w:t>Geophysical Data Analysis Techniques</w:t>
      </w:r>
    </w:p>
    <w:p w14:paraId="00B6A2C2" w14:textId="77777777" w:rsidR="00D91D67" w:rsidRPr="00E32C10" w:rsidRDefault="00D91D67" w:rsidP="00AC49A3">
      <w:pPr>
        <w:pStyle w:val="NormalWeb"/>
        <w:spacing w:before="0" w:beforeAutospacing="0" w:after="0" w:afterAutospacing="0" w:line="276" w:lineRule="auto"/>
        <w:ind w:left="90"/>
        <w:jc w:val="both"/>
      </w:pPr>
      <w:r w:rsidRPr="00E32C10">
        <w:t>In geophysical data analysis, analysing magnetic and gravity data involves various techniques aimed at interpreting the signals received from these different geophysical methods. The techniques to be used include:</w:t>
      </w:r>
    </w:p>
    <w:p w14:paraId="798EAABD" w14:textId="77777777" w:rsidR="00D91D67" w:rsidRDefault="00D91D67" w:rsidP="00D91D67">
      <w:pPr>
        <w:spacing w:after="0" w:line="276" w:lineRule="auto"/>
        <w:jc w:val="both"/>
        <w:rPr>
          <w:rFonts w:ascii="Times New Roman" w:hAnsi="Times New Roman" w:cs="Times New Roman"/>
          <w:sz w:val="24"/>
          <w:szCs w:val="24"/>
        </w:rPr>
      </w:pPr>
    </w:p>
    <w:p w14:paraId="713912B0" w14:textId="77777777" w:rsidR="00D91D67" w:rsidRPr="00D14BB9" w:rsidRDefault="00D91D67" w:rsidP="00D91D67">
      <w:pPr>
        <w:spacing w:after="0" w:line="276" w:lineRule="auto"/>
        <w:jc w:val="both"/>
        <w:rPr>
          <w:rFonts w:ascii="Times New Roman" w:hAnsi="Times New Roman" w:cs="Times New Roman"/>
          <w:sz w:val="24"/>
          <w:szCs w:val="24"/>
        </w:rPr>
      </w:pPr>
      <w:r w:rsidRPr="00BE0AA8">
        <w:rPr>
          <w:rFonts w:ascii="Times New Roman" w:hAnsi="Times New Roman" w:cs="Times New Roman"/>
          <w:b/>
          <w:bCs/>
          <w:sz w:val="24"/>
          <w:szCs w:val="24"/>
        </w:rPr>
        <w:t>3.1</w:t>
      </w:r>
      <w:r>
        <w:rPr>
          <w:rFonts w:ascii="Times New Roman" w:hAnsi="Times New Roman" w:cs="Times New Roman"/>
          <w:b/>
          <w:bCs/>
          <w:sz w:val="24"/>
          <w:szCs w:val="24"/>
        </w:rPr>
        <w:t xml:space="preserve">    </w:t>
      </w:r>
      <w:r w:rsidRPr="00BE0AA8">
        <w:rPr>
          <w:rFonts w:ascii="Times New Roman" w:hAnsi="Times New Roman" w:cs="Times New Roman"/>
          <w:b/>
          <w:bCs/>
          <w:sz w:val="24"/>
          <w:szCs w:val="24"/>
        </w:rPr>
        <w:t xml:space="preserve"> Reduction to the Equator (RTE)</w:t>
      </w:r>
    </w:p>
    <w:p w14:paraId="358EE33F" w14:textId="77777777" w:rsidR="00D91D67" w:rsidRPr="00BE0AA8" w:rsidRDefault="00D91D67" w:rsidP="00D91D67">
      <w:pPr>
        <w:spacing w:after="0" w:line="276" w:lineRule="auto"/>
        <w:jc w:val="both"/>
        <w:rPr>
          <w:rFonts w:ascii="Times New Roman" w:hAnsi="Times New Roman" w:cs="Times New Roman"/>
          <w:sz w:val="24"/>
          <w:szCs w:val="24"/>
        </w:rPr>
      </w:pPr>
      <w:r w:rsidRPr="00BE0AA8">
        <w:rPr>
          <w:rFonts w:ascii="Times New Roman" w:hAnsi="Times New Roman" w:cs="Times New Roman"/>
          <w:sz w:val="24"/>
          <w:szCs w:val="24"/>
        </w:rPr>
        <w:t>The RTE is a geophysical data processing technique primarily used in the interpretation of magnetic data. The Earth's magnetic field is dipolar, that is its intensity and direction vary with latitude. This variation can complicate the analysis of magnetic anomalies because the anomalies' shapes and amplitudes are influenced by the inclination and declination of the Earth's magnetic field at the survey location. RTE mitigates these effects by transforming the observed magnetic data as if it were measured at the magnetic equator, where the field is horizontal. Application of the RTE simplifies the interpretation of magnetic data by providing a more consistent anomaly shape, and enhances the visibility of geological structures</w:t>
      </w:r>
    </w:p>
    <w:p w14:paraId="45B0C4B9" w14:textId="77777777" w:rsidR="00D91D67" w:rsidRPr="00BE0AA8" w:rsidRDefault="00D91D67" w:rsidP="00D91D67">
      <w:pPr>
        <w:pStyle w:val="NormalWeb"/>
        <w:spacing w:line="276" w:lineRule="auto"/>
        <w:jc w:val="both"/>
      </w:pPr>
    </w:p>
    <w:p w14:paraId="0022E249" w14:textId="77777777" w:rsidR="00D91D67" w:rsidRDefault="00D91D67" w:rsidP="00A1062E">
      <w:pPr>
        <w:pStyle w:val="NormalWeb"/>
        <w:spacing w:line="276" w:lineRule="auto"/>
        <w:jc w:val="both"/>
        <w:rPr>
          <w:b/>
          <w:bCs/>
        </w:rPr>
      </w:pPr>
    </w:p>
    <w:p w14:paraId="1760C3E6" w14:textId="2BA1FAE5" w:rsidR="00E32C10" w:rsidRDefault="000C6E24" w:rsidP="00A1062E">
      <w:pPr>
        <w:pStyle w:val="NormalWeb"/>
        <w:spacing w:line="276" w:lineRule="auto"/>
        <w:jc w:val="both"/>
      </w:pPr>
      <w:proofErr w:type="gramStart"/>
      <w:r w:rsidRPr="00BE0AA8">
        <w:rPr>
          <w:b/>
          <w:bCs/>
        </w:rPr>
        <w:lastRenderedPageBreak/>
        <w:t>3.</w:t>
      </w:r>
      <w:r w:rsidR="00F44A94" w:rsidRPr="00BE0AA8">
        <w:rPr>
          <w:b/>
          <w:bCs/>
        </w:rPr>
        <w:t>2</w:t>
      </w:r>
      <w:r w:rsidRPr="00BE0AA8">
        <w:rPr>
          <w:b/>
          <w:bCs/>
        </w:rPr>
        <w:t xml:space="preserve">  </w:t>
      </w:r>
      <w:r w:rsidR="00F95804" w:rsidRPr="00BE0AA8">
        <w:rPr>
          <w:b/>
          <w:bCs/>
        </w:rPr>
        <w:t>First</w:t>
      </w:r>
      <w:proofErr w:type="gramEnd"/>
      <w:r w:rsidR="00F95804" w:rsidRPr="00BE0AA8">
        <w:rPr>
          <w:b/>
          <w:bCs/>
        </w:rPr>
        <w:t xml:space="preserve"> Vertical Derivative (FVD)</w:t>
      </w:r>
      <w:r w:rsidR="00F95804" w:rsidRPr="00BE0AA8">
        <w:t xml:space="preserve"> </w:t>
      </w:r>
    </w:p>
    <w:p w14:paraId="56FAF408" w14:textId="42A38CE3" w:rsidR="00F95804" w:rsidRPr="00BE0AA8" w:rsidRDefault="00F95804" w:rsidP="00A1062E">
      <w:pPr>
        <w:pStyle w:val="NormalWeb"/>
        <w:spacing w:line="276" w:lineRule="auto"/>
        <w:jc w:val="both"/>
      </w:pPr>
      <w:r w:rsidRPr="00BE0AA8">
        <w:t xml:space="preserve">The </w:t>
      </w:r>
      <w:r w:rsidR="00F44A94" w:rsidRPr="00BE0AA8">
        <w:t xml:space="preserve">FVD </w:t>
      </w:r>
      <w:r w:rsidRPr="00BE0AA8">
        <w:t xml:space="preserve">technique is particularly effective in identifying subtle variations in the subsurface, such as faults, mineral deposits, and hydrocarbon reservoirs. It highlights the sharpness of an anomaly in geophysical data, making it easier to identify geological boundaries or structures. One recent study by Ishola </w:t>
      </w:r>
      <w:r w:rsidRPr="00BE0AA8">
        <w:rPr>
          <w:i/>
          <w:iCs/>
        </w:rPr>
        <w:t>et al</w:t>
      </w:r>
      <w:r w:rsidRPr="00BE0AA8">
        <w:t xml:space="preserve">. (2020) utilised magnetic data to map the subsurface structure of </w:t>
      </w:r>
      <w:proofErr w:type="spellStart"/>
      <w:r w:rsidRPr="00BE0AA8">
        <w:t>Ewekoro</w:t>
      </w:r>
      <w:proofErr w:type="spellEnd"/>
      <w:r w:rsidRPr="00BE0AA8">
        <w:t xml:space="preserve"> region, Southwestern Nigeria.</w:t>
      </w:r>
      <w:r w:rsidR="00F44A94" w:rsidRPr="00BE0AA8">
        <w:t xml:space="preserve"> </w:t>
      </w:r>
      <w:r w:rsidRPr="00BE0AA8">
        <w:t xml:space="preserve">The vertical derivative of the potential field enhances the shallow features while attenuating the deep-sited features, and sharpens the shorter wavelength at the shallow subsurface region (Salako </w:t>
      </w:r>
      <w:r w:rsidRPr="00BE0AA8">
        <w:rPr>
          <w:i/>
          <w:iCs/>
        </w:rPr>
        <w:t>et al</w:t>
      </w:r>
      <w:r w:rsidRPr="00BE0AA8">
        <w:t xml:space="preserve">. 2024; Aliyu </w:t>
      </w:r>
      <w:r w:rsidRPr="00BE0AA8">
        <w:rPr>
          <w:i/>
          <w:iCs/>
        </w:rPr>
        <w:t>et al</w:t>
      </w:r>
      <w:r w:rsidRPr="00BE0AA8">
        <w:t>., 2021).</w:t>
      </w:r>
    </w:p>
    <w:p w14:paraId="234A74C6" w14:textId="44820374" w:rsidR="00F95804" w:rsidRPr="00BE0AA8" w:rsidRDefault="00F95804" w:rsidP="00A1062E">
      <w:pPr>
        <w:spacing w:line="276" w:lineRule="auto"/>
        <w:ind w:left="2880" w:firstLine="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FVD=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∂Z</m:t>
            </m:r>
          </m:num>
          <m:den>
            <m:r>
              <w:rPr>
                <w:rFonts w:ascii="Cambria Math" w:eastAsia="Times New Roman" w:hAnsi="Cambria Math" w:cs="Times New Roman"/>
                <w:sz w:val="24"/>
                <w:szCs w:val="24"/>
              </w:rPr>
              <m:t>∂z</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Z</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x,y,z+∆z</m:t>
                </m:r>
              </m:e>
            </m:d>
            <m:r>
              <w:rPr>
                <w:rFonts w:ascii="Cambria Math" w:eastAsia="Times New Roman" w:hAnsi="Cambria Math" w:cs="Times New Roman"/>
                <w:sz w:val="24"/>
                <w:szCs w:val="24"/>
              </w:rPr>
              <m:t>-Z(x,y,z)</m:t>
            </m:r>
          </m:num>
          <m:den>
            <m:r>
              <w:rPr>
                <w:rFonts w:ascii="Cambria Math" w:eastAsia="Times New Roman" w:hAnsi="Cambria Math" w:cs="Times New Roman"/>
                <w:sz w:val="24"/>
                <w:szCs w:val="24"/>
              </w:rPr>
              <m:t>∆z</m:t>
            </m:r>
          </m:den>
        </m:f>
      </m:oMath>
      <w:r w:rsidRPr="00BE0AA8">
        <w:rPr>
          <w:rFonts w:ascii="Times New Roman" w:eastAsia="Times New Roman" w:hAnsi="Times New Roman" w:cs="Times New Roman"/>
          <w:i/>
          <w:iCs/>
          <w:sz w:val="24"/>
          <w:szCs w:val="24"/>
        </w:rPr>
        <w:t xml:space="preserve"> </w:t>
      </w:r>
      <w:r w:rsidRPr="00BE0AA8">
        <w:rPr>
          <w:rFonts w:ascii="Times New Roman" w:eastAsia="Times New Roman" w:hAnsi="Times New Roman" w:cs="Times New Roman"/>
          <w:sz w:val="24"/>
          <w:szCs w:val="24"/>
        </w:rPr>
        <w:tab/>
      </w:r>
      <w:r w:rsidRPr="00BE0AA8">
        <w:rPr>
          <w:rFonts w:ascii="Times New Roman" w:eastAsia="Times New Roman" w:hAnsi="Times New Roman" w:cs="Times New Roman"/>
          <w:sz w:val="24"/>
          <w:szCs w:val="24"/>
        </w:rPr>
        <w:tab/>
        <w:t>(1)</w:t>
      </w:r>
    </w:p>
    <w:p w14:paraId="7A6EA186" w14:textId="77777777" w:rsidR="00F95804" w:rsidRPr="00BE0AA8" w:rsidRDefault="00F95804" w:rsidP="00A1062E">
      <w:pPr>
        <w:spacing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Where:</w:t>
      </w:r>
    </w:p>
    <w:p w14:paraId="01378A78" w14:textId="77777777" w:rsidR="00F95804" w:rsidRPr="00BE0AA8" w:rsidRDefault="00F95804" w:rsidP="00A1062E">
      <w:pPr>
        <w:spacing w:line="276"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Z</m:t>
        </m:r>
      </m:oMath>
      <w:r w:rsidRPr="00BE0AA8">
        <w:rPr>
          <w:rFonts w:ascii="Times New Roman" w:eastAsia="Times New Roman" w:hAnsi="Times New Roman" w:cs="Times New Roman"/>
          <w:sz w:val="24"/>
          <w:szCs w:val="24"/>
        </w:rPr>
        <w:t xml:space="preserve"> </w:t>
      </w:r>
      <w:r w:rsidRPr="00BE0AA8">
        <w:rPr>
          <w:rFonts w:ascii="Times New Roman" w:hAnsi="Times New Roman" w:cs="Times New Roman"/>
          <w:sz w:val="24"/>
          <w:szCs w:val="24"/>
        </w:rPr>
        <w:t xml:space="preserve">is the measured geophysical anomaly (e.g., magnetic or gravity field data),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∂Z</m:t>
            </m:r>
          </m:num>
          <m:den>
            <m:r>
              <w:rPr>
                <w:rFonts w:ascii="Cambria Math" w:eastAsia="Times New Roman" w:hAnsi="Cambria Math" w:cs="Times New Roman"/>
                <w:sz w:val="24"/>
                <w:szCs w:val="24"/>
              </w:rPr>
              <m:t>∂z</m:t>
            </m:r>
          </m:den>
        </m:f>
      </m:oMath>
      <w:r w:rsidRPr="00BE0AA8">
        <w:rPr>
          <w:rFonts w:ascii="Times New Roman" w:eastAsia="Times New Roman" w:hAnsi="Times New Roman" w:cs="Times New Roman"/>
          <w:sz w:val="24"/>
          <w:szCs w:val="24"/>
        </w:rPr>
        <w:t xml:space="preserve"> is the first vertical derivative, and </w:t>
      </w:r>
      <m:oMath>
        <m:r>
          <w:rPr>
            <w:rFonts w:ascii="Cambria Math" w:eastAsia="Times New Roman" w:hAnsi="Cambria Math" w:cs="Times New Roman"/>
            <w:sz w:val="24"/>
            <w:szCs w:val="24"/>
          </w:rPr>
          <m:t>∆z</m:t>
        </m:r>
      </m:oMath>
      <w:r w:rsidRPr="00BE0AA8">
        <w:rPr>
          <w:rFonts w:ascii="Times New Roman" w:eastAsia="Times New Roman" w:hAnsi="Times New Roman" w:cs="Times New Roman"/>
          <w:sz w:val="24"/>
          <w:szCs w:val="24"/>
        </w:rPr>
        <w:t xml:space="preserve"> is the vertical distance over which the derivative is computed</w:t>
      </w:r>
    </w:p>
    <w:p w14:paraId="3270597B" w14:textId="77777777" w:rsidR="00E32C10" w:rsidRDefault="00E32C10" w:rsidP="00A1062E">
      <w:pPr>
        <w:pStyle w:val="NormalWeb"/>
        <w:spacing w:line="276" w:lineRule="auto"/>
        <w:jc w:val="both"/>
        <w:rPr>
          <w:b/>
          <w:bCs/>
        </w:rPr>
      </w:pPr>
    </w:p>
    <w:p w14:paraId="55C94305" w14:textId="390FE927" w:rsidR="00F95804" w:rsidRPr="00BE0AA8" w:rsidRDefault="00F44A94" w:rsidP="00A1062E">
      <w:pPr>
        <w:pStyle w:val="NormalWeb"/>
        <w:spacing w:line="276" w:lineRule="auto"/>
        <w:jc w:val="both"/>
      </w:pPr>
      <w:r w:rsidRPr="00BE0AA8">
        <w:rPr>
          <w:b/>
          <w:bCs/>
        </w:rPr>
        <w:t>3.</w:t>
      </w:r>
      <w:r w:rsidR="00D26B39" w:rsidRPr="00BE0AA8">
        <w:rPr>
          <w:b/>
          <w:bCs/>
        </w:rPr>
        <w:t>3</w:t>
      </w:r>
      <w:r w:rsidRPr="00BE0AA8">
        <w:rPr>
          <w:b/>
          <w:bCs/>
        </w:rPr>
        <w:t xml:space="preserve">   </w:t>
      </w:r>
      <w:r w:rsidR="00F95804" w:rsidRPr="00BE0AA8">
        <w:rPr>
          <w:b/>
          <w:bCs/>
        </w:rPr>
        <w:t>Analytical Signal</w:t>
      </w:r>
      <w:r w:rsidR="00F95804" w:rsidRPr="00BE0AA8">
        <w:t xml:space="preserve"> </w:t>
      </w:r>
      <w:r w:rsidR="00F95804" w:rsidRPr="00BE0AA8">
        <w:rPr>
          <w:b/>
          <w:bCs/>
        </w:rPr>
        <w:t>(AS)</w:t>
      </w:r>
    </w:p>
    <w:p w14:paraId="54F85C54" w14:textId="1BF1FBBA" w:rsidR="00F95804" w:rsidRPr="00BE0AA8" w:rsidRDefault="00F95804" w:rsidP="00A1062E">
      <w:pPr>
        <w:pStyle w:val="NormalWeb"/>
        <w:spacing w:line="276" w:lineRule="auto"/>
        <w:jc w:val="both"/>
      </w:pPr>
      <w:r w:rsidRPr="00BE0AA8">
        <w:t>Analytical Signal is a measure of the rate of change of a geophysical field calculated by taking the square root of the sum of the squared derivatives of the field in each direction highlighting changes in the data’s amplitude and locating anomalies</w:t>
      </w:r>
    </w:p>
    <w:p w14:paraId="1503CD12" w14:textId="18A4DEC6" w:rsidR="00A54E17" w:rsidRPr="00BE0AA8" w:rsidRDefault="00A54E17" w:rsidP="00A1062E">
      <w:pPr>
        <w:spacing w:line="276" w:lineRule="auto"/>
        <w:ind w:left="1440" w:firstLine="720"/>
        <w:jc w:val="both"/>
        <w:rPr>
          <w:rFonts w:ascii="Times New Roman" w:eastAsia="Times New Roman" w:hAnsi="Times New Roman" w:cs="Times New Roman"/>
          <w:sz w:val="24"/>
          <w:szCs w:val="24"/>
        </w:rPr>
      </w:pPr>
      <m:oMath>
        <m:r>
          <w:rPr>
            <w:rFonts w:ascii="Cambria Math" w:hAnsi="Cambria Math" w:cs="Times New Roman"/>
            <w:sz w:val="24"/>
            <w:szCs w:val="24"/>
          </w:rPr>
          <m:t>AS=</m:t>
        </m:r>
        <m:rad>
          <m:radPr>
            <m:degHide m:val="1"/>
            <m:ctrlPr>
              <w:rPr>
                <w:rFonts w:ascii="Cambria Math" w:hAnsi="Cambria Math" w:cs="Times New Roman"/>
                <w:sz w:val="24"/>
                <w:szCs w:val="24"/>
              </w:rPr>
            </m:ctrlPr>
          </m:radPr>
          <m:deg/>
          <m:e>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∂T/∂x</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∂T/∂y</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∂T/∂z</m:t>
                        </m:r>
                      </m:e>
                    </m:d>
                  </m:e>
                  <m:sup>
                    <m:r>
                      <w:rPr>
                        <w:rFonts w:ascii="Cambria Math" w:hAnsi="Cambria Math" w:cs="Times New Roman"/>
                        <w:sz w:val="24"/>
                        <w:szCs w:val="24"/>
                      </w:rPr>
                      <m:t>2</m:t>
                    </m:r>
                  </m:sup>
                </m:sSup>
              </m:e>
            </m:d>
          </m:e>
        </m:rad>
      </m:oMath>
      <w:r w:rsidRPr="00BE0AA8">
        <w:rPr>
          <w:rFonts w:ascii="Times New Roman" w:hAnsi="Times New Roman" w:cs="Times New Roman"/>
          <w:sz w:val="24"/>
          <w:szCs w:val="24"/>
        </w:rPr>
        <w:tab/>
      </w:r>
      <w:r w:rsidRPr="00BE0AA8">
        <w:rPr>
          <w:rFonts w:ascii="Times New Roman" w:hAnsi="Times New Roman" w:cs="Times New Roman"/>
          <w:sz w:val="24"/>
          <w:szCs w:val="24"/>
        </w:rPr>
        <w:tab/>
      </w:r>
      <w:r w:rsidRPr="00BE0AA8">
        <w:rPr>
          <w:rFonts w:ascii="Times New Roman" w:eastAsia="Times New Roman" w:hAnsi="Times New Roman" w:cs="Times New Roman"/>
          <w:sz w:val="24"/>
          <w:szCs w:val="24"/>
        </w:rPr>
        <w:t xml:space="preserve">       (2)</w:t>
      </w:r>
    </w:p>
    <w:p w14:paraId="260E7DFB" w14:textId="278E5D6A" w:rsidR="00A54E17" w:rsidRPr="00BE0AA8" w:rsidRDefault="00F44A94" w:rsidP="00A1062E">
      <w:pPr>
        <w:pStyle w:val="NormalWeb"/>
        <w:spacing w:line="276" w:lineRule="auto"/>
        <w:jc w:val="both"/>
      </w:pPr>
      <w:r w:rsidRPr="00BE0AA8">
        <w:t>w</w:t>
      </w:r>
      <w:r w:rsidR="00A54E17" w:rsidRPr="00BE0AA8">
        <w:t>here</w:t>
      </w:r>
      <w:r w:rsidRPr="00BE0AA8">
        <w:t>;</w:t>
      </w:r>
      <w:r w:rsidR="00A54E17" w:rsidRPr="00BE0AA8">
        <w:t xml:space="preserve"> </w:t>
      </w:r>
      <m:oMath>
        <m:r>
          <w:rPr>
            <w:rFonts w:ascii="Cambria Math" w:hAnsi="Cambria Math"/>
          </w:rPr>
          <m:t>AS</m:t>
        </m:r>
      </m:oMath>
      <w:r w:rsidR="00A54E17" w:rsidRPr="00BE0AA8">
        <w:t xml:space="preserve"> constitute the amplitude of the total gradient of the signal at the </w:t>
      </w:r>
      <m:oMath>
        <m:d>
          <m:dPr>
            <m:ctrlPr>
              <w:rPr>
                <w:rFonts w:ascii="Cambria Math" w:hAnsi="Cambria Math"/>
              </w:rPr>
            </m:ctrlPr>
          </m:dPr>
          <m:e>
            <m:r>
              <w:rPr>
                <w:rFonts w:ascii="Cambria Math" w:hAnsi="Cambria Math"/>
              </w:rPr>
              <m:t>x,y</m:t>
            </m:r>
          </m:e>
        </m:d>
      </m:oMath>
      <w:r w:rsidR="00A54E17" w:rsidRPr="00BE0AA8">
        <w:t xml:space="preserve"> plane, </w:t>
      </w:r>
      <m:oMath>
        <m:r>
          <w:rPr>
            <w:rFonts w:ascii="Cambria Math" w:hAnsi="Cambria Math"/>
          </w:rPr>
          <m:t>T </m:t>
        </m:r>
      </m:oMath>
      <w:r w:rsidR="00A54E17" w:rsidRPr="00BE0AA8">
        <w:t xml:space="preserve"> is the measured magnetic susceptibility, </w:t>
      </w:r>
      <m:oMath>
        <m:r>
          <w:rPr>
            <w:rFonts w:ascii="Cambria Math" w:hAnsi="Cambria Math"/>
          </w:rPr>
          <m:t>∂T/∂x+∂T/∂y+∂T/∂z </m:t>
        </m:r>
      </m:oMath>
      <w:r w:rsidR="00A54E17" w:rsidRPr="00BE0AA8">
        <w:t xml:space="preserve"> are the vertical and orthogonal derivatives along the </w:t>
      </w:r>
      <m:oMath>
        <m:r>
          <w:rPr>
            <w:rFonts w:ascii="Cambria Math" w:hAnsi="Cambria Math"/>
          </w:rPr>
          <m:t>z, y and x </m:t>
        </m:r>
      </m:oMath>
      <w:r w:rsidR="00A54E17" w:rsidRPr="00BE0AA8">
        <w:t>planes, respectively.</w:t>
      </w:r>
    </w:p>
    <w:p w14:paraId="1F16B87E" w14:textId="6FAD58D2" w:rsidR="00A54E17" w:rsidRPr="00BE0AA8" w:rsidRDefault="00F44A94" w:rsidP="00A1062E">
      <w:pPr>
        <w:pStyle w:val="NormalWeb"/>
        <w:spacing w:line="276" w:lineRule="auto"/>
        <w:jc w:val="both"/>
      </w:pPr>
      <w:proofErr w:type="gramStart"/>
      <w:r w:rsidRPr="00BE0AA8">
        <w:rPr>
          <w:b/>
          <w:bCs/>
        </w:rPr>
        <w:t>3.</w:t>
      </w:r>
      <w:r w:rsidR="00D26B39" w:rsidRPr="00BE0AA8">
        <w:rPr>
          <w:b/>
          <w:bCs/>
        </w:rPr>
        <w:t>4</w:t>
      </w:r>
      <w:r w:rsidRPr="00BE0AA8">
        <w:rPr>
          <w:b/>
          <w:bCs/>
        </w:rPr>
        <w:t xml:space="preserve">  </w:t>
      </w:r>
      <w:r w:rsidR="00A54E17" w:rsidRPr="00BE0AA8">
        <w:rPr>
          <w:b/>
          <w:bCs/>
        </w:rPr>
        <w:t>Tilt</w:t>
      </w:r>
      <w:proofErr w:type="gramEnd"/>
      <w:r w:rsidR="00A54E17" w:rsidRPr="00BE0AA8">
        <w:rPr>
          <w:b/>
          <w:bCs/>
        </w:rPr>
        <w:t xml:space="preserve"> derivative (TD)</w:t>
      </w:r>
    </w:p>
    <w:p w14:paraId="20042A18" w14:textId="1B52C8EE" w:rsidR="00A54E17" w:rsidRPr="00BE0AA8" w:rsidRDefault="00A54E17" w:rsidP="00A1062E">
      <w:pPr>
        <w:pStyle w:val="NormalWeb"/>
        <w:spacing w:line="276" w:lineRule="auto"/>
        <w:jc w:val="both"/>
      </w:pPr>
      <w:r w:rsidRPr="00BE0AA8">
        <w:t>Tilt derivative (TD) technique</w:t>
      </w:r>
      <w:r w:rsidR="00F44A94" w:rsidRPr="00BE0AA8">
        <w:t xml:space="preserve"> is one</w:t>
      </w:r>
      <w:r w:rsidRPr="00BE0AA8">
        <w:t xml:space="preserve"> that can be applied to potential field (magnetic or gravity) data to enhance features and reveal structural trends and edges of anomalous bodies. The TD is a geometrical function that uses the vertical and horizontal derivatives of a field. The technique involves calculating the tilt angle of the field and then taking the derivative of the tilt angle to the horizontal coordinate x and vertical coordinate y.</w:t>
      </w:r>
      <w:r w:rsidR="00F44A94" w:rsidRPr="00BE0AA8">
        <w:t xml:space="preserve"> </w:t>
      </w:r>
      <w:proofErr w:type="spellStart"/>
      <w:r w:rsidRPr="00BE0AA8">
        <w:t>Abdelrady</w:t>
      </w:r>
      <w:proofErr w:type="spellEnd"/>
      <w:r w:rsidRPr="00BE0AA8">
        <w:t xml:space="preserve"> </w:t>
      </w:r>
      <w:r w:rsidRPr="00BE0AA8">
        <w:rPr>
          <w:i/>
          <w:iCs/>
        </w:rPr>
        <w:t>et al</w:t>
      </w:r>
      <w:r w:rsidRPr="00BE0AA8">
        <w:t>. (2023) used the TD to identify several anomalies that are associated with gold deposits and also to map the distribution of subsurface structures in an area.</w:t>
      </w:r>
      <w:r w:rsidR="00F44A94" w:rsidRPr="00BE0AA8">
        <w:t xml:space="preserve"> </w:t>
      </w:r>
      <w:r w:rsidRPr="00BE0AA8">
        <w:t>The TD is computed from the FVD of the magnetic or gravity anomaly and is given by the formula:</w:t>
      </w:r>
    </w:p>
    <w:p w14:paraId="6783665A" w14:textId="000D35E8" w:rsidR="00A54E17" w:rsidRPr="00BE0AA8" w:rsidRDefault="00A54E17" w:rsidP="00A1062E">
      <w:pPr>
        <w:spacing w:line="276" w:lineRule="auto"/>
        <w:ind w:left="2880"/>
        <w:jc w:val="both"/>
        <w:rPr>
          <w:rFonts w:ascii="Times New Roman" w:hAnsi="Times New Roman" w:cs="Times New Roman"/>
          <w:sz w:val="24"/>
          <w:szCs w:val="24"/>
        </w:rPr>
      </w:pPr>
      <m:oMath>
        <m:r>
          <w:rPr>
            <w:rFonts w:ascii="Cambria Math" w:hAnsi="Cambria Math" w:cs="Times New Roman"/>
            <w:sz w:val="24"/>
            <w:szCs w:val="24"/>
          </w:rPr>
          <m:t>TD=</m:t>
        </m:r>
        <m:f>
          <m:fPr>
            <m:type m:val="lin"/>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∂x</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r>
                      <w:rPr>
                        <w:rFonts w:ascii="Cambria Math" w:hAnsi="Cambria Math" w:cs="Times New Roman"/>
                        <w:sz w:val="24"/>
                        <w:szCs w:val="24"/>
                      </w:rPr>
                      <m:t>)</m:t>
                    </m:r>
                  </m:e>
                  <m:sup>
                    <m:r>
                      <w:rPr>
                        <w:rFonts w:ascii="Cambria Math" w:hAnsi="Cambria Math" w:cs="Times New Roman"/>
                        <w:sz w:val="24"/>
                        <w:szCs w:val="24"/>
                      </w:rPr>
                      <m:t>2</m:t>
                    </m:r>
                  </m:sup>
                </m:sSup>
              </m:e>
            </m:rad>
          </m:den>
        </m:f>
      </m:oMath>
      <w:r w:rsidRPr="00BE0AA8">
        <w:rPr>
          <w:rFonts w:ascii="Times New Roman" w:eastAsiaTheme="minorEastAsia" w:hAnsi="Times New Roman" w:cs="Times New Roman"/>
          <w:sz w:val="24"/>
          <w:szCs w:val="24"/>
        </w:rPr>
        <w:t xml:space="preserve">              </w:t>
      </w:r>
      <w:r w:rsidRPr="00BE0AA8">
        <w:rPr>
          <w:rFonts w:ascii="Times New Roman" w:eastAsiaTheme="minorEastAsia" w:hAnsi="Times New Roman" w:cs="Times New Roman"/>
          <w:sz w:val="24"/>
          <w:szCs w:val="24"/>
        </w:rPr>
        <w:tab/>
      </w:r>
      <w:r w:rsidRPr="00BE0AA8">
        <w:rPr>
          <w:rFonts w:ascii="Times New Roman" w:eastAsiaTheme="minorEastAsia" w:hAnsi="Times New Roman" w:cs="Times New Roman"/>
          <w:sz w:val="24"/>
          <w:szCs w:val="24"/>
        </w:rPr>
        <w:tab/>
      </w:r>
      <w:r w:rsidRPr="00BE0AA8">
        <w:rPr>
          <w:rFonts w:ascii="Times New Roman" w:eastAsiaTheme="minorEastAsia" w:hAnsi="Times New Roman" w:cs="Times New Roman"/>
          <w:sz w:val="24"/>
          <w:szCs w:val="24"/>
        </w:rPr>
        <w:tab/>
      </w:r>
      <w:r w:rsidR="00E32C10">
        <w:rPr>
          <w:rFonts w:ascii="Times New Roman" w:eastAsiaTheme="minorEastAsia" w:hAnsi="Times New Roman" w:cs="Times New Roman"/>
          <w:sz w:val="24"/>
          <w:szCs w:val="24"/>
        </w:rPr>
        <w:t xml:space="preserve">      </w:t>
      </w:r>
      <w:r w:rsidRPr="00BE0AA8">
        <w:rPr>
          <w:rFonts w:ascii="Times New Roman" w:eastAsia="Times New Roman" w:hAnsi="Times New Roman" w:cs="Times New Roman"/>
          <w:sz w:val="24"/>
          <w:szCs w:val="24"/>
        </w:rPr>
        <w:t>(</w:t>
      </w:r>
      <w:r w:rsidR="00976E87" w:rsidRPr="00BE0AA8">
        <w:rPr>
          <w:rFonts w:ascii="Times New Roman" w:eastAsia="Times New Roman" w:hAnsi="Times New Roman" w:cs="Times New Roman"/>
          <w:sz w:val="24"/>
          <w:szCs w:val="24"/>
        </w:rPr>
        <w:t>3</w:t>
      </w:r>
      <w:r w:rsidRPr="00BE0AA8">
        <w:rPr>
          <w:rFonts w:ascii="Times New Roman" w:eastAsia="Times New Roman" w:hAnsi="Times New Roman" w:cs="Times New Roman"/>
          <w:sz w:val="24"/>
          <w:szCs w:val="24"/>
        </w:rPr>
        <w:t>)</w:t>
      </w:r>
    </w:p>
    <w:p w14:paraId="36FA7492" w14:textId="26EED0FF" w:rsidR="00A54E17" w:rsidRPr="00BE0AA8" w:rsidRDefault="00F44A94" w:rsidP="00A1062E">
      <w:pPr>
        <w:spacing w:line="276" w:lineRule="auto"/>
        <w:jc w:val="both"/>
        <w:rPr>
          <w:rFonts w:ascii="Times New Roman" w:hAnsi="Times New Roman" w:cs="Times New Roman"/>
          <w:sz w:val="24"/>
          <w:szCs w:val="24"/>
        </w:rPr>
      </w:pPr>
      <w:r w:rsidRPr="00BE0AA8">
        <w:rPr>
          <w:rFonts w:ascii="Times New Roman" w:hAnsi="Times New Roman" w:cs="Times New Roman"/>
          <w:sz w:val="24"/>
          <w:szCs w:val="24"/>
        </w:rPr>
        <w:lastRenderedPageBreak/>
        <w:t>w</w:t>
      </w:r>
      <w:r w:rsidR="00A54E17" w:rsidRPr="00BE0AA8">
        <w:rPr>
          <w:rFonts w:ascii="Times New Roman" w:hAnsi="Times New Roman" w:cs="Times New Roman"/>
          <w:sz w:val="24"/>
          <w:szCs w:val="24"/>
        </w:rPr>
        <w:t>here</w:t>
      </w:r>
      <w:r w:rsidRPr="00BE0AA8">
        <w:rPr>
          <w:rFonts w:ascii="Times New Roman" w:hAnsi="Times New Roman" w:cs="Times New Roman"/>
          <w:sz w:val="24"/>
          <w:szCs w:val="24"/>
        </w:rPr>
        <w:t>;</w:t>
      </w:r>
      <w:r w:rsidR="00A54E17" w:rsidRPr="00BE0AA8">
        <w:rPr>
          <w:rFonts w:ascii="Times New Roman" w:hAnsi="Times New Roman" w:cs="Times New Roman"/>
          <w:sz w:val="24"/>
          <w:szCs w:val="24"/>
        </w:rPr>
        <w:t xml:space="preserve"> </w:t>
      </w:r>
      <m:oMath>
        <m:r>
          <w:rPr>
            <w:rFonts w:ascii="Cambria Math" w:hAnsi="Cambria Math" w:cs="Times New Roman"/>
            <w:sz w:val="24"/>
            <w:szCs w:val="24"/>
          </w:rPr>
          <m:t>Z</m:t>
        </m:r>
      </m:oMath>
      <w:r w:rsidR="00A54E17" w:rsidRPr="00BE0AA8">
        <w:rPr>
          <w:rFonts w:ascii="Times New Roman" w:hAnsi="Times New Roman" w:cs="Times New Roman"/>
          <w:sz w:val="24"/>
          <w:szCs w:val="24"/>
        </w:rPr>
        <w:t xml:space="preserve"> is the magnetic or gravity anomaly data, </w:t>
      </w:r>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∂x</m:t>
            </m:r>
          </m:den>
        </m:f>
      </m:oMath>
      <w:r w:rsidR="00A54E17" w:rsidRPr="00BE0AA8">
        <w:rPr>
          <w:rFonts w:ascii="Times New Roman" w:hAnsi="Times New Roman" w:cs="Times New Roman"/>
          <w:sz w:val="24"/>
          <w:szCs w:val="24"/>
        </w:rPr>
        <w:t xml:space="preserve"> and </w:t>
      </w:r>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∂y</m:t>
            </m:r>
          </m:den>
        </m:f>
      </m:oMath>
      <w:r w:rsidR="00A54E17" w:rsidRPr="00BE0AA8">
        <w:rPr>
          <w:rFonts w:ascii="Times New Roman" w:hAnsi="Times New Roman" w:cs="Times New Roman"/>
          <w:sz w:val="24"/>
          <w:szCs w:val="24"/>
        </w:rPr>
        <w:t xml:space="preserve"> are the first vertical derivatives in the </w:t>
      </w:r>
      <m:oMath>
        <m:r>
          <w:rPr>
            <w:rFonts w:ascii="Cambria Math" w:hAnsi="Cambria Math" w:cs="Times New Roman"/>
            <w:sz w:val="24"/>
            <w:szCs w:val="24"/>
          </w:rPr>
          <m:t>x</m:t>
        </m:r>
      </m:oMath>
      <w:r w:rsidR="00A54E17" w:rsidRPr="00BE0AA8">
        <w:rPr>
          <w:rFonts w:ascii="Times New Roman" w:hAnsi="Times New Roman" w:cs="Times New Roman"/>
          <w:sz w:val="24"/>
          <w:szCs w:val="24"/>
        </w:rPr>
        <w:t xml:space="preserve"> and </w:t>
      </w:r>
      <m:oMath>
        <m:r>
          <w:rPr>
            <w:rFonts w:ascii="Cambria Math" w:hAnsi="Cambria Math" w:cs="Times New Roman"/>
            <w:sz w:val="24"/>
            <w:szCs w:val="24"/>
          </w:rPr>
          <m:t>y</m:t>
        </m:r>
      </m:oMath>
      <w:r w:rsidR="00A54E17" w:rsidRPr="00BE0AA8">
        <w:rPr>
          <w:rFonts w:ascii="Times New Roman" w:hAnsi="Times New Roman" w:cs="Times New Roman"/>
          <w:sz w:val="24"/>
          <w:szCs w:val="24"/>
        </w:rPr>
        <w:t xml:space="preserve"> directions, respectively.</w:t>
      </w:r>
    </w:p>
    <w:p w14:paraId="0BD6FDD7" w14:textId="77777777" w:rsidR="00E32C10" w:rsidRDefault="00E32C10" w:rsidP="00A1062E">
      <w:pPr>
        <w:spacing w:line="276" w:lineRule="auto"/>
        <w:jc w:val="both"/>
        <w:rPr>
          <w:rFonts w:ascii="Times New Roman" w:hAnsi="Times New Roman" w:cs="Times New Roman"/>
          <w:b/>
          <w:bCs/>
          <w:sz w:val="24"/>
          <w:szCs w:val="24"/>
        </w:rPr>
      </w:pPr>
    </w:p>
    <w:p w14:paraId="5F320D23" w14:textId="1B259522" w:rsidR="00D26B39" w:rsidRPr="00BE0AA8" w:rsidRDefault="00D26B39" w:rsidP="00A1062E">
      <w:pPr>
        <w:spacing w:line="276" w:lineRule="auto"/>
        <w:jc w:val="both"/>
        <w:rPr>
          <w:rFonts w:ascii="Times New Roman" w:eastAsia="Times New Roman" w:hAnsi="Times New Roman" w:cs="Times New Roman"/>
          <w:sz w:val="24"/>
          <w:szCs w:val="24"/>
          <w:lang w:eastAsia="en-GB"/>
        </w:rPr>
      </w:pPr>
      <w:proofErr w:type="gramStart"/>
      <w:r w:rsidRPr="00BE0AA8">
        <w:rPr>
          <w:rFonts w:ascii="Times New Roman" w:hAnsi="Times New Roman" w:cs="Times New Roman"/>
          <w:b/>
          <w:bCs/>
          <w:sz w:val="24"/>
          <w:szCs w:val="24"/>
        </w:rPr>
        <w:t>3.5</w:t>
      </w:r>
      <w:r w:rsidRPr="00BE0AA8">
        <w:rPr>
          <w:rFonts w:ascii="Times New Roman" w:hAnsi="Times New Roman" w:cs="Times New Roman"/>
          <w:sz w:val="24"/>
          <w:szCs w:val="24"/>
        </w:rPr>
        <w:t xml:space="preserve">  </w:t>
      </w:r>
      <w:r w:rsidRPr="00BE0AA8">
        <w:rPr>
          <w:rFonts w:ascii="Times New Roman" w:eastAsia="Times New Roman" w:hAnsi="Times New Roman" w:cs="Times New Roman"/>
          <w:b/>
          <w:bCs/>
          <w:sz w:val="24"/>
          <w:szCs w:val="24"/>
          <w:lang w:eastAsia="en-GB"/>
        </w:rPr>
        <w:t>Euler</w:t>
      </w:r>
      <w:proofErr w:type="gramEnd"/>
      <w:r w:rsidRPr="00BE0AA8">
        <w:rPr>
          <w:rFonts w:ascii="Times New Roman" w:eastAsia="Times New Roman" w:hAnsi="Times New Roman" w:cs="Times New Roman"/>
          <w:b/>
          <w:bCs/>
          <w:sz w:val="24"/>
          <w:szCs w:val="24"/>
          <w:lang w:eastAsia="en-GB"/>
        </w:rPr>
        <w:t xml:space="preserve"> deconvolution </w:t>
      </w:r>
      <w:r w:rsidRPr="00BE0AA8">
        <w:rPr>
          <w:rFonts w:ascii="Times New Roman" w:eastAsia="Times New Roman" w:hAnsi="Times New Roman" w:cs="Times New Roman"/>
          <w:sz w:val="24"/>
          <w:szCs w:val="24"/>
          <w:lang w:eastAsia="en-GB"/>
        </w:rPr>
        <w:t xml:space="preserve">  </w:t>
      </w:r>
    </w:p>
    <w:p w14:paraId="62B3DFC4" w14:textId="335DFC70" w:rsidR="00D26B39" w:rsidRPr="00BE0AA8" w:rsidRDefault="007D6523" w:rsidP="00A1062E">
      <w:pPr>
        <w:spacing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Euler deconvolution </w:t>
      </w:r>
      <w:r w:rsidR="00D26B39" w:rsidRPr="00BE0AA8">
        <w:rPr>
          <w:rFonts w:ascii="Times New Roman" w:eastAsia="Times New Roman" w:hAnsi="Times New Roman" w:cs="Times New Roman"/>
          <w:sz w:val="24"/>
          <w:szCs w:val="24"/>
          <w:lang w:eastAsia="en-GB"/>
        </w:rPr>
        <w:t>technique</w:t>
      </w:r>
      <w:r w:rsidRPr="00BE0AA8">
        <w:rPr>
          <w:rFonts w:ascii="Times New Roman" w:eastAsia="Times New Roman" w:hAnsi="Times New Roman" w:cs="Times New Roman"/>
          <w:sz w:val="24"/>
          <w:szCs w:val="24"/>
          <w:lang w:eastAsia="en-GB"/>
        </w:rPr>
        <w:t xml:space="preserve">, based on Euler's homogeneity equation is </w:t>
      </w:r>
      <w:r w:rsidR="00D26B39" w:rsidRPr="00BE0AA8">
        <w:rPr>
          <w:rFonts w:ascii="Times New Roman" w:eastAsia="Times New Roman" w:hAnsi="Times New Roman" w:cs="Times New Roman"/>
          <w:sz w:val="24"/>
          <w:szCs w:val="24"/>
          <w:lang w:eastAsia="en-GB"/>
        </w:rPr>
        <w:t xml:space="preserve">used to locate the source of anomalies in magnetic and gravity data. </w:t>
      </w:r>
      <w:r w:rsidRPr="00BE0AA8">
        <w:rPr>
          <w:rFonts w:ascii="Times New Roman" w:eastAsia="Times New Roman" w:hAnsi="Times New Roman" w:cs="Times New Roman"/>
          <w:sz w:val="24"/>
          <w:szCs w:val="24"/>
          <w:lang w:eastAsia="en-GB"/>
        </w:rPr>
        <w:t xml:space="preserve">The Euler's homogeneity equation </w:t>
      </w:r>
      <w:r w:rsidR="00D26B39" w:rsidRPr="00BE0AA8">
        <w:rPr>
          <w:rFonts w:ascii="Times New Roman" w:eastAsia="Times New Roman" w:hAnsi="Times New Roman" w:cs="Times New Roman"/>
          <w:sz w:val="24"/>
          <w:szCs w:val="24"/>
          <w:lang w:eastAsia="en-GB"/>
        </w:rPr>
        <w:t xml:space="preserve">relates the curvature of the magnetic or gravity field to the location of the source of the anomaly. The technique involves fitting a set of magnetic or gravity data to Euler's homogeneity equation and solving for the location of the source of the </w:t>
      </w:r>
      <w:proofErr w:type="gramStart"/>
      <w:r w:rsidR="00D26B39" w:rsidRPr="00BE0AA8">
        <w:rPr>
          <w:rFonts w:ascii="Times New Roman" w:eastAsia="Times New Roman" w:hAnsi="Times New Roman" w:cs="Times New Roman"/>
          <w:sz w:val="24"/>
          <w:szCs w:val="24"/>
          <w:lang w:eastAsia="en-GB"/>
        </w:rPr>
        <w:t>anomaly</w:t>
      </w:r>
      <w:r w:rsidRPr="00BE0AA8">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sz w:val="24"/>
          <w:szCs w:val="24"/>
        </w:rPr>
        <w:t xml:space="preserve"> (</w:t>
      </w:r>
      <w:proofErr w:type="gramEnd"/>
      <w:r w:rsidRPr="00BE0AA8">
        <w:rPr>
          <w:rFonts w:ascii="Times New Roman" w:eastAsia="Times New Roman" w:hAnsi="Times New Roman" w:cs="Times New Roman"/>
          <w:sz w:val="24"/>
          <w:szCs w:val="24"/>
        </w:rPr>
        <w:t xml:space="preserve">Reid </w:t>
      </w:r>
      <w:r w:rsidRPr="00BE0AA8">
        <w:rPr>
          <w:rFonts w:ascii="Times New Roman" w:eastAsia="Times New Roman" w:hAnsi="Times New Roman" w:cs="Times New Roman"/>
          <w:i/>
          <w:iCs/>
          <w:sz w:val="24"/>
          <w:szCs w:val="24"/>
        </w:rPr>
        <w:t>et al</w:t>
      </w:r>
      <w:r w:rsidRPr="00BE0AA8">
        <w:rPr>
          <w:rFonts w:ascii="Times New Roman" w:eastAsia="Times New Roman" w:hAnsi="Times New Roman" w:cs="Times New Roman"/>
          <w:sz w:val="24"/>
          <w:szCs w:val="24"/>
        </w:rPr>
        <w:t>., 1990)</w:t>
      </w:r>
      <w:r w:rsidR="00D26B39" w:rsidRPr="00BE0AA8">
        <w:rPr>
          <w:rFonts w:ascii="Times New Roman" w:eastAsia="Times New Roman" w:hAnsi="Times New Roman" w:cs="Times New Roman"/>
          <w:sz w:val="24"/>
          <w:szCs w:val="24"/>
          <w:lang w:eastAsia="en-GB"/>
        </w:rPr>
        <w:t>.</w:t>
      </w:r>
    </w:p>
    <w:p w14:paraId="2302284A" w14:textId="1454EDDA" w:rsidR="00125FD0" w:rsidRPr="00BE0AA8" w:rsidRDefault="00F376AB" w:rsidP="00A1062E">
      <w:pPr>
        <w:spacing w:line="276" w:lineRule="auto"/>
        <w:ind w:left="720" w:firstLine="720"/>
        <w:jc w:val="both"/>
        <w:rPr>
          <w:rFonts w:ascii="Times New Roman" w:eastAsia="Times New Roman" w:hAnsi="Times New Roman" w:cs="Times New Roman"/>
          <w:sz w:val="24"/>
          <w:szCs w:val="24"/>
        </w:rPr>
      </w:pPr>
      <m:oMath>
        <m:d>
          <m:dPr>
            <m:ctrlPr>
              <w:rPr>
                <w:rFonts w:ascii="Cambria Math" w:hAnsi="Cambria Math" w:cs="Times New Roman"/>
                <w:sz w:val="24"/>
                <w:szCs w:val="24"/>
              </w:rPr>
            </m:ctrlPr>
          </m:dPr>
          <m:e>
            <m:r>
              <w:rPr>
                <w:rFonts w:ascii="Cambria Math" w:hAnsi="Cambria Math" w:cs="Times New Roman"/>
                <w:sz w:val="24"/>
                <w:szCs w:val="24"/>
              </w:rPr>
              <m:t>x</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∂x</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y</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∂y</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z</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∂z</m:t>
            </m:r>
          </m:den>
        </m:f>
        <m:r>
          <w:rPr>
            <w:rFonts w:ascii="Cambria Math" w:hAnsi="Cambria Math" w:cs="Times New Roman"/>
            <w:sz w:val="24"/>
            <w:szCs w:val="24"/>
          </w:rPr>
          <m:t>=</m:t>
        </m:r>
        <m:r>
          <w:rPr>
            <w:rFonts w:ascii="Cambria Math" w:hAnsi="Cambria Math" w:cs="Times New Roman"/>
            <w:sz w:val="24"/>
            <w:szCs w:val="24"/>
          </w:rPr>
          <m:t>η</m:t>
        </m:r>
        <m:d>
          <m:dPr>
            <m:ctrlPr>
              <w:rPr>
                <w:rFonts w:ascii="Cambria Math" w:hAnsi="Cambria Math" w:cs="Times New Roman"/>
                <w:sz w:val="24"/>
                <w:szCs w:val="24"/>
              </w:rPr>
            </m:ctrlPr>
          </m:dPr>
          <m:e>
            <m:r>
              <w:rPr>
                <w:rFonts w:ascii="Cambria Math" w:hAnsi="Cambria Math" w:cs="Times New Roman"/>
                <w:sz w:val="24"/>
                <w:szCs w:val="24"/>
              </w:rPr>
              <m:t>β</m:t>
            </m:r>
            <m:r>
              <w:rPr>
                <w:rFonts w:ascii="Cambria Math" w:hAnsi="Cambria Math" w:cs="Times New Roman"/>
                <w:sz w:val="24"/>
                <w:szCs w:val="24"/>
              </w:rPr>
              <m:t>-</m:t>
            </m:r>
            <m:r>
              <w:rPr>
                <w:rFonts w:ascii="Cambria Math" w:hAnsi="Cambria Math" w:cs="Times New Roman"/>
                <w:sz w:val="24"/>
                <w:szCs w:val="24"/>
              </w:rPr>
              <m:t>T</m:t>
            </m:r>
          </m:e>
        </m:d>
      </m:oMath>
      <w:r w:rsidR="00125FD0" w:rsidRPr="00BE0AA8">
        <w:rPr>
          <w:rFonts w:ascii="Times New Roman" w:hAnsi="Times New Roman" w:cs="Times New Roman"/>
          <w:sz w:val="24"/>
          <w:szCs w:val="24"/>
        </w:rPr>
        <w:tab/>
      </w:r>
      <w:r w:rsidR="00125FD0" w:rsidRPr="00BE0AA8">
        <w:rPr>
          <w:rFonts w:ascii="Times New Roman" w:hAnsi="Times New Roman" w:cs="Times New Roman"/>
          <w:sz w:val="24"/>
          <w:szCs w:val="24"/>
        </w:rPr>
        <w:tab/>
        <w:t xml:space="preserve">      </w:t>
      </w:r>
      <w:r w:rsidR="00125FD0" w:rsidRPr="00BE0AA8">
        <w:rPr>
          <w:rFonts w:ascii="Times New Roman" w:eastAsia="Times New Roman" w:hAnsi="Times New Roman" w:cs="Times New Roman"/>
          <w:sz w:val="24"/>
          <w:szCs w:val="24"/>
        </w:rPr>
        <w:t>(</w:t>
      </w:r>
      <w:r w:rsidR="00976E87" w:rsidRPr="00BE0AA8">
        <w:rPr>
          <w:rFonts w:ascii="Times New Roman" w:eastAsia="Times New Roman" w:hAnsi="Times New Roman" w:cs="Times New Roman"/>
          <w:sz w:val="24"/>
          <w:szCs w:val="24"/>
        </w:rPr>
        <w:t>4</w:t>
      </w:r>
      <w:r w:rsidR="00125FD0" w:rsidRPr="00BE0AA8">
        <w:rPr>
          <w:rFonts w:ascii="Times New Roman" w:eastAsia="Times New Roman" w:hAnsi="Times New Roman" w:cs="Times New Roman"/>
          <w:sz w:val="24"/>
          <w:szCs w:val="24"/>
        </w:rPr>
        <w:t>)</w:t>
      </w:r>
    </w:p>
    <w:p w14:paraId="24D0538F" w14:textId="70AB17FB" w:rsidR="00125FD0" w:rsidRPr="00BE0AA8" w:rsidRDefault="00125FD0" w:rsidP="00A1062E">
      <w:pPr>
        <w:spacing w:after="0" w:line="276" w:lineRule="auto"/>
        <w:jc w:val="both"/>
        <w:rPr>
          <w:rFonts w:ascii="Times New Roman" w:eastAsia="Times New Roman" w:hAnsi="Times New Roman" w:cs="Times New Roman"/>
          <w:sz w:val="24"/>
          <w:szCs w:val="24"/>
        </w:rPr>
      </w:pPr>
      <w:r w:rsidRPr="00BE0AA8">
        <w:rPr>
          <w:rFonts w:ascii="Times New Roman" w:eastAsia="Times New Roman" w:hAnsi="Times New Roman" w:cs="Times New Roman"/>
          <w:sz w:val="24"/>
          <w:szCs w:val="24"/>
        </w:rPr>
        <w:t>where β is the</w:t>
      </w:r>
      <w:r w:rsidR="002E3563">
        <w:rPr>
          <w:rFonts w:ascii="Times New Roman" w:eastAsia="Times New Roman" w:hAnsi="Times New Roman" w:cs="Times New Roman"/>
          <w:sz w:val="24"/>
          <w:szCs w:val="24"/>
        </w:rPr>
        <w:t xml:space="preserve"> regional value of the total field,</w:t>
      </w:r>
      <w:r w:rsidRPr="00BE0AA8">
        <w:rPr>
          <w:rFonts w:ascii="Times New Roman" w:eastAsia="Times New Roman" w:hAnsi="Times New Roman" w:cs="Times New Roman"/>
          <w:sz w:val="24"/>
          <w:szCs w:val="24"/>
        </w:rPr>
        <w:t xml:space="preserve"> </w:t>
      </w:r>
      <w:r w:rsidR="002E3563">
        <w:rPr>
          <w:rFonts w:ascii="Times New Roman" w:eastAsia="Times New Roman" w:hAnsi="Times New Roman" w:cs="Times New Roman"/>
          <w:sz w:val="24"/>
          <w:szCs w:val="24"/>
        </w:rPr>
        <w:t>(</w:t>
      </w:r>
      <w:r w:rsidRPr="00BE0AA8">
        <w:rPr>
          <w:rFonts w:ascii="Times New Roman" w:eastAsia="Times New Roman" w:hAnsi="Times New Roman" w:cs="Times New Roman"/>
          <w:sz w:val="24"/>
          <w:szCs w:val="24"/>
        </w:rPr>
        <w:t>x</w:t>
      </w:r>
      <w:r w:rsidRPr="00BE0AA8">
        <w:rPr>
          <w:rFonts w:ascii="Times New Roman" w:eastAsia="Times New Roman" w:hAnsi="Times New Roman" w:cs="Times New Roman"/>
          <w:sz w:val="24"/>
          <w:szCs w:val="24"/>
          <w:vertAlign w:val="superscript"/>
        </w:rPr>
        <w:t>0</w:t>
      </w:r>
      <w:r w:rsidRPr="00BE0AA8">
        <w:rPr>
          <w:rFonts w:ascii="Times New Roman" w:eastAsia="Times New Roman" w:hAnsi="Times New Roman" w:cs="Times New Roman"/>
          <w:sz w:val="24"/>
          <w:szCs w:val="24"/>
        </w:rPr>
        <w:t>, y</w:t>
      </w:r>
      <w:r w:rsidRPr="00BE0AA8">
        <w:rPr>
          <w:rFonts w:ascii="Times New Roman" w:eastAsia="Times New Roman" w:hAnsi="Times New Roman" w:cs="Times New Roman"/>
          <w:sz w:val="24"/>
          <w:szCs w:val="24"/>
          <w:vertAlign w:val="superscript"/>
        </w:rPr>
        <w:t>0</w:t>
      </w:r>
      <w:r w:rsidRPr="00BE0AA8">
        <w:rPr>
          <w:rFonts w:ascii="Times New Roman" w:eastAsia="Times New Roman" w:hAnsi="Times New Roman" w:cs="Times New Roman"/>
          <w:sz w:val="24"/>
          <w:szCs w:val="24"/>
        </w:rPr>
        <w:t>, z</w:t>
      </w:r>
      <w:proofErr w:type="gramStart"/>
      <w:r w:rsidRPr="00BE0AA8">
        <w:rPr>
          <w:rFonts w:ascii="Times New Roman" w:eastAsia="Times New Roman" w:hAnsi="Times New Roman" w:cs="Times New Roman"/>
          <w:sz w:val="24"/>
          <w:szCs w:val="24"/>
          <w:vertAlign w:val="superscript"/>
        </w:rPr>
        <w:t xml:space="preserve">0 </w:t>
      </w:r>
      <w:r w:rsidR="002E3563">
        <w:rPr>
          <w:rFonts w:ascii="Times New Roman" w:eastAsia="Times New Roman" w:hAnsi="Times New Roman" w:cs="Times New Roman"/>
          <w:sz w:val="24"/>
          <w:szCs w:val="24"/>
        </w:rPr>
        <w:t>)</w:t>
      </w:r>
      <w:proofErr w:type="gramEnd"/>
      <w:r w:rsidR="002E3563">
        <w:rPr>
          <w:rFonts w:ascii="Times New Roman" w:eastAsia="Times New Roman" w:hAnsi="Times New Roman" w:cs="Times New Roman"/>
          <w:sz w:val="24"/>
          <w:szCs w:val="24"/>
        </w:rPr>
        <w:t xml:space="preserve"> is </w:t>
      </w:r>
      <w:r w:rsidRPr="00BE0AA8">
        <w:rPr>
          <w:rFonts w:ascii="Times New Roman" w:eastAsia="Times New Roman" w:hAnsi="Times New Roman" w:cs="Times New Roman"/>
          <w:sz w:val="24"/>
          <w:szCs w:val="24"/>
        </w:rPr>
        <w:t xml:space="preserve">the position of the </w:t>
      </w:r>
      <w:r w:rsidR="002E3563">
        <w:rPr>
          <w:rFonts w:ascii="Times New Roman" w:eastAsia="Times New Roman" w:hAnsi="Times New Roman" w:cs="Times New Roman"/>
          <w:sz w:val="24"/>
          <w:szCs w:val="24"/>
        </w:rPr>
        <w:t>source which produces the total field</w:t>
      </w:r>
      <w:r w:rsidRPr="00BE0AA8">
        <w:rPr>
          <w:rFonts w:ascii="Times New Roman" w:eastAsia="Times New Roman" w:hAnsi="Times New Roman" w:cs="Times New Roman"/>
          <w:sz w:val="24"/>
          <w:szCs w:val="24"/>
        </w:rPr>
        <w:t xml:space="preserve"> T</w:t>
      </w:r>
      <w:r w:rsidR="002E3563">
        <w:rPr>
          <w:rFonts w:ascii="Times New Roman" w:eastAsia="Times New Roman" w:hAnsi="Times New Roman" w:cs="Times New Roman"/>
          <w:sz w:val="24"/>
          <w:szCs w:val="24"/>
        </w:rPr>
        <w:t>, and</w:t>
      </w:r>
      <w:r w:rsidRPr="00BE0AA8">
        <w:rPr>
          <w:rFonts w:ascii="Times New Roman" w:eastAsia="Times New Roman" w:hAnsi="Times New Roman" w:cs="Times New Roman"/>
          <w:sz w:val="24"/>
          <w:szCs w:val="24"/>
        </w:rPr>
        <w:t xml:space="preserve"> η, defines the structural index. Identified structural geometry and depth is controlled by the structural index; η (Reid </w:t>
      </w:r>
      <w:r w:rsidRPr="00BE0AA8">
        <w:rPr>
          <w:rFonts w:ascii="Times New Roman" w:eastAsia="Times New Roman" w:hAnsi="Times New Roman" w:cs="Times New Roman"/>
          <w:i/>
          <w:iCs/>
          <w:sz w:val="24"/>
          <w:szCs w:val="24"/>
        </w:rPr>
        <w:t>et al</w:t>
      </w:r>
      <w:r w:rsidRPr="00BE0AA8">
        <w:rPr>
          <w:rFonts w:ascii="Times New Roman" w:eastAsia="Times New Roman" w:hAnsi="Times New Roman" w:cs="Times New Roman"/>
          <w:sz w:val="24"/>
          <w:szCs w:val="24"/>
        </w:rPr>
        <w:t>., 1990).</w:t>
      </w:r>
    </w:p>
    <w:p w14:paraId="762921CA" w14:textId="77777777" w:rsidR="00125FD0" w:rsidRPr="00BE0AA8" w:rsidRDefault="00125FD0" w:rsidP="00A1062E">
      <w:pPr>
        <w:spacing w:line="276" w:lineRule="auto"/>
        <w:jc w:val="both"/>
        <w:rPr>
          <w:rFonts w:ascii="Times New Roman" w:hAnsi="Times New Roman" w:cs="Times New Roman"/>
          <w:sz w:val="24"/>
          <w:szCs w:val="24"/>
        </w:rPr>
      </w:pPr>
    </w:p>
    <w:p w14:paraId="350C8A26" w14:textId="7C6C95E3" w:rsidR="00486D2A" w:rsidRPr="00BE0AA8" w:rsidRDefault="00022B20" w:rsidP="00A1062E">
      <w:pPr>
        <w:pStyle w:val="NormalWeb"/>
        <w:numPr>
          <w:ilvl w:val="0"/>
          <w:numId w:val="5"/>
        </w:numPr>
        <w:spacing w:line="276" w:lineRule="auto"/>
        <w:jc w:val="both"/>
        <w:rPr>
          <w:rStyle w:val="Strong"/>
        </w:rPr>
      </w:pPr>
      <w:r w:rsidRPr="00BE0AA8">
        <w:rPr>
          <w:rStyle w:val="Strong"/>
        </w:rPr>
        <w:t xml:space="preserve">Materials and </w:t>
      </w:r>
      <w:r w:rsidR="00B82630" w:rsidRPr="00BE0AA8">
        <w:rPr>
          <w:rStyle w:val="Strong"/>
        </w:rPr>
        <w:t>Method</w:t>
      </w:r>
      <w:r w:rsidRPr="00BE0AA8">
        <w:rPr>
          <w:rStyle w:val="Strong"/>
        </w:rPr>
        <w:t>s</w:t>
      </w:r>
      <w:r w:rsidR="00486D2A" w:rsidRPr="00BE0AA8">
        <w:rPr>
          <w:rStyle w:val="Strong"/>
        </w:rPr>
        <w:t xml:space="preserve"> </w:t>
      </w:r>
    </w:p>
    <w:p w14:paraId="72D5FF81" w14:textId="16F6C108" w:rsidR="00B82630" w:rsidRPr="00BE0AA8" w:rsidRDefault="00486D2A" w:rsidP="00A1062E">
      <w:pPr>
        <w:pStyle w:val="NormalWeb"/>
        <w:numPr>
          <w:ilvl w:val="1"/>
          <w:numId w:val="5"/>
        </w:numPr>
        <w:spacing w:line="276" w:lineRule="auto"/>
        <w:jc w:val="both"/>
        <w:rPr>
          <w:rStyle w:val="Strong"/>
          <w:b w:val="0"/>
          <w:bCs w:val="0"/>
        </w:rPr>
      </w:pPr>
      <w:r w:rsidRPr="00BE0AA8">
        <w:rPr>
          <w:rStyle w:val="Strong"/>
          <w:i/>
          <w:iCs/>
        </w:rPr>
        <w:t xml:space="preserve">Data </w:t>
      </w:r>
      <w:r w:rsidR="00022B20" w:rsidRPr="00BE0AA8">
        <w:rPr>
          <w:rStyle w:val="Strong"/>
          <w:i/>
          <w:iCs/>
        </w:rPr>
        <w:t>source and Acquisition</w:t>
      </w:r>
    </w:p>
    <w:p w14:paraId="5E34FA4B" w14:textId="786202B2" w:rsidR="003F0C68" w:rsidRPr="00BE0AA8" w:rsidRDefault="00C8011C" w:rsidP="00A1062E">
      <w:pPr>
        <w:spacing w:line="276" w:lineRule="auto"/>
        <w:jc w:val="both"/>
        <w:rPr>
          <w:rFonts w:ascii="Times New Roman" w:eastAsia="Times New Roman" w:hAnsi="Times New Roman" w:cs="Times New Roman"/>
          <w:sz w:val="24"/>
          <w:szCs w:val="24"/>
        </w:rPr>
      </w:pPr>
      <w:r w:rsidRPr="00BE0AA8">
        <w:rPr>
          <w:rFonts w:ascii="Times New Roman" w:hAnsi="Times New Roman" w:cs="Times New Roman"/>
          <w:sz w:val="24"/>
          <w:szCs w:val="24"/>
        </w:rPr>
        <w:t xml:space="preserve">Total Magnetic Intensity (TMI) data covering 24 sheets were obtained </w:t>
      </w:r>
      <w:r w:rsidR="00B82630" w:rsidRPr="00BE0AA8">
        <w:rPr>
          <w:rFonts w:ascii="Times New Roman" w:hAnsi="Times New Roman" w:cs="Times New Roman"/>
          <w:sz w:val="24"/>
          <w:szCs w:val="24"/>
        </w:rPr>
        <w:t xml:space="preserve">from the Nigerian Geological Survey Agency (NGSA) </w:t>
      </w:r>
      <w:r w:rsidR="003F0C68" w:rsidRPr="00BE0AA8">
        <w:rPr>
          <w:rFonts w:ascii="Times New Roman" w:hAnsi="Times New Roman" w:cs="Times New Roman"/>
          <w:sz w:val="24"/>
          <w:szCs w:val="24"/>
        </w:rPr>
        <w:t xml:space="preserve">and the sheets are </w:t>
      </w:r>
      <w:proofErr w:type="spellStart"/>
      <w:r w:rsidR="003F0C68" w:rsidRPr="00BE0AA8">
        <w:rPr>
          <w:rFonts w:ascii="Times New Roman" w:eastAsia="Times New Roman" w:hAnsi="Times New Roman" w:cs="Times New Roman"/>
          <w:sz w:val="24"/>
          <w:szCs w:val="24"/>
        </w:rPr>
        <w:t>Fashe</w:t>
      </w:r>
      <w:proofErr w:type="spellEnd"/>
      <w:r w:rsidR="003F0C68" w:rsidRPr="00BE0AA8">
        <w:rPr>
          <w:rFonts w:ascii="Times New Roman" w:eastAsia="Times New Roman" w:hAnsi="Times New Roman" w:cs="Times New Roman"/>
          <w:sz w:val="24"/>
          <w:szCs w:val="24"/>
        </w:rPr>
        <w:t xml:space="preserve"> (161), </w:t>
      </w:r>
      <w:proofErr w:type="spellStart"/>
      <w:r w:rsidR="003F0C68" w:rsidRPr="00BE0AA8">
        <w:rPr>
          <w:rFonts w:ascii="Times New Roman" w:eastAsia="Times New Roman" w:hAnsi="Times New Roman" w:cs="Times New Roman"/>
          <w:sz w:val="24"/>
          <w:szCs w:val="24"/>
        </w:rPr>
        <w:t>Akerre</w:t>
      </w:r>
      <w:proofErr w:type="spellEnd"/>
      <w:r w:rsidR="003F0C68" w:rsidRPr="00BE0AA8">
        <w:rPr>
          <w:rFonts w:ascii="Times New Roman" w:eastAsia="Times New Roman" w:hAnsi="Times New Roman" w:cs="Times New Roman"/>
          <w:sz w:val="24"/>
          <w:szCs w:val="24"/>
        </w:rPr>
        <w:t xml:space="preserve">(162), </w:t>
      </w:r>
      <w:proofErr w:type="spellStart"/>
      <w:r w:rsidR="003F0C68" w:rsidRPr="00BE0AA8">
        <w:rPr>
          <w:rFonts w:ascii="Times New Roman" w:eastAsia="Times New Roman" w:hAnsi="Times New Roman" w:cs="Times New Roman"/>
          <w:sz w:val="24"/>
          <w:szCs w:val="24"/>
        </w:rPr>
        <w:t>Zungeru</w:t>
      </w:r>
      <w:proofErr w:type="spellEnd"/>
      <w:r w:rsidR="003F0C68" w:rsidRPr="00BE0AA8">
        <w:rPr>
          <w:rFonts w:ascii="Times New Roman" w:eastAsia="Times New Roman" w:hAnsi="Times New Roman" w:cs="Times New Roman"/>
          <w:sz w:val="24"/>
          <w:szCs w:val="24"/>
        </w:rPr>
        <w:t xml:space="preserve"> (163), Minna (164), </w:t>
      </w:r>
      <w:proofErr w:type="spellStart"/>
      <w:r w:rsidR="003F0C68" w:rsidRPr="00BE0AA8">
        <w:rPr>
          <w:rFonts w:ascii="Times New Roman" w:eastAsia="Times New Roman" w:hAnsi="Times New Roman" w:cs="Times New Roman"/>
          <w:sz w:val="24"/>
          <w:szCs w:val="24"/>
        </w:rPr>
        <w:t>Bishini</w:t>
      </w:r>
      <w:proofErr w:type="spellEnd"/>
      <w:r w:rsidR="003F0C68" w:rsidRPr="00BE0AA8">
        <w:rPr>
          <w:rFonts w:ascii="Times New Roman" w:eastAsia="Times New Roman" w:hAnsi="Times New Roman" w:cs="Times New Roman"/>
          <w:sz w:val="24"/>
          <w:szCs w:val="24"/>
        </w:rPr>
        <w:t xml:space="preserve"> (165), </w:t>
      </w:r>
      <w:proofErr w:type="spellStart"/>
      <w:r w:rsidR="003F0C68" w:rsidRPr="00BE0AA8">
        <w:rPr>
          <w:rFonts w:ascii="Times New Roman" w:eastAsia="Times New Roman" w:hAnsi="Times New Roman" w:cs="Times New Roman"/>
          <w:sz w:val="24"/>
          <w:szCs w:val="24"/>
        </w:rPr>
        <w:t>Kachia</w:t>
      </w:r>
      <w:proofErr w:type="spellEnd"/>
      <w:r w:rsidR="003F0C68" w:rsidRPr="00BE0AA8">
        <w:rPr>
          <w:rFonts w:ascii="Times New Roman" w:eastAsia="Times New Roman" w:hAnsi="Times New Roman" w:cs="Times New Roman"/>
          <w:sz w:val="24"/>
          <w:szCs w:val="24"/>
        </w:rPr>
        <w:t xml:space="preserve"> (166), </w:t>
      </w:r>
      <w:proofErr w:type="spellStart"/>
      <w:r w:rsidR="003F0C68" w:rsidRPr="00BE0AA8">
        <w:rPr>
          <w:rFonts w:ascii="Times New Roman" w:eastAsia="Times New Roman" w:hAnsi="Times New Roman" w:cs="Times New Roman"/>
          <w:sz w:val="24"/>
          <w:szCs w:val="24"/>
        </w:rPr>
        <w:t>Kafanchan</w:t>
      </w:r>
      <w:proofErr w:type="spellEnd"/>
      <w:r w:rsidR="003F0C68" w:rsidRPr="00BE0AA8">
        <w:rPr>
          <w:rFonts w:ascii="Times New Roman" w:eastAsia="Times New Roman" w:hAnsi="Times New Roman" w:cs="Times New Roman"/>
          <w:sz w:val="24"/>
          <w:szCs w:val="24"/>
        </w:rPr>
        <w:t xml:space="preserve"> (167), </w:t>
      </w:r>
      <w:proofErr w:type="spellStart"/>
      <w:r w:rsidR="003F0C68" w:rsidRPr="00BE0AA8">
        <w:rPr>
          <w:rFonts w:ascii="Times New Roman" w:eastAsia="Times New Roman" w:hAnsi="Times New Roman" w:cs="Times New Roman"/>
          <w:sz w:val="24"/>
          <w:szCs w:val="24"/>
        </w:rPr>
        <w:t>Naragatu</w:t>
      </w:r>
      <w:proofErr w:type="spellEnd"/>
      <w:r w:rsidR="003F0C68" w:rsidRPr="00BE0AA8">
        <w:rPr>
          <w:rFonts w:ascii="Times New Roman" w:eastAsia="Times New Roman" w:hAnsi="Times New Roman" w:cs="Times New Roman"/>
          <w:sz w:val="24"/>
          <w:szCs w:val="24"/>
        </w:rPr>
        <w:t xml:space="preserve"> 168), Mokwa (182) , </w:t>
      </w:r>
      <w:proofErr w:type="spellStart"/>
      <w:r w:rsidR="003F0C68" w:rsidRPr="00BE0AA8">
        <w:rPr>
          <w:rFonts w:ascii="Times New Roman" w:eastAsia="Times New Roman" w:hAnsi="Times New Roman" w:cs="Times New Roman"/>
          <w:sz w:val="24"/>
          <w:szCs w:val="24"/>
        </w:rPr>
        <w:t>Egbako</w:t>
      </w:r>
      <w:proofErr w:type="spellEnd"/>
      <w:r w:rsidR="003F0C68" w:rsidRPr="00BE0AA8">
        <w:rPr>
          <w:rFonts w:ascii="Times New Roman" w:eastAsia="Times New Roman" w:hAnsi="Times New Roman" w:cs="Times New Roman"/>
          <w:sz w:val="24"/>
          <w:szCs w:val="24"/>
        </w:rPr>
        <w:t xml:space="preserve"> (183), </w:t>
      </w:r>
      <w:proofErr w:type="spellStart"/>
      <w:r w:rsidR="003F0C68" w:rsidRPr="00BE0AA8">
        <w:rPr>
          <w:rFonts w:ascii="Times New Roman" w:eastAsia="Times New Roman" w:hAnsi="Times New Roman" w:cs="Times New Roman"/>
          <w:sz w:val="24"/>
          <w:szCs w:val="24"/>
        </w:rPr>
        <w:t>Bida</w:t>
      </w:r>
      <w:proofErr w:type="spellEnd"/>
      <w:r w:rsidR="003F0C68" w:rsidRPr="00BE0AA8">
        <w:rPr>
          <w:rFonts w:ascii="Times New Roman" w:eastAsia="Times New Roman" w:hAnsi="Times New Roman" w:cs="Times New Roman"/>
          <w:sz w:val="24"/>
          <w:szCs w:val="24"/>
        </w:rPr>
        <w:t xml:space="preserve"> (184), </w:t>
      </w:r>
      <w:proofErr w:type="spellStart"/>
      <w:r w:rsidR="003F0C68" w:rsidRPr="00BE0AA8">
        <w:rPr>
          <w:rFonts w:ascii="Times New Roman" w:eastAsia="Times New Roman" w:hAnsi="Times New Roman" w:cs="Times New Roman"/>
          <w:sz w:val="24"/>
          <w:szCs w:val="24"/>
        </w:rPr>
        <w:t>Paiko</w:t>
      </w:r>
      <w:proofErr w:type="spellEnd"/>
      <w:r w:rsidR="003F0C68" w:rsidRPr="00BE0AA8">
        <w:rPr>
          <w:rFonts w:ascii="Times New Roman" w:eastAsia="Times New Roman" w:hAnsi="Times New Roman" w:cs="Times New Roman"/>
          <w:sz w:val="24"/>
          <w:szCs w:val="24"/>
        </w:rPr>
        <w:t xml:space="preserve"> (185), Abuja (186), </w:t>
      </w:r>
      <w:proofErr w:type="spellStart"/>
      <w:r w:rsidR="003F0C68" w:rsidRPr="00BE0AA8">
        <w:rPr>
          <w:rFonts w:ascii="Times New Roman" w:eastAsia="Times New Roman" w:hAnsi="Times New Roman" w:cs="Times New Roman"/>
          <w:sz w:val="24"/>
          <w:szCs w:val="24"/>
        </w:rPr>
        <w:t>Gitata</w:t>
      </w:r>
      <w:proofErr w:type="spellEnd"/>
      <w:r w:rsidR="003F0C68" w:rsidRPr="00BE0AA8">
        <w:rPr>
          <w:rFonts w:ascii="Times New Roman" w:eastAsia="Times New Roman" w:hAnsi="Times New Roman" w:cs="Times New Roman"/>
          <w:sz w:val="24"/>
          <w:szCs w:val="24"/>
        </w:rPr>
        <w:t xml:space="preserve"> (187), </w:t>
      </w:r>
      <w:proofErr w:type="spellStart"/>
      <w:r w:rsidR="003F0C68" w:rsidRPr="00BE0AA8">
        <w:rPr>
          <w:rFonts w:ascii="Times New Roman" w:eastAsia="Times New Roman" w:hAnsi="Times New Roman" w:cs="Times New Roman"/>
          <w:sz w:val="24"/>
          <w:szCs w:val="24"/>
        </w:rPr>
        <w:t>Jema’a</w:t>
      </w:r>
      <w:proofErr w:type="spellEnd"/>
      <w:r w:rsidR="003F0C68" w:rsidRPr="00BE0AA8">
        <w:rPr>
          <w:rFonts w:ascii="Times New Roman" w:eastAsia="Times New Roman" w:hAnsi="Times New Roman" w:cs="Times New Roman"/>
          <w:sz w:val="24"/>
          <w:szCs w:val="24"/>
        </w:rPr>
        <w:t xml:space="preserve"> (188), </w:t>
      </w:r>
      <w:proofErr w:type="spellStart"/>
      <w:r w:rsidR="003F0C68" w:rsidRPr="00BE0AA8">
        <w:rPr>
          <w:rFonts w:ascii="Times New Roman" w:eastAsia="Times New Roman" w:hAnsi="Times New Roman" w:cs="Times New Roman"/>
          <w:sz w:val="24"/>
          <w:szCs w:val="24"/>
        </w:rPr>
        <w:t>Kurra</w:t>
      </w:r>
      <w:proofErr w:type="spellEnd"/>
      <w:r w:rsidR="003F0C68" w:rsidRPr="00BE0AA8">
        <w:rPr>
          <w:rFonts w:ascii="Times New Roman" w:eastAsia="Times New Roman" w:hAnsi="Times New Roman" w:cs="Times New Roman"/>
          <w:sz w:val="24"/>
          <w:szCs w:val="24"/>
        </w:rPr>
        <w:t xml:space="preserve"> (189), </w:t>
      </w:r>
      <w:proofErr w:type="spellStart"/>
      <w:r w:rsidR="003F0C68" w:rsidRPr="00BE0AA8">
        <w:rPr>
          <w:rFonts w:ascii="Times New Roman" w:eastAsia="Times New Roman" w:hAnsi="Times New Roman" w:cs="Times New Roman"/>
          <w:sz w:val="24"/>
          <w:szCs w:val="24"/>
        </w:rPr>
        <w:t>Lafiagi</w:t>
      </w:r>
      <w:proofErr w:type="spellEnd"/>
      <w:r w:rsidR="003F0C68" w:rsidRPr="00BE0AA8">
        <w:rPr>
          <w:rFonts w:ascii="Times New Roman" w:eastAsia="Times New Roman" w:hAnsi="Times New Roman" w:cs="Times New Roman"/>
          <w:sz w:val="24"/>
          <w:szCs w:val="24"/>
        </w:rPr>
        <w:t xml:space="preserve"> (203), </w:t>
      </w:r>
      <w:proofErr w:type="spellStart"/>
      <w:r w:rsidR="003F0C68" w:rsidRPr="00BE0AA8">
        <w:rPr>
          <w:rFonts w:ascii="Times New Roman" w:eastAsia="Times New Roman" w:hAnsi="Times New Roman" w:cs="Times New Roman"/>
          <w:sz w:val="24"/>
          <w:szCs w:val="24"/>
        </w:rPr>
        <w:t>Pategi</w:t>
      </w:r>
      <w:proofErr w:type="spellEnd"/>
      <w:r w:rsidR="003F0C68" w:rsidRPr="00BE0AA8">
        <w:rPr>
          <w:rFonts w:ascii="Times New Roman" w:eastAsia="Times New Roman" w:hAnsi="Times New Roman" w:cs="Times New Roman"/>
          <w:sz w:val="24"/>
          <w:szCs w:val="24"/>
        </w:rPr>
        <w:t xml:space="preserve"> (204), Baro (205), </w:t>
      </w:r>
      <w:proofErr w:type="spellStart"/>
      <w:r w:rsidR="003F0C68" w:rsidRPr="00BE0AA8">
        <w:rPr>
          <w:rFonts w:ascii="Times New Roman" w:eastAsia="Times New Roman" w:hAnsi="Times New Roman" w:cs="Times New Roman"/>
          <w:sz w:val="24"/>
          <w:szCs w:val="24"/>
        </w:rPr>
        <w:t>Gulu</w:t>
      </w:r>
      <w:proofErr w:type="spellEnd"/>
      <w:r w:rsidR="003F0C68" w:rsidRPr="00BE0AA8">
        <w:rPr>
          <w:rFonts w:ascii="Times New Roman" w:eastAsia="Times New Roman" w:hAnsi="Times New Roman" w:cs="Times New Roman"/>
          <w:sz w:val="24"/>
          <w:szCs w:val="24"/>
        </w:rPr>
        <w:t xml:space="preserve"> (206), </w:t>
      </w:r>
      <w:proofErr w:type="spellStart"/>
      <w:r w:rsidR="003F0C68" w:rsidRPr="00BE0AA8">
        <w:rPr>
          <w:rFonts w:ascii="Times New Roman" w:eastAsia="Times New Roman" w:hAnsi="Times New Roman" w:cs="Times New Roman"/>
          <w:sz w:val="24"/>
          <w:szCs w:val="24"/>
        </w:rPr>
        <w:t>Kuje</w:t>
      </w:r>
      <w:proofErr w:type="spellEnd"/>
      <w:r w:rsidR="003F0C68" w:rsidRPr="00BE0AA8">
        <w:rPr>
          <w:rFonts w:ascii="Times New Roman" w:eastAsia="Times New Roman" w:hAnsi="Times New Roman" w:cs="Times New Roman"/>
          <w:sz w:val="24"/>
          <w:szCs w:val="24"/>
        </w:rPr>
        <w:t xml:space="preserve"> (207), Keffi (208), </w:t>
      </w:r>
      <w:proofErr w:type="spellStart"/>
      <w:r w:rsidR="003F0C68" w:rsidRPr="00BE0AA8">
        <w:rPr>
          <w:rFonts w:ascii="Times New Roman" w:eastAsia="Times New Roman" w:hAnsi="Times New Roman" w:cs="Times New Roman"/>
          <w:sz w:val="24"/>
          <w:szCs w:val="24"/>
        </w:rPr>
        <w:t>Akwanga</w:t>
      </w:r>
      <w:proofErr w:type="spellEnd"/>
      <w:r w:rsidR="003F0C68" w:rsidRPr="00BE0AA8">
        <w:rPr>
          <w:rFonts w:ascii="Times New Roman" w:eastAsia="Times New Roman" w:hAnsi="Times New Roman" w:cs="Times New Roman"/>
          <w:sz w:val="24"/>
          <w:szCs w:val="24"/>
        </w:rPr>
        <w:t xml:space="preserve"> (209), and </w:t>
      </w:r>
      <w:proofErr w:type="spellStart"/>
      <w:r w:rsidR="003F0C68" w:rsidRPr="00BE0AA8">
        <w:rPr>
          <w:rFonts w:ascii="Times New Roman" w:eastAsia="Times New Roman" w:hAnsi="Times New Roman" w:cs="Times New Roman"/>
          <w:sz w:val="24"/>
          <w:szCs w:val="24"/>
        </w:rPr>
        <w:t>Wamba</w:t>
      </w:r>
      <w:proofErr w:type="spellEnd"/>
      <w:r w:rsidR="003F0C68" w:rsidRPr="00BE0AA8">
        <w:rPr>
          <w:rFonts w:ascii="Times New Roman" w:eastAsia="Times New Roman" w:hAnsi="Times New Roman" w:cs="Times New Roman"/>
          <w:sz w:val="24"/>
          <w:szCs w:val="24"/>
        </w:rPr>
        <w:t xml:space="preserve"> (210)</w:t>
      </w:r>
      <w:r w:rsidR="003F0C68" w:rsidRPr="00BE0AA8">
        <w:rPr>
          <w:rFonts w:ascii="Times New Roman" w:hAnsi="Times New Roman" w:cs="Times New Roman"/>
          <w:sz w:val="24"/>
          <w:szCs w:val="24"/>
        </w:rPr>
        <w:t xml:space="preserve">. </w:t>
      </w:r>
      <w:r w:rsidR="003F0C68" w:rsidRPr="00BE0AA8">
        <w:rPr>
          <w:rFonts w:ascii="Times New Roman" w:eastAsia="Times New Roman" w:hAnsi="Times New Roman" w:cs="Times New Roman"/>
          <w:sz w:val="24"/>
          <w:szCs w:val="24"/>
        </w:rPr>
        <w:t>The data were captured for NGSA by Fugro Airborne surveys between 2007 and 2009 as part of the nationwide airborne geophysical surveys and were acquired along a series of NE-SW profiles with a flight line spacing of 500 and terrain clearance of 80 m.</w:t>
      </w:r>
    </w:p>
    <w:p w14:paraId="0BF02281" w14:textId="0D8F078D" w:rsidR="00B82630" w:rsidRPr="00BE0AA8" w:rsidRDefault="003F0C68" w:rsidP="00A1062E">
      <w:pPr>
        <w:pStyle w:val="NormalWeb"/>
        <w:spacing w:line="276" w:lineRule="auto"/>
        <w:jc w:val="both"/>
      </w:pPr>
      <w:r w:rsidRPr="00BE0AA8">
        <w:t>T</w:t>
      </w:r>
      <w:r w:rsidR="00C8011C" w:rsidRPr="00BE0AA8">
        <w:t>he</w:t>
      </w:r>
      <w:r w:rsidRPr="00BE0AA8">
        <w:t xml:space="preserve"> </w:t>
      </w:r>
      <w:r w:rsidR="00022B20" w:rsidRPr="00BE0AA8">
        <w:t xml:space="preserve">Bouguer gravity anomaly </w:t>
      </w:r>
      <w:r w:rsidRPr="00BE0AA8">
        <w:t xml:space="preserve">was obtained from the </w:t>
      </w:r>
      <w:r w:rsidR="00C8011C" w:rsidRPr="00BE0AA8">
        <w:t xml:space="preserve">Bureau Gravimetric International (BGI) </w:t>
      </w:r>
      <w:r w:rsidRPr="00BE0AA8">
        <w:t xml:space="preserve">World Gravity Map </w:t>
      </w:r>
      <w:r w:rsidR="00B82630" w:rsidRPr="00BE0AA8">
        <w:t>archives.</w:t>
      </w:r>
      <w:r w:rsidR="00C8011C" w:rsidRPr="00BE0AA8">
        <w:t xml:space="preserve"> </w:t>
      </w:r>
      <w:r w:rsidR="00B82630" w:rsidRPr="00BE0AA8">
        <w:rPr>
          <w:rStyle w:val="Strong"/>
          <w:b w:val="0"/>
          <w:bCs w:val="0"/>
        </w:rPr>
        <w:t>Ancillary</w:t>
      </w:r>
      <w:r w:rsidR="00B82630" w:rsidRPr="00BE0AA8">
        <w:rPr>
          <w:rStyle w:val="Strong"/>
        </w:rPr>
        <w:t xml:space="preserve"> </w:t>
      </w:r>
      <w:r w:rsidR="00C8011C" w:rsidRPr="00BE0AA8">
        <w:rPr>
          <w:rStyle w:val="Strong"/>
          <w:b w:val="0"/>
          <w:bCs w:val="0"/>
        </w:rPr>
        <w:t>d</w:t>
      </w:r>
      <w:r w:rsidR="00B82630" w:rsidRPr="00BE0AA8">
        <w:rPr>
          <w:rStyle w:val="Strong"/>
          <w:b w:val="0"/>
          <w:bCs w:val="0"/>
        </w:rPr>
        <w:t>ata</w:t>
      </w:r>
      <w:r w:rsidR="00C8011C" w:rsidRPr="00BE0AA8">
        <w:rPr>
          <w:rStyle w:val="Strong"/>
          <w:b w:val="0"/>
          <w:bCs w:val="0"/>
        </w:rPr>
        <w:t xml:space="preserve"> including</w:t>
      </w:r>
      <w:r w:rsidR="00B82630" w:rsidRPr="00BE0AA8">
        <w:t xml:space="preserve"> </w:t>
      </w:r>
      <w:r w:rsidR="00C8011C" w:rsidRPr="00BE0AA8">
        <w:t>g</w:t>
      </w:r>
      <w:r w:rsidR="00B82630" w:rsidRPr="00BE0AA8">
        <w:t>eological map</w:t>
      </w:r>
      <w:r w:rsidR="00C8011C" w:rsidRPr="00BE0AA8">
        <w:t xml:space="preserve"> and </w:t>
      </w:r>
      <w:r w:rsidR="00B82630" w:rsidRPr="00BE0AA8">
        <w:t>mineral occurrence points</w:t>
      </w:r>
      <w:r w:rsidR="00C8011C" w:rsidRPr="00BE0AA8">
        <w:t xml:space="preserve"> were extracted from the USGS earth explorer website and Nigeria Mineral resources </w:t>
      </w:r>
      <w:r w:rsidRPr="00BE0AA8">
        <w:t xml:space="preserve">and Metallogenic </w:t>
      </w:r>
      <w:r w:rsidR="00C8011C" w:rsidRPr="00BE0AA8">
        <w:t>map</w:t>
      </w:r>
      <w:r w:rsidR="003C4889" w:rsidRPr="00BE0AA8">
        <w:t xml:space="preserve"> (available on the NGSA website) respectively</w:t>
      </w:r>
    </w:p>
    <w:p w14:paraId="642104E9" w14:textId="77777777" w:rsidR="003F0C68" w:rsidRPr="00BE0AA8" w:rsidRDefault="003F0C68" w:rsidP="00A1062E">
      <w:pPr>
        <w:pStyle w:val="Heading4"/>
        <w:spacing w:line="276" w:lineRule="auto"/>
        <w:jc w:val="both"/>
        <w:rPr>
          <w:rStyle w:val="Strong"/>
          <w:rFonts w:ascii="Times New Roman" w:hAnsi="Times New Roman" w:cs="Times New Roman"/>
          <w:color w:val="auto"/>
          <w:sz w:val="24"/>
          <w:szCs w:val="24"/>
        </w:rPr>
      </w:pPr>
    </w:p>
    <w:p w14:paraId="640656C8" w14:textId="0D9BD32C" w:rsidR="00BE0AA8" w:rsidRPr="00BE0AA8" w:rsidRDefault="00BE0AA8" w:rsidP="00A1062E">
      <w:pPr>
        <w:pStyle w:val="Heading4"/>
        <w:spacing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4.2 Data Processing and Analysis</w:t>
      </w:r>
    </w:p>
    <w:p w14:paraId="623C100B" w14:textId="3126CAD9" w:rsidR="00BE0AA8" w:rsidRPr="00BE0AA8" w:rsidRDefault="00BE0AA8" w:rsidP="00A1062E">
      <w:pPr>
        <w:pStyle w:val="NormalWeb"/>
        <w:spacing w:line="276" w:lineRule="auto"/>
        <w:jc w:val="both"/>
      </w:pPr>
      <w:r w:rsidRPr="00BE0AA8">
        <w:rPr>
          <w:rStyle w:val="Strong"/>
          <w:b w:val="0"/>
          <w:bCs w:val="0"/>
        </w:rPr>
        <w:t>Using the</w:t>
      </w:r>
      <w:r w:rsidR="008438C5">
        <w:rPr>
          <w:rStyle w:val="Strong"/>
          <w:b w:val="0"/>
          <w:bCs w:val="0"/>
        </w:rPr>
        <w:t xml:space="preserve"> 2010</w:t>
      </w:r>
      <w:r w:rsidRPr="00BE0AA8">
        <w:rPr>
          <w:rStyle w:val="Strong"/>
          <w:b w:val="0"/>
          <w:bCs w:val="0"/>
        </w:rPr>
        <w:t xml:space="preserve"> International Geomagnetic Reference Field, irregularities caused by regional features were removed from the magnetic data. RTE </w:t>
      </w:r>
      <w:r w:rsidR="00E32C10" w:rsidRPr="00BE0AA8">
        <w:rPr>
          <w:rStyle w:val="Strong"/>
          <w:b w:val="0"/>
          <w:bCs w:val="0"/>
        </w:rPr>
        <w:t>trailed</w:t>
      </w:r>
      <w:r w:rsidRPr="00BE0AA8">
        <w:rPr>
          <w:rStyle w:val="Strong"/>
          <w:b w:val="0"/>
          <w:bCs w:val="0"/>
        </w:rPr>
        <w:t xml:space="preserve"> to </w:t>
      </w:r>
      <w:r w:rsidRPr="00BE0AA8">
        <w:t>mathematically transform</w:t>
      </w:r>
      <w:r w:rsidR="00E32C10">
        <w:t xml:space="preserve"> </w:t>
      </w:r>
      <w:r w:rsidRPr="00BE0AA8">
        <w:t xml:space="preserve">the magnetic data to simulate how it would appear if measured at the magnetic equator. Hence, positioning the magnetic anomalies above their source bodies. </w:t>
      </w:r>
      <w:r w:rsidRPr="00BE0AA8">
        <w:rPr>
          <w:rStyle w:val="Strong"/>
          <w:b w:val="0"/>
          <w:bCs w:val="0"/>
        </w:rPr>
        <w:t xml:space="preserve"> The RTE map was then </w:t>
      </w:r>
      <w:r w:rsidRPr="00BE0AA8">
        <w:rPr>
          <w:rStyle w:val="Strong"/>
          <w:b w:val="0"/>
          <w:bCs w:val="0"/>
        </w:rPr>
        <w:lastRenderedPageBreak/>
        <w:t xml:space="preserve">subjected to further filtering FVD, AS, TD to improve data interpretation. The FVD was carried out on the RTE map to </w:t>
      </w:r>
      <w:r w:rsidRPr="00BE0AA8">
        <w:t xml:space="preserve">identify subtle variations in the subsurface, such as lineaments as it </w:t>
      </w:r>
      <w:r w:rsidR="008438C5" w:rsidRPr="00BE0AA8">
        <w:t>enhances</w:t>
      </w:r>
      <w:r w:rsidRPr="00BE0AA8">
        <w:t xml:space="preserve"> near-surface anomalies, </w:t>
      </w:r>
      <w:r w:rsidRPr="00BE0AA8">
        <w:rPr>
          <w:rStyle w:val="Strong"/>
          <w:b w:val="0"/>
          <w:bCs w:val="0"/>
        </w:rPr>
        <w:t>The AS</w:t>
      </w:r>
      <w:r w:rsidRPr="00BE0AA8">
        <w:rPr>
          <w:b/>
          <w:bCs/>
        </w:rPr>
        <w:t xml:space="preserve"> </w:t>
      </w:r>
      <w:r w:rsidRPr="00BE0AA8">
        <w:t>was computed from the RTE data to highlights changes in the data’s amplitude, and to detect edges of magnetic sources. Euler deconvolution map of structural index of 1 (SI=1) was obtained to reveal the locations and depths of magnetic sources within the study region</w:t>
      </w:r>
    </w:p>
    <w:p w14:paraId="35406A96" w14:textId="23C508ED" w:rsidR="00BE0AA8" w:rsidRPr="00BE0AA8" w:rsidRDefault="00BE0AA8" w:rsidP="00A1062E">
      <w:pPr>
        <w:pStyle w:val="NormalWeb"/>
        <w:spacing w:line="276" w:lineRule="auto"/>
        <w:jc w:val="both"/>
      </w:pPr>
      <w:r w:rsidRPr="00BE0AA8">
        <w:t xml:space="preserve">The gravity Bouguer map for the area was processed as in the case of aeromagnetic data interpretation. Regional-residual separation was carried out to isolate the regional component of the gravity field from the local anomalies, derivative (vertical, and tilt) was computed.  </w:t>
      </w:r>
      <w:r w:rsidRPr="00BE0AA8">
        <w:rPr>
          <w:rStyle w:val="Strong"/>
          <w:b w:val="0"/>
          <w:bCs w:val="0"/>
        </w:rPr>
        <w:t>The gravity derivatives</w:t>
      </w:r>
      <w:r w:rsidRPr="00BE0AA8">
        <w:rPr>
          <w:b/>
          <w:bCs/>
        </w:rPr>
        <w:t xml:space="preserve"> </w:t>
      </w:r>
      <w:r w:rsidR="008438C5" w:rsidRPr="00BE0AA8">
        <w:t>were</w:t>
      </w:r>
      <w:r w:rsidRPr="00BE0AA8">
        <w:rPr>
          <w:b/>
          <w:bCs/>
        </w:rPr>
        <w:t xml:space="preserve"> c</w:t>
      </w:r>
      <w:r w:rsidRPr="00BE0AA8">
        <w:t xml:space="preserve">omputed from the </w:t>
      </w:r>
      <w:r w:rsidRPr="00BE0AA8">
        <w:rPr>
          <w:rStyle w:val="Strong"/>
          <w:b w:val="0"/>
          <w:bCs w:val="0"/>
        </w:rPr>
        <w:t>TD</w:t>
      </w:r>
      <w:r w:rsidRPr="00BE0AA8">
        <w:t xml:space="preserve"> which enhance subtle structures and </w:t>
      </w:r>
      <w:r w:rsidRPr="00BE0AA8">
        <w:rPr>
          <w:rStyle w:val="Strong"/>
          <w:b w:val="0"/>
          <w:bCs w:val="0"/>
        </w:rPr>
        <w:t>FVD</w:t>
      </w:r>
      <w:r w:rsidRPr="00BE0AA8">
        <w:t xml:space="preserve"> which sharpens shallow density features. As in the case of the magnetic analysis, the Euler deconvolution map of structural index of 1 (SI=1) was computed for the gravity data to obtain depths to source bodies.</w:t>
      </w:r>
    </w:p>
    <w:p w14:paraId="0345C840" w14:textId="77777777" w:rsidR="00BE0AA8" w:rsidRPr="00BE0AA8" w:rsidRDefault="00BE0AA8" w:rsidP="00A1062E">
      <w:pPr>
        <w:pStyle w:val="NormalWeb"/>
        <w:spacing w:line="276" w:lineRule="auto"/>
        <w:jc w:val="both"/>
      </w:pPr>
      <w:r w:rsidRPr="00BE0AA8">
        <w:t xml:space="preserve">All datasets (FVD, TD, AS, and Euler deconvolution) were georeferenced to UTM Zone 32N, WGS84 datum, and resampled to a 30 m spatial resolution using bilinear interpolation. Structural features from each derivative map were extracted and digitized. </w:t>
      </w:r>
      <w:r w:rsidRPr="00BE0AA8">
        <w:rPr>
          <w:rStyle w:val="Strong"/>
          <w:b w:val="0"/>
          <w:bCs w:val="0"/>
        </w:rPr>
        <w:t>Structural orientation analysis</w:t>
      </w:r>
      <w:r w:rsidRPr="00BE0AA8">
        <w:t xml:space="preserve"> was finally carried out to compare interpreted structures with known gold occurrences.</w:t>
      </w:r>
    </w:p>
    <w:p w14:paraId="1EBD33F9" w14:textId="7808CC04" w:rsidR="00B82630" w:rsidRPr="00BE0AA8" w:rsidRDefault="00BE0AA8" w:rsidP="00825329">
      <w:pPr>
        <w:pStyle w:val="Heading3"/>
        <w:jc w:val="both"/>
        <w:rPr>
          <w:b w:val="0"/>
          <w:bCs w:val="0"/>
          <w:sz w:val="24"/>
          <w:szCs w:val="24"/>
        </w:rPr>
      </w:pPr>
      <w:r w:rsidRPr="00BE0AA8">
        <w:rPr>
          <w:rStyle w:val="Strong"/>
          <w:b/>
          <w:bCs/>
          <w:sz w:val="24"/>
          <w:szCs w:val="24"/>
        </w:rPr>
        <w:t>5</w:t>
      </w:r>
      <w:r w:rsidR="00B82630" w:rsidRPr="00BE0AA8">
        <w:rPr>
          <w:rStyle w:val="Strong"/>
          <w:b/>
          <w:bCs/>
          <w:sz w:val="24"/>
          <w:szCs w:val="24"/>
        </w:rPr>
        <w:t>. Results</w:t>
      </w:r>
    </w:p>
    <w:p w14:paraId="5B7F9B57" w14:textId="7C46EBD3" w:rsidR="00B82630" w:rsidRPr="00BE0AA8" w:rsidRDefault="00BE0AA8" w:rsidP="00825329">
      <w:pPr>
        <w:pStyle w:val="Heading4"/>
        <w:spacing w:line="240"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w:t>
      </w:r>
      <w:r w:rsidR="00B82630" w:rsidRPr="00BE0AA8">
        <w:rPr>
          <w:rStyle w:val="Strong"/>
          <w:rFonts w:ascii="Times New Roman" w:hAnsi="Times New Roman" w:cs="Times New Roman"/>
          <w:color w:val="auto"/>
          <w:sz w:val="24"/>
          <w:szCs w:val="24"/>
        </w:rPr>
        <w:t>.1 Gravity Data Interpretation</w:t>
      </w:r>
    </w:p>
    <w:p w14:paraId="10592D63" w14:textId="360F3732" w:rsidR="001A2705" w:rsidRPr="00BE0AA8" w:rsidRDefault="00B82630" w:rsidP="00825329">
      <w:pPr>
        <w:pStyle w:val="NormalWeb"/>
        <w:spacing w:line="276" w:lineRule="auto"/>
        <w:jc w:val="both"/>
      </w:pPr>
      <w:r w:rsidRPr="00BE0AA8">
        <w:t xml:space="preserve">The Bouguer </w:t>
      </w:r>
      <w:r w:rsidR="00C136AB" w:rsidRPr="00BE0AA8">
        <w:t>residual</w:t>
      </w:r>
      <w:r w:rsidRPr="00BE0AA8">
        <w:t xml:space="preserve"> anomaly map (Figure </w:t>
      </w:r>
      <w:r w:rsidR="00D37012">
        <w:t>2</w:t>
      </w:r>
      <w:r w:rsidRPr="00BE0AA8">
        <w:t xml:space="preserve">) </w:t>
      </w:r>
      <w:r w:rsidR="00EE4F1E" w:rsidRPr="00BE0AA8">
        <w:t xml:space="preserve">showcases </w:t>
      </w:r>
      <w:r w:rsidRPr="00BE0AA8">
        <w:t xml:space="preserve">values ranging from </w:t>
      </w:r>
      <w:r w:rsidR="00C136AB" w:rsidRPr="00BE0AA8">
        <w:rPr>
          <w:rStyle w:val="Strong"/>
          <w:b w:val="0"/>
          <w:bCs w:val="0"/>
        </w:rPr>
        <w:t>-29.4705</w:t>
      </w:r>
      <w:r w:rsidR="00EE4F1E" w:rsidRPr="00BE0AA8">
        <w:rPr>
          <w:rStyle w:val="Strong"/>
          <w:b w:val="0"/>
          <w:bCs w:val="0"/>
        </w:rPr>
        <w:t xml:space="preserve"> </w:t>
      </w:r>
      <w:proofErr w:type="spellStart"/>
      <w:r w:rsidR="00EE4F1E" w:rsidRPr="00BE0AA8">
        <w:rPr>
          <w:rStyle w:val="Strong"/>
          <w:b w:val="0"/>
          <w:bCs w:val="0"/>
        </w:rPr>
        <w:t>mGal</w:t>
      </w:r>
      <w:proofErr w:type="spellEnd"/>
      <w:r w:rsidRPr="00BE0AA8">
        <w:t xml:space="preserve"> in the low-density zones to </w:t>
      </w:r>
      <w:r w:rsidR="00C136AB" w:rsidRPr="00BE0AA8">
        <w:t>50.7770</w:t>
      </w:r>
      <w:r w:rsidR="00EE4F1E" w:rsidRPr="00BE0AA8">
        <w:t xml:space="preserve"> </w:t>
      </w:r>
      <w:proofErr w:type="spellStart"/>
      <w:r w:rsidRPr="00BE0AA8">
        <w:rPr>
          <w:rStyle w:val="Strong"/>
          <w:b w:val="0"/>
          <w:bCs w:val="0"/>
        </w:rPr>
        <w:t>mGal</w:t>
      </w:r>
      <w:proofErr w:type="spellEnd"/>
      <w:r w:rsidRPr="00BE0AA8">
        <w:t xml:space="preserve"> over high-density basement outcrops. The highest anomalies correspond to the migmatite–gneiss complex and Pan-African granitoids, particularly around </w:t>
      </w:r>
      <w:proofErr w:type="spellStart"/>
      <w:r w:rsidR="00EE4F1E" w:rsidRPr="00BE0AA8">
        <w:t>Wushishi</w:t>
      </w:r>
      <w:proofErr w:type="spellEnd"/>
      <w:r w:rsidR="00EE4F1E" w:rsidRPr="00BE0AA8">
        <w:t>-</w:t>
      </w:r>
      <w:r w:rsidRPr="00BE0AA8">
        <w:rPr>
          <w:rStyle w:val="Strong"/>
          <w:b w:val="0"/>
          <w:bCs w:val="0"/>
        </w:rPr>
        <w:t>Minna</w:t>
      </w:r>
      <w:r w:rsidR="00EE4F1E" w:rsidRPr="00BE0AA8">
        <w:rPr>
          <w:rStyle w:val="Strong"/>
          <w:b w:val="0"/>
          <w:bCs w:val="0"/>
        </w:rPr>
        <w:t>-</w:t>
      </w:r>
      <w:r w:rsidRPr="00BE0AA8">
        <w:rPr>
          <w:rStyle w:val="Strong"/>
          <w:b w:val="0"/>
          <w:bCs w:val="0"/>
        </w:rPr>
        <w:t xml:space="preserve"> </w:t>
      </w:r>
      <w:proofErr w:type="spellStart"/>
      <w:r w:rsidR="00EE4F1E" w:rsidRPr="00BE0AA8">
        <w:rPr>
          <w:rStyle w:val="Strong"/>
          <w:b w:val="0"/>
          <w:bCs w:val="0"/>
        </w:rPr>
        <w:t>Paikoro</w:t>
      </w:r>
      <w:proofErr w:type="spellEnd"/>
      <w:r w:rsidR="00EE4F1E" w:rsidRPr="00BE0AA8">
        <w:rPr>
          <w:rStyle w:val="Strong"/>
          <w:b w:val="0"/>
          <w:bCs w:val="0"/>
        </w:rPr>
        <w:t xml:space="preserve"> corridor</w:t>
      </w:r>
      <w:r w:rsidRPr="00BE0AA8">
        <w:t xml:space="preserve">, while the lowest anomalies occur along fault-bounded troughs </w:t>
      </w:r>
      <w:r w:rsidR="00FC521C" w:rsidRPr="00BE0AA8">
        <w:t xml:space="preserve">around </w:t>
      </w:r>
      <w:proofErr w:type="spellStart"/>
      <w:r w:rsidR="00FC521C" w:rsidRPr="00BE0AA8">
        <w:rPr>
          <w:rStyle w:val="Strong"/>
          <w:b w:val="0"/>
          <w:bCs w:val="0"/>
        </w:rPr>
        <w:t>Kaur</w:t>
      </w:r>
      <w:r w:rsidR="00C136AB" w:rsidRPr="00BE0AA8">
        <w:rPr>
          <w:rStyle w:val="Strong"/>
          <w:b w:val="0"/>
          <w:bCs w:val="0"/>
        </w:rPr>
        <w:t>u</w:t>
      </w:r>
      <w:proofErr w:type="spellEnd"/>
      <w:r w:rsidR="00C136AB" w:rsidRPr="00BE0AA8">
        <w:rPr>
          <w:rStyle w:val="Strong"/>
          <w:b w:val="0"/>
          <w:bCs w:val="0"/>
        </w:rPr>
        <w:t xml:space="preserve">, </w:t>
      </w:r>
      <w:proofErr w:type="spellStart"/>
      <w:r w:rsidR="00C136AB" w:rsidRPr="00BE0AA8">
        <w:rPr>
          <w:rStyle w:val="Strong"/>
          <w:b w:val="0"/>
          <w:bCs w:val="0"/>
        </w:rPr>
        <w:t>Tafan</w:t>
      </w:r>
      <w:proofErr w:type="spellEnd"/>
      <w:r w:rsidR="00C136AB" w:rsidRPr="00BE0AA8">
        <w:rPr>
          <w:rStyle w:val="Strong"/>
          <w:b w:val="0"/>
          <w:bCs w:val="0"/>
        </w:rPr>
        <w:t xml:space="preserve"> </w:t>
      </w:r>
      <w:proofErr w:type="spellStart"/>
      <w:r w:rsidR="00FC521C" w:rsidRPr="00BE0AA8">
        <w:rPr>
          <w:rStyle w:val="Strong"/>
          <w:b w:val="0"/>
          <w:bCs w:val="0"/>
        </w:rPr>
        <w:t>Jema’a</w:t>
      </w:r>
      <w:proofErr w:type="spellEnd"/>
      <w:r w:rsidR="00C136AB" w:rsidRPr="00BE0AA8">
        <w:rPr>
          <w:rStyle w:val="Strong"/>
          <w:b w:val="0"/>
          <w:bCs w:val="0"/>
        </w:rPr>
        <w:t xml:space="preserve"> and </w:t>
      </w:r>
      <w:proofErr w:type="spellStart"/>
      <w:r w:rsidR="00C136AB" w:rsidRPr="00BE0AA8">
        <w:rPr>
          <w:rStyle w:val="Strong"/>
          <w:b w:val="0"/>
          <w:bCs w:val="0"/>
        </w:rPr>
        <w:t>Tagagi</w:t>
      </w:r>
      <w:proofErr w:type="spellEnd"/>
      <w:r w:rsidR="00C136AB" w:rsidRPr="00BE0AA8">
        <w:rPr>
          <w:rStyle w:val="Strong"/>
          <w:b w:val="0"/>
          <w:bCs w:val="0"/>
        </w:rPr>
        <w:t xml:space="preserve"> </w:t>
      </w:r>
      <w:r w:rsidR="00FC521C" w:rsidRPr="00BE0AA8">
        <w:rPr>
          <w:rStyle w:val="Strong"/>
          <w:b w:val="0"/>
          <w:bCs w:val="0"/>
        </w:rPr>
        <w:t>regions</w:t>
      </w:r>
      <w:r w:rsidRPr="00BE0AA8">
        <w:t>, interpreted as zones of deep</w:t>
      </w:r>
      <w:r w:rsidR="001A2705" w:rsidRPr="00BE0AA8">
        <w:t xml:space="preserve"> </w:t>
      </w:r>
      <w:r w:rsidRPr="00BE0AA8">
        <w:t>weathering and alteration.</w:t>
      </w:r>
    </w:p>
    <w:p w14:paraId="0C466357" w14:textId="2BFA2B74" w:rsidR="006F69B3" w:rsidRPr="00BE0AA8" w:rsidRDefault="00FC521C" w:rsidP="00A1062E">
      <w:pPr>
        <w:pStyle w:val="NormalWeb"/>
        <w:spacing w:line="276" w:lineRule="auto"/>
        <w:jc w:val="both"/>
      </w:pPr>
      <w:r w:rsidRPr="00BE0AA8">
        <w:t xml:space="preserve">The gravity FVD map (Figure </w:t>
      </w:r>
      <w:r w:rsidR="00D37012">
        <w:t>3</w:t>
      </w:r>
      <w:r w:rsidRPr="00BE0AA8">
        <w:t>)</w:t>
      </w:r>
      <w:r w:rsidR="00C136AB" w:rsidRPr="00BE0AA8">
        <w:t xml:space="preserve"> </w:t>
      </w:r>
      <w:r w:rsidR="00C136AB" w:rsidRPr="00BE0AA8">
        <w:rPr>
          <w:bCs/>
        </w:rPr>
        <w:t xml:space="preserve">highlights variations in density contrast within the upper crust revealing subsurface structural features </w:t>
      </w:r>
      <w:r w:rsidR="008D121F" w:rsidRPr="00BE0AA8">
        <w:rPr>
          <w:bCs/>
        </w:rPr>
        <w:t xml:space="preserve">affirming the high density (about 300 </w:t>
      </w:r>
      <w:proofErr w:type="spellStart"/>
      <w:r w:rsidR="008D121F" w:rsidRPr="00BE0AA8">
        <w:rPr>
          <w:bCs/>
        </w:rPr>
        <w:t>mGal</w:t>
      </w:r>
      <w:proofErr w:type="spellEnd"/>
      <w:r w:rsidR="008D121F" w:rsidRPr="00BE0AA8">
        <w:rPr>
          <w:bCs/>
        </w:rPr>
        <w:t>/m) observed around the Minna area.</w:t>
      </w:r>
      <w:r w:rsidR="006F69B3" w:rsidRPr="00BE0AA8">
        <w:rPr>
          <w:bCs/>
        </w:rPr>
        <w:t xml:space="preserve"> </w:t>
      </w:r>
      <w:r w:rsidR="006F69B3" w:rsidRPr="00BE0AA8">
        <w:t>The high positive values shown in pink, red, and orange tones correspond to zones of steep density gradients, often associated with faults, fractures, and intrusive bodies which are key features that can control hydrothermal fluid flow and mineralization. Conversely, areas of low values (blue and green) typically represent more homogeneous geological zones or deeper, less variable basement regions.</w:t>
      </w:r>
    </w:p>
    <w:p w14:paraId="05ED4769" w14:textId="3C159AA8" w:rsidR="003437F7" w:rsidRPr="00BE0AA8" w:rsidRDefault="008D121F" w:rsidP="00A1062E">
      <w:pPr>
        <w:spacing w:before="100" w:beforeAutospacing="1" w:after="100" w:afterAutospacing="1" w:line="276" w:lineRule="auto"/>
        <w:jc w:val="both"/>
        <w:rPr>
          <w:rFonts w:ascii="Times New Roman" w:hAnsi="Times New Roman" w:cs="Times New Roman"/>
          <w:sz w:val="24"/>
          <w:szCs w:val="24"/>
          <w:lang w:eastAsia="en-GB"/>
        </w:rPr>
      </w:pPr>
      <w:r w:rsidRPr="00BE0AA8">
        <w:rPr>
          <w:rFonts w:ascii="Times New Roman" w:hAnsi="Times New Roman" w:cs="Times New Roman"/>
          <w:bCs/>
          <w:sz w:val="24"/>
          <w:szCs w:val="24"/>
        </w:rPr>
        <w:t xml:space="preserve"> </w:t>
      </w:r>
      <w:r w:rsidR="00B82630" w:rsidRPr="00BE0AA8">
        <w:rPr>
          <w:rFonts w:ascii="Times New Roman" w:hAnsi="Times New Roman" w:cs="Times New Roman"/>
          <w:sz w:val="24"/>
          <w:szCs w:val="24"/>
        </w:rPr>
        <w:t xml:space="preserve">The </w:t>
      </w:r>
      <w:r w:rsidRPr="00BE0AA8">
        <w:rPr>
          <w:rFonts w:ascii="Times New Roman" w:hAnsi="Times New Roman" w:cs="Times New Roman"/>
          <w:sz w:val="24"/>
          <w:szCs w:val="24"/>
        </w:rPr>
        <w:t xml:space="preserve">gravity </w:t>
      </w:r>
      <w:r w:rsidR="001A2705" w:rsidRPr="00BE0AA8">
        <w:rPr>
          <w:rFonts w:ascii="Times New Roman" w:hAnsi="Times New Roman" w:cs="Times New Roman"/>
          <w:sz w:val="24"/>
          <w:szCs w:val="24"/>
        </w:rPr>
        <w:t>TD</w:t>
      </w:r>
      <w:r w:rsidR="00B82630" w:rsidRPr="00BE0AA8">
        <w:rPr>
          <w:rFonts w:ascii="Times New Roman" w:hAnsi="Times New Roman" w:cs="Times New Roman"/>
          <w:sz w:val="24"/>
          <w:szCs w:val="24"/>
        </w:rPr>
        <w:t xml:space="preserve"> map (Figure </w:t>
      </w:r>
      <w:r w:rsidR="00D37012">
        <w:rPr>
          <w:rFonts w:ascii="Times New Roman" w:hAnsi="Times New Roman" w:cs="Times New Roman"/>
          <w:sz w:val="24"/>
          <w:szCs w:val="24"/>
        </w:rPr>
        <w:t>4</w:t>
      </w:r>
      <w:r w:rsidR="00B82630" w:rsidRPr="00BE0AA8">
        <w:rPr>
          <w:rFonts w:ascii="Times New Roman" w:hAnsi="Times New Roman" w:cs="Times New Roman"/>
          <w:sz w:val="24"/>
          <w:szCs w:val="24"/>
        </w:rPr>
        <w:t xml:space="preserve">) effectively enhances density contrasts, revealing continuous NE–SW </w:t>
      </w:r>
      <w:r w:rsidRPr="00BE0AA8">
        <w:rPr>
          <w:rFonts w:ascii="Times New Roman" w:hAnsi="Times New Roman" w:cs="Times New Roman"/>
          <w:sz w:val="24"/>
          <w:szCs w:val="24"/>
        </w:rPr>
        <w:t xml:space="preserve">and NW-SE </w:t>
      </w:r>
      <w:r w:rsidR="00B82630" w:rsidRPr="00BE0AA8">
        <w:rPr>
          <w:rFonts w:ascii="Times New Roman" w:hAnsi="Times New Roman" w:cs="Times New Roman"/>
          <w:sz w:val="24"/>
          <w:szCs w:val="24"/>
        </w:rPr>
        <w:t xml:space="preserve">trending anomalies, </w:t>
      </w:r>
      <w:r w:rsidR="006A1089" w:rsidRPr="00BE0AA8">
        <w:rPr>
          <w:rFonts w:ascii="Times New Roman" w:hAnsi="Times New Roman" w:cs="Times New Roman"/>
          <w:sz w:val="24"/>
          <w:szCs w:val="24"/>
        </w:rPr>
        <w:t>with tilt values ranging from -1.3712 radians to 1.1993 radians</w:t>
      </w:r>
      <w:r w:rsidR="0085788B" w:rsidRPr="00BE0AA8">
        <w:rPr>
          <w:rFonts w:ascii="Times New Roman" w:hAnsi="Times New Roman" w:cs="Times New Roman"/>
          <w:sz w:val="24"/>
          <w:szCs w:val="24"/>
        </w:rPr>
        <w:t xml:space="preserve"> with many exceeding </w:t>
      </w:r>
      <w:r w:rsidR="0085788B" w:rsidRPr="00BE0AA8">
        <w:rPr>
          <w:rStyle w:val="Strong"/>
          <w:rFonts w:ascii="Times New Roman" w:hAnsi="Times New Roman" w:cs="Times New Roman"/>
          <w:b w:val="0"/>
          <w:bCs w:val="0"/>
          <w:sz w:val="24"/>
          <w:szCs w:val="24"/>
        </w:rPr>
        <w:t>±0.3 radians</w:t>
      </w:r>
      <w:r w:rsidR="0085788B" w:rsidRPr="00BE0AA8">
        <w:rPr>
          <w:rFonts w:ascii="Times New Roman" w:hAnsi="Times New Roman" w:cs="Times New Roman"/>
          <w:sz w:val="24"/>
          <w:szCs w:val="24"/>
        </w:rPr>
        <w:t xml:space="preserve"> in tilt angle</w:t>
      </w:r>
      <w:r w:rsidR="00B82630" w:rsidRPr="00BE0AA8">
        <w:rPr>
          <w:rFonts w:ascii="Times New Roman" w:hAnsi="Times New Roman" w:cs="Times New Roman"/>
          <w:sz w:val="24"/>
          <w:szCs w:val="24"/>
        </w:rPr>
        <w:t xml:space="preserve">. These trends extend for more than </w:t>
      </w:r>
      <w:r w:rsidR="00B82630" w:rsidRPr="00BE0AA8">
        <w:rPr>
          <w:rStyle w:val="Strong"/>
          <w:rFonts w:ascii="Times New Roman" w:hAnsi="Times New Roman" w:cs="Times New Roman"/>
          <w:b w:val="0"/>
          <w:bCs w:val="0"/>
          <w:sz w:val="24"/>
          <w:szCs w:val="24"/>
        </w:rPr>
        <w:t>25 km</w:t>
      </w:r>
      <w:r w:rsidR="00B82630" w:rsidRPr="00BE0AA8">
        <w:rPr>
          <w:rFonts w:ascii="Times New Roman" w:hAnsi="Times New Roman" w:cs="Times New Roman"/>
          <w:sz w:val="24"/>
          <w:szCs w:val="24"/>
        </w:rPr>
        <w:t xml:space="preserve"> in some cases, suggesting regionally persistent structural corridors.</w:t>
      </w:r>
      <w:r w:rsidR="006A1089" w:rsidRPr="00BE0AA8">
        <w:rPr>
          <w:rFonts w:ascii="Times New Roman" w:hAnsi="Times New Roman" w:cs="Times New Roman"/>
          <w:sz w:val="24"/>
          <w:szCs w:val="24"/>
        </w:rPr>
        <w:t xml:space="preserve"> </w:t>
      </w:r>
      <w:r w:rsidR="006F69B3" w:rsidRPr="00BE0AA8">
        <w:rPr>
          <w:rFonts w:ascii="Times New Roman" w:hAnsi="Times New Roman" w:cs="Times New Roman"/>
          <w:sz w:val="24"/>
          <w:szCs w:val="24"/>
          <w:lang w:eastAsia="en-GB"/>
        </w:rPr>
        <w:t>The Minna–Kampala–</w:t>
      </w:r>
      <w:proofErr w:type="spellStart"/>
      <w:r w:rsidR="006F69B3" w:rsidRPr="00BE0AA8">
        <w:rPr>
          <w:rFonts w:ascii="Times New Roman" w:hAnsi="Times New Roman" w:cs="Times New Roman"/>
          <w:sz w:val="24"/>
          <w:szCs w:val="24"/>
          <w:lang w:eastAsia="en-GB"/>
        </w:rPr>
        <w:t>Paikoro</w:t>
      </w:r>
      <w:proofErr w:type="spellEnd"/>
      <w:r w:rsidR="006F69B3" w:rsidRPr="00BE0AA8">
        <w:rPr>
          <w:rFonts w:ascii="Times New Roman" w:hAnsi="Times New Roman" w:cs="Times New Roman"/>
          <w:sz w:val="24"/>
          <w:szCs w:val="24"/>
          <w:lang w:eastAsia="en-GB"/>
        </w:rPr>
        <w:t xml:space="preserve"> corridor, </w:t>
      </w:r>
      <w:r w:rsidR="003437F7" w:rsidRPr="00BE0AA8">
        <w:rPr>
          <w:rFonts w:ascii="Times New Roman" w:hAnsi="Times New Roman" w:cs="Times New Roman"/>
          <w:sz w:val="24"/>
          <w:szCs w:val="24"/>
          <w:lang w:eastAsia="en-GB"/>
        </w:rPr>
        <w:t xml:space="preserve">with </w:t>
      </w:r>
      <w:r w:rsidR="006F69B3" w:rsidRPr="00BE0AA8">
        <w:rPr>
          <w:rFonts w:ascii="Times New Roman" w:hAnsi="Times New Roman" w:cs="Times New Roman"/>
          <w:sz w:val="24"/>
          <w:szCs w:val="24"/>
          <w:lang w:eastAsia="en-GB"/>
        </w:rPr>
        <w:t xml:space="preserve">elevated tilt values, suggests significant crustal breaks or </w:t>
      </w:r>
      <w:r w:rsidR="006F69B3" w:rsidRPr="00BE0AA8">
        <w:rPr>
          <w:rFonts w:ascii="Times New Roman" w:hAnsi="Times New Roman" w:cs="Times New Roman"/>
          <w:sz w:val="24"/>
          <w:szCs w:val="24"/>
          <w:lang w:eastAsia="en-GB"/>
        </w:rPr>
        <w:lastRenderedPageBreak/>
        <w:t xml:space="preserve">lithological contacts. The </w:t>
      </w:r>
      <w:proofErr w:type="spellStart"/>
      <w:r w:rsidR="006F69B3" w:rsidRPr="00BE0AA8">
        <w:rPr>
          <w:rFonts w:ascii="Times New Roman" w:hAnsi="Times New Roman" w:cs="Times New Roman"/>
          <w:sz w:val="24"/>
          <w:szCs w:val="24"/>
          <w:lang w:eastAsia="en-GB"/>
        </w:rPr>
        <w:t>Wamba</w:t>
      </w:r>
      <w:proofErr w:type="spellEnd"/>
      <w:r w:rsidR="006F69B3" w:rsidRPr="00BE0AA8">
        <w:rPr>
          <w:rFonts w:ascii="Times New Roman" w:hAnsi="Times New Roman" w:cs="Times New Roman"/>
          <w:sz w:val="24"/>
          <w:szCs w:val="24"/>
          <w:lang w:eastAsia="en-GB"/>
        </w:rPr>
        <w:t>–</w:t>
      </w:r>
      <w:proofErr w:type="spellStart"/>
      <w:r w:rsidR="006F69B3" w:rsidRPr="00BE0AA8">
        <w:rPr>
          <w:rFonts w:ascii="Times New Roman" w:hAnsi="Times New Roman" w:cs="Times New Roman"/>
          <w:sz w:val="24"/>
          <w:szCs w:val="24"/>
          <w:lang w:eastAsia="en-GB"/>
        </w:rPr>
        <w:t>Jema’a</w:t>
      </w:r>
      <w:proofErr w:type="spellEnd"/>
      <w:r w:rsidR="006F69B3" w:rsidRPr="00BE0AA8">
        <w:rPr>
          <w:rFonts w:ascii="Times New Roman" w:hAnsi="Times New Roman" w:cs="Times New Roman"/>
          <w:sz w:val="24"/>
          <w:szCs w:val="24"/>
          <w:lang w:eastAsia="en-GB"/>
        </w:rPr>
        <w:t xml:space="preserve">–Keffi region, which shows moderate to high tilt responses, likely corresponding to sheared or fractured terrains, possibly associated with hydrothermal activity and mineralizing fluids. The </w:t>
      </w:r>
      <w:proofErr w:type="spellStart"/>
      <w:r w:rsidR="006F69B3" w:rsidRPr="00BE0AA8">
        <w:rPr>
          <w:rFonts w:ascii="Times New Roman" w:hAnsi="Times New Roman" w:cs="Times New Roman"/>
          <w:sz w:val="24"/>
          <w:szCs w:val="24"/>
          <w:lang w:eastAsia="en-GB"/>
        </w:rPr>
        <w:t>Lapai</w:t>
      </w:r>
      <w:proofErr w:type="spellEnd"/>
      <w:r w:rsidR="006F69B3" w:rsidRPr="00BE0AA8">
        <w:rPr>
          <w:rFonts w:ascii="Times New Roman" w:hAnsi="Times New Roman" w:cs="Times New Roman"/>
          <w:sz w:val="24"/>
          <w:szCs w:val="24"/>
          <w:lang w:eastAsia="en-GB"/>
        </w:rPr>
        <w:t>–</w:t>
      </w:r>
      <w:proofErr w:type="spellStart"/>
      <w:r w:rsidR="006F69B3" w:rsidRPr="00BE0AA8">
        <w:rPr>
          <w:rFonts w:ascii="Times New Roman" w:hAnsi="Times New Roman" w:cs="Times New Roman"/>
          <w:sz w:val="24"/>
          <w:szCs w:val="24"/>
          <w:lang w:eastAsia="en-GB"/>
        </w:rPr>
        <w:t>Tagagi</w:t>
      </w:r>
      <w:proofErr w:type="spellEnd"/>
      <w:r w:rsidR="006F69B3" w:rsidRPr="00BE0AA8">
        <w:rPr>
          <w:rFonts w:ascii="Times New Roman" w:hAnsi="Times New Roman" w:cs="Times New Roman"/>
          <w:sz w:val="24"/>
          <w:szCs w:val="24"/>
          <w:lang w:eastAsia="en-GB"/>
        </w:rPr>
        <w:t>–</w:t>
      </w:r>
      <w:proofErr w:type="spellStart"/>
      <w:r w:rsidR="006F69B3" w:rsidRPr="00BE0AA8">
        <w:rPr>
          <w:rFonts w:ascii="Times New Roman" w:hAnsi="Times New Roman" w:cs="Times New Roman"/>
          <w:sz w:val="24"/>
          <w:szCs w:val="24"/>
          <w:lang w:eastAsia="en-GB"/>
        </w:rPr>
        <w:t>Gurdi</w:t>
      </w:r>
      <w:proofErr w:type="spellEnd"/>
      <w:r w:rsidR="006F69B3" w:rsidRPr="00BE0AA8">
        <w:rPr>
          <w:rFonts w:ascii="Times New Roman" w:hAnsi="Times New Roman" w:cs="Times New Roman"/>
          <w:sz w:val="24"/>
          <w:szCs w:val="24"/>
          <w:lang w:eastAsia="en-GB"/>
        </w:rPr>
        <w:t xml:space="preserve"> area, characterized </w:t>
      </w:r>
      <w:r w:rsidR="003437F7" w:rsidRPr="00BE0AA8">
        <w:rPr>
          <w:rFonts w:ascii="Times New Roman" w:hAnsi="Times New Roman" w:cs="Times New Roman"/>
          <w:sz w:val="24"/>
          <w:szCs w:val="24"/>
          <w:lang w:eastAsia="en-GB"/>
        </w:rPr>
        <w:t>by linear high tilt anomalies trending in NE–SW and NW–SE directions. These structural trends coincide with regional tectonic fabrics and could act as conduits for mineralization.</w:t>
      </w:r>
    </w:p>
    <w:p w14:paraId="198B1AB0" w14:textId="23DAF234" w:rsidR="00111E6F" w:rsidRPr="00BE0AA8" w:rsidRDefault="003437F7"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hAnsi="Times New Roman" w:cs="Times New Roman"/>
          <w:sz w:val="24"/>
          <w:szCs w:val="24"/>
        </w:rPr>
        <w:t xml:space="preserve">The gravity Euler deconvolution map (Figure </w:t>
      </w:r>
      <w:r w:rsidR="00AC49A3">
        <w:rPr>
          <w:rFonts w:ascii="Times New Roman" w:hAnsi="Times New Roman" w:cs="Times New Roman"/>
          <w:sz w:val="24"/>
          <w:szCs w:val="24"/>
        </w:rPr>
        <w:t>5</w:t>
      </w:r>
      <w:r w:rsidRPr="00BE0AA8">
        <w:rPr>
          <w:rFonts w:ascii="Times New Roman" w:hAnsi="Times New Roman" w:cs="Times New Roman"/>
          <w:sz w:val="24"/>
          <w:szCs w:val="24"/>
        </w:rPr>
        <w:t>) showcases colour-coded Euler solutions represent varying depths to geological contacts from blue dots (&lt;250 m) representing shallow sources to magenta dots (&gt;2000 m) representing deep sources.</w:t>
      </w:r>
      <w:r w:rsidRPr="00BE0AA8">
        <w:rPr>
          <w:rFonts w:ascii="Times New Roman" w:eastAsia="Times New Roman" w:hAnsi="Times New Roman" w:cs="Times New Roman"/>
          <w:sz w:val="24"/>
          <w:szCs w:val="24"/>
          <w:lang w:eastAsia="en-GB"/>
        </w:rPr>
        <w:t xml:space="preserve"> The clustering of Euler solutions across the study area delineates zones of intense structural deformation. Notably, regions such as Minna–</w:t>
      </w:r>
      <w:proofErr w:type="spellStart"/>
      <w:r w:rsidRPr="00BE0AA8">
        <w:rPr>
          <w:rFonts w:ascii="Times New Roman" w:eastAsia="Times New Roman" w:hAnsi="Times New Roman" w:cs="Times New Roman"/>
          <w:sz w:val="24"/>
          <w:szCs w:val="24"/>
          <w:lang w:eastAsia="en-GB"/>
        </w:rPr>
        <w:t>Paikoro</w:t>
      </w:r>
      <w:proofErr w:type="spellEnd"/>
      <w:r w:rsidRPr="00BE0AA8">
        <w:rPr>
          <w:rFonts w:ascii="Times New Roman" w:eastAsia="Times New Roman" w:hAnsi="Times New Roman" w:cs="Times New Roman"/>
          <w:sz w:val="24"/>
          <w:szCs w:val="24"/>
          <w:lang w:eastAsia="en-GB"/>
        </w:rPr>
        <w:t>–</w:t>
      </w:r>
      <w:proofErr w:type="spellStart"/>
      <w:r w:rsidRPr="00BE0AA8">
        <w:rPr>
          <w:rFonts w:ascii="Times New Roman" w:eastAsia="Times New Roman" w:hAnsi="Times New Roman" w:cs="Times New Roman"/>
          <w:sz w:val="24"/>
          <w:szCs w:val="24"/>
          <w:lang w:eastAsia="en-GB"/>
        </w:rPr>
        <w:t>Abaji</w:t>
      </w:r>
      <w:proofErr w:type="spellEnd"/>
      <w:r w:rsidRPr="00BE0AA8">
        <w:rPr>
          <w:rFonts w:ascii="Times New Roman" w:eastAsia="Times New Roman" w:hAnsi="Times New Roman" w:cs="Times New Roman"/>
          <w:sz w:val="24"/>
          <w:szCs w:val="24"/>
          <w:lang w:eastAsia="en-GB"/>
        </w:rPr>
        <w:t xml:space="preserve">, </w:t>
      </w:r>
      <w:proofErr w:type="spellStart"/>
      <w:r w:rsidRPr="00BE0AA8">
        <w:rPr>
          <w:rFonts w:ascii="Times New Roman" w:eastAsia="Times New Roman" w:hAnsi="Times New Roman" w:cs="Times New Roman"/>
          <w:sz w:val="24"/>
          <w:szCs w:val="24"/>
          <w:lang w:eastAsia="en-GB"/>
        </w:rPr>
        <w:t>Malagum</w:t>
      </w:r>
      <w:proofErr w:type="spellEnd"/>
      <w:r w:rsidRPr="00BE0AA8">
        <w:rPr>
          <w:rFonts w:ascii="Times New Roman" w:eastAsia="Times New Roman" w:hAnsi="Times New Roman" w:cs="Times New Roman"/>
          <w:sz w:val="24"/>
          <w:szCs w:val="24"/>
          <w:lang w:eastAsia="en-GB"/>
        </w:rPr>
        <w:t>–</w:t>
      </w:r>
      <w:proofErr w:type="spellStart"/>
      <w:r w:rsidRPr="00BE0AA8">
        <w:rPr>
          <w:rFonts w:ascii="Times New Roman" w:eastAsia="Times New Roman" w:hAnsi="Times New Roman" w:cs="Times New Roman"/>
          <w:sz w:val="24"/>
          <w:szCs w:val="24"/>
          <w:lang w:eastAsia="en-GB"/>
        </w:rPr>
        <w:t>Tafan</w:t>
      </w:r>
      <w:proofErr w:type="spellEnd"/>
      <w:r w:rsidRPr="00BE0AA8">
        <w:rPr>
          <w:rFonts w:ascii="Times New Roman" w:eastAsia="Times New Roman" w:hAnsi="Times New Roman" w:cs="Times New Roman"/>
          <w:sz w:val="24"/>
          <w:szCs w:val="24"/>
          <w:lang w:eastAsia="en-GB"/>
        </w:rPr>
        <w:t xml:space="preserve"> </w:t>
      </w:r>
      <w:proofErr w:type="spellStart"/>
      <w:r w:rsidRPr="00BE0AA8">
        <w:rPr>
          <w:rFonts w:ascii="Times New Roman" w:eastAsia="Times New Roman" w:hAnsi="Times New Roman" w:cs="Times New Roman"/>
          <w:sz w:val="24"/>
          <w:szCs w:val="24"/>
          <w:lang w:eastAsia="en-GB"/>
        </w:rPr>
        <w:t>Jema’a</w:t>
      </w:r>
      <w:proofErr w:type="spellEnd"/>
      <w:r w:rsidRPr="00BE0AA8">
        <w:rPr>
          <w:rFonts w:ascii="Times New Roman" w:eastAsia="Times New Roman" w:hAnsi="Times New Roman" w:cs="Times New Roman"/>
          <w:sz w:val="24"/>
          <w:szCs w:val="24"/>
          <w:lang w:eastAsia="en-GB"/>
        </w:rPr>
        <w:t>, and Wamba–Keffi exhibit a high density of shallow to intermediate depth solutions, suggesting the presence of near-surface fault zones, fracture corridors, and lithological boundaries.</w:t>
      </w:r>
      <w:r w:rsidR="00111E6F" w:rsidRPr="00BE0AA8">
        <w:rPr>
          <w:rFonts w:ascii="Times New Roman" w:eastAsia="Times New Roman" w:hAnsi="Times New Roman" w:cs="Times New Roman"/>
          <w:sz w:val="24"/>
          <w:szCs w:val="24"/>
          <w:lang w:eastAsia="en-GB"/>
        </w:rPr>
        <w:t xml:space="preserve"> The clustering of Euler solutions across the study area delineates zones of intense structural deformation. Notably, regions such as Minna–</w:t>
      </w:r>
      <w:proofErr w:type="spellStart"/>
      <w:r w:rsidR="00111E6F" w:rsidRPr="00BE0AA8">
        <w:rPr>
          <w:rFonts w:ascii="Times New Roman" w:eastAsia="Times New Roman" w:hAnsi="Times New Roman" w:cs="Times New Roman"/>
          <w:sz w:val="24"/>
          <w:szCs w:val="24"/>
          <w:lang w:eastAsia="en-GB"/>
        </w:rPr>
        <w:t>Paikoro</w:t>
      </w:r>
      <w:proofErr w:type="spellEnd"/>
      <w:r w:rsidR="00111E6F" w:rsidRPr="00BE0AA8">
        <w:rPr>
          <w:rFonts w:ascii="Times New Roman" w:eastAsia="Times New Roman" w:hAnsi="Times New Roman" w:cs="Times New Roman"/>
          <w:sz w:val="24"/>
          <w:szCs w:val="24"/>
          <w:lang w:eastAsia="en-GB"/>
        </w:rPr>
        <w:t>–</w:t>
      </w:r>
      <w:proofErr w:type="spellStart"/>
      <w:r w:rsidR="00111E6F" w:rsidRPr="00BE0AA8">
        <w:rPr>
          <w:rFonts w:ascii="Times New Roman" w:eastAsia="Times New Roman" w:hAnsi="Times New Roman" w:cs="Times New Roman"/>
          <w:sz w:val="24"/>
          <w:szCs w:val="24"/>
          <w:lang w:eastAsia="en-GB"/>
        </w:rPr>
        <w:t>Abaji</w:t>
      </w:r>
      <w:proofErr w:type="spellEnd"/>
      <w:r w:rsidR="00111E6F" w:rsidRPr="00BE0AA8">
        <w:rPr>
          <w:rFonts w:ascii="Times New Roman" w:eastAsia="Times New Roman" w:hAnsi="Times New Roman" w:cs="Times New Roman"/>
          <w:sz w:val="24"/>
          <w:szCs w:val="24"/>
          <w:lang w:eastAsia="en-GB"/>
        </w:rPr>
        <w:t xml:space="preserve">, </w:t>
      </w:r>
      <w:proofErr w:type="spellStart"/>
      <w:r w:rsidR="00111E6F" w:rsidRPr="00BE0AA8">
        <w:rPr>
          <w:rFonts w:ascii="Times New Roman" w:eastAsia="Times New Roman" w:hAnsi="Times New Roman" w:cs="Times New Roman"/>
          <w:sz w:val="24"/>
          <w:szCs w:val="24"/>
          <w:lang w:eastAsia="en-GB"/>
        </w:rPr>
        <w:t>Malagum</w:t>
      </w:r>
      <w:proofErr w:type="spellEnd"/>
      <w:r w:rsidR="00111E6F" w:rsidRPr="00BE0AA8">
        <w:rPr>
          <w:rFonts w:ascii="Times New Roman" w:eastAsia="Times New Roman" w:hAnsi="Times New Roman" w:cs="Times New Roman"/>
          <w:sz w:val="24"/>
          <w:szCs w:val="24"/>
          <w:lang w:eastAsia="en-GB"/>
        </w:rPr>
        <w:t>–</w:t>
      </w:r>
      <w:proofErr w:type="spellStart"/>
      <w:r w:rsidR="00111E6F" w:rsidRPr="00BE0AA8">
        <w:rPr>
          <w:rFonts w:ascii="Times New Roman" w:eastAsia="Times New Roman" w:hAnsi="Times New Roman" w:cs="Times New Roman"/>
          <w:sz w:val="24"/>
          <w:szCs w:val="24"/>
          <w:lang w:eastAsia="en-GB"/>
        </w:rPr>
        <w:t>Tafan</w:t>
      </w:r>
      <w:proofErr w:type="spellEnd"/>
      <w:r w:rsidR="00111E6F" w:rsidRPr="00BE0AA8">
        <w:rPr>
          <w:rFonts w:ascii="Times New Roman" w:eastAsia="Times New Roman" w:hAnsi="Times New Roman" w:cs="Times New Roman"/>
          <w:sz w:val="24"/>
          <w:szCs w:val="24"/>
          <w:lang w:eastAsia="en-GB"/>
        </w:rPr>
        <w:t xml:space="preserve"> </w:t>
      </w:r>
      <w:proofErr w:type="spellStart"/>
      <w:r w:rsidR="00111E6F" w:rsidRPr="00BE0AA8">
        <w:rPr>
          <w:rFonts w:ascii="Times New Roman" w:eastAsia="Times New Roman" w:hAnsi="Times New Roman" w:cs="Times New Roman"/>
          <w:sz w:val="24"/>
          <w:szCs w:val="24"/>
          <w:lang w:eastAsia="en-GB"/>
        </w:rPr>
        <w:t>Jema’a</w:t>
      </w:r>
      <w:proofErr w:type="spellEnd"/>
      <w:r w:rsidR="00111E6F" w:rsidRPr="00BE0AA8">
        <w:rPr>
          <w:rFonts w:ascii="Times New Roman" w:eastAsia="Times New Roman" w:hAnsi="Times New Roman" w:cs="Times New Roman"/>
          <w:sz w:val="24"/>
          <w:szCs w:val="24"/>
          <w:lang w:eastAsia="en-GB"/>
        </w:rPr>
        <w:t xml:space="preserve">, and Wamba–Keffi exhibit a high density of shallow to intermediate depth solutions, suggesting the presence of near-surface fault zones, fracture corridors, and lithological boundaries. The eastern and southeastern regions around </w:t>
      </w:r>
      <w:proofErr w:type="spellStart"/>
      <w:r w:rsidR="00111E6F" w:rsidRPr="00BE0AA8">
        <w:rPr>
          <w:rFonts w:ascii="Times New Roman" w:eastAsia="Times New Roman" w:hAnsi="Times New Roman" w:cs="Times New Roman"/>
          <w:sz w:val="24"/>
          <w:szCs w:val="24"/>
          <w:lang w:eastAsia="en-GB"/>
        </w:rPr>
        <w:t>Wamba</w:t>
      </w:r>
      <w:proofErr w:type="spellEnd"/>
      <w:r w:rsidR="00111E6F" w:rsidRPr="00BE0AA8">
        <w:rPr>
          <w:rFonts w:ascii="Times New Roman" w:eastAsia="Times New Roman" w:hAnsi="Times New Roman" w:cs="Times New Roman"/>
          <w:sz w:val="24"/>
          <w:szCs w:val="24"/>
          <w:lang w:eastAsia="en-GB"/>
        </w:rPr>
        <w:t xml:space="preserve">, </w:t>
      </w:r>
      <w:proofErr w:type="spellStart"/>
      <w:r w:rsidR="00111E6F" w:rsidRPr="00BE0AA8">
        <w:rPr>
          <w:rFonts w:ascii="Times New Roman" w:eastAsia="Times New Roman" w:hAnsi="Times New Roman" w:cs="Times New Roman"/>
          <w:sz w:val="24"/>
          <w:szCs w:val="24"/>
          <w:lang w:eastAsia="en-GB"/>
        </w:rPr>
        <w:t>Malagum</w:t>
      </w:r>
      <w:proofErr w:type="spellEnd"/>
      <w:r w:rsidR="00111E6F" w:rsidRPr="00BE0AA8">
        <w:rPr>
          <w:rFonts w:ascii="Times New Roman" w:eastAsia="Times New Roman" w:hAnsi="Times New Roman" w:cs="Times New Roman"/>
          <w:sz w:val="24"/>
          <w:szCs w:val="24"/>
          <w:lang w:eastAsia="en-GB"/>
        </w:rPr>
        <w:t xml:space="preserve">, and </w:t>
      </w:r>
      <w:proofErr w:type="spellStart"/>
      <w:r w:rsidR="00111E6F" w:rsidRPr="00BE0AA8">
        <w:rPr>
          <w:rFonts w:ascii="Times New Roman" w:eastAsia="Times New Roman" w:hAnsi="Times New Roman" w:cs="Times New Roman"/>
          <w:sz w:val="24"/>
          <w:szCs w:val="24"/>
          <w:lang w:eastAsia="en-GB"/>
        </w:rPr>
        <w:t>Kachia</w:t>
      </w:r>
      <w:proofErr w:type="spellEnd"/>
      <w:r w:rsidR="00111E6F" w:rsidRPr="00BE0AA8">
        <w:rPr>
          <w:rFonts w:ascii="Times New Roman" w:eastAsia="Times New Roman" w:hAnsi="Times New Roman" w:cs="Times New Roman"/>
          <w:sz w:val="24"/>
          <w:szCs w:val="24"/>
          <w:lang w:eastAsia="en-GB"/>
        </w:rPr>
        <w:t xml:space="preserve"> are marked by deeper solutions (&gt;1000 m), indicative of subsurface </w:t>
      </w:r>
    </w:p>
    <w:p w14:paraId="0DAD1FF6" w14:textId="0A276DEA" w:rsidR="00C136AB" w:rsidRPr="00BE0AA8" w:rsidRDefault="00C136AB" w:rsidP="00A1062E">
      <w:pPr>
        <w:spacing w:line="276" w:lineRule="auto"/>
        <w:jc w:val="both"/>
        <w:rPr>
          <w:rFonts w:ascii="Times New Roman" w:hAnsi="Times New Roman" w:cs="Times New Roman"/>
          <w:sz w:val="24"/>
          <w:szCs w:val="24"/>
          <w:lang w:val="en-US"/>
        </w:rPr>
      </w:pPr>
      <w:r w:rsidRPr="00BE0AA8">
        <w:rPr>
          <w:rFonts w:ascii="Times New Roman" w:hAnsi="Times New Roman" w:cs="Times New Roman"/>
          <w:noProof/>
          <w:sz w:val="24"/>
          <w:szCs w:val="24"/>
          <w:lang w:val="en-US"/>
        </w:rPr>
        <w:drawing>
          <wp:inline distT="0" distB="0" distL="0" distR="0" wp14:anchorId="45AFD9E9" wp14:editId="0647ACAB">
            <wp:extent cx="5731510" cy="4053205"/>
            <wp:effectExtent l="0" t="0" r="2540" b="4445"/>
            <wp:docPr id="259251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2</w:t>
      </w:r>
      <w:r w:rsidRPr="00BE0AA8">
        <w:rPr>
          <w:rFonts w:ascii="Times New Roman" w:hAnsi="Times New Roman" w:cs="Times New Roman"/>
          <w:sz w:val="24"/>
          <w:szCs w:val="24"/>
        </w:rPr>
        <w:t>: Bouguer gravity residual map</w:t>
      </w:r>
    </w:p>
    <w:p w14:paraId="0C722E86" w14:textId="5C51BE9D" w:rsidR="00EE4F1E" w:rsidRPr="00BE0AA8" w:rsidRDefault="001A2705" w:rsidP="00A1062E">
      <w:pPr>
        <w:pStyle w:val="NormalWeb"/>
        <w:spacing w:line="276" w:lineRule="auto"/>
        <w:jc w:val="both"/>
      </w:pPr>
      <w:r w:rsidRPr="00BE0AA8">
        <w:rPr>
          <w:b/>
          <w:bCs/>
          <w:noProof/>
          <w:lang w:val="en-US"/>
        </w:rPr>
        <w:lastRenderedPageBreak/>
        <w:drawing>
          <wp:inline distT="0" distB="0" distL="0" distR="0" wp14:anchorId="470A6813" wp14:editId="2FD50AA8">
            <wp:extent cx="5731510" cy="4015740"/>
            <wp:effectExtent l="0" t="0" r="2540" b="3810"/>
            <wp:docPr id="103894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19"/>
                    <a:stretch/>
                  </pic:blipFill>
                  <pic:spPr bwMode="auto">
                    <a:xfrm>
                      <a:off x="0" y="0"/>
                      <a:ext cx="5731510" cy="4015740"/>
                    </a:xfrm>
                    <a:prstGeom prst="rect">
                      <a:avLst/>
                    </a:prstGeom>
                    <a:noFill/>
                    <a:ln>
                      <a:noFill/>
                    </a:ln>
                    <a:extLst>
                      <a:ext uri="{53640926-AAD7-44D8-BBD7-CCE9431645EC}">
                        <a14:shadowObscured xmlns:a14="http://schemas.microsoft.com/office/drawing/2010/main"/>
                      </a:ext>
                    </a:extLst>
                  </pic:spPr>
                </pic:pic>
              </a:graphicData>
            </a:graphic>
          </wp:inline>
        </w:drawing>
      </w:r>
    </w:p>
    <w:p w14:paraId="2EAFE5AD" w14:textId="78DCDCC7" w:rsidR="001055D3" w:rsidRPr="00BE0AA8" w:rsidRDefault="001055D3" w:rsidP="00A1062E">
      <w:pPr>
        <w:pStyle w:val="NormalWeb"/>
        <w:spacing w:line="276" w:lineRule="auto"/>
        <w:jc w:val="both"/>
      </w:pPr>
      <w:r w:rsidRPr="00BE0AA8">
        <w:t>Figure</w:t>
      </w:r>
      <w:r w:rsidR="00976E87" w:rsidRPr="00BE0AA8">
        <w:t xml:space="preserve"> </w:t>
      </w:r>
      <w:r w:rsidR="00D37012">
        <w:t>3</w:t>
      </w:r>
      <w:r w:rsidRPr="00BE0AA8">
        <w:t>: Gravity First Vertical Derivative (FVD) map</w:t>
      </w:r>
    </w:p>
    <w:p w14:paraId="4B2C61B0" w14:textId="00AC88EA" w:rsidR="001A2705" w:rsidRPr="00BE0AA8" w:rsidRDefault="001A2705" w:rsidP="00A1062E">
      <w:pPr>
        <w:pStyle w:val="Heading4"/>
        <w:spacing w:line="276" w:lineRule="auto"/>
        <w:jc w:val="both"/>
        <w:rPr>
          <w:rStyle w:val="Strong"/>
          <w:rFonts w:ascii="Times New Roman" w:hAnsi="Times New Roman" w:cs="Times New Roman"/>
          <w:color w:val="auto"/>
          <w:sz w:val="24"/>
          <w:szCs w:val="24"/>
        </w:rPr>
      </w:pPr>
      <w:r w:rsidRPr="00BE0AA8">
        <w:rPr>
          <w:rFonts w:ascii="Times New Roman" w:hAnsi="Times New Roman" w:cs="Times New Roman"/>
          <w:b/>
          <w:bCs/>
          <w:noProof/>
          <w:color w:val="auto"/>
          <w:sz w:val="24"/>
          <w:szCs w:val="24"/>
          <w:lang w:val="en-US"/>
        </w:rPr>
        <w:drawing>
          <wp:inline distT="0" distB="0" distL="0" distR="0" wp14:anchorId="760D22AA" wp14:editId="228C7C39">
            <wp:extent cx="5731510" cy="3953814"/>
            <wp:effectExtent l="0" t="0" r="2540" b="8890"/>
            <wp:docPr id="970677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3" b="1499"/>
                    <a:stretch/>
                  </pic:blipFill>
                  <pic:spPr bwMode="auto">
                    <a:xfrm>
                      <a:off x="0" y="0"/>
                      <a:ext cx="5731510" cy="3953814"/>
                    </a:xfrm>
                    <a:prstGeom prst="rect">
                      <a:avLst/>
                    </a:prstGeom>
                    <a:noFill/>
                    <a:ln>
                      <a:noFill/>
                    </a:ln>
                    <a:extLst>
                      <a:ext uri="{53640926-AAD7-44D8-BBD7-CCE9431645EC}">
                        <a14:shadowObscured xmlns:a14="http://schemas.microsoft.com/office/drawing/2010/main"/>
                      </a:ext>
                    </a:extLst>
                  </pic:spPr>
                </pic:pic>
              </a:graphicData>
            </a:graphic>
          </wp:inline>
        </w:drawing>
      </w:r>
    </w:p>
    <w:p w14:paraId="0E94BE89" w14:textId="6BC04A8A" w:rsidR="001055D3" w:rsidRPr="00BE0AA8" w:rsidRDefault="001055D3" w:rsidP="00A1062E">
      <w:pPr>
        <w:spacing w:line="276" w:lineRule="auto"/>
        <w:rPr>
          <w:rFonts w:ascii="Times New Roman" w:hAnsi="Times New Roman" w:cs="Times New Roman"/>
          <w:sz w:val="24"/>
          <w:szCs w:val="24"/>
        </w:rPr>
      </w:pPr>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4</w:t>
      </w:r>
      <w:r w:rsidRPr="00BE0AA8">
        <w:rPr>
          <w:rFonts w:ascii="Times New Roman" w:hAnsi="Times New Roman" w:cs="Times New Roman"/>
          <w:sz w:val="24"/>
          <w:szCs w:val="24"/>
        </w:rPr>
        <w:t>: Gravity Tilt Derivative (TD) Map</w:t>
      </w:r>
    </w:p>
    <w:p w14:paraId="7304B0C6" w14:textId="2A4C83DF" w:rsidR="001A2705" w:rsidRPr="00BE0AA8" w:rsidRDefault="00111E6F" w:rsidP="00A1062E">
      <w:pPr>
        <w:pStyle w:val="Heading4"/>
        <w:spacing w:line="276" w:lineRule="auto"/>
        <w:jc w:val="both"/>
        <w:rPr>
          <w:rStyle w:val="Strong"/>
          <w:rFonts w:ascii="Times New Roman" w:hAnsi="Times New Roman" w:cs="Times New Roman"/>
          <w:color w:val="auto"/>
          <w:sz w:val="24"/>
          <w:szCs w:val="24"/>
        </w:rPr>
      </w:pPr>
      <w:r w:rsidRPr="00BE0AA8">
        <w:rPr>
          <w:rFonts w:ascii="Times New Roman" w:eastAsia="Times New Roman" w:hAnsi="Times New Roman" w:cs="Times New Roman"/>
          <w:noProof/>
          <w:sz w:val="24"/>
          <w:szCs w:val="24"/>
          <w:lang w:val="en-US" w:eastAsia="en-GB"/>
        </w:rPr>
        <w:lastRenderedPageBreak/>
        <w:drawing>
          <wp:inline distT="0" distB="0" distL="0" distR="0" wp14:anchorId="546BC9F1" wp14:editId="128E6AB2">
            <wp:extent cx="5731510" cy="4053205"/>
            <wp:effectExtent l="0" t="0" r="2540" b="4445"/>
            <wp:docPr id="6003523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797CEEE6" w14:textId="4AF88CAA" w:rsidR="001055D3" w:rsidRPr="00BE0AA8" w:rsidRDefault="001055D3" w:rsidP="00A1062E">
      <w:pPr>
        <w:pStyle w:val="NormalWeb"/>
        <w:spacing w:line="276" w:lineRule="auto"/>
        <w:jc w:val="both"/>
      </w:pPr>
      <w:r w:rsidRPr="00BE0AA8">
        <w:t>Figure</w:t>
      </w:r>
      <w:r w:rsidR="00976E87" w:rsidRPr="00BE0AA8">
        <w:t xml:space="preserve"> </w:t>
      </w:r>
      <w:r w:rsidR="00AC49A3">
        <w:t>5</w:t>
      </w:r>
      <w:r w:rsidRPr="00BE0AA8">
        <w:t>: Gravity Euler Deconvolution map of structural Index of one (SI=1)</w:t>
      </w:r>
    </w:p>
    <w:p w14:paraId="7C584311" w14:textId="77777777" w:rsidR="00AC49A3" w:rsidRDefault="00AC49A3" w:rsidP="00825329">
      <w:pPr>
        <w:spacing w:before="100" w:beforeAutospacing="1" w:after="100" w:afterAutospacing="1" w:line="276" w:lineRule="auto"/>
        <w:jc w:val="both"/>
        <w:rPr>
          <w:rFonts w:ascii="Times New Roman" w:eastAsia="Times New Roman" w:hAnsi="Times New Roman" w:cs="Times New Roman"/>
          <w:sz w:val="24"/>
          <w:szCs w:val="24"/>
          <w:lang w:eastAsia="en-GB"/>
        </w:rPr>
      </w:pPr>
    </w:p>
    <w:p w14:paraId="6B7633EA" w14:textId="68AAD272" w:rsidR="00825329" w:rsidRPr="00BE0AA8" w:rsidRDefault="00825329" w:rsidP="00825329">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intrusions or major crustal structures, potentially acting as conduits for deep-seated hydrothermal fluids.</w:t>
      </w:r>
    </w:p>
    <w:p w14:paraId="0018AB96" w14:textId="0E5E9E2B" w:rsidR="00B82630" w:rsidRPr="00BE0AA8" w:rsidRDefault="00BE0AA8" w:rsidP="00A1062E">
      <w:pPr>
        <w:pStyle w:val="Heading4"/>
        <w:spacing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w:t>
      </w:r>
      <w:r w:rsidR="00B82630" w:rsidRPr="00BE0AA8">
        <w:rPr>
          <w:rStyle w:val="Strong"/>
          <w:rFonts w:ascii="Times New Roman" w:hAnsi="Times New Roman" w:cs="Times New Roman"/>
          <w:color w:val="auto"/>
          <w:sz w:val="24"/>
          <w:szCs w:val="24"/>
        </w:rPr>
        <w:t>.2 Magnetic Data Interpretation</w:t>
      </w:r>
    </w:p>
    <w:p w14:paraId="1338DFEB" w14:textId="379EB720" w:rsidR="00111E6F" w:rsidRPr="00BE0AA8" w:rsidRDefault="00111E6F" w:rsidP="00A1062E">
      <w:pPr>
        <w:pStyle w:val="NormalWeb"/>
        <w:spacing w:line="276" w:lineRule="auto"/>
        <w:jc w:val="both"/>
      </w:pPr>
      <w:r w:rsidRPr="00BE0AA8">
        <w:t>From</w:t>
      </w:r>
      <w:r w:rsidR="00125FD0" w:rsidRPr="00BE0AA8">
        <w:t xml:space="preserve"> magnetic RTE map (Figure</w:t>
      </w:r>
      <w:r w:rsidRPr="00BE0AA8">
        <w:t xml:space="preserve"> </w:t>
      </w:r>
      <w:r w:rsidR="00D37012">
        <w:t>6</w:t>
      </w:r>
      <w:r w:rsidR="00022B20" w:rsidRPr="00BE0AA8">
        <w:t>)</w:t>
      </w:r>
      <w:r w:rsidRPr="00BE0AA8">
        <w:t>,</w:t>
      </w:r>
      <w:r w:rsidR="00125FD0" w:rsidRPr="00BE0AA8">
        <w:t xml:space="preserve"> </w:t>
      </w:r>
      <w:r w:rsidRPr="00BE0AA8">
        <w:t xml:space="preserve">the magnetic field is seen to range from -43.94 </w:t>
      </w:r>
      <w:proofErr w:type="spellStart"/>
      <w:r w:rsidRPr="00BE0AA8">
        <w:t>nT</w:t>
      </w:r>
      <w:proofErr w:type="spellEnd"/>
      <w:r w:rsidRPr="00BE0AA8">
        <w:t xml:space="preserve"> to 113.58 </w:t>
      </w:r>
      <w:proofErr w:type="spellStart"/>
      <w:r w:rsidRPr="00BE0AA8">
        <w:t>nT.</w:t>
      </w:r>
      <w:proofErr w:type="spellEnd"/>
      <w:r w:rsidRPr="00BE0AA8">
        <w:t xml:space="preserve">  Low magnetic field intensities (&lt; 61.26 </w:t>
      </w:r>
      <w:proofErr w:type="spellStart"/>
      <w:r w:rsidRPr="00BE0AA8">
        <w:t>nT</w:t>
      </w:r>
      <w:proofErr w:type="spellEnd"/>
      <w:r w:rsidRPr="00BE0AA8">
        <w:t xml:space="preserve">) is predominant covering about 70% of the study area. High magnetic intensity (&gt; 100 </w:t>
      </w:r>
      <w:proofErr w:type="spellStart"/>
      <w:r w:rsidRPr="00BE0AA8">
        <w:t>nT</w:t>
      </w:r>
      <w:proofErr w:type="spellEnd"/>
      <w:r w:rsidRPr="00BE0AA8">
        <w:t>) is observed majorly at the central region of the study area covering parts of the Precambrian (basement) rocks as evident on the geology map (Figure</w:t>
      </w:r>
      <w:r w:rsidR="009A21C5">
        <w:t>.1</w:t>
      </w:r>
      <w:r w:rsidRPr="00BE0AA8">
        <w:t>)</w:t>
      </w:r>
    </w:p>
    <w:p w14:paraId="56DC8A3F" w14:textId="415445D1" w:rsidR="00597E99" w:rsidRPr="00BE0AA8" w:rsidRDefault="00976E87" w:rsidP="00A1062E">
      <w:pPr>
        <w:pStyle w:val="NormalWeb"/>
        <w:spacing w:line="276" w:lineRule="auto"/>
        <w:jc w:val="both"/>
      </w:pPr>
      <w:r w:rsidRPr="00BE0AA8">
        <w:t xml:space="preserve">The magnetic FVD map (Figure </w:t>
      </w:r>
      <w:r w:rsidR="00D37012">
        <w:t>7</w:t>
      </w:r>
      <w:r w:rsidRPr="00BE0AA8">
        <w:t xml:space="preserve">) accentuates shallow magnetic sources, with anomaly magnitudes exceeding </w:t>
      </w:r>
      <w:r w:rsidRPr="00BE0AA8">
        <w:rPr>
          <w:rStyle w:val="Strong"/>
          <w:b w:val="0"/>
          <w:bCs w:val="0"/>
        </w:rPr>
        <w:t xml:space="preserve">0.04 </w:t>
      </w:r>
      <w:proofErr w:type="spellStart"/>
      <w:r w:rsidRPr="00BE0AA8">
        <w:rPr>
          <w:rStyle w:val="Strong"/>
          <w:b w:val="0"/>
          <w:bCs w:val="0"/>
        </w:rPr>
        <w:t>nT</w:t>
      </w:r>
      <w:proofErr w:type="spellEnd"/>
      <w:r w:rsidRPr="00BE0AA8">
        <w:rPr>
          <w:rStyle w:val="Strong"/>
          <w:b w:val="0"/>
          <w:bCs w:val="0"/>
        </w:rPr>
        <w:t>/m</w:t>
      </w:r>
      <w:r w:rsidRPr="00BE0AA8">
        <w:rPr>
          <w:b/>
          <w:bCs/>
        </w:rPr>
        <w:t xml:space="preserve"> </w:t>
      </w:r>
      <w:r w:rsidRPr="00BE0AA8">
        <w:t xml:space="preserve">in mineralized shear zones. Zones of reduced magnetic intensity observed around places like </w:t>
      </w:r>
      <w:proofErr w:type="spellStart"/>
      <w:r w:rsidRPr="00BE0AA8">
        <w:t>Bida</w:t>
      </w:r>
      <w:proofErr w:type="spellEnd"/>
      <w:r w:rsidRPr="00BE0AA8">
        <w:t xml:space="preserve"> and </w:t>
      </w:r>
      <w:proofErr w:type="spellStart"/>
      <w:r w:rsidRPr="00BE0AA8">
        <w:t>Lapai</w:t>
      </w:r>
      <w:proofErr w:type="spellEnd"/>
      <w:r w:rsidRPr="00BE0AA8">
        <w:t xml:space="preserve">, suggests magnetite destruction during mineralizing </w:t>
      </w:r>
      <w:proofErr w:type="spellStart"/>
      <w:proofErr w:type="gramStart"/>
      <w:r w:rsidRPr="00BE0AA8">
        <w:t>events.</w:t>
      </w:r>
      <w:r w:rsidR="00B82630" w:rsidRPr="00BE0AA8">
        <w:t>The</w:t>
      </w:r>
      <w:proofErr w:type="spellEnd"/>
      <w:proofErr w:type="gramEnd"/>
      <w:r w:rsidR="00B82630" w:rsidRPr="00BE0AA8">
        <w:t xml:space="preserve"> </w:t>
      </w:r>
      <w:r w:rsidR="0085788B" w:rsidRPr="00BE0AA8">
        <w:t xml:space="preserve">magnetic </w:t>
      </w:r>
      <w:r w:rsidR="00620FC0" w:rsidRPr="00BE0AA8">
        <w:t>AS</w:t>
      </w:r>
      <w:r w:rsidR="00B82630" w:rsidRPr="00BE0AA8">
        <w:t xml:space="preserve"> map (Figure </w:t>
      </w:r>
      <w:r w:rsidR="00D37012">
        <w:t>8</w:t>
      </w:r>
      <w:r w:rsidR="00B82630" w:rsidRPr="00BE0AA8">
        <w:t xml:space="preserve">) records amplitudes ranging from </w:t>
      </w:r>
      <w:r w:rsidR="0085788B" w:rsidRPr="00BE0AA8">
        <w:rPr>
          <w:b/>
          <w:bCs/>
        </w:rPr>
        <w:t>-</w:t>
      </w:r>
      <w:r w:rsidR="00B82630" w:rsidRPr="00BE0AA8">
        <w:rPr>
          <w:rStyle w:val="Strong"/>
          <w:b w:val="0"/>
          <w:bCs w:val="0"/>
        </w:rPr>
        <w:t>0.</w:t>
      </w:r>
      <w:r w:rsidR="0085788B" w:rsidRPr="00BE0AA8">
        <w:rPr>
          <w:rStyle w:val="Strong"/>
          <w:b w:val="0"/>
          <w:bCs w:val="0"/>
        </w:rPr>
        <w:t>1</w:t>
      </w:r>
      <w:r w:rsidR="00B82630" w:rsidRPr="00BE0AA8">
        <w:rPr>
          <w:rStyle w:val="Strong"/>
          <w:b w:val="0"/>
          <w:bCs w:val="0"/>
        </w:rPr>
        <w:t xml:space="preserve">05 to </w:t>
      </w:r>
      <w:r w:rsidR="0085788B" w:rsidRPr="00BE0AA8">
        <w:rPr>
          <w:rStyle w:val="Strong"/>
          <w:b w:val="0"/>
          <w:bCs w:val="0"/>
        </w:rPr>
        <w:t>0.169</w:t>
      </w:r>
      <w:r w:rsidR="00B82630" w:rsidRPr="00BE0AA8">
        <w:rPr>
          <w:rStyle w:val="Strong"/>
          <w:b w:val="0"/>
          <w:bCs w:val="0"/>
        </w:rPr>
        <w:t xml:space="preserve"> </w:t>
      </w:r>
      <w:proofErr w:type="spellStart"/>
      <w:r w:rsidR="00B82630" w:rsidRPr="00BE0AA8">
        <w:rPr>
          <w:rStyle w:val="Strong"/>
          <w:b w:val="0"/>
          <w:bCs w:val="0"/>
        </w:rPr>
        <w:t>nT</w:t>
      </w:r>
      <w:proofErr w:type="spellEnd"/>
      <w:r w:rsidR="00B82630" w:rsidRPr="00BE0AA8">
        <w:rPr>
          <w:rStyle w:val="Strong"/>
          <w:b w:val="0"/>
          <w:bCs w:val="0"/>
        </w:rPr>
        <w:t>/m</w:t>
      </w:r>
      <w:r w:rsidR="00B82630" w:rsidRPr="00BE0AA8">
        <w:rPr>
          <w:b/>
          <w:bCs/>
        </w:rPr>
        <w:t>,</w:t>
      </w:r>
      <w:r w:rsidR="00B82630" w:rsidRPr="00BE0AA8">
        <w:t xml:space="preserve"> with the highest responses over mafic intrusions near </w:t>
      </w:r>
      <w:proofErr w:type="spellStart"/>
      <w:r w:rsidR="0085788B" w:rsidRPr="00BE0AA8">
        <w:rPr>
          <w:rStyle w:val="Strong"/>
          <w:b w:val="0"/>
          <w:bCs w:val="0"/>
        </w:rPr>
        <w:t>Wushishi</w:t>
      </w:r>
      <w:proofErr w:type="spellEnd"/>
      <w:r w:rsidR="0085788B" w:rsidRPr="00BE0AA8">
        <w:rPr>
          <w:rStyle w:val="Strong"/>
          <w:b w:val="0"/>
          <w:bCs w:val="0"/>
        </w:rPr>
        <w:t xml:space="preserve">, </w:t>
      </w:r>
      <w:proofErr w:type="spellStart"/>
      <w:r w:rsidR="0085788B" w:rsidRPr="00BE0AA8">
        <w:rPr>
          <w:rStyle w:val="Strong"/>
          <w:b w:val="0"/>
          <w:bCs w:val="0"/>
        </w:rPr>
        <w:t>Bosso</w:t>
      </w:r>
      <w:proofErr w:type="spellEnd"/>
      <w:r w:rsidR="0085788B" w:rsidRPr="00BE0AA8">
        <w:rPr>
          <w:rStyle w:val="Strong"/>
          <w:b w:val="0"/>
          <w:bCs w:val="0"/>
        </w:rPr>
        <w:t xml:space="preserve">, Minna, </w:t>
      </w:r>
      <w:proofErr w:type="spellStart"/>
      <w:r w:rsidR="0085788B" w:rsidRPr="00BE0AA8">
        <w:rPr>
          <w:rStyle w:val="Strong"/>
          <w:b w:val="0"/>
          <w:bCs w:val="0"/>
        </w:rPr>
        <w:t>Paikoro</w:t>
      </w:r>
      <w:proofErr w:type="spellEnd"/>
      <w:r w:rsidR="00B82630" w:rsidRPr="00BE0AA8">
        <w:rPr>
          <w:b/>
          <w:bCs/>
        </w:rPr>
        <w:t>,</w:t>
      </w:r>
      <w:r w:rsidR="0085788B" w:rsidRPr="00BE0AA8">
        <w:t xml:space="preserve"> and </w:t>
      </w:r>
      <w:proofErr w:type="spellStart"/>
      <w:r w:rsidR="0085788B" w:rsidRPr="00BE0AA8">
        <w:t>Abaji</w:t>
      </w:r>
      <w:proofErr w:type="spellEnd"/>
      <w:r w:rsidR="0085788B" w:rsidRPr="00BE0AA8">
        <w:t xml:space="preserve"> regions</w:t>
      </w:r>
      <w:r w:rsidR="00B82630" w:rsidRPr="00BE0AA8">
        <w:t xml:space="preserve"> and lower amplitudes over altered regions</w:t>
      </w:r>
      <w:r w:rsidR="00D9283B" w:rsidRPr="00BE0AA8">
        <w:t xml:space="preserve"> like Keffi, Abuja, and </w:t>
      </w:r>
      <w:proofErr w:type="spellStart"/>
      <w:r w:rsidR="00D9283B" w:rsidRPr="00BE0AA8">
        <w:t>Lapai</w:t>
      </w:r>
      <w:proofErr w:type="spellEnd"/>
      <w:r w:rsidR="00B82630" w:rsidRPr="00BE0AA8">
        <w:t xml:space="preserve">. </w:t>
      </w:r>
    </w:p>
    <w:p w14:paraId="4459B34A" w14:textId="0B24CD08" w:rsidR="00620FC0" w:rsidRDefault="00976E87" w:rsidP="00A1062E">
      <w:pPr>
        <w:pStyle w:val="NormalWeb"/>
        <w:spacing w:line="276" w:lineRule="auto"/>
        <w:jc w:val="both"/>
      </w:pPr>
      <w:r w:rsidRPr="00BE0AA8">
        <w:lastRenderedPageBreak/>
        <w:t xml:space="preserve">The magnetic TD (Figure </w:t>
      </w:r>
      <w:r w:rsidR="00D37012">
        <w:t>9</w:t>
      </w:r>
      <w:r w:rsidRPr="00BE0AA8">
        <w:t>) map highlights variations in the magnetic field associated with geological structures</w:t>
      </w:r>
      <w:r w:rsidR="00597E99" w:rsidRPr="00BE0AA8">
        <w:t xml:space="preserve"> as vis</w:t>
      </w:r>
      <w:r w:rsidR="002E3563">
        <w:t>i</w:t>
      </w:r>
      <w:r w:rsidR="00597E99" w:rsidRPr="00BE0AA8">
        <w:t xml:space="preserve">ble also in </w:t>
      </w:r>
      <w:r w:rsidR="009A21C5" w:rsidRPr="00BE0AA8">
        <w:t xml:space="preserve">Figure </w:t>
      </w:r>
      <w:r w:rsidR="00D37012">
        <w:t>7</w:t>
      </w:r>
      <w:r w:rsidR="00597E99" w:rsidRPr="00BE0AA8">
        <w:t xml:space="preserve"> and </w:t>
      </w:r>
      <w:r w:rsidR="00D37012">
        <w:t>8</w:t>
      </w:r>
      <w:r w:rsidRPr="00BE0AA8">
        <w:t xml:space="preserve">. Structures like faults and contacts are precisely identified </w:t>
      </w:r>
      <w:r w:rsidR="00597E99" w:rsidRPr="00BE0AA8">
        <w:t>with</w:t>
      </w:r>
      <w:r w:rsidRPr="00BE0AA8">
        <w:t xml:space="preserve"> </w:t>
      </w:r>
      <w:r w:rsidR="00597E99" w:rsidRPr="00BE0AA8">
        <w:t>t</w:t>
      </w:r>
      <w:r w:rsidRPr="00BE0AA8">
        <w:t>he colour scale represent</w:t>
      </w:r>
      <w:r w:rsidR="00597E99" w:rsidRPr="00BE0AA8">
        <w:t>ing</w:t>
      </w:r>
      <w:r w:rsidRPr="00BE0AA8">
        <w:t xml:space="preserve"> the tilt derivative values, ranging from 1.63 (dark blue) to 1.55 (pink).</w:t>
      </w:r>
      <w:r w:rsidR="00597E99" w:rsidRPr="00BE0AA8">
        <w:t xml:space="preserve"> Except at the central, northern and small other areas like the south west corner of the study area, over 60% of the study area is pronounced by warm colours, suggesting the presence of deeper and less magnetic materials. </w:t>
      </w:r>
      <w:r w:rsidR="00620FC0" w:rsidRPr="00BE0AA8">
        <w:t>In the magnetic Euler deconvolution map (Figure</w:t>
      </w:r>
      <w:r w:rsidRPr="00BE0AA8">
        <w:t xml:space="preserve"> </w:t>
      </w:r>
      <w:r w:rsidR="00D37012">
        <w:t>10</w:t>
      </w:r>
      <w:r w:rsidR="00620FC0" w:rsidRPr="00BE0AA8">
        <w:t xml:space="preserve">), </w:t>
      </w:r>
      <w:r w:rsidR="00A04C1A" w:rsidRPr="00BE0AA8">
        <w:t xml:space="preserve">At the central part of the map is a notable cluster with a mix of depths (&lt; 1000 m). </w:t>
      </w:r>
      <w:r w:rsidR="00BE0AA8" w:rsidRPr="00BE0AA8">
        <w:t>These shallower anomalies (blue and green points)</w:t>
      </w:r>
      <w:r w:rsidR="00A04C1A" w:rsidRPr="00BE0AA8">
        <w:t xml:space="preserve"> correspond to surface-level features observed around regions like Minna, </w:t>
      </w:r>
      <w:proofErr w:type="spellStart"/>
      <w:r w:rsidR="00A04C1A" w:rsidRPr="00BE0AA8">
        <w:t>Paikoro</w:t>
      </w:r>
      <w:proofErr w:type="spellEnd"/>
      <w:r w:rsidR="00A04C1A" w:rsidRPr="00BE0AA8">
        <w:t xml:space="preserve">, </w:t>
      </w:r>
      <w:proofErr w:type="spellStart"/>
      <w:r w:rsidR="00A04C1A" w:rsidRPr="00BE0AA8">
        <w:t>Bosso</w:t>
      </w:r>
      <w:proofErr w:type="spellEnd"/>
      <w:r w:rsidR="00A04C1A" w:rsidRPr="00BE0AA8">
        <w:t xml:space="preserve">, </w:t>
      </w:r>
      <w:proofErr w:type="spellStart"/>
      <w:r w:rsidR="00A04C1A" w:rsidRPr="00BE0AA8">
        <w:t>Abaji</w:t>
      </w:r>
      <w:proofErr w:type="spellEnd"/>
      <w:r w:rsidR="00A04C1A" w:rsidRPr="00BE0AA8">
        <w:t xml:space="preserve">, </w:t>
      </w:r>
      <w:proofErr w:type="spellStart"/>
      <w:r w:rsidR="00A04C1A" w:rsidRPr="00BE0AA8">
        <w:t>Munya</w:t>
      </w:r>
      <w:proofErr w:type="spellEnd"/>
      <w:r w:rsidR="00A04C1A" w:rsidRPr="00BE0AA8">
        <w:t xml:space="preserve">, </w:t>
      </w:r>
      <w:proofErr w:type="spellStart"/>
      <w:r w:rsidR="00A04C1A" w:rsidRPr="00BE0AA8">
        <w:t>Wushishi</w:t>
      </w:r>
      <w:proofErr w:type="spellEnd"/>
      <w:r w:rsidR="00A04C1A" w:rsidRPr="00BE0AA8">
        <w:t xml:space="preserve">, Rafi. </w:t>
      </w:r>
      <w:r w:rsidR="00620FC0" w:rsidRPr="00BE0AA8">
        <w:t xml:space="preserve">The deeper anomalies (pink and red points) </w:t>
      </w:r>
      <w:r w:rsidR="00A04C1A" w:rsidRPr="00BE0AA8">
        <w:t>notable majorly as the linear trends running northwest to south indicates complex geological structures favourable for mineral deposition.</w:t>
      </w:r>
      <w:r w:rsidR="00620FC0" w:rsidRPr="00BE0AA8">
        <w:t xml:space="preserve"> </w:t>
      </w:r>
      <w:r w:rsidR="00FD1931" w:rsidRPr="00BE0AA8">
        <w:t>These deep dense clusters of points represented by the pink and red points (&gt; 1000 m) indicates deeper geological structures that could be associated with mineralization processes.</w:t>
      </w:r>
      <w:r w:rsidR="00A04C1A" w:rsidRPr="00BE0AA8">
        <w:t xml:space="preserve"> </w:t>
      </w:r>
    </w:p>
    <w:p w14:paraId="5E6845B6" w14:textId="77777777" w:rsidR="001F6852" w:rsidRDefault="001F6852" w:rsidP="001F6852">
      <w:pPr>
        <w:pStyle w:val="Heading4"/>
        <w:spacing w:line="276" w:lineRule="auto"/>
        <w:jc w:val="both"/>
        <w:rPr>
          <w:rStyle w:val="Strong"/>
          <w:rFonts w:ascii="Times New Roman" w:hAnsi="Times New Roman" w:cs="Times New Roman"/>
          <w:color w:val="auto"/>
          <w:sz w:val="24"/>
          <w:szCs w:val="24"/>
        </w:rPr>
      </w:pPr>
    </w:p>
    <w:p w14:paraId="38CF6FCE" w14:textId="0563BD78" w:rsidR="001F6852" w:rsidRPr="00BE0AA8" w:rsidRDefault="001F6852" w:rsidP="0067565A">
      <w:pPr>
        <w:pStyle w:val="Heading4"/>
        <w:spacing w:before="0" w:line="276" w:lineRule="auto"/>
        <w:jc w:val="both"/>
        <w:rPr>
          <w:rFonts w:ascii="Times New Roman" w:hAnsi="Times New Roman" w:cs="Times New Roman"/>
          <w:color w:val="auto"/>
          <w:sz w:val="24"/>
          <w:szCs w:val="24"/>
        </w:rPr>
      </w:pPr>
      <w:r w:rsidRPr="00BE0AA8">
        <w:rPr>
          <w:rStyle w:val="Strong"/>
          <w:rFonts w:ascii="Times New Roman" w:hAnsi="Times New Roman" w:cs="Times New Roman"/>
          <w:color w:val="auto"/>
          <w:sz w:val="24"/>
          <w:szCs w:val="24"/>
        </w:rPr>
        <w:t>5.3 Integrated Structural Analysis</w:t>
      </w:r>
    </w:p>
    <w:p w14:paraId="652ADF8F" w14:textId="09EE2F25" w:rsidR="001F6852" w:rsidRPr="00BE0AA8" w:rsidRDefault="001F6852" w:rsidP="0067565A">
      <w:pPr>
        <w:pStyle w:val="NormalWeb"/>
        <w:spacing w:before="0" w:beforeAutospacing="0" w:line="276" w:lineRule="auto"/>
        <w:jc w:val="both"/>
      </w:pPr>
      <w:r w:rsidRPr="00BE0AA8">
        <w:t xml:space="preserve">Integration of gravity and magnetic derivatives (Figure </w:t>
      </w:r>
      <w:r w:rsidR="00D37012">
        <w:t>11</w:t>
      </w:r>
      <w:r w:rsidRPr="00BE0AA8">
        <w:t xml:space="preserve">) identifies at least </w:t>
      </w:r>
      <w:r w:rsidRPr="00BE0AA8">
        <w:rPr>
          <w:rStyle w:val="Strong"/>
          <w:b w:val="0"/>
          <w:bCs w:val="0"/>
        </w:rPr>
        <w:t>48 major lineaments</w:t>
      </w:r>
      <w:r w:rsidRPr="00BE0AA8">
        <w:rPr>
          <w:b/>
          <w:bCs/>
        </w:rPr>
        <w:t>,</w:t>
      </w:r>
      <w:r w:rsidRPr="00BE0AA8">
        <w:t xml:space="preserve"> with dominant NE–SW orientations (45% of total) and secondary NW–SE trends (33%). The structural intersections cluster particularly in </w:t>
      </w:r>
      <w:r w:rsidRPr="00BE0AA8">
        <w:rPr>
          <w:rStyle w:val="Strong"/>
          <w:b w:val="0"/>
          <w:bCs w:val="0"/>
        </w:rPr>
        <w:t>Minna–</w:t>
      </w:r>
      <w:proofErr w:type="spellStart"/>
      <w:r w:rsidRPr="00BE0AA8">
        <w:rPr>
          <w:rStyle w:val="Strong"/>
          <w:b w:val="0"/>
          <w:bCs w:val="0"/>
        </w:rPr>
        <w:t>Paikoro</w:t>
      </w:r>
      <w:proofErr w:type="spellEnd"/>
      <w:r w:rsidRPr="00BE0AA8">
        <w:rPr>
          <w:rStyle w:val="Strong"/>
          <w:b w:val="0"/>
          <w:bCs w:val="0"/>
        </w:rPr>
        <w:t xml:space="preserve"> axis</w:t>
      </w:r>
      <w:r w:rsidRPr="00BE0AA8">
        <w:t xml:space="preserve"> can be said to be associated with gold occurrences as the </w:t>
      </w:r>
      <w:proofErr w:type="spellStart"/>
      <w:r w:rsidRPr="00BE0AA8">
        <w:rPr>
          <w:rStyle w:val="Strong"/>
          <w:b w:val="0"/>
          <w:bCs w:val="0"/>
        </w:rPr>
        <w:t>Abaji</w:t>
      </w:r>
      <w:proofErr w:type="spellEnd"/>
      <w:r w:rsidRPr="00BE0AA8">
        <w:rPr>
          <w:rStyle w:val="Strong"/>
          <w:b w:val="0"/>
          <w:bCs w:val="0"/>
        </w:rPr>
        <w:t xml:space="preserve"> corridor</w:t>
      </w:r>
      <w:r w:rsidRPr="00BE0AA8">
        <w:rPr>
          <w:b/>
          <w:bCs/>
        </w:rPr>
        <w:t xml:space="preserve"> </w:t>
      </w:r>
      <w:r w:rsidRPr="00BE0AA8">
        <w:t xml:space="preserve">as documented by </w:t>
      </w:r>
      <w:r>
        <w:t>Ayuba</w:t>
      </w:r>
      <w:r w:rsidRPr="00BE0AA8">
        <w:t xml:space="preserve"> and </w:t>
      </w:r>
      <w:r>
        <w:t>Abu</w:t>
      </w:r>
      <w:r w:rsidRPr="00BE0AA8">
        <w:t xml:space="preserve"> 2024 is said to host multiple artisanal gold workings. The </w:t>
      </w:r>
      <w:r w:rsidRPr="00BE0AA8">
        <w:rPr>
          <w:rStyle w:val="Strong"/>
          <w:b w:val="0"/>
          <w:bCs w:val="0"/>
        </w:rPr>
        <w:t xml:space="preserve">northern </w:t>
      </w:r>
      <w:proofErr w:type="spellStart"/>
      <w:r w:rsidRPr="00BE0AA8">
        <w:rPr>
          <w:rStyle w:val="Strong"/>
          <w:b w:val="0"/>
          <w:bCs w:val="0"/>
        </w:rPr>
        <w:t>Lapai</w:t>
      </w:r>
      <w:proofErr w:type="spellEnd"/>
      <w:r w:rsidRPr="00BE0AA8">
        <w:rPr>
          <w:rStyle w:val="Strong"/>
          <w:b w:val="0"/>
          <w:bCs w:val="0"/>
        </w:rPr>
        <w:t xml:space="preserve"> zone is c</w:t>
      </w:r>
      <w:r w:rsidRPr="00BE0AA8">
        <w:t xml:space="preserve">haracterized by deep-seated faults inferred from gravity lows coupled with magnetic breaks. Overlaying the structural derivative map on the mineral occurrence map (Figure </w:t>
      </w:r>
      <w:r w:rsidR="00D37012">
        <w:t>12</w:t>
      </w:r>
      <w:r w:rsidRPr="00BE0AA8">
        <w:t>) and metallogenic map</w:t>
      </w:r>
      <w:r>
        <w:t xml:space="preserve"> </w:t>
      </w:r>
      <w:r w:rsidRPr="00BE0AA8">
        <w:t xml:space="preserve">(Figure </w:t>
      </w:r>
      <w:r w:rsidR="00D37012">
        <w:t>13</w:t>
      </w:r>
      <w:r w:rsidRPr="00BE0AA8">
        <w:t xml:space="preserve">), over </w:t>
      </w:r>
      <w:r w:rsidRPr="00BE0AA8">
        <w:rPr>
          <w:rStyle w:val="Strong"/>
          <w:b w:val="0"/>
          <w:bCs w:val="0"/>
        </w:rPr>
        <w:t>72%</w:t>
      </w:r>
      <w:r w:rsidRPr="00BE0AA8">
        <w:rPr>
          <w:b/>
          <w:bCs/>
        </w:rPr>
        <w:t xml:space="preserve"> </w:t>
      </w:r>
      <w:r w:rsidRPr="00BE0AA8">
        <w:t xml:space="preserve">of known gold occurrences fall within </w:t>
      </w:r>
      <w:r w:rsidRPr="00BE0AA8">
        <w:rPr>
          <w:rStyle w:val="Strong"/>
          <w:b w:val="0"/>
          <w:bCs w:val="0"/>
        </w:rPr>
        <w:t>2 km</w:t>
      </w:r>
      <w:r w:rsidRPr="00BE0AA8">
        <w:t xml:space="preserve"> of these mapped structures, </w:t>
      </w:r>
    </w:p>
    <w:p w14:paraId="0BC25CA4" w14:textId="1BA81450" w:rsidR="00022B20" w:rsidRPr="00BE0AA8" w:rsidRDefault="00022B20" w:rsidP="00A1062E">
      <w:pPr>
        <w:pStyle w:val="NormalWeb"/>
        <w:spacing w:line="276" w:lineRule="auto"/>
        <w:jc w:val="both"/>
        <w:rPr>
          <w:lang w:val="en-US"/>
        </w:rPr>
      </w:pPr>
      <w:r w:rsidRPr="00BE0AA8">
        <w:rPr>
          <w:noProof/>
          <w:lang w:val="en-US"/>
        </w:rPr>
        <w:drawing>
          <wp:inline distT="0" distB="0" distL="0" distR="0" wp14:anchorId="24953942" wp14:editId="62E21AC2">
            <wp:extent cx="5731510" cy="3812146"/>
            <wp:effectExtent l="0" t="0" r="2540" b="0"/>
            <wp:docPr id="7818858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947"/>
                    <a:stretch/>
                  </pic:blipFill>
                  <pic:spPr bwMode="auto">
                    <a:xfrm>
                      <a:off x="0" y="0"/>
                      <a:ext cx="5731510" cy="3812146"/>
                    </a:xfrm>
                    <a:prstGeom prst="rect">
                      <a:avLst/>
                    </a:prstGeom>
                    <a:noFill/>
                    <a:ln>
                      <a:noFill/>
                    </a:ln>
                    <a:extLst>
                      <a:ext uri="{53640926-AAD7-44D8-BBD7-CCE9431645EC}">
                        <a14:shadowObscured xmlns:a14="http://schemas.microsoft.com/office/drawing/2010/main"/>
                      </a:ext>
                    </a:extLst>
                  </pic:spPr>
                </pic:pic>
              </a:graphicData>
            </a:graphic>
          </wp:inline>
        </w:drawing>
      </w:r>
    </w:p>
    <w:p w14:paraId="0F371D55" w14:textId="5E77D67C" w:rsidR="001055D3" w:rsidRPr="00BE0AA8" w:rsidRDefault="001055D3" w:rsidP="00A1062E">
      <w:pPr>
        <w:pStyle w:val="NormalWeb"/>
        <w:spacing w:line="276" w:lineRule="auto"/>
        <w:jc w:val="both"/>
      </w:pPr>
      <w:r w:rsidRPr="00BE0AA8">
        <w:lastRenderedPageBreak/>
        <w:t xml:space="preserve">Figure </w:t>
      </w:r>
      <w:r w:rsidR="00D37012">
        <w:t>6</w:t>
      </w:r>
      <w:r w:rsidRPr="00BE0AA8">
        <w:t>: Reduction to Equator (RTE) map</w:t>
      </w:r>
    </w:p>
    <w:p w14:paraId="64660841"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719B1EF1" wp14:editId="66FEF3B7">
            <wp:extent cx="5731510" cy="3842385"/>
            <wp:effectExtent l="0" t="0" r="2540" b="5715"/>
            <wp:docPr id="958585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188"/>
                    <a:stretch/>
                  </pic:blipFill>
                  <pic:spPr bwMode="auto">
                    <a:xfrm>
                      <a:off x="0" y="0"/>
                      <a:ext cx="5731510" cy="3842385"/>
                    </a:xfrm>
                    <a:prstGeom prst="rect">
                      <a:avLst/>
                    </a:prstGeom>
                    <a:noFill/>
                    <a:ln>
                      <a:noFill/>
                    </a:ln>
                    <a:extLst>
                      <a:ext uri="{53640926-AAD7-44D8-BBD7-CCE9431645EC}">
                        <a14:shadowObscured xmlns:a14="http://schemas.microsoft.com/office/drawing/2010/main"/>
                      </a:ext>
                    </a:extLst>
                  </pic:spPr>
                </pic:pic>
              </a:graphicData>
            </a:graphic>
          </wp:inline>
        </w:drawing>
      </w:r>
    </w:p>
    <w:p w14:paraId="39579FD2" w14:textId="737ADEAA" w:rsidR="00976E87" w:rsidRPr="00BE0AA8" w:rsidRDefault="00976E87" w:rsidP="00A1062E">
      <w:pPr>
        <w:pStyle w:val="NormalWeb"/>
        <w:spacing w:line="276" w:lineRule="auto"/>
        <w:jc w:val="both"/>
      </w:pPr>
      <w:r w:rsidRPr="00BE0AA8">
        <w:rPr>
          <w:rStyle w:val="Emphasis"/>
          <w:i w:val="0"/>
          <w:iCs w:val="0"/>
        </w:rPr>
        <w:t xml:space="preserve">Figure </w:t>
      </w:r>
      <w:r w:rsidR="00D37012">
        <w:rPr>
          <w:rStyle w:val="Emphasis"/>
          <w:i w:val="0"/>
          <w:iCs w:val="0"/>
        </w:rPr>
        <w:t>7</w:t>
      </w:r>
      <w:r w:rsidRPr="00BE0AA8">
        <w:rPr>
          <w:rStyle w:val="Emphasis"/>
          <w:i w:val="0"/>
          <w:iCs w:val="0"/>
        </w:rPr>
        <w:t>:</w:t>
      </w:r>
      <w:r w:rsidRPr="00BE0AA8">
        <w:t xml:space="preserve"> Magnetic First Vertical Derivative (FVD) map</w:t>
      </w:r>
    </w:p>
    <w:p w14:paraId="412CF9A9"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48D53455" wp14:editId="36457B51">
            <wp:extent cx="5731510" cy="3830595"/>
            <wp:effectExtent l="0" t="0" r="2540" b="0"/>
            <wp:docPr id="127817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492"/>
                    <a:stretch/>
                  </pic:blipFill>
                  <pic:spPr bwMode="auto">
                    <a:xfrm>
                      <a:off x="0" y="0"/>
                      <a:ext cx="5731510" cy="3830595"/>
                    </a:xfrm>
                    <a:prstGeom prst="rect">
                      <a:avLst/>
                    </a:prstGeom>
                    <a:noFill/>
                    <a:ln>
                      <a:noFill/>
                    </a:ln>
                    <a:extLst>
                      <a:ext uri="{53640926-AAD7-44D8-BBD7-CCE9431645EC}">
                        <a14:shadowObscured xmlns:a14="http://schemas.microsoft.com/office/drawing/2010/main"/>
                      </a:ext>
                    </a:extLst>
                  </pic:spPr>
                </pic:pic>
              </a:graphicData>
            </a:graphic>
          </wp:inline>
        </w:drawing>
      </w:r>
    </w:p>
    <w:p w14:paraId="75729BF0" w14:textId="2D1924D0" w:rsidR="00976E87" w:rsidRPr="00BE0AA8" w:rsidRDefault="00976E87" w:rsidP="00A1062E">
      <w:pPr>
        <w:pStyle w:val="NormalWeb"/>
        <w:spacing w:line="276" w:lineRule="auto"/>
        <w:jc w:val="both"/>
        <w:rPr>
          <w:b/>
          <w:bCs/>
          <w:lang w:val="en-US"/>
        </w:rPr>
      </w:pPr>
      <w:r w:rsidRPr="00BE0AA8">
        <w:lastRenderedPageBreak/>
        <w:t xml:space="preserve">Figure </w:t>
      </w:r>
      <w:r w:rsidR="00D37012">
        <w:t>8</w:t>
      </w:r>
      <w:r w:rsidRPr="00BE0AA8">
        <w:t>: Magnetic Analytical Signal map</w:t>
      </w:r>
    </w:p>
    <w:p w14:paraId="47187412" w14:textId="77777777" w:rsidR="00976E87" w:rsidRPr="00BE0AA8" w:rsidRDefault="00976E87" w:rsidP="00A1062E">
      <w:pPr>
        <w:pStyle w:val="NormalWeb"/>
        <w:spacing w:line="276" w:lineRule="auto"/>
        <w:jc w:val="both"/>
        <w:rPr>
          <w:b/>
          <w:bCs/>
          <w:lang w:val="en-US"/>
        </w:rPr>
      </w:pPr>
      <w:r w:rsidRPr="00BE0AA8">
        <w:rPr>
          <w:b/>
          <w:bCs/>
          <w:noProof/>
          <w:lang w:val="en-US"/>
        </w:rPr>
        <w:drawing>
          <wp:inline distT="0" distB="0" distL="0" distR="0" wp14:anchorId="28C25D89" wp14:editId="438B15C7">
            <wp:extent cx="5731510" cy="3805881"/>
            <wp:effectExtent l="0" t="0" r="2540" b="4445"/>
            <wp:docPr id="19989186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102"/>
                    <a:stretch/>
                  </pic:blipFill>
                  <pic:spPr bwMode="auto">
                    <a:xfrm>
                      <a:off x="0" y="0"/>
                      <a:ext cx="5731510" cy="3805881"/>
                    </a:xfrm>
                    <a:prstGeom prst="rect">
                      <a:avLst/>
                    </a:prstGeom>
                    <a:noFill/>
                    <a:ln>
                      <a:noFill/>
                    </a:ln>
                    <a:extLst>
                      <a:ext uri="{53640926-AAD7-44D8-BBD7-CCE9431645EC}">
                        <a14:shadowObscured xmlns:a14="http://schemas.microsoft.com/office/drawing/2010/main"/>
                      </a:ext>
                    </a:extLst>
                  </pic:spPr>
                </pic:pic>
              </a:graphicData>
            </a:graphic>
          </wp:inline>
        </w:drawing>
      </w:r>
    </w:p>
    <w:p w14:paraId="1029A597" w14:textId="5304A5CF" w:rsidR="00976E87" w:rsidRPr="00BE0AA8" w:rsidRDefault="00976E87" w:rsidP="00A1062E">
      <w:pPr>
        <w:spacing w:line="276" w:lineRule="auto"/>
        <w:jc w:val="both"/>
        <w:rPr>
          <w:rFonts w:ascii="Times New Roman" w:hAnsi="Times New Roman" w:cs="Times New Roman"/>
          <w:sz w:val="24"/>
          <w:szCs w:val="24"/>
        </w:rPr>
      </w:pPr>
      <w:r w:rsidRPr="00BE0AA8">
        <w:rPr>
          <w:rFonts w:ascii="Times New Roman" w:hAnsi="Times New Roman" w:cs="Times New Roman"/>
          <w:sz w:val="24"/>
          <w:szCs w:val="24"/>
        </w:rPr>
        <w:t xml:space="preserve">Figure </w:t>
      </w:r>
      <w:r w:rsidR="00D37012">
        <w:rPr>
          <w:rFonts w:ascii="Times New Roman" w:hAnsi="Times New Roman" w:cs="Times New Roman"/>
          <w:sz w:val="24"/>
          <w:szCs w:val="24"/>
        </w:rPr>
        <w:t>9</w:t>
      </w:r>
      <w:r w:rsidRPr="00BE0AA8">
        <w:rPr>
          <w:rFonts w:ascii="Times New Roman" w:hAnsi="Times New Roman" w:cs="Times New Roman"/>
          <w:sz w:val="24"/>
          <w:szCs w:val="24"/>
        </w:rPr>
        <w:t xml:space="preserve">: Magnetic Tilt Derivative (TD) Map </w:t>
      </w:r>
    </w:p>
    <w:p w14:paraId="5F62B6AF" w14:textId="77777777" w:rsidR="00976E87" w:rsidRPr="00BE0AA8" w:rsidRDefault="00976E87" w:rsidP="00A1062E">
      <w:pPr>
        <w:pStyle w:val="NormalWeb"/>
        <w:spacing w:line="276" w:lineRule="auto"/>
        <w:jc w:val="both"/>
        <w:rPr>
          <w:lang w:val="en-US"/>
        </w:rPr>
      </w:pPr>
      <w:r w:rsidRPr="00BE0AA8">
        <w:rPr>
          <w:noProof/>
          <w:lang w:val="en-US"/>
        </w:rPr>
        <w:drawing>
          <wp:inline distT="0" distB="0" distL="0" distR="0" wp14:anchorId="53F401B2" wp14:editId="52F1F389">
            <wp:extent cx="5731510" cy="3862316"/>
            <wp:effectExtent l="0" t="0" r="2540" b="5080"/>
            <wp:docPr id="448694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709"/>
                    <a:stretch/>
                  </pic:blipFill>
                  <pic:spPr bwMode="auto">
                    <a:xfrm>
                      <a:off x="0" y="0"/>
                      <a:ext cx="5731510" cy="3862316"/>
                    </a:xfrm>
                    <a:prstGeom prst="rect">
                      <a:avLst/>
                    </a:prstGeom>
                    <a:noFill/>
                    <a:ln>
                      <a:noFill/>
                    </a:ln>
                    <a:extLst>
                      <a:ext uri="{53640926-AAD7-44D8-BBD7-CCE9431645EC}">
                        <a14:shadowObscured xmlns:a14="http://schemas.microsoft.com/office/drawing/2010/main"/>
                      </a:ext>
                    </a:extLst>
                  </pic:spPr>
                </pic:pic>
              </a:graphicData>
            </a:graphic>
          </wp:inline>
        </w:drawing>
      </w:r>
    </w:p>
    <w:p w14:paraId="6907311D" w14:textId="2EB10DB4" w:rsidR="00976E87" w:rsidRPr="00BE0AA8" w:rsidRDefault="00976E87" w:rsidP="00A1062E">
      <w:pPr>
        <w:spacing w:line="276" w:lineRule="auto"/>
        <w:jc w:val="both"/>
        <w:rPr>
          <w:rFonts w:ascii="Times New Roman" w:hAnsi="Times New Roman" w:cs="Times New Roman"/>
          <w:sz w:val="24"/>
          <w:szCs w:val="24"/>
        </w:rPr>
      </w:pPr>
      <w:r w:rsidRPr="00BE0AA8">
        <w:rPr>
          <w:rFonts w:ascii="Times New Roman" w:hAnsi="Times New Roman" w:cs="Times New Roman"/>
          <w:sz w:val="24"/>
          <w:szCs w:val="24"/>
        </w:rPr>
        <w:lastRenderedPageBreak/>
        <w:t xml:space="preserve">Figure </w:t>
      </w:r>
      <w:r w:rsidR="00D37012">
        <w:rPr>
          <w:rFonts w:ascii="Times New Roman" w:hAnsi="Times New Roman" w:cs="Times New Roman"/>
          <w:sz w:val="24"/>
          <w:szCs w:val="24"/>
        </w:rPr>
        <w:t>10</w:t>
      </w:r>
      <w:r w:rsidRPr="00BE0AA8">
        <w:rPr>
          <w:rFonts w:ascii="Times New Roman" w:hAnsi="Times New Roman" w:cs="Times New Roman"/>
          <w:sz w:val="24"/>
          <w:szCs w:val="24"/>
        </w:rPr>
        <w:t>: Euler Deconvolution map of Structural Index of one (SI = 1)</w:t>
      </w:r>
    </w:p>
    <w:p w14:paraId="4E851BB9" w14:textId="198EA231" w:rsidR="00FD1931" w:rsidRPr="00BE0AA8" w:rsidRDefault="00FD1931" w:rsidP="00A1062E">
      <w:pPr>
        <w:pStyle w:val="NormalWeb"/>
        <w:spacing w:line="276" w:lineRule="auto"/>
        <w:jc w:val="both"/>
        <w:rPr>
          <w:lang w:val="en-US"/>
        </w:rPr>
      </w:pPr>
      <w:r w:rsidRPr="00BE0AA8">
        <w:rPr>
          <w:noProof/>
          <w:lang w:val="en-US"/>
        </w:rPr>
        <w:drawing>
          <wp:inline distT="0" distB="0" distL="0" distR="0" wp14:anchorId="06ED0929" wp14:editId="177A7CD1">
            <wp:extent cx="5730875" cy="3703705"/>
            <wp:effectExtent l="0" t="0" r="3175" b="0"/>
            <wp:docPr id="1313800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883"/>
                    <a:stretch/>
                  </pic:blipFill>
                  <pic:spPr bwMode="auto">
                    <a:xfrm>
                      <a:off x="0" y="0"/>
                      <a:ext cx="5736205" cy="3707149"/>
                    </a:xfrm>
                    <a:prstGeom prst="rect">
                      <a:avLst/>
                    </a:prstGeom>
                    <a:noFill/>
                    <a:ln>
                      <a:noFill/>
                    </a:ln>
                    <a:extLst>
                      <a:ext uri="{53640926-AAD7-44D8-BBD7-CCE9431645EC}">
                        <a14:shadowObscured xmlns:a14="http://schemas.microsoft.com/office/drawing/2010/main"/>
                      </a:ext>
                    </a:extLst>
                  </pic:spPr>
                </pic:pic>
              </a:graphicData>
            </a:graphic>
          </wp:inline>
        </w:drawing>
      </w:r>
    </w:p>
    <w:p w14:paraId="769756D3" w14:textId="459B1B6F" w:rsidR="00BE0AA8" w:rsidRPr="00BE0AA8" w:rsidRDefault="00BE0AA8" w:rsidP="00A1062E">
      <w:pPr>
        <w:pStyle w:val="NormalWeb"/>
        <w:spacing w:line="276" w:lineRule="auto"/>
        <w:jc w:val="both"/>
        <w:rPr>
          <w:lang w:val="en-US"/>
        </w:rPr>
      </w:pPr>
      <w:r w:rsidRPr="00BE0AA8">
        <w:t xml:space="preserve">Figure </w:t>
      </w:r>
      <w:r w:rsidR="00D37012">
        <w:t>11</w:t>
      </w:r>
      <w:r w:rsidRPr="00BE0AA8">
        <w:t xml:space="preserve">: Gravity and Magnetic structural derivatives extracted FVD, AS and Tilt </w:t>
      </w:r>
      <w:proofErr w:type="spellStart"/>
      <w:r w:rsidRPr="00BE0AA8">
        <w:t>Derivaratives</w:t>
      </w:r>
      <w:proofErr w:type="spellEnd"/>
    </w:p>
    <w:p w14:paraId="36DA8EA8" w14:textId="77777777" w:rsidR="00BE0AA8" w:rsidRPr="00BE0AA8" w:rsidRDefault="00BE0AA8" w:rsidP="00A1062E">
      <w:pPr>
        <w:pStyle w:val="NormalWeb"/>
        <w:spacing w:line="276" w:lineRule="auto"/>
        <w:jc w:val="both"/>
        <w:rPr>
          <w:rStyle w:val="Strong"/>
        </w:rPr>
      </w:pPr>
      <w:r w:rsidRPr="00BE0AA8">
        <w:rPr>
          <w:noProof/>
        </w:rPr>
        <w:drawing>
          <wp:inline distT="0" distB="0" distL="0" distR="0" wp14:anchorId="7B7FE69C" wp14:editId="08F70BE6">
            <wp:extent cx="5731510" cy="3757492"/>
            <wp:effectExtent l="0" t="0" r="2540" b="0"/>
            <wp:docPr id="488549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6689" cy="3760887"/>
                    </a:xfrm>
                    <a:prstGeom prst="rect">
                      <a:avLst/>
                    </a:prstGeom>
                    <a:noFill/>
                    <a:ln>
                      <a:noFill/>
                    </a:ln>
                  </pic:spPr>
                </pic:pic>
              </a:graphicData>
            </a:graphic>
          </wp:inline>
        </w:drawing>
      </w:r>
    </w:p>
    <w:p w14:paraId="799F9E11" w14:textId="7319EFF8" w:rsidR="00BE0AA8" w:rsidRPr="00BE0AA8" w:rsidRDefault="00BE0AA8" w:rsidP="00A1062E">
      <w:pPr>
        <w:pStyle w:val="NormalWeb"/>
        <w:spacing w:line="276" w:lineRule="auto"/>
        <w:jc w:val="both"/>
      </w:pPr>
      <w:r w:rsidRPr="00BE0AA8">
        <w:lastRenderedPageBreak/>
        <w:t xml:space="preserve">Figure </w:t>
      </w:r>
      <w:r w:rsidR="00D37012">
        <w:t>12</w:t>
      </w:r>
      <w:r w:rsidRPr="00BE0AA8">
        <w:t>: Gravity and Magnetic structural derivative overlayed on Mineral resources map of the study area (extracted from the NGSA online map archives)</w:t>
      </w:r>
    </w:p>
    <w:p w14:paraId="262A90B4" w14:textId="77777777" w:rsidR="00BE0AA8" w:rsidRPr="00BE0AA8" w:rsidRDefault="00BE0AA8" w:rsidP="00A1062E">
      <w:pPr>
        <w:spacing w:before="100" w:beforeAutospacing="1" w:after="100" w:afterAutospacing="1" w:line="276" w:lineRule="auto"/>
        <w:jc w:val="both"/>
        <w:rPr>
          <w:rFonts w:ascii="Times New Roman" w:eastAsia="Times New Roman" w:hAnsi="Times New Roman" w:cs="Times New Roman"/>
          <w:sz w:val="24"/>
          <w:szCs w:val="24"/>
          <w:lang w:val="en-US" w:eastAsia="en-GB"/>
        </w:rPr>
      </w:pPr>
      <w:r w:rsidRPr="00BE0AA8">
        <w:rPr>
          <w:rFonts w:ascii="Times New Roman" w:eastAsia="Times New Roman" w:hAnsi="Times New Roman" w:cs="Times New Roman"/>
          <w:noProof/>
          <w:sz w:val="24"/>
          <w:szCs w:val="24"/>
          <w:lang w:val="en-US" w:eastAsia="en-GB"/>
        </w:rPr>
        <w:drawing>
          <wp:inline distT="0" distB="0" distL="0" distR="0" wp14:anchorId="31B20D1D" wp14:editId="3F8D631B">
            <wp:extent cx="5731510" cy="3588444"/>
            <wp:effectExtent l="0" t="0" r="2540" b="0"/>
            <wp:docPr id="459923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8968" cy="3593113"/>
                    </a:xfrm>
                    <a:prstGeom prst="rect">
                      <a:avLst/>
                    </a:prstGeom>
                    <a:noFill/>
                    <a:ln>
                      <a:noFill/>
                    </a:ln>
                  </pic:spPr>
                </pic:pic>
              </a:graphicData>
            </a:graphic>
          </wp:inline>
        </w:drawing>
      </w:r>
    </w:p>
    <w:p w14:paraId="49FE0928" w14:textId="1689061E" w:rsidR="00BE0AA8" w:rsidRPr="00BE0AA8" w:rsidRDefault="00BE0AA8" w:rsidP="00A1062E">
      <w:pPr>
        <w:pStyle w:val="NormalWeb"/>
        <w:spacing w:line="276" w:lineRule="auto"/>
        <w:jc w:val="both"/>
      </w:pPr>
      <w:r w:rsidRPr="00BE0AA8">
        <w:t xml:space="preserve">Figure </w:t>
      </w:r>
      <w:r w:rsidR="00D37012">
        <w:t>13</w:t>
      </w:r>
      <w:r w:rsidRPr="00BE0AA8">
        <w:t xml:space="preserve">: Gravity and Magnetic structural derivative overlayed on </w:t>
      </w:r>
      <w:r w:rsidR="008438C5" w:rsidRPr="00BE0AA8">
        <w:t>Metal</w:t>
      </w:r>
      <w:r w:rsidR="008438C5">
        <w:t>l</w:t>
      </w:r>
      <w:r w:rsidR="008438C5" w:rsidRPr="00BE0AA8">
        <w:t>o</w:t>
      </w:r>
      <w:r w:rsidR="0005240F">
        <w:t>genic</w:t>
      </w:r>
      <w:r w:rsidRPr="00BE0AA8">
        <w:t xml:space="preserve"> map of the study area (extracted from the NGSA online map a</w:t>
      </w:r>
      <w:r w:rsidR="008438C5">
        <w:t>r</w:t>
      </w:r>
      <w:r w:rsidRPr="00BE0AA8">
        <w:t>chives)</w:t>
      </w:r>
    </w:p>
    <w:p w14:paraId="44A7416B" w14:textId="77777777" w:rsidR="001F6852" w:rsidRPr="00BE0AA8" w:rsidRDefault="001F6852" w:rsidP="001F6852">
      <w:pPr>
        <w:pStyle w:val="NormalWeb"/>
        <w:spacing w:line="276" w:lineRule="auto"/>
        <w:jc w:val="both"/>
      </w:pPr>
      <w:r w:rsidRPr="00BE0AA8">
        <w:t>with many located at triple junctions where three or more faults converge. These structural relationships strongly suggest that mineralization is controlled by fault permeability and associated hydrothermal fluid pathways.</w:t>
      </w:r>
    </w:p>
    <w:p w14:paraId="7D9D84AB" w14:textId="09676BD4" w:rsidR="00022B20" w:rsidRPr="00BE0AA8" w:rsidRDefault="00022B20" w:rsidP="00A1062E">
      <w:pPr>
        <w:pStyle w:val="NormalWeb"/>
        <w:spacing w:line="276" w:lineRule="auto"/>
        <w:jc w:val="both"/>
        <w:rPr>
          <w:lang w:val="en-US"/>
        </w:rPr>
      </w:pPr>
    </w:p>
    <w:p w14:paraId="7E04A17C" w14:textId="0612E2D1" w:rsidR="00B82630" w:rsidRPr="00BE0AA8" w:rsidRDefault="00057016" w:rsidP="00A1062E">
      <w:pPr>
        <w:pStyle w:val="Heading3"/>
        <w:spacing w:line="276" w:lineRule="auto"/>
        <w:jc w:val="both"/>
        <w:rPr>
          <w:b w:val="0"/>
          <w:bCs w:val="0"/>
          <w:sz w:val="24"/>
          <w:szCs w:val="24"/>
        </w:rPr>
      </w:pPr>
      <w:r>
        <w:rPr>
          <w:rStyle w:val="Strong"/>
          <w:b/>
          <w:bCs/>
          <w:sz w:val="24"/>
          <w:szCs w:val="24"/>
        </w:rPr>
        <w:t>6</w:t>
      </w:r>
      <w:r w:rsidR="00B82630" w:rsidRPr="00BE0AA8">
        <w:rPr>
          <w:rStyle w:val="Strong"/>
          <w:b/>
          <w:bCs/>
          <w:sz w:val="24"/>
          <w:szCs w:val="24"/>
        </w:rPr>
        <w:t xml:space="preserve">. </w:t>
      </w:r>
      <w:r>
        <w:rPr>
          <w:rStyle w:val="Strong"/>
          <w:b/>
          <w:bCs/>
          <w:sz w:val="24"/>
          <w:szCs w:val="24"/>
        </w:rPr>
        <w:t xml:space="preserve"> </w:t>
      </w:r>
      <w:r w:rsidR="00B82630" w:rsidRPr="00BE0AA8">
        <w:rPr>
          <w:rStyle w:val="Strong"/>
          <w:b/>
          <w:bCs/>
          <w:sz w:val="24"/>
          <w:szCs w:val="24"/>
        </w:rPr>
        <w:t>Discussion</w:t>
      </w:r>
    </w:p>
    <w:p w14:paraId="12B401D8" w14:textId="66DB0B42"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The integrated gravity and magnetic interpretations reveal structural and lithological controls that are consistent with the known metallogenic framework of North-Central Nigeria</w:t>
      </w:r>
      <w:r w:rsidR="00033267" w:rsidRPr="00BE0AA8">
        <w:rPr>
          <w:rFonts w:ascii="Times New Roman" w:eastAsia="Times New Roman" w:hAnsi="Times New Roman" w:cs="Times New Roman"/>
          <w:sz w:val="24"/>
          <w:szCs w:val="24"/>
          <w:lang w:eastAsia="en-GB"/>
        </w:rPr>
        <w:t xml:space="preserve"> (Figure </w:t>
      </w:r>
      <w:r w:rsidR="00D37012">
        <w:rPr>
          <w:rFonts w:ascii="Times New Roman" w:eastAsia="Times New Roman" w:hAnsi="Times New Roman" w:cs="Times New Roman"/>
          <w:sz w:val="24"/>
          <w:szCs w:val="24"/>
          <w:lang w:eastAsia="en-GB"/>
        </w:rPr>
        <w:t>12</w:t>
      </w:r>
      <w:r w:rsidR="00057016">
        <w:rPr>
          <w:rFonts w:ascii="Times New Roman" w:eastAsia="Times New Roman" w:hAnsi="Times New Roman" w:cs="Times New Roman"/>
          <w:sz w:val="24"/>
          <w:szCs w:val="24"/>
          <w:lang w:eastAsia="en-GB"/>
        </w:rPr>
        <w:t xml:space="preserve"> and </w:t>
      </w:r>
      <w:r w:rsidR="00D37012">
        <w:rPr>
          <w:rFonts w:ascii="Times New Roman" w:eastAsia="Times New Roman" w:hAnsi="Times New Roman" w:cs="Times New Roman"/>
          <w:sz w:val="24"/>
          <w:szCs w:val="24"/>
          <w:lang w:eastAsia="en-GB"/>
        </w:rPr>
        <w:t>13</w:t>
      </w:r>
      <w:r w:rsidR="00033267" w:rsidRPr="00BE0AA8">
        <w:rPr>
          <w:rFonts w:ascii="Times New Roman" w:eastAsia="Times New Roman" w:hAnsi="Times New Roman" w:cs="Times New Roman"/>
          <w:sz w:val="24"/>
          <w:szCs w:val="24"/>
          <w:lang w:eastAsia="en-GB"/>
        </w:rPr>
        <w:t>)</w:t>
      </w:r>
      <w:r w:rsidRPr="00BE0AA8">
        <w:rPr>
          <w:rFonts w:ascii="Times New Roman" w:eastAsia="Times New Roman" w:hAnsi="Times New Roman" w:cs="Times New Roman"/>
          <w:sz w:val="24"/>
          <w:szCs w:val="24"/>
          <w:lang w:eastAsia="en-GB"/>
        </w:rPr>
        <w:t xml:space="preserve">. The high Bouguer anomalies (&gt; +50 </w:t>
      </w:r>
      <w:proofErr w:type="spellStart"/>
      <w:r w:rsidRPr="00BE0AA8">
        <w:rPr>
          <w:rFonts w:ascii="Times New Roman" w:eastAsia="Times New Roman" w:hAnsi="Times New Roman" w:cs="Times New Roman"/>
          <w:sz w:val="24"/>
          <w:szCs w:val="24"/>
          <w:lang w:eastAsia="en-GB"/>
        </w:rPr>
        <w:t>mGal</w:t>
      </w:r>
      <w:proofErr w:type="spellEnd"/>
      <w:r w:rsidRPr="00BE0AA8">
        <w:rPr>
          <w:rFonts w:ascii="Times New Roman" w:eastAsia="Times New Roman" w:hAnsi="Times New Roman" w:cs="Times New Roman"/>
          <w:sz w:val="24"/>
          <w:szCs w:val="24"/>
          <w:lang w:eastAsia="en-GB"/>
        </w:rPr>
        <w:t xml:space="preserve">) observed over migmatite–gneiss complexes and Pan-African granitoids likely reflect dense crystalline basement rocks, which in some cases act as rigid blocks that focus strain along their margins. These margins are often sites of shear zone development, providing pathways for mineralizing fluids, as also documented by Odeyemi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(1999) and </w:t>
      </w:r>
      <w:proofErr w:type="spellStart"/>
      <w:r w:rsidRPr="00BE0AA8">
        <w:rPr>
          <w:rFonts w:ascii="Times New Roman" w:eastAsia="Times New Roman" w:hAnsi="Times New Roman" w:cs="Times New Roman"/>
          <w:sz w:val="24"/>
          <w:szCs w:val="24"/>
          <w:lang w:eastAsia="en-GB"/>
        </w:rPr>
        <w:t>Anakwuba</w:t>
      </w:r>
      <w:proofErr w:type="spellEnd"/>
      <w:r w:rsidRPr="00BE0AA8">
        <w:rPr>
          <w:rFonts w:ascii="Times New Roman" w:eastAsia="Times New Roman" w:hAnsi="Times New Roman" w:cs="Times New Roman"/>
          <w:sz w:val="24"/>
          <w:szCs w:val="24"/>
          <w:lang w:eastAsia="en-GB"/>
        </w:rPr>
        <w:t xml:space="preserve">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(2014) in similar Nigerian schist belt settings.</w:t>
      </w:r>
    </w:p>
    <w:p w14:paraId="1EB76F3F" w14:textId="674F76DE"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Conversely, gravity lows (&lt; –30 </w:t>
      </w:r>
      <w:proofErr w:type="spellStart"/>
      <w:r w:rsidRPr="00BE0AA8">
        <w:rPr>
          <w:rFonts w:ascii="Times New Roman" w:eastAsia="Times New Roman" w:hAnsi="Times New Roman" w:cs="Times New Roman"/>
          <w:sz w:val="24"/>
          <w:szCs w:val="24"/>
          <w:lang w:eastAsia="en-GB"/>
        </w:rPr>
        <w:t>mGal</w:t>
      </w:r>
      <w:proofErr w:type="spellEnd"/>
      <w:r w:rsidRPr="00BE0AA8">
        <w:rPr>
          <w:rFonts w:ascii="Times New Roman" w:eastAsia="Times New Roman" w:hAnsi="Times New Roman" w:cs="Times New Roman"/>
          <w:sz w:val="24"/>
          <w:szCs w:val="24"/>
          <w:lang w:eastAsia="en-GB"/>
        </w:rPr>
        <w:t xml:space="preserve">), particularly in </w:t>
      </w:r>
      <w:proofErr w:type="spellStart"/>
      <w:r w:rsidRPr="00BE0AA8">
        <w:rPr>
          <w:rFonts w:ascii="Times New Roman" w:eastAsia="Times New Roman" w:hAnsi="Times New Roman" w:cs="Times New Roman"/>
          <w:sz w:val="24"/>
          <w:szCs w:val="24"/>
          <w:lang w:eastAsia="en-GB"/>
        </w:rPr>
        <w:t>Paikoro</w:t>
      </w:r>
      <w:proofErr w:type="spellEnd"/>
      <w:r w:rsidRPr="00BE0AA8">
        <w:rPr>
          <w:rFonts w:ascii="Times New Roman" w:eastAsia="Times New Roman" w:hAnsi="Times New Roman" w:cs="Times New Roman"/>
          <w:sz w:val="24"/>
          <w:szCs w:val="24"/>
          <w:lang w:eastAsia="en-GB"/>
        </w:rPr>
        <w:t xml:space="preserve"> and </w:t>
      </w:r>
      <w:proofErr w:type="spellStart"/>
      <w:r w:rsidRPr="00BE0AA8">
        <w:rPr>
          <w:rFonts w:ascii="Times New Roman" w:eastAsia="Times New Roman" w:hAnsi="Times New Roman" w:cs="Times New Roman"/>
          <w:sz w:val="24"/>
          <w:szCs w:val="24"/>
          <w:lang w:eastAsia="en-GB"/>
        </w:rPr>
        <w:t>Wushishi</w:t>
      </w:r>
      <w:proofErr w:type="spellEnd"/>
      <w:r w:rsidRPr="00BE0AA8">
        <w:rPr>
          <w:rFonts w:ascii="Times New Roman" w:eastAsia="Times New Roman" w:hAnsi="Times New Roman" w:cs="Times New Roman"/>
          <w:sz w:val="24"/>
          <w:szCs w:val="24"/>
          <w:lang w:eastAsia="en-GB"/>
        </w:rPr>
        <w:t xml:space="preserve">, correspond to deeply weathered or altered zones where hydrothermal fluids have altered the host rocks and </w:t>
      </w:r>
      <w:r w:rsidRPr="00BE0AA8">
        <w:rPr>
          <w:rFonts w:ascii="Times New Roman" w:eastAsia="Times New Roman" w:hAnsi="Times New Roman" w:cs="Times New Roman"/>
          <w:sz w:val="24"/>
          <w:szCs w:val="24"/>
          <w:lang w:eastAsia="en-GB"/>
        </w:rPr>
        <w:lastRenderedPageBreak/>
        <w:t xml:space="preserve">reduced bulk density. Such density reduction, coupled with low magnetic amplitudes (≤ 0.1 </w:t>
      </w:r>
      <w:proofErr w:type="spellStart"/>
      <w:r w:rsidRPr="00BE0AA8">
        <w:rPr>
          <w:rFonts w:ascii="Times New Roman" w:eastAsia="Times New Roman" w:hAnsi="Times New Roman" w:cs="Times New Roman"/>
          <w:sz w:val="24"/>
          <w:szCs w:val="24"/>
          <w:lang w:eastAsia="en-GB"/>
        </w:rPr>
        <w:t>nT</w:t>
      </w:r>
      <w:proofErr w:type="spellEnd"/>
      <w:r w:rsidRPr="00BE0AA8">
        <w:rPr>
          <w:rFonts w:ascii="Times New Roman" w:eastAsia="Times New Roman" w:hAnsi="Times New Roman" w:cs="Times New Roman"/>
          <w:sz w:val="24"/>
          <w:szCs w:val="24"/>
          <w:lang w:eastAsia="en-GB"/>
        </w:rPr>
        <w:t xml:space="preserve">/m), suggests magnetite destruction due to </w:t>
      </w:r>
      <w:proofErr w:type="spellStart"/>
      <w:r w:rsidRPr="00BE0AA8">
        <w:rPr>
          <w:rFonts w:ascii="Times New Roman" w:eastAsia="Times New Roman" w:hAnsi="Times New Roman" w:cs="Times New Roman"/>
          <w:sz w:val="24"/>
          <w:szCs w:val="24"/>
          <w:lang w:eastAsia="en-GB"/>
        </w:rPr>
        <w:t>sulphidation</w:t>
      </w:r>
      <w:proofErr w:type="spellEnd"/>
      <w:r w:rsidRPr="00BE0AA8">
        <w:rPr>
          <w:rFonts w:ascii="Times New Roman" w:eastAsia="Times New Roman" w:hAnsi="Times New Roman" w:cs="Times New Roman"/>
          <w:sz w:val="24"/>
          <w:szCs w:val="24"/>
          <w:lang w:eastAsia="en-GB"/>
        </w:rPr>
        <w:t xml:space="preserve"> processes — a common feature in orogenic gold systems (Groves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1998).</w:t>
      </w:r>
    </w:p>
    <w:p w14:paraId="7E338B11" w14:textId="28B0E3C6"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The tilt derivative and first vertical derivative maps highlight structurally coherent NE–SW and NW–SE trends. The dominance of NE–SW structures (45%) </w:t>
      </w:r>
      <w:r w:rsidR="00057016" w:rsidRPr="00BE0AA8">
        <w:rPr>
          <w:rFonts w:ascii="Times New Roman" w:eastAsia="Times New Roman" w:hAnsi="Times New Roman" w:cs="Times New Roman"/>
          <w:sz w:val="24"/>
          <w:szCs w:val="24"/>
          <w:lang w:eastAsia="en-GB"/>
        </w:rPr>
        <w:t>align</w:t>
      </w:r>
      <w:r w:rsidRPr="00BE0AA8">
        <w:rPr>
          <w:rFonts w:ascii="Times New Roman" w:eastAsia="Times New Roman" w:hAnsi="Times New Roman" w:cs="Times New Roman"/>
          <w:sz w:val="24"/>
          <w:szCs w:val="24"/>
          <w:lang w:eastAsia="en-GB"/>
        </w:rPr>
        <w:t xml:space="preserve"> with regional transcurrent shear zones formed during the Pan-African orogeny (~600 Ma). These shear zones are known to be major gold-bearing corridors across West Africa (</w:t>
      </w:r>
      <w:proofErr w:type="spellStart"/>
      <w:r w:rsidRPr="00BE0AA8">
        <w:rPr>
          <w:rFonts w:ascii="Times New Roman" w:eastAsia="Times New Roman" w:hAnsi="Times New Roman" w:cs="Times New Roman"/>
          <w:sz w:val="24"/>
          <w:szCs w:val="24"/>
          <w:lang w:eastAsia="en-GB"/>
        </w:rPr>
        <w:t>Leube</w:t>
      </w:r>
      <w:proofErr w:type="spellEnd"/>
      <w:r w:rsidRPr="00BE0AA8">
        <w:rPr>
          <w:rFonts w:ascii="Times New Roman" w:eastAsia="Times New Roman" w:hAnsi="Times New Roman" w:cs="Times New Roman"/>
          <w:sz w:val="24"/>
          <w:szCs w:val="24"/>
          <w:lang w:eastAsia="en-GB"/>
        </w:rPr>
        <w:t xml:space="preserve">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1990; </w:t>
      </w:r>
      <w:proofErr w:type="spellStart"/>
      <w:r w:rsidRPr="00BE0AA8">
        <w:rPr>
          <w:rFonts w:ascii="Times New Roman" w:eastAsia="Times New Roman" w:hAnsi="Times New Roman" w:cs="Times New Roman"/>
          <w:sz w:val="24"/>
          <w:szCs w:val="24"/>
          <w:lang w:eastAsia="en-GB"/>
        </w:rPr>
        <w:t>Feybesse</w:t>
      </w:r>
      <w:proofErr w:type="spellEnd"/>
      <w:r w:rsidRPr="00BE0AA8">
        <w:rPr>
          <w:rFonts w:ascii="Times New Roman" w:eastAsia="Times New Roman" w:hAnsi="Times New Roman" w:cs="Times New Roman"/>
          <w:sz w:val="24"/>
          <w:szCs w:val="24"/>
          <w:lang w:eastAsia="en-GB"/>
        </w:rPr>
        <w:t xml:space="preserve">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2006). The NW–SE trends (33</w:t>
      </w:r>
      <w:r w:rsidR="00057016" w:rsidRPr="00BE0AA8">
        <w:rPr>
          <w:rFonts w:ascii="Times New Roman" w:eastAsia="Times New Roman" w:hAnsi="Times New Roman" w:cs="Times New Roman"/>
          <w:sz w:val="24"/>
          <w:szCs w:val="24"/>
          <w:lang w:eastAsia="en-GB"/>
        </w:rPr>
        <w:t>%) represent</w:t>
      </w:r>
      <w:r w:rsidRPr="00BE0AA8">
        <w:rPr>
          <w:rFonts w:ascii="Times New Roman" w:eastAsia="Times New Roman" w:hAnsi="Times New Roman" w:cs="Times New Roman"/>
          <w:sz w:val="24"/>
          <w:szCs w:val="24"/>
          <w:lang w:eastAsia="en-GB"/>
        </w:rPr>
        <w:t xml:space="preserve"> cross-cutting faults that act as dilation zones or secondary conduits for gold-bearing fluids.</w:t>
      </w:r>
    </w:p>
    <w:p w14:paraId="1A6AFA72" w14:textId="18F00230"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A key finding from this study is that 72% of documented gold occurrences are located within 2 km of major lineaments, with the highest density of occurrences at structural </w:t>
      </w:r>
      <w:r w:rsidR="00D70AE1" w:rsidRPr="00BE0AA8">
        <w:rPr>
          <w:rFonts w:ascii="Times New Roman" w:eastAsia="Times New Roman" w:hAnsi="Times New Roman" w:cs="Times New Roman"/>
          <w:sz w:val="24"/>
          <w:szCs w:val="24"/>
          <w:lang w:eastAsia="en-GB"/>
        </w:rPr>
        <w:t>intersections</w:t>
      </w:r>
      <w:r w:rsidRPr="00BE0AA8">
        <w:rPr>
          <w:rFonts w:ascii="Times New Roman" w:eastAsia="Times New Roman" w:hAnsi="Times New Roman" w:cs="Times New Roman"/>
          <w:sz w:val="24"/>
          <w:szCs w:val="24"/>
          <w:lang w:eastAsia="en-GB"/>
        </w:rPr>
        <w:t xml:space="preserve">. This is significant because such junctions often localize ore due to enhanced permeability and fluid focusing (Robert </w:t>
      </w:r>
      <w:r w:rsidR="00033267" w:rsidRPr="00BE0AA8">
        <w:rPr>
          <w:rFonts w:ascii="Times New Roman" w:eastAsia="Times New Roman" w:hAnsi="Times New Roman" w:cs="Times New Roman"/>
          <w:i/>
          <w:iCs/>
          <w:sz w:val="24"/>
          <w:szCs w:val="24"/>
          <w:lang w:eastAsia="en-GB"/>
        </w:rPr>
        <w:t>et al</w:t>
      </w:r>
      <w:r w:rsidRPr="00BE0AA8">
        <w:rPr>
          <w:rFonts w:ascii="Times New Roman" w:eastAsia="Times New Roman" w:hAnsi="Times New Roman" w:cs="Times New Roman"/>
          <w:sz w:val="24"/>
          <w:szCs w:val="24"/>
          <w:lang w:eastAsia="en-GB"/>
        </w:rPr>
        <w:t xml:space="preserve">., 1997). </w:t>
      </w:r>
      <w:r w:rsidR="00057016" w:rsidRPr="00BE0AA8">
        <w:rPr>
          <w:rFonts w:ascii="Times New Roman" w:eastAsia="Times New Roman" w:hAnsi="Times New Roman" w:cs="Times New Roman"/>
          <w:sz w:val="24"/>
          <w:szCs w:val="24"/>
          <w:lang w:eastAsia="en-GB"/>
        </w:rPr>
        <w:t xml:space="preserve">The </w:t>
      </w:r>
      <w:proofErr w:type="spellStart"/>
      <w:r w:rsidRPr="00BE0AA8">
        <w:rPr>
          <w:rFonts w:ascii="Times New Roman" w:eastAsia="Times New Roman" w:hAnsi="Times New Roman" w:cs="Times New Roman"/>
          <w:sz w:val="24"/>
          <w:szCs w:val="24"/>
          <w:lang w:eastAsia="en-GB"/>
        </w:rPr>
        <w:t>Paikoro</w:t>
      </w:r>
      <w:proofErr w:type="spellEnd"/>
      <w:r w:rsidRPr="00BE0AA8">
        <w:rPr>
          <w:rFonts w:ascii="Times New Roman" w:eastAsia="Times New Roman" w:hAnsi="Times New Roman" w:cs="Times New Roman"/>
          <w:sz w:val="24"/>
          <w:szCs w:val="24"/>
          <w:lang w:eastAsia="en-GB"/>
        </w:rPr>
        <w:t xml:space="preserve"> axis </w:t>
      </w:r>
      <w:r w:rsidR="00871EF6" w:rsidRPr="00BE0AA8">
        <w:rPr>
          <w:rFonts w:ascii="Times New Roman" w:eastAsia="Times New Roman" w:hAnsi="Times New Roman" w:cs="Times New Roman"/>
          <w:sz w:val="24"/>
          <w:szCs w:val="24"/>
          <w:lang w:eastAsia="en-GB"/>
        </w:rPr>
        <w:t xml:space="preserve">is one of the </w:t>
      </w:r>
      <w:r w:rsidR="008438C5" w:rsidRPr="00BE0AA8">
        <w:rPr>
          <w:rFonts w:ascii="Times New Roman" w:eastAsia="Times New Roman" w:hAnsi="Times New Roman" w:cs="Times New Roman"/>
          <w:sz w:val="24"/>
          <w:szCs w:val="24"/>
          <w:lang w:eastAsia="en-GB"/>
        </w:rPr>
        <w:t>regions documented</w:t>
      </w:r>
      <w:r w:rsidR="00871EF6" w:rsidRPr="00BE0AA8">
        <w:rPr>
          <w:rFonts w:ascii="Times New Roman" w:eastAsia="Times New Roman" w:hAnsi="Times New Roman" w:cs="Times New Roman"/>
          <w:sz w:val="24"/>
          <w:szCs w:val="24"/>
          <w:lang w:eastAsia="en-GB"/>
        </w:rPr>
        <w:t xml:space="preserve"> by Jonah and Mallam (2024) to possess </w:t>
      </w:r>
      <w:r w:rsidRPr="00BE0AA8">
        <w:rPr>
          <w:rFonts w:ascii="Times New Roman" w:eastAsia="Times New Roman" w:hAnsi="Times New Roman" w:cs="Times New Roman"/>
          <w:sz w:val="24"/>
          <w:szCs w:val="24"/>
          <w:lang w:eastAsia="en-GB"/>
        </w:rPr>
        <w:t xml:space="preserve">high </w:t>
      </w:r>
      <w:r w:rsidR="00871EF6" w:rsidRPr="00BE0AA8">
        <w:rPr>
          <w:rFonts w:ascii="Times New Roman" w:eastAsia="Times New Roman" w:hAnsi="Times New Roman" w:cs="Times New Roman"/>
          <w:sz w:val="24"/>
          <w:szCs w:val="24"/>
          <w:lang w:eastAsia="en-GB"/>
        </w:rPr>
        <w:t xml:space="preserve">K/Th ratio. High K/Th ratio </w:t>
      </w:r>
      <w:r w:rsidRPr="00BE0AA8">
        <w:rPr>
          <w:rFonts w:ascii="Times New Roman" w:eastAsia="Times New Roman" w:hAnsi="Times New Roman" w:cs="Times New Roman"/>
          <w:sz w:val="24"/>
          <w:szCs w:val="24"/>
          <w:lang w:eastAsia="en-GB"/>
        </w:rPr>
        <w:t>and strong gravity gradients, indica</w:t>
      </w:r>
      <w:r w:rsidR="00D70AE1" w:rsidRPr="00BE0AA8">
        <w:rPr>
          <w:rFonts w:ascii="Times New Roman" w:eastAsia="Times New Roman" w:hAnsi="Times New Roman" w:cs="Times New Roman"/>
          <w:sz w:val="24"/>
          <w:szCs w:val="24"/>
          <w:lang w:eastAsia="en-GB"/>
        </w:rPr>
        <w:t>tes</w:t>
      </w:r>
      <w:r w:rsidRPr="00BE0AA8">
        <w:rPr>
          <w:rFonts w:ascii="Times New Roman" w:eastAsia="Times New Roman" w:hAnsi="Times New Roman" w:cs="Times New Roman"/>
          <w:sz w:val="24"/>
          <w:szCs w:val="24"/>
          <w:lang w:eastAsia="en-GB"/>
        </w:rPr>
        <w:t xml:space="preserve"> intense alteration adjacent to deep-seated faults</w:t>
      </w:r>
      <w:r w:rsidR="004F5F32">
        <w:rPr>
          <w:rFonts w:ascii="Times New Roman" w:eastAsia="Times New Roman" w:hAnsi="Times New Roman" w:cs="Times New Roman"/>
          <w:sz w:val="24"/>
          <w:szCs w:val="24"/>
          <w:lang w:eastAsia="en-GB"/>
        </w:rPr>
        <w:t xml:space="preserve"> and these </w:t>
      </w:r>
      <w:r w:rsidRPr="00BE0AA8">
        <w:rPr>
          <w:rFonts w:ascii="Times New Roman" w:eastAsia="Times New Roman" w:hAnsi="Times New Roman" w:cs="Times New Roman"/>
          <w:sz w:val="24"/>
          <w:szCs w:val="24"/>
          <w:lang w:eastAsia="en-GB"/>
        </w:rPr>
        <w:t xml:space="preserve">conditions </w:t>
      </w:r>
      <w:r w:rsidR="004F5F32">
        <w:rPr>
          <w:rFonts w:ascii="Times New Roman" w:eastAsia="Times New Roman" w:hAnsi="Times New Roman" w:cs="Times New Roman"/>
          <w:sz w:val="24"/>
          <w:szCs w:val="24"/>
          <w:lang w:eastAsia="en-GB"/>
        </w:rPr>
        <w:t xml:space="preserve">are </w:t>
      </w:r>
      <w:r w:rsidR="00112579">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sz w:val="24"/>
          <w:szCs w:val="24"/>
          <w:lang w:eastAsia="en-GB"/>
        </w:rPr>
        <w:t>favo</w:t>
      </w:r>
      <w:r w:rsidR="00871EF6" w:rsidRPr="00BE0AA8">
        <w:rPr>
          <w:rFonts w:ascii="Times New Roman" w:eastAsia="Times New Roman" w:hAnsi="Times New Roman" w:cs="Times New Roman"/>
          <w:sz w:val="24"/>
          <w:szCs w:val="24"/>
          <w:lang w:eastAsia="en-GB"/>
        </w:rPr>
        <w:t>u</w:t>
      </w:r>
      <w:r w:rsidRPr="00BE0AA8">
        <w:rPr>
          <w:rFonts w:ascii="Times New Roman" w:eastAsia="Times New Roman" w:hAnsi="Times New Roman" w:cs="Times New Roman"/>
          <w:sz w:val="24"/>
          <w:szCs w:val="24"/>
          <w:lang w:eastAsia="en-GB"/>
        </w:rPr>
        <w:t>rable for gold deposition.</w:t>
      </w:r>
    </w:p>
    <w:p w14:paraId="237F7D9E" w14:textId="44BD3D45" w:rsidR="00B82630" w:rsidRPr="00BE0AA8" w:rsidRDefault="00B82630" w:rsidP="00A1062E">
      <w:pPr>
        <w:spacing w:line="276" w:lineRule="auto"/>
        <w:jc w:val="both"/>
        <w:rPr>
          <w:rFonts w:ascii="Times New Roman" w:hAnsi="Times New Roman" w:cs="Times New Roman"/>
          <w:sz w:val="24"/>
          <w:szCs w:val="24"/>
        </w:rPr>
      </w:pPr>
    </w:p>
    <w:p w14:paraId="6D02D88F" w14:textId="0C6616B2" w:rsidR="00B82630" w:rsidRPr="00057016" w:rsidRDefault="00057016" w:rsidP="00A1062E">
      <w:pPr>
        <w:pStyle w:val="Heading3"/>
        <w:spacing w:line="276" w:lineRule="auto"/>
        <w:jc w:val="both"/>
        <w:rPr>
          <w:b w:val="0"/>
          <w:bCs w:val="0"/>
          <w:sz w:val="24"/>
          <w:szCs w:val="24"/>
        </w:rPr>
      </w:pPr>
      <w:r w:rsidRPr="00057016">
        <w:rPr>
          <w:rStyle w:val="Strong"/>
          <w:b/>
          <w:bCs/>
          <w:sz w:val="24"/>
          <w:szCs w:val="24"/>
        </w:rPr>
        <w:t>7</w:t>
      </w:r>
      <w:r w:rsidR="00B82630" w:rsidRPr="00057016">
        <w:rPr>
          <w:rStyle w:val="Strong"/>
          <w:b/>
          <w:bCs/>
          <w:sz w:val="24"/>
          <w:szCs w:val="24"/>
        </w:rPr>
        <w:t>. Conclusion</w:t>
      </w:r>
    </w:p>
    <w:p w14:paraId="5A85F6AD" w14:textId="3C3579D0" w:rsidR="00B82630" w:rsidRPr="00BE0AA8" w:rsidRDefault="00B82630" w:rsidP="00A1062E">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This study demonstrates that the integration of gravity and magnetic derivative modelling provides an effective framework for delineating structural controls on gold mineralization in North-Central Nigeria. The results reveal that NE–SW and NW–SE trending faults, identified from tilt and vertical derivative maps, act as primary conduits for hydrothermal fluids, with structural intersections being the most prospective zones.</w:t>
      </w:r>
      <w:r w:rsidR="00631EAB">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sz w:val="24"/>
          <w:szCs w:val="24"/>
          <w:lang w:eastAsia="en-GB"/>
        </w:rPr>
        <w:t xml:space="preserve">The spatial association between negative gravity anomalies, low magnetic responses, and documented gold occurrences underscores the importance of alteration-related density and magnetic susceptibility reduction in mineralizing processes. Approximately 72% of known gold occurrences were found within 2 km of major lineaments, highlighting the significance of structural proximity in exploration targeting. </w:t>
      </w:r>
    </w:p>
    <w:p w14:paraId="795CBE20" w14:textId="1AACE764" w:rsidR="00D22EF1" w:rsidRPr="00BE0AA8" w:rsidRDefault="00D22EF1" w:rsidP="00A1062E">
      <w:pPr>
        <w:pStyle w:val="NormalWeb"/>
        <w:spacing w:line="276" w:lineRule="auto"/>
        <w:jc w:val="both"/>
        <w:rPr>
          <w:b/>
          <w:bCs/>
          <w:lang w:val="en-US"/>
        </w:rPr>
      </w:pPr>
    </w:p>
    <w:p w14:paraId="740B6CCE" w14:textId="77777777" w:rsidR="00C86028" w:rsidRPr="00BE0AA8" w:rsidRDefault="00C86028" w:rsidP="00A1062E">
      <w:pPr>
        <w:pStyle w:val="NormalWeb"/>
        <w:spacing w:line="276" w:lineRule="auto"/>
        <w:jc w:val="both"/>
        <w:rPr>
          <w:b/>
          <w:bCs/>
          <w:lang w:val="en-US"/>
        </w:rPr>
      </w:pPr>
    </w:p>
    <w:p w14:paraId="43208C1B" w14:textId="77777777" w:rsidR="009576F7" w:rsidRPr="009576F7" w:rsidRDefault="009576F7" w:rsidP="009576F7">
      <w:pPr>
        <w:spacing w:after="200" w:line="276" w:lineRule="auto"/>
        <w:jc w:val="both"/>
        <w:outlineLvl w:val="0"/>
        <w:rPr>
          <w:rFonts w:ascii="Arial" w:eastAsia="Times New Roman" w:hAnsi="Arial" w:cs="Arial"/>
          <w:lang w:eastAsia="en-GB"/>
        </w:rPr>
      </w:pPr>
      <w:r w:rsidRPr="009576F7">
        <w:rPr>
          <w:rFonts w:ascii="Arial" w:eastAsia="Times New Roman" w:hAnsi="Arial" w:cs="Arial"/>
          <w:b/>
          <w:bCs/>
          <w:lang w:eastAsia="en-GB"/>
        </w:rPr>
        <w:t>COMPETING INTERESTS DISCLAIMER:</w:t>
      </w:r>
    </w:p>
    <w:p w14:paraId="52ABC6F7" w14:textId="77777777" w:rsidR="009576F7" w:rsidRPr="009576F7" w:rsidRDefault="009576F7" w:rsidP="009576F7">
      <w:pPr>
        <w:spacing w:after="200" w:line="276" w:lineRule="auto"/>
        <w:rPr>
          <w:rFonts w:ascii="Calibri" w:eastAsia="Times New Roman" w:hAnsi="Calibri" w:cs="Times New Roman"/>
          <w:lang w:eastAsia="en-GB"/>
        </w:rPr>
      </w:pPr>
      <w:r w:rsidRPr="009576F7">
        <w:rPr>
          <w:rFonts w:ascii="Calibri" w:eastAsia="Times New Roman" w:hAnsi="Calibri" w:cs="Times New Roman"/>
          <w:lang w:eastAsia="en-GB"/>
        </w:rPr>
        <w:t>Authors have declared that they have no known competing financial interests OR non-financial interests OR personal relationships that could have appeared to influence the work reported in this paper.</w:t>
      </w:r>
    </w:p>
    <w:p w14:paraId="581501D4" w14:textId="258DFD31" w:rsidR="0090508B" w:rsidRPr="00BE0AA8" w:rsidRDefault="0090508B" w:rsidP="00A1062E">
      <w:pPr>
        <w:pStyle w:val="NormalWeb"/>
        <w:spacing w:line="276" w:lineRule="auto"/>
        <w:jc w:val="both"/>
        <w:rPr>
          <w:b/>
          <w:bCs/>
          <w:lang w:val="en-US"/>
        </w:rPr>
      </w:pPr>
    </w:p>
    <w:p w14:paraId="77B265B5" w14:textId="77777777" w:rsidR="00206D27" w:rsidRPr="00BE0AA8" w:rsidRDefault="00206D27" w:rsidP="00A1062E">
      <w:pPr>
        <w:pStyle w:val="NormalWeb"/>
        <w:spacing w:line="276" w:lineRule="auto"/>
        <w:jc w:val="both"/>
        <w:rPr>
          <w:b/>
          <w:bCs/>
          <w:lang w:val="en-US"/>
        </w:rPr>
      </w:pPr>
    </w:p>
    <w:p w14:paraId="2EF66A6C" w14:textId="5885879E" w:rsidR="0090508B" w:rsidRDefault="0090508B" w:rsidP="00A1062E">
      <w:pPr>
        <w:pStyle w:val="NormalWeb"/>
        <w:spacing w:line="276" w:lineRule="auto"/>
        <w:jc w:val="both"/>
        <w:rPr>
          <w:b/>
          <w:bCs/>
          <w:lang w:val="en-US"/>
        </w:rPr>
      </w:pPr>
    </w:p>
    <w:p w14:paraId="395437B5" w14:textId="77777777" w:rsidR="001F6852" w:rsidRDefault="001F6852" w:rsidP="00A1062E">
      <w:pPr>
        <w:pStyle w:val="NormalWeb"/>
        <w:spacing w:line="276" w:lineRule="auto"/>
        <w:jc w:val="both"/>
        <w:rPr>
          <w:b/>
          <w:bCs/>
          <w:lang w:val="en-US"/>
        </w:rPr>
      </w:pPr>
    </w:p>
    <w:p w14:paraId="2005E0A5" w14:textId="77777777" w:rsidR="001F6852" w:rsidRDefault="001F6852" w:rsidP="00A1062E">
      <w:pPr>
        <w:pStyle w:val="NormalWeb"/>
        <w:spacing w:line="276" w:lineRule="auto"/>
        <w:jc w:val="both"/>
        <w:rPr>
          <w:b/>
          <w:bCs/>
          <w:lang w:val="en-US"/>
        </w:rPr>
      </w:pPr>
    </w:p>
    <w:p w14:paraId="217B8C90" w14:textId="77777777" w:rsidR="001F6852" w:rsidRDefault="001F6852" w:rsidP="00A1062E">
      <w:pPr>
        <w:pStyle w:val="NormalWeb"/>
        <w:spacing w:line="276" w:lineRule="auto"/>
        <w:jc w:val="both"/>
        <w:rPr>
          <w:b/>
          <w:bCs/>
          <w:lang w:val="en-US"/>
        </w:rPr>
      </w:pPr>
    </w:p>
    <w:p w14:paraId="0299C1A5" w14:textId="77777777" w:rsidR="001F6852" w:rsidRDefault="001F6852" w:rsidP="00A1062E">
      <w:pPr>
        <w:pStyle w:val="NormalWeb"/>
        <w:spacing w:line="276" w:lineRule="auto"/>
        <w:jc w:val="both"/>
        <w:rPr>
          <w:b/>
          <w:bCs/>
          <w:lang w:val="en-US"/>
        </w:rPr>
      </w:pPr>
    </w:p>
    <w:p w14:paraId="113BD204" w14:textId="77777777" w:rsidR="001F6852" w:rsidRDefault="001F6852" w:rsidP="00A1062E">
      <w:pPr>
        <w:pStyle w:val="NormalWeb"/>
        <w:spacing w:line="276" w:lineRule="auto"/>
        <w:jc w:val="both"/>
        <w:rPr>
          <w:b/>
          <w:bCs/>
          <w:lang w:val="en-US"/>
        </w:rPr>
      </w:pPr>
    </w:p>
    <w:p w14:paraId="4AB8FE54" w14:textId="77777777" w:rsidR="001F6852" w:rsidRDefault="001F6852" w:rsidP="00A1062E">
      <w:pPr>
        <w:pStyle w:val="NormalWeb"/>
        <w:spacing w:line="276" w:lineRule="auto"/>
        <w:jc w:val="both"/>
        <w:rPr>
          <w:b/>
          <w:bCs/>
          <w:lang w:val="en-US"/>
        </w:rPr>
      </w:pPr>
    </w:p>
    <w:p w14:paraId="7A1F79D7" w14:textId="77777777" w:rsidR="001F6852" w:rsidRDefault="001F6852" w:rsidP="00A1062E">
      <w:pPr>
        <w:pStyle w:val="NormalWeb"/>
        <w:spacing w:line="276" w:lineRule="auto"/>
        <w:jc w:val="both"/>
        <w:rPr>
          <w:b/>
          <w:bCs/>
          <w:lang w:val="en-US"/>
        </w:rPr>
      </w:pPr>
    </w:p>
    <w:p w14:paraId="1648A861" w14:textId="77777777" w:rsidR="001F6852" w:rsidRDefault="001F6852" w:rsidP="00A1062E">
      <w:pPr>
        <w:pStyle w:val="NormalWeb"/>
        <w:spacing w:line="276" w:lineRule="auto"/>
        <w:jc w:val="both"/>
        <w:rPr>
          <w:b/>
          <w:bCs/>
          <w:lang w:val="en-US"/>
        </w:rPr>
      </w:pPr>
    </w:p>
    <w:p w14:paraId="7A4B0F2D" w14:textId="77777777" w:rsidR="001F6852" w:rsidRDefault="001F6852" w:rsidP="00A1062E">
      <w:pPr>
        <w:pStyle w:val="NormalWeb"/>
        <w:spacing w:line="276" w:lineRule="auto"/>
        <w:jc w:val="both"/>
        <w:rPr>
          <w:b/>
          <w:bCs/>
          <w:lang w:val="en-US"/>
        </w:rPr>
      </w:pPr>
    </w:p>
    <w:p w14:paraId="7CC09FC8" w14:textId="77777777" w:rsidR="001F6852" w:rsidRDefault="001F6852" w:rsidP="00A1062E">
      <w:pPr>
        <w:pStyle w:val="NormalWeb"/>
        <w:spacing w:line="276" w:lineRule="auto"/>
        <w:jc w:val="both"/>
        <w:rPr>
          <w:b/>
          <w:bCs/>
          <w:lang w:val="en-US"/>
        </w:rPr>
      </w:pPr>
    </w:p>
    <w:p w14:paraId="21E6B35E" w14:textId="77777777" w:rsidR="001F6852" w:rsidRDefault="001F6852" w:rsidP="00A1062E">
      <w:pPr>
        <w:pStyle w:val="NormalWeb"/>
        <w:spacing w:line="276" w:lineRule="auto"/>
        <w:jc w:val="both"/>
        <w:rPr>
          <w:b/>
          <w:bCs/>
          <w:lang w:val="en-US"/>
        </w:rPr>
      </w:pPr>
    </w:p>
    <w:p w14:paraId="6C49ECEC" w14:textId="77777777" w:rsidR="001F6852" w:rsidRDefault="001F6852" w:rsidP="00A1062E">
      <w:pPr>
        <w:pStyle w:val="NormalWeb"/>
        <w:spacing w:line="276" w:lineRule="auto"/>
        <w:jc w:val="both"/>
        <w:rPr>
          <w:b/>
          <w:bCs/>
          <w:lang w:val="en-US"/>
        </w:rPr>
      </w:pPr>
    </w:p>
    <w:p w14:paraId="54BD560B" w14:textId="77777777" w:rsidR="001F6852" w:rsidRDefault="001F6852" w:rsidP="00A1062E">
      <w:pPr>
        <w:pStyle w:val="NormalWeb"/>
        <w:spacing w:line="276" w:lineRule="auto"/>
        <w:jc w:val="both"/>
        <w:rPr>
          <w:b/>
          <w:bCs/>
          <w:lang w:val="en-US"/>
        </w:rPr>
      </w:pPr>
    </w:p>
    <w:p w14:paraId="11E4873F" w14:textId="77777777" w:rsidR="001F6852" w:rsidRDefault="001F6852" w:rsidP="00A1062E">
      <w:pPr>
        <w:pStyle w:val="NormalWeb"/>
        <w:spacing w:line="276" w:lineRule="auto"/>
        <w:jc w:val="both"/>
        <w:rPr>
          <w:b/>
          <w:bCs/>
          <w:lang w:val="en-US"/>
        </w:rPr>
      </w:pPr>
    </w:p>
    <w:p w14:paraId="4A89EA88" w14:textId="3AB2AABF" w:rsidR="006A71C5" w:rsidRPr="00BE0AA8" w:rsidRDefault="0005328F" w:rsidP="001F6852">
      <w:pPr>
        <w:pStyle w:val="NormalWeb"/>
        <w:spacing w:line="276" w:lineRule="auto"/>
        <w:jc w:val="center"/>
      </w:pPr>
      <w:r>
        <w:rPr>
          <w:rStyle w:val="Strong"/>
        </w:rPr>
        <w:t xml:space="preserve">  </w:t>
      </w:r>
      <w:r w:rsidR="001F6852" w:rsidRPr="00BE0AA8">
        <w:rPr>
          <w:rStyle w:val="Strong"/>
        </w:rPr>
        <w:t>REFERENCES</w:t>
      </w:r>
    </w:p>
    <w:p w14:paraId="73765E54" w14:textId="77777777" w:rsidR="00A85579" w:rsidRDefault="00A85579" w:rsidP="0005328F">
      <w:pPr>
        <w:spacing w:line="276" w:lineRule="auto"/>
        <w:ind w:left="-90"/>
        <w:jc w:val="both"/>
        <w:rPr>
          <w:rStyle w:val="Hyperlink"/>
          <w:rFonts w:ascii="Times New Roman" w:hAnsi="Times New Roman" w:cs="Times New Roman"/>
          <w:sz w:val="24"/>
          <w:szCs w:val="24"/>
        </w:rPr>
      </w:pPr>
      <w:proofErr w:type="spellStart"/>
      <w:r w:rsidRPr="00DE7FBF">
        <w:rPr>
          <w:rFonts w:ascii="Times New Roman" w:hAnsi="Times New Roman" w:cs="Times New Roman"/>
          <w:sz w:val="24"/>
          <w:szCs w:val="24"/>
        </w:rPr>
        <w:t>Abdelrady</w:t>
      </w:r>
      <w:proofErr w:type="spellEnd"/>
      <w:r w:rsidRPr="00DE7FBF">
        <w:rPr>
          <w:rFonts w:ascii="Times New Roman" w:hAnsi="Times New Roman" w:cs="Times New Roman"/>
          <w:sz w:val="24"/>
          <w:szCs w:val="24"/>
        </w:rPr>
        <w:t xml:space="preserve">, M., </w:t>
      </w:r>
      <w:proofErr w:type="spellStart"/>
      <w:r w:rsidRPr="00DE7FBF">
        <w:rPr>
          <w:rFonts w:ascii="Times New Roman" w:hAnsi="Times New Roman" w:cs="Times New Roman"/>
          <w:sz w:val="24"/>
          <w:szCs w:val="24"/>
        </w:rPr>
        <w:t>Moniem</w:t>
      </w:r>
      <w:proofErr w:type="spellEnd"/>
      <w:r w:rsidRPr="00DE7FBF">
        <w:rPr>
          <w:rFonts w:ascii="Times New Roman" w:hAnsi="Times New Roman" w:cs="Times New Roman"/>
          <w:sz w:val="24"/>
          <w:szCs w:val="24"/>
        </w:rPr>
        <w:t xml:space="preserve">, M. A., </w:t>
      </w:r>
      <w:proofErr w:type="spellStart"/>
      <w:r w:rsidRPr="00DE7FBF">
        <w:rPr>
          <w:rFonts w:ascii="Times New Roman" w:hAnsi="Times New Roman" w:cs="Times New Roman"/>
          <w:sz w:val="24"/>
          <w:szCs w:val="24"/>
        </w:rPr>
        <w:t>Alarfi</w:t>
      </w:r>
      <w:proofErr w:type="spellEnd"/>
      <w:r w:rsidRPr="00DE7FBF">
        <w:rPr>
          <w:rFonts w:ascii="Times New Roman" w:hAnsi="Times New Roman" w:cs="Times New Roman"/>
          <w:sz w:val="24"/>
          <w:szCs w:val="24"/>
        </w:rPr>
        <w:t xml:space="preserve">, S. S., </w:t>
      </w:r>
      <w:proofErr w:type="spellStart"/>
      <w:r w:rsidRPr="00DE7FBF">
        <w:rPr>
          <w:rFonts w:ascii="Times New Roman" w:hAnsi="Times New Roman" w:cs="Times New Roman"/>
          <w:sz w:val="24"/>
          <w:szCs w:val="24"/>
        </w:rPr>
        <w:t>Abdelrady</w:t>
      </w:r>
      <w:proofErr w:type="spellEnd"/>
      <w:r w:rsidRPr="00DE7FBF">
        <w:rPr>
          <w:rFonts w:ascii="Times New Roman" w:hAnsi="Times New Roman" w:cs="Times New Roman"/>
          <w:sz w:val="24"/>
          <w:szCs w:val="24"/>
        </w:rPr>
        <w:t xml:space="preserve">, A., Othman, A., Mohammed M. A. A., &amp; Mohamed, A., (2023). Geophysical investigation for the identification of subsurface features influencing mineralization zones. </w:t>
      </w:r>
      <w:r w:rsidRPr="00DE7FBF">
        <w:rPr>
          <w:rFonts w:ascii="Times New Roman" w:hAnsi="Times New Roman" w:cs="Times New Roman"/>
          <w:i/>
          <w:iCs/>
          <w:sz w:val="24"/>
          <w:szCs w:val="24"/>
        </w:rPr>
        <w:t>Journal of King Saud University-Science</w:t>
      </w:r>
      <w:r w:rsidRPr="00DE7FBF">
        <w:rPr>
          <w:rFonts w:ascii="Times New Roman" w:hAnsi="Times New Roman" w:cs="Times New Roman"/>
          <w:sz w:val="24"/>
          <w:szCs w:val="24"/>
        </w:rPr>
        <w:t xml:space="preserve">, </w:t>
      </w:r>
      <w:r w:rsidRPr="00DE7FBF">
        <w:rPr>
          <w:rFonts w:ascii="Times New Roman" w:hAnsi="Times New Roman" w:cs="Times New Roman"/>
          <w:i/>
          <w:iCs/>
          <w:sz w:val="24"/>
          <w:szCs w:val="24"/>
        </w:rPr>
        <w:t>35</w:t>
      </w:r>
      <w:r w:rsidRPr="00DE7FBF">
        <w:rPr>
          <w:rFonts w:ascii="Times New Roman" w:hAnsi="Times New Roman" w:cs="Times New Roman"/>
          <w:sz w:val="24"/>
          <w:szCs w:val="24"/>
        </w:rPr>
        <w:t xml:space="preserve">(7),  </w:t>
      </w:r>
      <w:hyperlink r:id="rId20" w:history="1">
        <w:r w:rsidRPr="00DE7C56">
          <w:rPr>
            <w:rStyle w:val="Hyperlink"/>
            <w:rFonts w:ascii="Times New Roman" w:hAnsi="Times New Roman" w:cs="Times New Roman"/>
            <w:sz w:val="24"/>
            <w:szCs w:val="24"/>
          </w:rPr>
          <w:t>https://doi.org/10.1016/j.jksus.2023.102809</w:t>
        </w:r>
      </w:hyperlink>
    </w:p>
    <w:p w14:paraId="19589600" w14:textId="77777777" w:rsidR="00253342"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Ahmed, S. A., Nuhu, M. W., Hadiza, L. M., Mohammed, A. M., &amp; </w:t>
      </w:r>
      <w:proofErr w:type="spellStart"/>
      <w:r w:rsidRPr="00DE7FBF">
        <w:rPr>
          <w:rFonts w:ascii="Times New Roman" w:hAnsi="Times New Roman" w:cs="Times New Roman"/>
          <w:sz w:val="24"/>
          <w:szCs w:val="24"/>
        </w:rPr>
        <w:t>Apeh</w:t>
      </w:r>
      <w:proofErr w:type="spellEnd"/>
      <w:r w:rsidRPr="00DE7FBF">
        <w:rPr>
          <w:rFonts w:ascii="Times New Roman" w:hAnsi="Times New Roman" w:cs="Times New Roman"/>
          <w:sz w:val="24"/>
          <w:szCs w:val="24"/>
        </w:rPr>
        <w:t xml:space="preserve">, A. G., (2020). Reconnaissance geochemical and geophysical exploration for gold at Iri gold field, North central Nigeria.  </w:t>
      </w:r>
      <w:r w:rsidRPr="00DE7FBF">
        <w:rPr>
          <w:rFonts w:ascii="Times New Roman" w:hAnsi="Times New Roman" w:cs="Times New Roman"/>
          <w:i/>
          <w:iCs/>
          <w:sz w:val="24"/>
          <w:szCs w:val="24"/>
        </w:rPr>
        <w:t xml:space="preserve">Scientia </w:t>
      </w:r>
      <w:proofErr w:type="spellStart"/>
      <w:r w:rsidRPr="00DE7FBF">
        <w:rPr>
          <w:rFonts w:ascii="Times New Roman" w:hAnsi="Times New Roman" w:cs="Times New Roman"/>
          <w:i/>
          <w:iCs/>
          <w:sz w:val="24"/>
          <w:szCs w:val="24"/>
        </w:rPr>
        <w:t>Bruneiana</w:t>
      </w:r>
      <w:proofErr w:type="spellEnd"/>
      <w:r w:rsidRPr="00DE7FBF">
        <w:rPr>
          <w:rFonts w:ascii="Times New Roman" w:hAnsi="Times New Roman" w:cs="Times New Roman"/>
          <w:sz w:val="24"/>
          <w:szCs w:val="24"/>
        </w:rPr>
        <w:t xml:space="preserve">, </w:t>
      </w:r>
      <w:r w:rsidRPr="00DE7FBF">
        <w:rPr>
          <w:rFonts w:ascii="Times New Roman" w:hAnsi="Times New Roman" w:cs="Times New Roman"/>
          <w:i/>
          <w:iCs/>
          <w:sz w:val="24"/>
          <w:szCs w:val="24"/>
        </w:rPr>
        <w:t>18</w:t>
      </w:r>
      <w:r w:rsidRPr="00DE7FBF">
        <w:rPr>
          <w:rFonts w:ascii="Times New Roman" w:hAnsi="Times New Roman" w:cs="Times New Roman"/>
          <w:sz w:val="24"/>
          <w:szCs w:val="24"/>
        </w:rPr>
        <w:t>(2), pages 19-31.</w:t>
      </w:r>
    </w:p>
    <w:p w14:paraId="28B30D51" w14:textId="7C91924B" w:rsidR="00C471B8" w:rsidRPr="00C471B8" w:rsidRDefault="00C471B8" w:rsidP="002813AB">
      <w:pPr>
        <w:tabs>
          <w:tab w:val="left" w:pos="0"/>
        </w:tabs>
        <w:spacing w:line="276" w:lineRule="auto"/>
        <w:jc w:val="both"/>
        <w:rPr>
          <w:rStyle w:val="Hyperlink"/>
          <w:rFonts w:ascii="Times New Roman" w:hAnsi="Times New Roman" w:cs="Times New Roman"/>
          <w:color w:val="auto"/>
          <w:sz w:val="24"/>
          <w:szCs w:val="24"/>
          <w:u w:val="none"/>
        </w:rPr>
      </w:pPr>
      <w:r w:rsidRPr="00C471B8">
        <w:rPr>
          <w:rStyle w:val="Hyperlink"/>
          <w:rFonts w:ascii="Times New Roman" w:hAnsi="Times New Roman" w:cs="Times New Roman"/>
          <w:color w:val="auto"/>
          <w:sz w:val="24"/>
          <w:szCs w:val="24"/>
          <w:u w:val="none"/>
        </w:rPr>
        <w:t xml:space="preserve">Ajibade, A. C., Anyanwu, N. P. C., Okoro, A. U., &amp; </w:t>
      </w:r>
      <w:proofErr w:type="spellStart"/>
      <w:r w:rsidRPr="00C471B8">
        <w:rPr>
          <w:rStyle w:val="Hyperlink"/>
          <w:rFonts w:ascii="Times New Roman" w:hAnsi="Times New Roman" w:cs="Times New Roman"/>
          <w:color w:val="auto"/>
          <w:sz w:val="24"/>
          <w:szCs w:val="24"/>
          <w:u w:val="none"/>
        </w:rPr>
        <w:t>Nwajide</w:t>
      </w:r>
      <w:proofErr w:type="spellEnd"/>
      <w:r w:rsidRPr="00C471B8">
        <w:rPr>
          <w:rStyle w:val="Hyperlink"/>
          <w:rFonts w:ascii="Times New Roman" w:hAnsi="Times New Roman" w:cs="Times New Roman"/>
          <w:color w:val="auto"/>
          <w:sz w:val="24"/>
          <w:szCs w:val="24"/>
          <w:u w:val="none"/>
        </w:rPr>
        <w:t>, C. S. (2008). The geology of the Minna area (Bulletin No. 43). Nigerian Geological Survey Agency.</w:t>
      </w:r>
    </w:p>
    <w:p w14:paraId="5687D91E" w14:textId="420E21DA" w:rsidR="00191DEF" w:rsidRPr="00191DEF" w:rsidRDefault="00191DEF" w:rsidP="002813AB">
      <w:pPr>
        <w:spacing w:line="276" w:lineRule="auto"/>
        <w:jc w:val="both"/>
        <w:rPr>
          <w:rFonts w:ascii="Times New Roman" w:hAnsi="Times New Roman" w:cs="Times New Roman"/>
          <w:sz w:val="24"/>
          <w:szCs w:val="24"/>
        </w:rPr>
      </w:pPr>
      <w:proofErr w:type="spellStart"/>
      <w:r w:rsidRPr="00191DEF">
        <w:rPr>
          <w:rFonts w:ascii="Times New Roman" w:hAnsi="Times New Roman" w:cs="Times New Roman"/>
          <w:sz w:val="24"/>
          <w:szCs w:val="24"/>
        </w:rPr>
        <w:lastRenderedPageBreak/>
        <w:t>Akinduko</w:t>
      </w:r>
      <w:proofErr w:type="spellEnd"/>
      <w:r w:rsidRPr="00191DEF">
        <w:rPr>
          <w:rFonts w:ascii="Times New Roman" w:hAnsi="Times New Roman" w:cs="Times New Roman"/>
          <w:sz w:val="24"/>
          <w:szCs w:val="24"/>
        </w:rPr>
        <w:t>, O. K., Salako, K. A., Alhassan, U. D., Lawrence, J. O., Alkali, A., Aliyu, S. B.,</w:t>
      </w:r>
      <w:r w:rsidR="00B04A3A">
        <w:rPr>
          <w:rFonts w:ascii="Times New Roman" w:hAnsi="Times New Roman" w:cs="Times New Roman"/>
          <w:sz w:val="24"/>
          <w:szCs w:val="24"/>
        </w:rPr>
        <w:t xml:space="preserve"> </w:t>
      </w:r>
      <w:r w:rsidRPr="00191DEF">
        <w:rPr>
          <w:rFonts w:ascii="Times New Roman" w:hAnsi="Times New Roman" w:cs="Times New Roman"/>
          <w:sz w:val="24"/>
          <w:szCs w:val="24"/>
        </w:rPr>
        <w:t xml:space="preserve">Abdullahi, M., Adewumi, T., &amp; </w:t>
      </w:r>
      <w:proofErr w:type="spellStart"/>
      <w:r w:rsidRPr="00191DEF">
        <w:rPr>
          <w:rFonts w:ascii="Times New Roman" w:hAnsi="Times New Roman" w:cs="Times New Roman"/>
          <w:sz w:val="24"/>
          <w:szCs w:val="24"/>
        </w:rPr>
        <w:t>Damidami</w:t>
      </w:r>
      <w:proofErr w:type="spellEnd"/>
      <w:r w:rsidRPr="00191DEF">
        <w:rPr>
          <w:rFonts w:ascii="Times New Roman" w:hAnsi="Times New Roman" w:cs="Times New Roman"/>
          <w:sz w:val="24"/>
          <w:szCs w:val="24"/>
        </w:rPr>
        <w:t xml:space="preserve">, L., (2022). Aero-magnetic and Aero-radiometric prospecting for Gold Mineralisation over Ilesha and its Environs Southwest, Nigeria. </w:t>
      </w:r>
      <w:r w:rsidRPr="00191DEF">
        <w:rPr>
          <w:rFonts w:ascii="Times New Roman" w:hAnsi="Times New Roman" w:cs="Times New Roman"/>
          <w:i/>
          <w:iCs/>
          <w:sz w:val="24"/>
          <w:szCs w:val="24"/>
        </w:rPr>
        <w:t>Asian Journal of Geological Research (AJOGER)</w:t>
      </w:r>
      <w:r w:rsidRPr="00191DEF">
        <w:rPr>
          <w:rFonts w:ascii="Times New Roman" w:hAnsi="Times New Roman" w:cs="Times New Roman"/>
          <w:sz w:val="24"/>
          <w:szCs w:val="24"/>
        </w:rPr>
        <w:t>, 5(4), pp. 1-16; Article no. AJOGER 96016</w:t>
      </w:r>
    </w:p>
    <w:p w14:paraId="17173666" w14:textId="2F066C55" w:rsidR="00484E81" w:rsidRDefault="00484E81" w:rsidP="0005328F">
      <w:pPr>
        <w:pStyle w:val="NormalWeb"/>
        <w:spacing w:line="276" w:lineRule="auto"/>
        <w:jc w:val="both"/>
      </w:pPr>
      <w:r w:rsidRPr="00BE0AA8">
        <w:t xml:space="preserve">Akintola, O. A., Olatunji, A. S., &amp; Adepoju, K. A. (2022). Geology and mineral resources of North-Central Nigeria: A review. </w:t>
      </w:r>
      <w:r w:rsidRPr="00BE0AA8">
        <w:rPr>
          <w:rStyle w:val="Emphasis"/>
        </w:rPr>
        <w:t>Journal of African Earth Sciences, 191</w:t>
      </w:r>
      <w:r w:rsidRPr="00BE0AA8">
        <w:t xml:space="preserve">, 104520. </w:t>
      </w:r>
      <w:hyperlink r:id="rId21" w:history="1">
        <w:r w:rsidR="00E54E8F" w:rsidRPr="00E86C8F">
          <w:rPr>
            <w:rStyle w:val="Hyperlink"/>
          </w:rPr>
          <w:t>https://doi.org/10.1016/j.jafrearsci.2022.104520</w:t>
        </w:r>
      </w:hyperlink>
    </w:p>
    <w:p w14:paraId="6B0C0180" w14:textId="77777777" w:rsidR="00E54E8F" w:rsidRDefault="00E54E8F" w:rsidP="0005328F">
      <w:pPr>
        <w:pStyle w:val="NormalWeb"/>
        <w:spacing w:line="276" w:lineRule="auto"/>
        <w:jc w:val="both"/>
      </w:pPr>
      <w:r w:rsidRPr="00E54E8F">
        <w:t xml:space="preserve">Aliyu, S. B., </w:t>
      </w:r>
      <w:proofErr w:type="spellStart"/>
      <w:r w:rsidRPr="00E54E8F">
        <w:t>Adetona</w:t>
      </w:r>
      <w:proofErr w:type="spellEnd"/>
      <w:r w:rsidRPr="00E54E8F">
        <w:t xml:space="preserve">, A. A., Rafiu, A. A., </w:t>
      </w:r>
      <w:proofErr w:type="spellStart"/>
      <w:r w:rsidRPr="00E54E8F">
        <w:t>Ejepu</w:t>
      </w:r>
      <w:proofErr w:type="spellEnd"/>
      <w:r w:rsidRPr="00E54E8F">
        <w:t xml:space="preserve">, J., Adewumi, T., (2021). Delineating and interpreting the gold veins within </w:t>
      </w:r>
      <w:proofErr w:type="spellStart"/>
      <w:r w:rsidRPr="00E54E8F">
        <w:t>Bida</w:t>
      </w:r>
      <w:proofErr w:type="spellEnd"/>
      <w:r w:rsidRPr="00E54E8F">
        <w:t xml:space="preserve"> and </w:t>
      </w:r>
      <w:proofErr w:type="spellStart"/>
      <w:r w:rsidRPr="00E54E8F">
        <w:t>Zungeru</w:t>
      </w:r>
      <w:proofErr w:type="spellEnd"/>
      <w:r w:rsidRPr="00E54E8F">
        <w:t xml:space="preserve"> area, Niger State, Nigeria, using aeromagnetic and radiometric data. </w:t>
      </w:r>
      <w:r w:rsidRPr="00E54E8F">
        <w:rPr>
          <w:i/>
          <w:iCs/>
        </w:rPr>
        <w:t>Pakistan Journal of Geology (PJG), 5</w:t>
      </w:r>
      <w:r w:rsidRPr="00E54E8F">
        <w:t>(2), pp 41-50. DOI: 10.2478/pjg-2021-0006</w:t>
      </w:r>
    </w:p>
    <w:p w14:paraId="76342937" w14:textId="00F6E1EE" w:rsidR="00043329" w:rsidRDefault="00043329" w:rsidP="0005328F">
      <w:pPr>
        <w:pStyle w:val="NormalWeb"/>
        <w:spacing w:line="276" w:lineRule="auto"/>
        <w:jc w:val="both"/>
      </w:pPr>
      <w:proofErr w:type="spellStart"/>
      <w:r w:rsidRPr="00043329">
        <w:t>Anakwuba</w:t>
      </w:r>
      <w:proofErr w:type="spellEnd"/>
      <w:r w:rsidRPr="00043329">
        <w:t xml:space="preserve">, E. K., </w:t>
      </w:r>
      <w:proofErr w:type="spellStart"/>
      <w:r w:rsidRPr="00043329">
        <w:t>Chinwuko</w:t>
      </w:r>
      <w:proofErr w:type="spellEnd"/>
      <w:r w:rsidRPr="00043329">
        <w:t xml:space="preserve">, A. I., </w:t>
      </w:r>
      <w:proofErr w:type="spellStart"/>
      <w:r w:rsidRPr="00043329">
        <w:t>Onwuemesi</w:t>
      </w:r>
      <w:proofErr w:type="spellEnd"/>
      <w:r w:rsidRPr="00043329">
        <w:t>, A. G., &amp; Oha, I. A. (2014). Interpretation of aeromagnetic data over Maiduguri and environs for structural and mineral prospectivity analysis. International Journal of Science and Technology, 3(1), 67–79.</w:t>
      </w:r>
    </w:p>
    <w:p w14:paraId="57372366" w14:textId="77777777" w:rsidR="00253342" w:rsidRPr="00DE7FBF" w:rsidRDefault="00253342" w:rsidP="002813AB">
      <w:pPr>
        <w:spacing w:line="276" w:lineRule="auto"/>
        <w:jc w:val="both"/>
        <w:rPr>
          <w:rFonts w:ascii="Times New Roman" w:hAnsi="Times New Roman" w:cs="Times New Roman"/>
          <w:sz w:val="24"/>
          <w:szCs w:val="24"/>
          <w:u w:val="single"/>
        </w:rPr>
      </w:pPr>
      <w:proofErr w:type="spellStart"/>
      <w:r w:rsidRPr="00DE7FBF">
        <w:rPr>
          <w:rStyle w:val="rpv-coretext-layer-text"/>
          <w:rFonts w:ascii="Times New Roman" w:hAnsi="Times New Roman" w:cs="Times New Roman"/>
          <w:sz w:val="24"/>
          <w:szCs w:val="24"/>
        </w:rPr>
        <w:t>Arogundade</w:t>
      </w:r>
      <w:proofErr w:type="spellEnd"/>
      <w:r w:rsidRPr="00DE7FBF">
        <w:rPr>
          <w:rStyle w:val="rpv-coretext-layer-text"/>
          <w:rFonts w:ascii="Times New Roman" w:hAnsi="Times New Roman" w:cs="Times New Roman"/>
          <w:sz w:val="24"/>
          <w:szCs w:val="24"/>
        </w:rPr>
        <w:t xml:space="preserve"> A. B., Awoyemi, M.O., Hammed, O.S. </w:t>
      </w:r>
      <w:proofErr w:type="spellStart"/>
      <w:r w:rsidRPr="00DE7FBF">
        <w:rPr>
          <w:rStyle w:val="rpv-coretext-layer-text"/>
          <w:rFonts w:ascii="Times New Roman" w:hAnsi="Times New Roman" w:cs="Times New Roman"/>
          <w:sz w:val="24"/>
          <w:szCs w:val="24"/>
        </w:rPr>
        <w:t>Falade</w:t>
      </w:r>
      <w:proofErr w:type="spellEnd"/>
      <w:r w:rsidRPr="00DE7FBF">
        <w:rPr>
          <w:rStyle w:val="rpv-coretext-layer-text"/>
          <w:rFonts w:ascii="Times New Roman" w:hAnsi="Times New Roman" w:cs="Times New Roman"/>
          <w:sz w:val="24"/>
          <w:szCs w:val="24"/>
        </w:rPr>
        <w:t xml:space="preserve">, S.C., &amp; </w:t>
      </w:r>
      <w:proofErr w:type="spellStart"/>
      <w:r w:rsidRPr="00DE7FBF">
        <w:rPr>
          <w:rStyle w:val="rpv-coretext-layer-text"/>
          <w:rFonts w:ascii="Times New Roman" w:hAnsi="Times New Roman" w:cs="Times New Roman"/>
          <w:sz w:val="24"/>
          <w:szCs w:val="24"/>
        </w:rPr>
        <w:t>Ajama</w:t>
      </w:r>
      <w:proofErr w:type="spellEnd"/>
      <w:r w:rsidRPr="00DE7FBF">
        <w:rPr>
          <w:rStyle w:val="rpv-coretext-layer-text"/>
          <w:rFonts w:ascii="Times New Roman" w:hAnsi="Times New Roman" w:cs="Times New Roman"/>
          <w:sz w:val="24"/>
          <w:szCs w:val="24"/>
        </w:rPr>
        <w:t xml:space="preserve"> O. D. (2022). </w:t>
      </w:r>
      <w:r w:rsidRPr="00DE7FBF">
        <w:rPr>
          <w:rFonts w:ascii="Times New Roman" w:hAnsi="Times New Roman" w:cs="Times New Roman"/>
          <w:sz w:val="24"/>
          <w:szCs w:val="24"/>
        </w:rPr>
        <w:t xml:space="preserve">Structural Investigation of </w:t>
      </w:r>
      <w:proofErr w:type="spellStart"/>
      <w:r w:rsidRPr="00DE7FBF">
        <w:rPr>
          <w:rFonts w:ascii="Times New Roman" w:hAnsi="Times New Roman" w:cs="Times New Roman"/>
          <w:sz w:val="24"/>
          <w:szCs w:val="24"/>
        </w:rPr>
        <w:t>Zungeru-Kalangai</w:t>
      </w:r>
      <w:proofErr w:type="spellEnd"/>
      <w:r w:rsidRPr="00DE7FBF">
        <w:rPr>
          <w:rFonts w:ascii="Times New Roman" w:hAnsi="Times New Roman" w:cs="Times New Roman"/>
          <w:sz w:val="24"/>
          <w:szCs w:val="24"/>
        </w:rPr>
        <w:t xml:space="preserve"> Fault Zone, Nigeria using Aeromagnetic and Remote Sensing Data. </w:t>
      </w:r>
      <w:proofErr w:type="spellStart"/>
      <w:r w:rsidRPr="00DE7FBF">
        <w:rPr>
          <w:rFonts w:ascii="Times New Roman" w:hAnsi="Times New Roman" w:cs="Times New Roman"/>
          <w:i/>
          <w:iCs/>
          <w:sz w:val="24"/>
          <w:szCs w:val="24"/>
        </w:rPr>
        <w:t>Heliyon</w:t>
      </w:r>
      <w:proofErr w:type="spellEnd"/>
      <w:r w:rsidRPr="00DE7FBF">
        <w:rPr>
          <w:rFonts w:ascii="Times New Roman" w:hAnsi="Times New Roman" w:cs="Times New Roman"/>
          <w:i/>
          <w:iCs/>
          <w:sz w:val="24"/>
          <w:szCs w:val="24"/>
        </w:rPr>
        <w:t>, 8</w:t>
      </w:r>
      <w:r w:rsidRPr="00DE7FBF">
        <w:rPr>
          <w:rFonts w:ascii="Times New Roman" w:hAnsi="Times New Roman" w:cs="Times New Roman"/>
          <w:sz w:val="24"/>
          <w:szCs w:val="24"/>
        </w:rPr>
        <w:t>(3), e09055.</w:t>
      </w:r>
      <w:hyperlink r:id="rId22" w:history="1">
        <w:r w:rsidRPr="00DE7FBF">
          <w:rPr>
            <w:rStyle w:val="Hyperlink"/>
            <w:rFonts w:ascii="Times New Roman" w:hAnsi="Times New Roman" w:cs="Times New Roman"/>
            <w:sz w:val="24"/>
            <w:szCs w:val="24"/>
          </w:rPr>
          <w:t xml:space="preserve"> https://doi.org/10.1016/j.heliyon.2022.e09055</w:t>
        </w:r>
      </w:hyperlink>
    </w:p>
    <w:p w14:paraId="1FB290DC" w14:textId="77777777" w:rsidR="00E54E8F" w:rsidRDefault="00E54E8F" w:rsidP="0005328F">
      <w:pPr>
        <w:pStyle w:val="NormalWeb"/>
        <w:spacing w:line="276" w:lineRule="auto"/>
        <w:jc w:val="both"/>
        <w:rPr>
          <w:iCs/>
        </w:rPr>
      </w:pPr>
      <w:r w:rsidRPr="00E54E8F">
        <w:t xml:space="preserve">Augie, A. I., Salako, K. A., </w:t>
      </w:r>
      <w:r w:rsidRPr="00E54E8F">
        <w:rPr>
          <w:bCs/>
        </w:rPr>
        <w:t>Rafiu, A. A</w:t>
      </w:r>
      <w:r w:rsidRPr="00E54E8F">
        <w:t xml:space="preserve">. &amp; Jimoh, M. O. (2024). </w:t>
      </w:r>
      <w:r w:rsidRPr="00E54E8F">
        <w:rPr>
          <w:iCs/>
        </w:rPr>
        <w:t xml:space="preserve">Integrated Geophysical Investigation for Potential Gold Mineralised Zone within Lower Part of </w:t>
      </w:r>
      <w:proofErr w:type="spellStart"/>
      <w:r w:rsidRPr="00E54E8F">
        <w:rPr>
          <w:iCs/>
        </w:rPr>
        <w:t>Zuru</w:t>
      </w:r>
      <w:proofErr w:type="spellEnd"/>
      <w:r w:rsidRPr="00E54E8F">
        <w:rPr>
          <w:iCs/>
        </w:rPr>
        <w:t xml:space="preserve"> Schist Belts, NW Nigeria</w:t>
      </w:r>
      <w:r w:rsidRPr="00E54E8F">
        <w:t xml:space="preserve">. </w:t>
      </w:r>
      <w:r w:rsidRPr="00E54E8F">
        <w:rPr>
          <w:i/>
        </w:rPr>
        <w:t>Nigerian Journal of Physics (NJP), 33</w:t>
      </w:r>
      <w:r w:rsidRPr="00E54E8F">
        <w:rPr>
          <w:iCs/>
        </w:rPr>
        <w:t>(2)</w:t>
      </w:r>
      <w:r w:rsidRPr="00E54E8F">
        <w:rPr>
          <w:i/>
        </w:rPr>
        <w:t xml:space="preserve">. </w:t>
      </w:r>
      <w:r w:rsidRPr="00E54E8F">
        <w:rPr>
          <w:iCs/>
        </w:rPr>
        <w:t xml:space="preserve">ISSN online: 3027-0936ISSN print: 1595-0611. DOI: </w:t>
      </w:r>
      <w:hyperlink r:id="rId23" w:history="1">
        <w:r w:rsidRPr="00E54E8F">
          <w:rPr>
            <w:rStyle w:val="Hyperlink"/>
            <w:iCs/>
          </w:rPr>
          <w:t>https://doi.org/10.62292/njp.v33i2.2024.212</w:t>
        </w:r>
      </w:hyperlink>
      <w:r w:rsidRPr="00E54E8F">
        <w:rPr>
          <w:iCs/>
        </w:rPr>
        <w:t>, Special Issue, June 2024</w:t>
      </w:r>
    </w:p>
    <w:p w14:paraId="2B1FAA5F" w14:textId="5E28BE72" w:rsidR="00512D88" w:rsidRPr="00E54E8F" w:rsidRDefault="00512D88" w:rsidP="0005328F">
      <w:pPr>
        <w:pStyle w:val="NormalWeb"/>
        <w:spacing w:line="276" w:lineRule="auto"/>
        <w:jc w:val="both"/>
        <w:rPr>
          <w:iCs/>
        </w:rPr>
      </w:pPr>
      <w:r>
        <w:rPr>
          <w:iCs/>
        </w:rPr>
        <w:t>Ayuba Bwamba Jonah</w:t>
      </w:r>
      <w:r w:rsidR="002813AB">
        <w:rPr>
          <w:iCs/>
        </w:rPr>
        <w:t>,</w:t>
      </w:r>
      <w:r>
        <w:rPr>
          <w:iCs/>
        </w:rPr>
        <w:t xml:space="preserve"> </w:t>
      </w:r>
      <w:r w:rsidR="002813AB">
        <w:rPr>
          <w:iCs/>
        </w:rPr>
        <w:t>&amp;</w:t>
      </w:r>
      <w:r>
        <w:rPr>
          <w:iCs/>
        </w:rPr>
        <w:t xml:space="preserve"> Abu Mallam (2024). Integrated </w:t>
      </w:r>
      <w:proofErr w:type="spellStart"/>
      <w:r>
        <w:rPr>
          <w:iCs/>
        </w:rPr>
        <w:t>interpretationof</w:t>
      </w:r>
      <w:proofErr w:type="spellEnd"/>
      <w:r>
        <w:rPr>
          <w:iCs/>
        </w:rPr>
        <w:t xml:space="preserve"> Aeromagnetic and Aero-radiometric data to delineate structures and hydrothermal Alteration zones associated with gold Mineralization in parts of North-Central Nigeria. </w:t>
      </w:r>
      <w:r w:rsidRPr="00B04A3A">
        <w:rPr>
          <w:i/>
        </w:rPr>
        <w:t xml:space="preserve">Asian Journal of Geological Research </w:t>
      </w:r>
      <w:r w:rsidR="00B04A3A" w:rsidRPr="00B04A3A">
        <w:rPr>
          <w:i/>
        </w:rPr>
        <w:t xml:space="preserve">(AJOGER) </w:t>
      </w:r>
      <w:r w:rsidRPr="00B04A3A">
        <w:rPr>
          <w:i/>
        </w:rPr>
        <w:t>7(</w:t>
      </w:r>
      <w:r>
        <w:rPr>
          <w:iCs/>
        </w:rPr>
        <w:t>2): 136-153</w:t>
      </w:r>
    </w:p>
    <w:p w14:paraId="34CCBB40" w14:textId="5C1EF27B" w:rsidR="00E54E8F" w:rsidRPr="00E54E8F" w:rsidRDefault="00E54E8F" w:rsidP="0005328F">
      <w:pPr>
        <w:pStyle w:val="NormalWeb"/>
        <w:spacing w:line="276" w:lineRule="auto"/>
        <w:jc w:val="both"/>
      </w:pPr>
      <w:r w:rsidRPr="00E54E8F">
        <w:t xml:space="preserve">BGI - Bureau </w:t>
      </w:r>
      <w:proofErr w:type="spellStart"/>
      <w:r w:rsidRPr="00E54E8F">
        <w:t>Gravimetrique</w:t>
      </w:r>
      <w:proofErr w:type="spellEnd"/>
      <w:r w:rsidRPr="00E54E8F">
        <w:t xml:space="preserve"> International / International Gravimetric Bureau, World Gravity Map (WGM) (2012). </w:t>
      </w:r>
      <w:hyperlink r:id="rId24" w:anchor="/form-wgm2012-model" w:history="1">
        <w:r w:rsidRPr="00E54E8F">
          <w:rPr>
            <w:rStyle w:val="Hyperlink"/>
          </w:rPr>
          <w:t>WGM2012 maps visualization/extraction – BGI</w:t>
        </w:r>
      </w:hyperlink>
    </w:p>
    <w:p w14:paraId="708EABE9" w14:textId="5A6A62BC" w:rsidR="00484E81" w:rsidRDefault="00484E81" w:rsidP="0005328F">
      <w:pPr>
        <w:pStyle w:val="NormalWeb"/>
        <w:spacing w:line="276" w:lineRule="auto"/>
        <w:jc w:val="both"/>
      </w:pPr>
      <w:r w:rsidRPr="00BE0AA8">
        <w:t xml:space="preserve">Bolarinwa, A. T., </w:t>
      </w:r>
      <w:proofErr w:type="spellStart"/>
      <w:r w:rsidRPr="00BE0AA8">
        <w:t>Oyebanjo</w:t>
      </w:r>
      <w:proofErr w:type="spellEnd"/>
      <w:r w:rsidRPr="00BE0AA8">
        <w:t xml:space="preserve">, O. A., &amp; Ojo, A. M. (2021). Structural framework and geochemical characteristics of mineralized zones in Nigeria. </w:t>
      </w:r>
      <w:r w:rsidRPr="00BE0AA8">
        <w:rPr>
          <w:rStyle w:val="Emphasis"/>
        </w:rPr>
        <w:t>Minerals, 11</w:t>
      </w:r>
      <w:r w:rsidRPr="00BE0AA8">
        <w:t xml:space="preserve">(12), 1396. </w:t>
      </w:r>
      <w:hyperlink r:id="rId25" w:history="1">
        <w:r w:rsidR="00E54E8F" w:rsidRPr="00E86C8F">
          <w:rPr>
            <w:rStyle w:val="Hyperlink"/>
          </w:rPr>
          <w:t>https://doi.org/10.3390/min11121396</w:t>
        </w:r>
      </w:hyperlink>
    </w:p>
    <w:p w14:paraId="4430C761" w14:textId="77777777" w:rsidR="00253342" w:rsidRPr="00DE7FBF"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Daniel, E., Jimoh, R., &amp; Lawal, K. (2019). Delineation of Gold Mineral Potential Zone Using High Resolution Aeromagnetic Data Over Part of Kano State, Nigeria. </w:t>
      </w:r>
      <w:r w:rsidRPr="00DE7FBF">
        <w:rPr>
          <w:rFonts w:ascii="Times New Roman" w:hAnsi="Times New Roman" w:cs="Times New Roman"/>
          <w:i/>
          <w:iCs/>
          <w:sz w:val="24"/>
          <w:szCs w:val="24"/>
        </w:rPr>
        <w:t>Journal of Geology &amp; Geophysics</w:t>
      </w:r>
      <w:r w:rsidRPr="00DE7FBF">
        <w:rPr>
          <w:rFonts w:ascii="Times New Roman" w:hAnsi="Times New Roman" w:cs="Times New Roman"/>
          <w:sz w:val="24"/>
          <w:szCs w:val="24"/>
        </w:rPr>
        <w:t xml:space="preserve"> 8:464. 10.35248/2381-8719.464</w:t>
      </w:r>
    </w:p>
    <w:p w14:paraId="157EB30B" w14:textId="77777777" w:rsidR="00253342" w:rsidRPr="00DE7FBF" w:rsidRDefault="00253342" w:rsidP="002813AB">
      <w:pPr>
        <w:spacing w:line="276" w:lineRule="auto"/>
        <w:jc w:val="both"/>
        <w:rPr>
          <w:rFonts w:ascii="Times New Roman" w:hAnsi="Times New Roman" w:cs="Times New Roman"/>
          <w:sz w:val="24"/>
          <w:szCs w:val="24"/>
        </w:rPr>
      </w:pPr>
      <w:r w:rsidRPr="00DE7FBF">
        <w:rPr>
          <w:rFonts w:ascii="Times New Roman" w:hAnsi="Times New Roman" w:cs="Times New Roman"/>
          <w:sz w:val="24"/>
          <w:szCs w:val="24"/>
        </w:rPr>
        <w:t xml:space="preserve">Ebele, J. E., Ofoegbu, C. O. &amp; Nur, A. (2021). Interpretation of high-resolution aeromagnetic and radiometric data for delineation of mineral potential zones over Abuja and Environs, </w:t>
      </w:r>
      <w:r w:rsidRPr="00DE7FBF">
        <w:rPr>
          <w:rFonts w:ascii="Times New Roman" w:hAnsi="Times New Roman" w:cs="Times New Roman"/>
          <w:sz w:val="24"/>
          <w:szCs w:val="24"/>
        </w:rPr>
        <w:lastRenderedPageBreak/>
        <w:t xml:space="preserve">North-Central Nigeria. </w:t>
      </w:r>
      <w:r w:rsidRPr="00DE7FBF">
        <w:rPr>
          <w:rFonts w:ascii="Times New Roman" w:hAnsi="Times New Roman" w:cs="Times New Roman"/>
          <w:i/>
          <w:iCs/>
          <w:sz w:val="24"/>
          <w:szCs w:val="24"/>
        </w:rPr>
        <w:t>Arabian Journal of Geosciences, 14</w:t>
      </w:r>
      <w:r w:rsidRPr="00DE7FBF">
        <w:rPr>
          <w:rFonts w:ascii="Times New Roman" w:hAnsi="Times New Roman" w:cs="Times New Roman"/>
          <w:sz w:val="24"/>
          <w:szCs w:val="24"/>
        </w:rPr>
        <w:t>(1947) https://doi.org/10.1007/s12517-021-07915-5. Corpus ID: 237412613</w:t>
      </w:r>
    </w:p>
    <w:p w14:paraId="114C32AE" w14:textId="77777777" w:rsidR="00191DEF" w:rsidRPr="00DE7FBF" w:rsidRDefault="00191DEF" w:rsidP="002813A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Egbelehulu</w:t>
      </w:r>
      <w:proofErr w:type="spellEnd"/>
      <w:r>
        <w:rPr>
          <w:rFonts w:ascii="Times New Roman" w:hAnsi="Times New Roman" w:cs="Times New Roman"/>
          <w:sz w:val="24"/>
          <w:szCs w:val="24"/>
        </w:rPr>
        <w:t xml:space="preserve">, P., &amp; Abu, M. (2024). Integration of ground magnetic method and whole-rock analysis for solid mineral prospecting in a part of Abuja, Nigeria. </w:t>
      </w:r>
      <w:r w:rsidRPr="00191DEF">
        <w:rPr>
          <w:rFonts w:ascii="Times New Roman" w:hAnsi="Times New Roman" w:cs="Times New Roman"/>
          <w:i/>
          <w:iCs/>
          <w:sz w:val="24"/>
          <w:szCs w:val="24"/>
        </w:rPr>
        <w:t>Pakistan Journal of Geology (PJG),</w:t>
      </w:r>
      <w:r>
        <w:rPr>
          <w:rFonts w:ascii="Times New Roman" w:hAnsi="Times New Roman" w:cs="Times New Roman"/>
          <w:sz w:val="24"/>
          <w:szCs w:val="24"/>
        </w:rPr>
        <w:t xml:space="preserve"> 8(1), 67-73. </w:t>
      </w:r>
      <w:r w:rsidRPr="003844F8">
        <w:rPr>
          <w:rFonts w:ascii="Times New Roman" w:hAnsi="Times New Roman" w:cs="Times New Roman"/>
          <w:sz w:val="24"/>
          <w:szCs w:val="24"/>
        </w:rPr>
        <w:t xml:space="preserve">DOI: </w:t>
      </w:r>
      <w:hyperlink r:id="rId26" w:history="1">
        <w:r w:rsidRPr="003844F8">
          <w:rPr>
            <w:rStyle w:val="Hyperlink"/>
            <w:rFonts w:ascii="Times New Roman" w:hAnsi="Times New Roman" w:cs="Times New Roman"/>
            <w:sz w:val="24"/>
            <w:szCs w:val="24"/>
          </w:rPr>
          <w:t>http://doi.org/10.26480/pjg.01.2024.67.73</w:t>
        </w:r>
      </w:hyperlink>
      <w:r>
        <w:rPr>
          <w:rFonts w:ascii="Times New Roman" w:hAnsi="Times New Roman" w:cs="Times New Roman"/>
          <w:sz w:val="24"/>
          <w:szCs w:val="24"/>
        </w:rPr>
        <w:t xml:space="preserve"> </w:t>
      </w:r>
    </w:p>
    <w:p w14:paraId="15F9A991" w14:textId="77777777" w:rsidR="00B82630" w:rsidRPr="00BE0AA8"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spellStart"/>
      <w:r w:rsidRPr="00BE0AA8">
        <w:rPr>
          <w:rFonts w:ascii="Times New Roman" w:eastAsia="Times New Roman" w:hAnsi="Times New Roman" w:cs="Times New Roman"/>
          <w:sz w:val="24"/>
          <w:szCs w:val="24"/>
          <w:lang w:eastAsia="en-GB"/>
        </w:rPr>
        <w:t>Feybesse</w:t>
      </w:r>
      <w:proofErr w:type="spellEnd"/>
      <w:r w:rsidRPr="00BE0AA8">
        <w:rPr>
          <w:rFonts w:ascii="Times New Roman" w:eastAsia="Times New Roman" w:hAnsi="Times New Roman" w:cs="Times New Roman"/>
          <w:sz w:val="24"/>
          <w:szCs w:val="24"/>
          <w:lang w:eastAsia="en-GB"/>
        </w:rPr>
        <w:t xml:space="preserve">, J. L., Billa, M., </w:t>
      </w:r>
      <w:proofErr w:type="spellStart"/>
      <w:r w:rsidRPr="00BE0AA8">
        <w:rPr>
          <w:rFonts w:ascii="Times New Roman" w:eastAsia="Times New Roman" w:hAnsi="Times New Roman" w:cs="Times New Roman"/>
          <w:sz w:val="24"/>
          <w:szCs w:val="24"/>
          <w:lang w:eastAsia="en-GB"/>
        </w:rPr>
        <w:t>Guerrot</w:t>
      </w:r>
      <w:proofErr w:type="spellEnd"/>
      <w:r w:rsidRPr="00BE0AA8">
        <w:rPr>
          <w:rFonts w:ascii="Times New Roman" w:eastAsia="Times New Roman" w:hAnsi="Times New Roman" w:cs="Times New Roman"/>
          <w:sz w:val="24"/>
          <w:szCs w:val="24"/>
          <w:lang w:eastAsia="en-GB"/>
        </w:rPr>
        <w:t xml:space="preserve">, C., </w:t>
      </w:r>
      <w:proofErr w:type="spellStart"/>
      <w:r w:rsidRPr="00BE0AA8">
        <w:rPr>
          <w:rFonts w:ascii="Times New Roman" w:eastAsia="Times New Roman" w:hAnsi="Times New Roman" w:cs="Times New Roman"/>
          <w:sz w:val="24"/>
          <w:szCs w:val="24"/>
          <w:lang w:eastAsia="en-GB"/>
        </w:rPr>
        <w:t>Duguey</w:t>
      </w:r>
      <w:proofErr w:type="spellEnd"/>
      <w:r w:rsidRPr="00BE0AA8">
        <w:rPr>
          <w:rFonts w:ascii="Times New Roman" w:eastAsia="Times New Roman" w:hAnsi="Times New Roman" w:cs="Times New Roman"/>
          <w:sz w:val="24"/>
          <w:szCs w:val="24"/>
          <w:lang w:eastAsia="en-GB"/>
        </w:rPr>
        <w:t xml:space="preserve">, E., </w:t>
      </w:r>
      <w:proofErr w:type="spellStart"/>
      <w:r w:rsidRPr="00BE0AA8">
        <w:rPr>
          <w:rFonts w:ascii="Times New Roman" w:eastAsia="Times New Roman" w:hAnsi="Times New Roman" w:cs="Times New Roman"/>
          <w:sz w:val="24"/>
          <w:szCs w:val="24"/>
          <w:lang w:eastAsia="en-GB"/>
        </w:rPr>
        <w:t>Lescuyer</w:t>
      </w:r>
      <w:proofErr w:type="spellEnd"/>
      <w:r w:rsidRPr="00BE0AA8">
        <w:rPr>
          <w:rFonts w:ascii="Times New Roman" w:eastAsia="Times New Roman" w:hAnsi="Times New Roman" w:cs="Times New Roman"/>
          <w:sz w:val="24"/>
          <w:szCs w:val="24"/>
          <w:lang w:eastAsia="en-GB"/>
        </w:rPr>
        <w:t xml:space="preserve">, J. L., Milesi, J. P., &amp; Bouchot, V. (2006). The Paleoproterozoic Ghanaian province: Geodynamic model and ore controls, including regional stress </w:t>
      </w:r>
      <w:proofErr w:type="spellStart"/>
      <w:r w:rsidRPr="00BE0AA8">
        <w:rPr>
          <w:rFonts w:ascii="Times New Roman" w:eastAsia="Times New Roman" w:hAnsi="Times New Roman" w:cs="Times New Roman"/>
          <w:sz w:val="24"/>
          <w:szCs w:val="24"/>
          <w:lang w:eastAsia="en-GB"/>
        </w:rPr>
        <w:t>modeling</w:t>
      </w:r>
      <w:proofErr w:type="spellEnd"/>
      <w:r w:rsidRPr="00BE0AA8">
        <w:rPr>
          <w:rFonts w:ascii="Times New Roman" w:eastAsia="Times New Roman" w:hAnsi="Times New Roman" w:cs="Times New Roman"/>
          <w:sz w:val="24"/>
          <w:szCs w:val="24"/>
          <w:lang w:eastAsia="en-GB"/>
        </w:rPr>
        <w:t xml:space="preserve">. </w:t>
      </w:r>
      <w:r w:rsidRPr="00BE0AA8">
        <w:rPr>
          <w:rFonts w:ascii="Times New Roman" w:eastAsia="Times New Roman" w:hAnsi="Times New Roman" w:cs="Times New Roman"/>
          <w:i/>
          <w:iCs/>
          <w:sz w:val="24"/>
          <w:szCs w:val="24"/>
          <w:lang w:eastAsia="en-GB"/>
        </w:rPr>
        <w:t>Precambrian Research, 149</w:t>
      </w:r>
      <w:r w:rsidRPr="00BE0AA8">
        <w:rPr>
          <w:rFonts w:ascii="Times New Roman" w:eastAsia="Times New Roman" w:hAnsi="Times New Roman" w:cs="Times New Roman"/>
          <w:sz w:val="24"/>
          <w:szCs w:val="24"/>
          <w:lang w:eastAsia="en-GB"/>
        </w:rPr>
        <w:t>(3–4), 149–196. https://doi.org/10.1016/j.precamres.2006.06.003</w:t>
      </w:r>
    </w:p>
    <w:p w14:paraId="25EADF24" w14:textId="77777777" w:rsidR="00B82630" w:rsidRPr="00BE0AA8"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Groves, D. I., Goldfarb, R. J., Gebre-Mariam, M., Hagemann, S. G., &amp; Robert, F. (1998). Orogenic gold deposits: A proposed classification in the context of their crustal distribution and relationship to other gold deposit types. </w:t>
      </w:r>
      <w:r w:rsidRPr="00BE0AA8">
        <w:rPr>
          <w:rFonts w:ascii="Times New Roman" w:eastAsia="Times New Roman" w:hAnsi="Times New Roman" w:cs="Times New Roman"/>
          <w:i/>
          <w:iCs/>
          <w:sz w:val="24"/>
          <w:szCs w:val="24"/>
          <w:lang w:eastAsia="en-GB"/>
        </w:rPr>
        <w:t>Ore Geology Reviews, 13</w:t>
      </w:r>
      <w:r w:rsidRPr="00BE0AA8">
        <w:rPr>
          <w:rFonts w:ascii="Times New Roman" w:eastAsia="Times New Roman" w:hAnsi="Times New Roman" w:cs="Times New Roman"/>
          <w:sz w:val="24"/>
          <w:szCs w:val="24"/>
          <w:lang w:eastAsia="en-GB"/>
        </w:rPr>
        <w:t>(1–5), 7–27. https://doi.org/10.1016/S0169-1368(97)00012-7</w:t>
      </w:r>
    </w:p>
    <w:p w14:paraId="7036E3A7" w14:textId="15E8BB5B" w:rsidR="00043329" w:rsidRDefault="00043329" w:rsidP="002813AB">
      <w:pPr>
        <w:spacing w:line="276" w:lineRule="auto"/>
        <w:jc w:val="both"/>
        <w:rPr>
          <w:rFonts w:ascii="Times New Roman" w:hAnsi="Times New Roman" w:cs="Times New Roman"/>
          <w:sz w:val="24"/>
          <w:szCs w:val="24"/>
          <w:lang w:val="en-US"/>
        </w:rPr>
      </w:pPr>
      <w:r w:rsidRPr="00043329">
        <w:rPr>
          <w:rFonts w:ascii="Times New Roman" w:hAnsi="Times New Roman" w:cs="Times New Roman"/>
          <w:sz w:val="24"/>
          <w:szCs w:val="24"/>
          <w:lang w:val="en-US"/>
        </w:rPr>
        <w:t>Groves, D. I., Goldfarb, R. J., Santosh, M., &amp; Zhang, L. (2016). The conjunction of factors that lead to formation of giant gold provinces and deposits in non-arc settings. Geoscience Frontiers, 7(3), 303–314. https://doi.org/10.1016/j.gsf.2015.07.001</w:t>
      </w:r>
    </w:p>
    <w:p w14:paraId="024FC42A" w14:textId="2743D45E" w:rsidR="00B04A3A" w:rsidRPr="00DE7FBF" w:rsidRDefault="00B04A3A" w:rsidP="007B3150">
      <w:pPr>
        <w:spacing w:line="276" w:lineRule="auto"/>
        <w:jc w:val="both"/>
        <w:rPr>
          <w:rStyle w:val="Hyperlink"/>
          <w:rFonts w:ascii="Times New Roman" w:hAnsi="Times New Roman" w:cs="Times New Roman"/>
          <w:sz w:val="24"/>
          <w:szCs w:val="24"/>
          <w:lang w:val="en-US"/>
        </w:rPr>
      </w:pPr>
      <w:r w:rsidRPr="00DE7FBF">
        <w:rPr>
          <w:rFonts w:ascii="Times New Roman" w:hAnsi="Times New Roman" w:cs="Times New Roman"/>
          <w:sz w:val="24"/>
          <w:szCs w:val="24"/>
          <w:lang w:val="en-US"/>
        </w:rPr>
        <w:t xml:space="preserve">Ishola, K. S., Akerele, P. O., Folarin, O., Adeoti, L., Adegbola, R. B., </w:t>
      </w:r>
      <w:proofErr w:type="spellStart"/>
      <w:r w:rsidRPr="00DE7FBF">
        <w:rPr>
          <w:rFonts w:ascii="Times New Roman" w:hAnsi="Times New Roman" w:cs="Times New Roman"/>
          <w:sz w:val="24"/>
          <w:szCs w:val="24"/>
          <w:lang w:val="en-US"/>
        </w:rPr>
        <w:t>Adeogun</w:t>
      </w:r>
      <w:proofErr w:type="spellEnd"/>
      <w:r w:rsidRPr="00DE7FBF">
        <w:rPr>
          <w:rFonts w:ascii="Times New Roman" w:hAnsi="Times New Roman" w:cs="Times New Roman"/>
          <w:sz w:val="24"/>
          <w:szCs w:val="24"/>
          <w:lang w:val="en-US"/>
        </w:rPr>
        <w:t xml:space="preserve">, O. Y. (2020). Application of aeromagnetic data to map subsurface structural features in </w:t>
      </w:r>
      <w:proofErr w:type="spellStart"/>
      <w:r w:rsidRPr="00DE7FBF">
        <w:rPr>
          <w:rFonts w:ascii="Times New Roman" w:hAnsi="Times New Roman" w:cs="Times New Roman"/>
          <w:sz w:val="24"/>
          <w:szCs w:val="24"/>
          <w:lang w:val="en-US"/>
        </w:rPr>
        <w:t>Ewekoro</w:t>
      </w:r>
      <w:proofErr w:type="spellEnd"/>
      <w:r w:rsidRPr="00DE7FBF">
        <w:rPr>
          <w:rFonts w:ascii="Times New Roman" w:hAnsi="Times New Roman" w:cs="Times New Roman"/>
          <w:sz w:val="24"/>
          <w:szCs w:val="24"/>
          <w:lang w:val="en-US"/>
        </w:rPr>
        <w:t xml:space="preserve">, Southwestern Nigeria. </w:t>
      </w:r>
      <w:proofErr w:type="spellStart"/>
      <w:r w:rsidRPr="00DE7FBF">
        <w:rPr>
          <w:rFonts w:ascii="Times New Roman" w:hAnsi="Times New Roman" w:cs="Times New Roman"/>
          <w:i/>
          <w:iCs/>
          <w:sz w:val="24"/>
          <w:szCs w:val="24"/>
        </w:rPr>
        <w:t>Modeling</w:t>
      </w:r>
      <w:proofErr w:type="spellEnd"/>
      <w:r w:rsidRPr="00DE7FBF">
        <w:rPr>
          <w:rFonts w:ascii="Times New Roman" w:hAnsi="Times New Roman" w:cs="Times New Roman"/>
          <w:i/>
          <w:iCs/>
          <w:sz w:val="24"/>
          <w:szCs w:val="24"/>
        </w:rPr>
        <w:t xml:space="preserve"> Earth Systems and Environment</w:t>
      </w:r>
      <w:r w:rsidRPr="00DE7FBF">
        <w:rPr>
          <w:rFonts w:ascii="Times New Roman" w:hAnsi="Times New Roman" w:cs="Times New Roman"/>
          <w:sz w:val="24"/>
          <w:szCs w:val="24"/>
        </w:rPr>
        <w:t xml:space="preserve">. pp. 1 - 12 </w:t>
      </w:r>
      <w:r w:rsidRPr="00DE7FBF">
        <w:rPr>
          <w:rFonts w:ascii="Times New Roman" w:hAnsi="Times New Roman" w:cs="Times New Roman"/>
          <w:sz w:val="24"/>
          <w:szCs w:val="24"/>
          <w:lang w:val="en-US"/>
        </w:rPr>
        <w:fldChar w:fldCharType="begin"/>
      </w:r>
      <w:r w:rsidRPr="00DE7FBF">
        <w:rPr>
          <w:rFonts w:ascii="Times New Roman" w:hAnsi="Times New Roman" w:cs="Times New Roman"/>
          <w:sz w:val="24"/>
          <w:szCs w:val="24"/>
          <w:lang w:val="en-US"/>
        </w:rPr>
        <w:instrText>HYPERLINK "https://doi.org/10.1007/s40808-020-00812-y"</w:instrText>
      </w:r>
      <w:r w:rsidRPr="00DE7FBF">
        <w:rPr>
          <w:rFonts w:ascii="Times New Roman" w:hAnsi="Times New Roman" w:cs="Times New Roman"/>
          <w:sz w:val="24"/>
          <w:szCs w:val="24"/>
          <w:lang w:val="en-US"/>
        </w:rPr>
        <w:fldChar w:fldCharType="separate"/>
      </w:r>
      <w:r w:rsidRPr="00DE7FBF">
        <w:rPr>
          <w:rStyle w:val="Hyperlink"/>
          <w:rFonts w:ascii="Times New Roman" w:hAnsi="Times New Roman" w:cs="Times New Roman"/>
          <w:sz w:val="24"/>
          <w:szCs w:val="24"/>
          <w:lang w:val="en-US"/>
        </w:rPr>
        <w:t>https://doi.org/10.1007/s40808-020-00812-y</w:t>
      </w:r>
    </w:p>
    <w:p w14:paraId="27B670C5" w14:textId="49DEA9C4" w:rsidR="00253342" w:rsidRDefault="00B04A3A" w:rsidP="007B3150">
      <w:pPr>
        <w:spacing w:before="240" w:line="276" w:lineRule="auto"/>
        <w:jc w:val="both"/>
        <w:rPr>
          <w:rFonts w:ascii="Times New Roman" w:hAnsi="Times New Roman" w:cs="Times New Roman"/>
          <w:sz w:val="24"/>
          <w:szCs w:val="24"/>
        </w:rPr>
      </w:pPr>
      <w:r w:rsidRPr="00DE7FBF">
        <w:rPr>
          <w:rFonts w:ascii="Times New Roman" w:hAnsi="Times New Roman" w:cs="Times New Roman"/>
          <w:sz w:val="24"/>
          <w:szCs w:val="24"/>
          <w:lang w:val="en-US"/>
        </w:rPr>
        <w:fldChar w:fldCharType="end"/>
      </w:r>
      <w:proofErr w:type="spellStart"/>
      <w:r w:rsidR="00253342" w:rsidRPr="00253342">
        <w:rPr>
          <w:rFonts w:ascii="Times New Roman" w:hAnsi="Times New Roman" w:cs="Times New Roman"/>
          <w:sz w:val="24"/>
          <w:szCs w:val="24"/>
        </w:rPr>
        <w:t>Leube</w:t>
      </w:r>
      <w:proofErr w:type="spellEnd"/>
      <w:r w:rsidR="00253342" w:rsidRPr="00253342">
        <w:rPr>
          <w:rFonts w:ascii="Times New Roman" w:hAnsi="Times New Roman" w:cs="Times New Roman"/>
          <w:sz w:val="24"/>
          <w:szCs w:val="24"/>
        </w:rPr>
        <w:t xml:space="preserve">, A., Hirdes, W., Mauer, R., &amp; Kesse, G. O. (1990). The Early Proterozoic </w:t>
      </w:r>
      <w:proofErr w:type="spellStart"/>
      <w:r w:rsidR="00253342" w:rsidRPr="00253342">
        <w:rPr>
          <w:rFonts w:ascii="Times New Roman" w:hAnsi="Times New Roman" w:cs="Times New Roman"/>
          <w:sz w:val="24"/>
          <w:szCs w:val="24"/>
        </w:rPr>
        <w:t>Birimian</w:t>
      </w:r>
      <w:proofErr w:type="spellEnd"/>
      <w:r w:rsidR="00253342" w:rsidRPr="00253342">
        <w:rPr>
          <w:rFonts w:ascii="Times New Roman" w:hAnsi="Times New Roman" w:cs="Times New Roman"/>
          <w:sz w:val="24"/>
          <w:szCs w:val="24"/>
        </w:rPr>
        <w:t xml:space="preserve"> Supergroup of Ghana and some aspects of its associated gold mineralization. Precambrian Research, 46(1–2), 139–165. </w:t>
      </w:r>
    </w:p>
    <w:p w14:paraId="3390A041" w14:textId="24568EF1" w:rsidR="00253342" w:rsidRPr="00DE7FBF" w:rsidRDefault="00253342" w:rsidP="007B3150">
      <w:pPr>
        <w:spacing w:before="240" w:line="276" w:lineRule="auto"/>
        <w:jc w:val="both"/>
        <w:rPr>
          <w:rStyle w:val="Hyperlink"/>
          <w:rFonts w:ascii="Times New Roman" w:hAnsi="Times New Roman" w:cs="Times New Roman"/>
          <w:sz w:val="24"/>
          <w:szCs w:val="24"/>
        </w:rPr>
      </w:pPr>
      <w:r w:rsidRPr="00DE7FBF">
        <w:rPr>
          <w:rFonts w:ascii="Times New Roman" w:hAnsi="Times New Roman" w:cs="Times New Roman"/>
          <w:sz w:val="24"/>
          <w:szCs w:val="24"/>
        </w:rPr>
        <w:t xml:space="preserve">Mustapha S., Suleman S., Iliyasu S. R., Udensi E. E., Sanusi Y. A., </w:t>
      </w:r>
      <w:proofErr w:type="spellStart"/>
      <w:r w:rsidRPr="00DE7FBF">
        <w:rPr>
          <w:rFonts w:ascii="Times New Roman" w:hAnsi="Times New Roman" w:cs="Times New Roman"/>
          <w:sz w:val="24"/>
          <w:szCs w:val="24"/>
        </w:rPr>
        <w:t>Dahuwa</w:t>
      </w:r>
      <w:proofErr w:type="spellEnd"/>
      <w:r w:rsidRPr="00DE7FBF">
        <w:rPr>
          <w:rFonts w:ascii="Times New Roman" w:hAnsi="Times New Roman" w:cs="Times New Roman"/>
          <w:sz w:val="24"/>
          <w:szCs w:val="24"/>
        </w:rPr>
        <w:t xml:space="preserve"> D. and Abba L (2020) Interpretation of Aeromagnetic Data and Landsat Imagery over the Nigerian Younger Granites in and around </w:t>
      </w:r>
      <w:proofErr w:type="spellStart"/>
      <w:r w:rsidRPr="00DE7FBF">
        <w:rPr>
          <w:rFonts w:ascii="Times New Roman" w:hAnsi="Times New Roman" w:cs="Times New Roman"/>
          <w:sz w:val="24"/>
          <w:szCs w:val="24"/>
        </w:rPr>
        <w:t>Kafanchan</w:t>
      </w:r>
      <w:proofErr w:type="spellEnd"/>
      <w:r w:rsidRPr="00DE7FBF">
        <w:rPr>
          <w:rFonts w:ascii="Times New Roman" w:hAnsi="Times New Roman" w:cs="Times New Roman"/>
          <w:sz w:val="24"/>
          <w:szCs w:val="24"/>
        </w:rPr>
        <w:t xml:space="preserve"> Area, North-Central Nigeria. </w:t>
      </w:r>
      <w:hyperlink r:id="rId27" w:history="1">
        <w:r w:rsidRPr="00253342">
          <w:rPr>
            <w:rStyle w:val="Hyperlink"/>
            <w:rFonts w:ascii="Times New Roman" w:hAnsi="Times New Roman" w:cs="Times New Roman"/>
            <w:i/>
            <w:iCs/>
            <w:color w:val="auto"/>
            <w:sz w:val="24"/>
            <w:szCs w:val="24"/>
            <w:u w:val="none"/>
            <w:lang w:val="en-US"/>
          </w:rPr>
          <w:t>FUDMA Journal of Sciences</w:t>
        </w:r>
      </w:hyperlink>
      <w:r w:rsidRPr="00DE7FBF">
        <w:rPr>
          <w:rFonts w:ascii="Times New Roman" w:hAnsi="Times New Roman" w:cs="Times New Roman"/>
          <w:sz w:val="24"/>
          <w:szCs w:val="24"/>
        </w:rPr>
        <w:t>,</w:t>
      </w:r>
      <w:r w:rsidRPr="00DE7FBF">
        <w:rPr>
          <w:rFonts w:ascii="Times New Roman" w:hAnsi="Times New Roman" w:cs="Times New Roman"/>
          <w:sz w:val="24"/>
          <w:szCs w:val="24"/>
          <w:lang w:val="en-US"/>
        </w:rPr>
        <w:t xml:space="preserve"> </w:t>
      </w:r>
      <w:r w:rsidRPr="00DE7FBF">
        <w:rPr>
          <w:rFonts w:ascii="Times New Roman" w:hAnsi="Times New Roman" w:cs="Times New Roman"/>
          <w:i/>
          <w:iCs/>
          <w:sz w:val="24"/>
          <w:szCs w:val="24"/>
        </w:rPr>
        <w:t>4</w:t>
      </w:r>
      <w:r w:rsidRPr="00DE7FBF">
        <w:rPr>
          <w:rFonts w:ascii="Times New Roman" w:hAnsi="Times New Roman" w:cs="Times New Roman"/>
          <w:sz w:val="24"/>
          <w:szCs w:val="24"/>
        </w:rPr>
        <w:t xml:space="preserve">(4), pp 323 – 333.  DOI: </w:t>
      </w:r>
      <w:hyperlink r:id="rId28" w:history="1">
        <w:r w:rsidRPr="00DE7FBF">
          <w:rPr>
            <w:rStyle w:val="Hyperlink"/>
            <w:rFonts w:ascii="Times New Roman" w:hAnsi="Times New Roman" w:cs="Times New Roman"/>
            <w:sz w:val="24"/>
            <w:szCs w:val="24"/>
          </w:rPr>
          <w:t>https://doi.org/10.33003/fjs-2020-0404-489</w:t>
        </w:r>
      </w:hyperlink>
    </w:p>
    <w:p w14:paraId="31EDC49B" w14:textId="281615A2" w:rsidR="007B3150" w:rsidRPr="009312B4" w:rsidRDefault="007B3150" w:rsidP="0005328F">
      <w:pPr>
        <w:pStyle w:val="NormalWeb"/>
        <w:spacing w:line="276" w:lineRule="auto"/>
        <w:jc w:val="both"/>
        <w:rPr>
          <w:rStyle w:val="Hyperlink"/>
        </w:rPr>
      </w:pPr>
      <w:r>
        <w:t xml:space="preserve">Nigeria Geological Survey Agency (NGSA) </w:t>
      </w:r>
      <w:r w:rsidR="009312B4">
        <w:t>–</w:t>
      </w:r>
      <w:r>
        <w:t xml:space="preserve"> Geol</w:t>
      </w:r>
      <w:r w:rsidR="009312B4">
        <w:t xml:space="preserve">ogical Maps. </w:t>
      </w:r>
      <w:r w:rsidR="009312B4">
        <w:fldChar w:fldCharType="begin"/>
      </w:r>
      <w:r w:rsidR="009312B4">
        <w:instrText>HYPERLINK "https://ngsa.gov.ng/geological-maps/"</w:instrText>
      </w:r>
      <w:r w:rsidR="009312B4">
        <w:fldChar w:fldCharType="separate"/>
      </w:r>
      <w:r w:rsidR="009312B4" w:rsidRPr="009312B4">
        <w:rPr>
          <w:rStyle w:val="Hyperlink"/>
        </w:rPr>
        <w:t>https://ngsa.gov.ng/geological-maps/</w:t>
      </w:r>
    </w:p>
    <w:p w14:paraId="2D4D8036" w14:textId="1C7E9786" w:rsidR="00043329" w:rsidRPr="00BE0AA8" w:rsidRDefault="009312B4" w:rsidP="0005328F">
      <w:pPr>
        <w:pStyle w:val="NormalWeb"/>
        <w:spacing w:line="276" w:lineRule="auto"/>
        <w:jc w:val="both"/>
      </w:pPr>
      <w:r>
        <w:fldChar w:fldCharType="end"/>
      </w:r>
      <w:proofErr w:type="spellStart"/>
      <w:r w:rsidR="00043329" w:rsidRPr="00BE0AA8">
        <w:t>Obaje</w:t>
      </w:r>
      <w:proofErr w:type="spellEnd"/>
      <w:r w:rsidR="00043329" w:rsidRPr="00BE0AA8">
        <w:t xml:space="preserve">, N. G. (2009). </w:t>
      </w:r>
      <w:r w:rsidR="00043329" w:rsidRPr="00BE0AA8">
        <w:rPr>
          <w:rStyle w:val="Emphasis"/>
        </w:rPr>
        <w:t>Geology and Mineral Resources of Nigeria</w:t>
      </w:r>
      <w:r w:rsidR="00043329" w:rsidRPr="00BE0AA8">
        <w:t>. Springer.</w:t>
      </w:r>
    </w:p>
    <w:p w14:paraId="79566438" w14:textId="4E5B8578" w:rsidR="00B04A3A" w:rsidRDefault="00043329"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043329">
        <w:rPr>
          <w:rFonts w:ascii="Times New Roman" w:hAnsi="Times New Roman" w:cs="Times New Roman"/>
          <w:sz w:val="24"/>
          <w:szCs w:val="24"/>
          <w:lang w:val="en-US"/>
        </w:rPr>
        <w:t xml:space="preserve">Oden, M. I., </w:t>
      </w:r>
      <w:proofErr w:type="spellStart"/>
      <w:r w:rsidRPr="00043329">
        <w:rPr>
          <w:rFonts w:ascii="Times New Roman" w:hAnsi="Times New Roman" w:cs="Times New Roman"/>
          <w:sz w:val="24"/>
          <w:szCs w:val="24"/>
          <w:lang w:val="en-US"/>
        </w:rPr>
        <w:t>Okpamu</w:t>
      </w:r>
      <w:proofErr w:type="spellEnd"/>
      <w:r w:rsidRPr="00043329">
        <w:rPr>
          <w:rFonts w:ascii="Times New Roman" w:hAnsi="Times New Roman" w:cs="Times New Roman"/>
          <w:sz w:val="24"/>
          <w:szCs w:val="24"/>
          <w:lang w:val="en-US"/>
        </w:rPr>
        <w:t xml:space="preserve">, E. A., &amp; Amah, E. A. (2012). Comparative analysis of fracture lineaments in Oban and </w:t>
      </w:r>
      <w:proofErr w:type="spellStart"/>
      <w:r w:rsidRPr="00043329">
        <w:rPr>
          <w:rFonts w:ascii="Times New Roman" w:hAnsi="Times New Roman" w:cs="Times New Roman"/>
          <w:sz w:val="24"/>
          <w:szCs w:val="24"/>
          <w:lang w:val="en-US"/>
        </w:rPr>
        <w:t>Obudu</w:t>
      </w:r>
      <w:proofErr w:type="spellEnd"/>
      <w:r w:rsidRPr="00043329">
        <w:rPr>
          <w:rFonts w:ascii="Times New Roman" w:hAnsi="Times New Roman" w:cs="Times New Roman"/>
          <w:sz w:val="24"/>
          <w:szCs w:val="24"/>
          <w:lang w:val="en-US"/>
        </w:rPr>
        <w:t xml:space="preserve"> areas, Southeastern Nigeria. Journal of Geography and Geology, 4(2), 36–47. https://doi.org/10.5539/jgg.v4n2p36</w:t>
      </w:r>
    </w:p>
    <w:p w14:paraId="0D400473" w14:textId="77777777" w:rsidR="00253342" w:rsidRPr="00DE7FBF" w:rsidRDefault="00253342" w:rsidP="007B3150">
      <w:pPr>
        <w:spacing w:before="240" w:line="276" w:lineRule="auto"/>
        <w:jc w:val="both"/>
        <w:rPr>
          <w:rStyle w:val="Hyperlink"/>
          <w:rFonts w:ascii="Times New Roman" w:hAnsi="Times New Roman" w:cs="Times New Roman"/>
          <w:sz w:val="24"/>
          <w:szCs w:val="24"/>
        </w:rPr>
      </w:pPr>
      <w:r w:rsidRPr="00DE7FBF">
        <w:rPr>
          <w:rFonts w:ascii="Times New Roman" w:hAnsi="Times New Roman" w:cs="Times New Roman"/>
          <w:sz w:val="24"/>
          <w:szCs w:val="24"/>
        </w:rPr>
        <w:t xml:space="preserve">Ogunmola, J. K., </w:t>
      </w:r>
      <w:proofErr w:type="spellStart"/>
      <w:r w:rsidRPr="00DE7FBF">
        <w:rPr>
          <w:rFonts w:ascii="Times New Roman" w:hAnsi="Times New Roman" w:cs="Times New Roman"/>
          <w:sz w:val="24"/>
          <w:szCs w:val="24"/>
        </w:rPr>
        <w:t>Gajere</w:t>
      </w:r>
      <w:proofErr w:type="spellEnd"/>
      <w:r w:rsidRPr="00DE7FBF">
        <w:rPr>
          <w:rFonts w:ascii="Times New Roman" w:hAnsi="Times New Roman" w:cs="Times New Roman"/>
          <w:sz w:val="24"/>
          <w:szCs w:val="24"/>
        </w:rPr>
        <w:t xml:space="preserve">, E. N., </w:t>
      </w:r>
      <w:proofErr w:type="spellStart"/>
      <w:r w:rsidRPr="00DE7FBF">
        <w:rPr>
          <w:rFonts w:ascii="Times New Roman" w:hAnsi="Times New Roman" w:cs="Times New Roman"/>
          <w:sz w:val="24"/>
          <w:szCs w:val="24"/>
        </w:rPr>
        <w:t>Ayolabi</w:t>
      </w:r>
      <w:proofErr w:type="spellEnd"/>
      <w:r w:rsidRPr="00DE7FBF">
        <w:rPr>
          <w:rFonts w:ascii="Times New Roman" w:hAnsi="Times New Roman" w:cs="Times New Roman"/>
          <w:sz w:val="24"/>
          <w:szCs w:val="24"/>
        </w:rPr>
        <w:t xml:space="preserve">, E. A., </w:t>
      </w:r>
      <w:proofErr w:type="spellStart"/>
      <w:r w:rsidRPr="00DE7FBF">
        <w:rPr>
          <w:rFonts w:ascii="Times New Roman" w:hAnsi="Times New Roman" w:cs="Times New Roman"/>
          <w:sz w:val="24"/>
          <w:szCs w:val="24"/>
        </w:rPr>
        <w:t>Olobaniyi</w:t>
      </w:r>
      <w:proofErr w:type="spellEnd"/>
      <w:r w:rsidRPr="00DE7FBF">
        <w:rPr>
          <w:rFonts w:ascii="Times New Roman" w:hAnsi="Times New Roman" w:cs="Times New Roman"/>
          <w:sz w:val="24"/>
          <w:szCs w:val="24"/>
        </w:rPr>
        <w:t xml:space="preserve">, S. B., Jeb, D. N., Agene, I. J. (2015). Structural study of Wamba and Environs, North-central Nigeria using Aeromagnetic data and </w:t>
      </w:r>
      <w:proofErr w:type="spellStart"/>
      <w:r w:rsidRPr="00DE7FBF">
        <w:rPr>
          <w:rFonts w:ascii="Times New Roman" w:hAnsi="Times New Roman" w:cs="Times New Roman"/>
          <w:sz w:val="24"/>
          <w:szCs w:val="24"/>
        </w:rPr>
        <w:lastRenderedPageBreak/>
        <w:t>NigeriaSat</w:t>
      </w:r>
      <w:proofErr w:type="spellEnd"/>
      <w:r w:rsidRPr="00DE7FBF">
        <w:rPr>
          <w:rFonts w:ascii="Times New Roman" w:hAnsi="Times New Roman" w:cs="Times New Roman"/>
          <w:sz w:val="24"/>
          <w:szCs w:val="24"/>
        </w:rPr>
        <w:t xml:space="preserve">-X image. </w:t>
      </w:r>
      <w:r w:rsidRPr="00DE7FBF">
        <w:rPr>
          <w:rFonts w:ascii="Times New Roman" w:hAnsi="Times New Roman" w:cs="Times New Roman"/>
          <w:i/>
          <w:iCs/>
          <w:sz w:val="24"/>
          <w:szCs w:val="24"/>
        </w:rPr>
        <w:t>Journal of African Earth Sciences, 111</w:t>
      </w:r>
      <w:r w:rsidRPr="00DE7FBF">
        <w:rPr>
          <w:rFonts w:ascii="Times New Roman" w:hAnsi="Times New Roman" w:cs="Times New Roman"/>
          <w:sz w:val="24"/>
          <w:szCs w:val="24"/>
        </w:rPr>
        <w:t xml:space="preserve">(1), pp. 307-321. </w:t>
      </w:r>
      <w:hyperlink r:id="rId29" w:history="1">
        <w:r w:rsidRPr="00DE7FBF">
          <w:rPr>
            <w:rStyle w:val="Hyperlink"/>
            <w:rFonts w:ascii="Times New Roman" w:hAnsi="Times New Roman" w:cs="Times New Roman"/>
            <w:sz w:val="24"/>
            <w:szCs w:val="24"/>
          </w:rPr>
          <w:t>https://doi.org/10.1016/j.jafrearsci.2015.07.028</w:t>
        </w:r>
      </w:hyperlink>
    </w:p>
    <w:p w14:paraId="62B54ABA" w14:textId="77777777" w:rsidR="002813AB" w:rsidRPr="00BE0AA8" w:rsidRDefault="002813AB" w:rsidP="002813AB">
      <w:pPr>
        <w:pStyle w:val="NormalWeb"/>
        <w:spacing w:line="276" w:lineRule="auto"/>
        <w:jc w:val="both"/>
      </w:pPr>
      <w:r w:rsidRPr="00BE0AA8">
        <w:t xml:space="preserve">Rahaman, M. A. (1988). Recent advances in the study of the Basement Complex of Nigeria. In </w:t>
      </w:r>
      <w:r w:rsidRPr="00BE0AA8">
        <w:rPr>
          <w:rStyle w:val="Emphasis"/>
        </w:rPr>
        <w:t>Precambrian Geology of Nigeria</w:t>
      </w:r>
      <w:r w:rsidRPr="00BE0AA8">
        <w:t xml:space="preserve"> (pp. 11-41). Geological Survey of Nigeria.</w:t>
      </w:r>
    </w:p>
    <w:p w14:paraId="14734482" w14:textId="77777777" w:rsidR="002813AB" w:rsidRDefault="002813AB" w:rsidP="002813A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04A3A">
        <w:rPr>
          <w:rFonts w:ascii="Times New Roman" w:eastAsia="Times New Roman" w:hAnsi="Times New Roman" w:cs="Times New Roman"/>
          <w:sz w:val="24"/>
          <w:szCs w:val="24"/>
          <w:lang w:eastAsia="en-GB"/>
        </w:rPr>
        <w:t xml:space="preserve">Reid, A. B., Allsop, J. M., </w:t>
      </w:r>
      <w:proofErr w:type="spellStart"/>
      <w:r w:rsidRPr="00B04A3A">
        <w:rPr>
          <w:rFonts w:ascii="Times New Roman" w:eastAsia="Times New Roman" w:hAnsi="Times New Roman" w:cs="Times New Roman"/>
          <w:sz w:val="24"/>
          <w:szCs w:val="24"/>
          <w:lang w:eastAsia="en-GB"/>
        </w:rPr>
        <w:t>Granser</w:t>
      </w:r>
      <w:proofErr w:type="spellEnd"/>
      <w:r w:rsidRPr="00B04A3A">
        <w:rPr>
          <w:rFonts w:ascii="Times New Roman" w:eastAsia="Times New Roman" w:hAnsi="Times New Roman" w:cs="Times New Roman"/>
          <w:sz w:val="24"/>
          <w:szCs w:val="24"/>
          <w:lang w:eastAsia="en-GB"/>
        </w:rPr>
        <w:t xml:space="preserve">, H., Millet, A. J. &amp; Somerton, I. W. (1990). Magnetic interpretation in three dimensions using Euler deconvolution. </w:t>
      </w:r>
      <w:r w:rsidRPr="00B04A3A">
        <w:rPr>
          <w:rFonts w:ascii="Times New Roman" w:eastAsia="Times New Roman" w:hAnsi="Times New Roman" w:cs="Times New Roman"/>
          <w:i/>
          <w:iCs/>
          <w:sz w:val="24"/>
          <w:szCs w:val="24"/>
          <w:lang w:eastAsia="en-GB"/>
        </w:rPr>
        <w:t>Geophysics</w:t>
      </w:r>
      <w:r w:rsidRPr="00B04A3A">
        <w:rPr>
          <w:rFonts w:ascii="Times New Roman" w:eastAsia="Times New Roman" w:hAnsi="Times New Roman" w:cs="Times New Roman"/>
          <w:sz w:val="24"/>
          <w:szCs w:val="24"/>
          <w:lang w:eastAsia="en-GB"/>
        </w:rPr>
        <w:t xml:space="preserve">, </w:t>
      </w:r>
      <w:r w:rsidRPr="00B04A3A">
        <w:rPr>
          <w:rFonts w:ascii="Times New Roman" w:eastAsia="Times New Roman" w:hAnsi="Times New Roman" w:cs="Times New Roman"/>
          <w:i/>
          <w:iCs/>
          <w:sz w:val="24"/>
          <w:szCs w:val="24"/>
          <w:lang w:eastAsia="en-GB"/>
        </w:rPr>
        <w:t>55</w:t>
      </w:r>
      <w:r w:rsidRPr="00B04A3A">
        <w:rPr>
          <w:rFonts w:ascii="Times New Roman" w:eastAsia="Times New Roman" w:hAnsi="Times New Roman" w:cs="Times New Roman"/>
          <w:sz w:val="24"/>
          <w:szCs w:val="24"/>
          <w:lang w:eastAsia="en-GB"/>
        </w:rPr>
        <w:t>(1), pp 80-91.</w:t>
      </w:r>
    </w:p>
    <w:p w14:paraId="163DE538" w14:textId="623A803C" w:rsidR="00B82630"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Robert, F., Poulsen, K. H., Cassidy, K. F., &amp; Hodgson, C. J. (1997). Gold deposits and their geological classification. In R. V. Kirkham, W. D. Sinclair, R. I. Thorpe, &amp; J. M. Duke (Eds.), </w:t>
      </w:r>
      <w:r w:rsidRPr="00BE0AA8">
        <w:rPr>
          <w:rFonts w:ascii="Times New Roman" w:eastAsia="Times New Roman" w:hAnsi="Times New Roman" w:cs="Times New Roman"/>
          <w:i/>
          <w:iCs/>
          <w:sz w:val="24"/>
          <w:szCs w:val="24"/>
          <w:lang w:eastAsia="en-GB"/>
        </w:rPr>
        <w:t xml:space="preserve">Mineral deposit </w:t>
      </w:r>
      <w:proofErr w:type="spellStart"/>
      <w:r w:rsidRPr="00BE0AA8">
        <w:rPr>
          <w:rFonts w:ascii="Times New Roman" w:eastAsia="Times New Roman" w:hAnsi="Times New Roman" w:cs="Times New Roman"/>
          <w:i/>
          <w:iCs/>
          <w:sz w:val="24"/>
          <w:szCs w:val="24"/>
          <w:lang w:eastAsia="en-GB"/>
        </w:rPr>
        <w:t>modeling</w:t>
      </w:r>
      <w:proofErr w:type="spellEnd"/>
      <w:r w:rsidRPr="00BE0AA8">
        <w:rPr>
          <w:rFonts w:ascii="Times New Roman" w:eastAsia="Times New Roman" w:hAnsi="Times New Roman" w:cs="Times New Roman"/>
          <w:sz w:val="24"/>
          <w:szCs w:val="24"/>
          <w:lang w:eastAsia="en-GB"/>
        </w:rPr>
        <w:t xml:space="preserve"> (pp. 199–214). Geological Association of Canada.</w:t>
      </w:r>
    </w:p>
    <w:p w14:paraId="1745F616" w14:textId="77777777" w:rsidR="001916FD" w:rsidRPr="001916FD" w:rsidRDefault="001916FD" w:rsidP="0005328F">
      <w:pPr>
        <w:spacing w:before="100" w:beforeAutospacing="1" w:after="100" w:afterAutospacing="1" w:line="276" w:lineRule="auto"/>
        <w:jc w:val="both"/>
        <w:rPr>
          <w:rFonts w:ascii="Times New Roman" w:eastAsia="Times New Roman" w:hAnsi="Times New Roman" w:cs="Times New Roman"/>
          <w:i/>
          <w:sz w:val="24"/>
          <w:szCs w:val="24"/>
          <w:lang w:eastAsia="en-GB"/>
        </w:rPr>
      </w:pPr>
      <w:proofErr w:type="spellStart"/>
      <w:r w:rsidRPr="001916FD">
        <w:rPr>
          <w:rFonts w:ascii="Times New Roman" w:eastAsia="Times New Roman" w:hAnsi="Times New Roman" w:cs="Times New Roman"/>
          <w:sz w:val="24"/>
          <w:szCs w:val="24"/>
          <w:lang w:eastAsia="en-GB"/>
        </w:rPr>
        <w:t>Salako</w:t>
      </w:r>
      <w:proofErr w:type="spellEnd"/>
      <w:r w:rsidRPr="001916FD">
        <w:rPr>
          <w:rFonts w:ascii="Times New Roman" w:eastAsia="Times New Roman" w:hAnsi="Times New Roman" w:cs="Times New Roman"/>
          <w:sz w:val="24"/>
          <w:szCs w:val="24"/>
          <w:lang w:eastAsia="en-GB"/>
        </w:rPr>
        <w:t xml:space="preserve">, K.A., </w:t>
      </w:r>
      <w:proofErr w:type="spellStart"/>
      <w:r w:rsidRPr="001916FD">
        <w:rPr>
          <w:rFonts w:ascii="Times New Roman" w:eastAsia="Times New Roman" w:hAnsi="Times New Roman" w:cs="Times New Roman"/>
          <w:sz w:val="24"/>
          <w:szCs w:val="24"/>
          <w:lang w:eastAsia="en-GB"/>
        </w:rPr>
        <w:t>Adetona</w:t>
      </w:r>
      <w:proofErr w:type="spellEnd"/>
      <w:r w:rsidRPr="001916FD">
        <w:rPr>
          <w:rFonts w:ascii="Times New Roman" w:eastAsia="Times New Roman" w:hAnsi="Times New Roman" w:cs="Times New Roman"/>
          <w:sz w:val="24"/>
          <w:szCs w:val="24"/>
          <w:lang w:eastAsia="en-GB"/>
        </w:rPr>
        <w:t>, A. A., Rafiu, A. A.</w:t>
      </w:r>
      <w:r w:rsidRPr="001916FD">
        <w:rPr>
          <w:rFonts w:ascii="Times New Roman" w:eastAsia="Times New Roman" w:hAnsi="Times New Roman" w:cs="Times New Roman"/>
          <w:b/>
          <w:sz w:val="24"/>
          <w:szCs w:val="24"/>
          <w:lang w:eastAsia="en-GB"/>
        </w:rPr>
        <w:t>,</w:t>
      </w:r>
      <w:r w:rsidRPr="001916FD">
        <w:rPr>
          <w:rFonts w:ascii="Times New Roman" w:eastAsia="Times New Roman" w:hAnsi="Times New Roman" w:cs="Times New Roman"/>
          <w:sz w:val="24"/>
          <w:szCs w:val="24"/>
          <w:lang w:eastAsia="en-GB"/>
        </w:rPr>
        <w:t xml:space="preserve"> Augie, A. I., Jimoh, M. O., Alkali, A., </w:t>
      </w:r>
      <w:proofErr w:type="spellStart"/>
      <w:r w:rsidRPr="001916FD">
        <w:rPr>
          <w:rFonts w:ascii="Times New Roman" w:eastAsia="Times New Roman" w:hAnsi="Times New Roman" w:cs="Times New Roman"/>
          <w:sz w:val="24"/>
          <w:szCs w:val="24"/>
          <w:lang w:eastAsia="en-GB"/>
        </w:rPr>
        <w:t>Muriana</w:t>
      </w:r>
      <w:proofErr w:type="spellEnd"/>
      <w:r w:rsidRPr="001916FD">
        <w:rPr>
          <w:rFonts w:ascii="Times New Roman" w:eastAsia="Times New Roman" w:hAnsi="Times New Roman" w:cs="Times New Roman"/>
          <w:sz w:val="24"/>
          <w:szCs w:val="24"/>
          <w:lang w:eastAsia="en-GB"/>
        </w:rPr>
        <w:t xml:space="preserve">, R. A. Lawrence, J. O., (2024). Integrated geophysical Investigation for gold mineralization potential over southern parts of Kebbi state and its Environs, northwestern Nigeria. </w:t>
      </w:r>
      <w:proofErr w:type="spellStart"/>
      <w:r w:rsidRPr="001916FD">
        <w:rPr>
          <w:rFonts w:ascii="Times New Roman" w:eastAsia="Times New Roman" w:hAnsi="Times New Roman" w:cs="Times New Roman"/>
          <w:i/>
          <w:sz w:val="24"/>
          <w:szCs w:val="24"/>
          <w:lang w:eastAsia="en-GB"/>
        </w:rPr>
        <w:t>Heliyon</w:t>
      </w:r>
      <w:proofErr w:type="spellEnd"/>
      <w:r w:rsidRPr="001916FD">
        <w:rPr>
          <w:rFonts w:ascii="Times New Roman" w:eastAsia="Times New Roman" w:hAnsi="Times New Roman" w:cs="Times New Roman"/>
          <w:i/>
          <w:sz w:val="24"/>
          <w:szCs w:val="24"/>
          <w:lang w:eastAsia="en-GB"/>
        </w:rPr>
        <w:t xml:space="preserve"> 10 (2024) e34093 </w:t>
      </w:r>
      <w:hyperlink r:id="rId30" w:history="1">
        <w:r w:rsidRPr="001916FD">
          <w:rPr>
            <w:rStyle w:val="Hyperlink"/>
            <w:rFonts w:ascii="Times New Roman" w:eastAsia="Times New Roman" w:hAnsi="Times New Roman" w:cs="Times New Roman"/>
            <w:i/>
            <w:sz w:val="24"/>
            <w:szCs w:val="24"/>
            <w:lang w:eastAsia="en-GB"/>
          </w:rPr>
          <w:t>https://doi.org/10.1016/j.heliyon.2024.e34093</w:t>
        </w:r>
      </w:hyperlink>
      <w:r w:rsidRPr="001916FD">
        <w:rPr>
          <w:rFonts w:ascii="Times New Roman" w:eastAsia="Times New Roman" w:hAnsi="Times New Roman" w:cs="Times New Roman"/>
          <w:i/>
          <w:sz w:val="24"/>
          <w:szCs w:val="24"/>
          <w:lang w:eastAsia="en-GB"/>
        </w:rPr>
        <w:t xml:space="preserve">. </w:t>
      </w:r>
    </w:p>
    <w:p w14:paraId="5F8F4FA3" w14:textId="2A1F4969" w:rsidR="00B82630" w:rsidRDefault="00B82630"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r w:rsidRPr="00BE0AA8">
        <w:rPr>
          <w:rFonts w:ascii="Times New Roman" w:eastAsia="Times New Roman" w:hAnsi="Times New Roman" w:cs="Times New Roman"/>
          <w:sz w:val="24"/>
          <w:szCs w:val="24"/>
          <w:lang w:eastAsia="en-GB"/>
        </w:rPr>
        <w:t xml:space="preserve">Telford, W. M., Geldart, L. P., &amp; Sheriff, R. E. (1990). </w:t>
      </w:r>
      <w:r w:rsidRPr="00BE0AA8">
        <w:rPr>
          <w:rFonts w:ascii="Times New Roman" w:eastAsia="Times New Roman" w:hAnsi="Times New Roman" w:cs="Times New Roman"/>
          <w:i/>
          <w:iCs/>
          <w:sz w:val="24"/>
          <w:szCs w:val="24"/>
          <w:lang w:eastAsia="en-GB"/>
        </w:rPr>
        <w:t>Applied geophysics</w:t>
      </w:r>
      <w:r w:rsidRPr="00BE0AA8">
        <w:rPr>
          <w:rFonts w:ascii="Times New Roman" w:eastAsia="Times New Roman" w:hAnsi="Times New Roman" w:cs="Times New Roman"/>
          <w:sz w:val="24"/>
          <w:szCs w:val="24"/>
          <w:lang w:eastAsia="en-GB"/>
        </w:rPr>
        <w:t xml:space="preserve"> (2nd ed.). Cambridge University Press. </w:t>
      </w:r>
      <w:hyperlink r:id="rId31" w:history="1">
        <w:r w:rsidR="00043329" w:rsidRPr="00E86C8F">
          <w:rPr>
            <w:rStyle w:val="Hyperlink"/>
            <w:rFonts w:ascii="Times New Roman" w:eastAsia="Times New Roman" w:hAnsi="Times New Roman" w:cs="Times New Roman"/>
            <w:sz w:val="24"/>
            <w:szCs w:val="24"/>
            <w:lang w:eastAsia="en-GB"/>
          </w:rPr>
          <w:t>https://doi.org/10.1017/CBO9781139167932</w:t>
        </w:r>
      </w:hyperlink>
    </w:p>
    <w:p w14:paraId="09AA17F9" w14:textId="7C48F96A" w:rsidR="00043329" w:rsidRPr="00BE0AA8" w:rsidRDefault="00043329" w:rsidP="0005328F">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U,S</w:t>
      </w:r>
      <w:r w:rsidR="00A1062E">
        <w:rPr>
          <w:rFonts w:ascii="Times New Roman" w:eastAsia="Times New Roman" w:hAnsi="Times New Roman" w:cs="Times New Roman"/>
          <w:sz w:val="24"/>
          <w:szCs w:val="24"/>
          <w:lang w:eastAsia="en-GB"/>
        </w:rPr>
        <w:t>.</w:t>
      </w:r>
      <w:proofErr w:type="gramEnd"/>
      <w:r w:rsidR="00A1062E">
        <w:rPr>
          <w:rFonts w:ascii="Times New Roman" w:eastAsia="Times New Roman" w:hAnsi="Times New Roman" w:cs="Times New Roman"/>
          <w:sz w:val="24"/>
          <w:szCs w:val="24"/>
          <w:lang w:eastAsia="en-GB"/>
        </w:rPr>
        <w:t xml:space="preserve"> Geological Survey, 2024, World Geologic Maps, accessed May 6, 2024 at </w:t>
      </w:r>
      <w:hyperlink r:id="rId32" w:history="1">
        <w:r w:rsidR="00A1062E" w:rsidRPr="00A1062E">
          <w:rPr>
            <w:rStyle w:val="Hyperlink"/>
            <w:rFonts w:ascii="Times New Roman" w:eastAsia="Times New Roman" w:hAnsi="Times New Roman" w:cs="Times New Roman"/>
            <w:sz w:val="24"/>
            <w:szCs w:val="24"/>
            <w:lang w:eastAsia="en-GB"/>
          </w:rPr>
          <w:t>https://www.usgs.gov/media/images/world-geologic-maps-data-downloads</w:t>
        </w:r>
      </w:hyperlink>
    </w:p>
    <w:p w14:paraId="673EC111" w14:textId="77777777" w:rsidR="00B82630" w:rsidRPr="00BE0AA8" w:rsidRDefault="00B82630" w:rsidP="0005328F">
      <w:pPr>
        <w:pStyle w:val="NormalWeb"/>
        <w:spacing w:line="276" w:lineRule="auto"/>
        <w:jc w:val="both"/>
        <w:rPr>
          <w:rStyle w:val="Strong"/>
        </w:rPr>
      </w:pPr>
    </w:p>
    <w:p w14:paraId="45C1553B" w14:textId="77777777" w:rsidR="007D1931" w:rsidRPr="00BE0AA8" w:rsidRDefault="007D1931" w:rsidP="0005328F">
      <w:pPr>
        <w:spacing w:line="276" w:lineRule="auto"/>
        <w:jc w:val="both"/>
        <w:rPr>
          <w:rFonts w:ascii="Times New Roman" w:hAnsi="Times New Roman" w:cs="Times New Roman"/>
          <w:sz w:val="24"/>
          <w:szCs w:val="24"/>
        </w:rPr>
      </w:pPr>
    </w:p>
    <w:sectPr w:rsidR="007D1931" w:rsidRPr="00BE0AA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34B09" w14:textId="77777777" w:rsidR="00F376AB" w:rsidRDefault="00F376AB" w:rsidP="001C4DEE">
      <w:pPr>
        <w:spacing w:after="0" w:line="240" w:lineRule="auto"/>
      </w:pPr>
      <w:r>
        <w:separator/>
      </w:r>
    </w:p>
  </w:endnote>
  <w:endnote w:type="continuationSeparator" w:id="0">
    <w:p w14:paraId="5F106DD8" w14:textId="77777777" w:rsidR="00F376AB" w:rsidRDefault="00F376AB" w:rsidP="001C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A7C93" w14:textId="77777777" w:rsidR="001C4DEE" w:rsidRDefault="001C4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C109" w14:textId="77777777" w:rsidR="001C4DEE" w:rsidRDefault="001C4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65FD" w14:textId="77777777" w:rsidR="001C4DEE" w:rsidRDefault="001C4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5354C" w14:textId="77777777" w:rsidR="00F376AB" w:rsidRDefault="00F376AB" w:rsidP="001C4DEE">
      <w:pPr>
        <w:spacing w:after="0" w:line="240" w:lineRule="auto"/>
      </w:pPr>
      <w:r>
        <w:separator/>
      </w:r>
    </w:p>
  </w:footnote>
  <w:footnote w:type="continuationSeparator" w:id="0">
    <w:p w14:paraId="682653F7" w14:textId="77777777" w:rsidR="00F376AB" w:rsidRDefault="00F376AB" w:rsidP="001C4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A874" w14:textId="730D8817" w:rsidR="001C4DEE" w:rsidRDefault="001C4DEE">
    <w:pPr>
      <w:pStyle w:val="Header"/>
    </w:pPr>
    <w:r>
      <w:rPr>
        <w:noProof/>
      </w:rPr>
      <w:pict w14:anchorId="76C4B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A29F" w14:textId="706E4878" w:rsidR="001C4DEE" w:rsidRDefault="001C4DEE">
    <w:pPr>
      <w:pStyle w:val="Header"/>
    </w:pPr>
    <w:r>
      <w:rPr>
        <w:noProof/>
      </w:rPr>
      <w:pict w14:anchorId="1F2BD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1913" w14:textId="2B4B7271" w:rsidR="001C4DEE" w:rsidRDefault="001C4DEE">
    <w:pPr>
      <w:pStyle w:val="Header"/>
    </w:pPr>
    <w:r>
      <w:rPr>
        <w:noProof/>
      </w:rPr>
      <w:pict w14:anchorId="018D7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231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7FD1"/>
    <w:multiLevelType w:val="multilevel"/>
    <w:tmpl w:val="98EC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E4B27"/>
    <w:multiLevelType w:val="multilevel"/>
    <w:tmpl w:val="C9A4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350DD"/>
    <w:multiLevelType w:val="multilevel"/>
    <w:tmpl w:val="DB42ED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0727A40"/>
    <w:multiLevelType w:val="multilevel"/>
    <w:tmpl w:val="DB42ED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D363DB9"/>
    <w:multiLevelType w:val="multilevel"/>
    <w:tmpl w:val="5CF0B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D60630"/>
    <w:multiLevelType w:val="multilevel"/>
    <w:tmpl w:val="62D60630"/>
    <w:lvl w:ilvl="0">
      <w:start w:val="1"/>
      <w:numFmt w:val="decimal"/>
      <w:lvlText w:val="%1."/>
      <w:lvlJc w:val="left"/>
      <w:pPr>
        <w:ind w:left="80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7E5202"/>
    <w:multiLevelType w:val="multilevel"/>
    <w:tmpl w:val="A3F8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E81"/>
    <w:rsid w:val="00017A72"/>
    <w:rsid w:val="00022B20"/>
    <w:rsid w:val="00026DEC"/>
    <w:rsid w:val="00033267"/>
    <w:rsid w:val="00043329"/>
    <w:rsid w:val="0005046F"/>
    <w:rsid w:val="0005240F"/>
    <w:rsid w:val="0005328F"/>
    <w:rsid w:val="00057016"/>
    <w:rsid w:val="000C6E24"/>
    <w:rsid w:val="001055D3"/>
    <w:rsid w:val="00111E6F"/>
    <w:rsid w:val="00112579"/>
    <w:rsid w:val="00125FD0"/>
    <w:rsid w:val="001916FD"/>
    <w:rsid w:val="00191DEF"/>
    <w:rsid w:val="001A2705"/>
    <w:rsid w:val="001C4DEE"/>
    <w:rsid w:val="001F6852"/>
    <w:rsid w:val="00206D27"/>
    <w:rsid w:val="00253342"/>
    <w:rsid w:val="002813AB"/>
    <w:rsid w:val="002931E5"/>
    <w:rsid w:val="002E3563"/>
    <w:rsid w:val="00306916"/>
    <w:rsid w:val="003437F7"/>
    <w:rsid w:val="00353E45"/>
    <w:rsid w:val="00357D7C"/>
    <w:rsid w:val="003C4889"/>
    <w:rsid w:val="003F0C68"/>
    <w:rsid w:val="00484E81"/>
    <w:rsid w:val="00486D2A"/>
    <w:rsid w:val="004F5F32"/>
    <w:rsid w:val="00512D88"/>
    <w:rsid w:val="005169B1"/>
    <w:rsid w:val="005233B0"/>
    <w:rsid w:val="00597E99"/>
    <w:rsid w:val="00601F3D"/>
    <w:rsid w:val="00620FC0"/>
    <w:rsid w:val="00631EAB"/>
    <w:rsid w:val="006559C4"/>
    <w:rsid w:val="00664F8F"/>
    <w:rsid w:val="0067565A"/>
    <w:rsid w:val="00682E47"/>
    <w:rsid w:val="006A1089"/>
    <w:rsid w:val="006A71C5"/>
    <w:rsid w:val="006F69B3"/>
    <w:rsid w:val="0070016D"/>
    <w:rsid w:val="00731AC9"/>
    <w:rsid w:val="007B3150"/>
    <w:rsid w:val="007D1931"/>
    <w:rsid w:val="007D6523"/>
    <w:rsid w:val="0082177D"/>
    <w:rsid w:val="00825329"/>
    <w:rsid w:val="008262DE"/>
    <w:rsid w:val="008265DD"/>
    <w:rsid w:val="008438C5"/>
    <w:rsid w:val="0085788B"/>
    <w:rsid w:val="00871EF6"/>
    <w:rsid w:val="008D121F"/>
    <w:rsid w:val="008E0841"/>
    <w:rsid w:val="0090508B"/>
    <w:rsid w:val="009312B4"/>
    <w:rsid w:val="009576F7"/>
    <w:rsid w:val="00976E87"/>
    <w:rsid w:val="00986FA2"/>
    <w:rsid w:val="009A21C5"/>
    <w:rsid w:val="009E094E"/>
    <w:rsid w:val="00A04C1A"/>
    <w:rsid w:val="00A1062E"/>
    <w:rsid w:val="00A50377"/>
    <w:rsid w:val="00A54E17"/>
    <w:rsid w:val="00A85579"/>
    <w:rsid w:val="00AC49A3"/>
    <w:rsid w:val="00B01D03"/>
    <w:rsid w:val="00B04A3A"/>
    <w:rsid w:val="00B33009"/>
    <w:rsid w:val="00B3666E"/>
    <w:rsid w:val="00B82630"/>
    <w:rsid w:val="00BB614A"/>
    <w:rsid w:val="00BE0AA8"/>
    <w:rsid w:val="00C136AB"/>
    <w:rsid w:val="00C471B8"/>
    <w:rsid w:val="00C51AE1"/>
    <w:rsid w:val="00C8011C"/>
    <w:rsid w:val="00C86028"/>
    <w:rsid w:val="00CA5D63"/>
    <w:rsid w:val="00D14BB9"/>
    <w:rsid w:val="00D22EF1"/>
    <w:rsid w:val="00D26B39"/>
    <w:rsid w:val="00D37012"/>
    <w:rsid w:val="00D421C8"/>
    <w:rsid w:val="00D70AE1"/>
    <w:rsid w:val="00D72B96"/>
    <w:rsid w:val="00D91D67"/>
    <w:rsid w:val="00D9283B"/>
    <w:rsid w:val="00E32C10"/>
    <w:rsid w:val="00E54E8F"/>
    <w:rsid w:val="00EB2A65"/>
    <w:rsid w:val="00EC53A6"/>
    <w:rsid w:val="00EE4F1E"/>
    <w:rsid w:val="00EF2E41"/>
    <w:rsid w:val="00F376AB"/>
    <w:rsid w:val="00F44A94"/>
    <w:rsid w:val="00F66532"/>
    <w:rsid w:val="00F95804"/>
    <w:rsid w:val="00FC3F7F"/>
    <w:rsid w:val="00FC521C"/>
    <w:rsid w:val="00FD1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9AE2F0"/>
  <w15:chartTrackingRefBased/>
  <w15:docId w15:val="{77A4CC63-493A-4F17-A198-B4524FCF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8263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826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4E81"/>
    <w:rPr>
      <w:b/>
      <w:bCs/>
    </w:rPr>
  </w:style>
  <w:style w:type="character" w:styleId="Emphasis">
    <w:name w:val="Emphasis"/>
    <w:basedOn w:val="DefaultParagraphFont"/>
    <w:uiPriority w:val="20"/>
    <w:qFormat/>
    <w:rsid w:val="00484E81"/>
    <w:rPr>
      <w:i/>
      <w:iCs/>
    </w:rPr>
  </w:style>
  <w:style w:type="character" w:customStyle="1" w:styleId="Heading3Char">
    <w:name w:val="Heading 3 Char"/>
    <w:basedOn w:val="DefaultParagraphFont"/>
    <w:link w:val="Heading3"/>
    <w:uiPriority w:val="9"/>
    <w:rsid w:val="00B8263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B82630"/>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qFormat/>
    <w:rsid w:val="0005046F"/>
    <w:rPr>
      <w:kern w:val="2"/>
      <w14:ligatures w14:val="standardContextual"/>
    </w:rPr>
  </w:style>
  <w:style w:type="character" w:customStyle="1" w:styleId="CommentTextChar">
    <w:name w:val="Comment Text Char"/>
    <w:basedOn w:val="DefaultParagraphFont"/>
    <w:link w:val="CommentText"/>
    <w:uiPriority w:val="99"/>
    <w:semiHidden/>
    <w:rsid w:val="0005046F"/>
    <w:rPr>
      <w:kern w:val="2"/>
      <w14:ligatures w14:val="standardContextual"/>
    </w:rPr>
  </w:style>
  <w:style w:type="paragraph" w:styleId="BalloonText">
    <w:name w:val="Balloon Text"/>
    <w:basedOn w:val="Normal"/>
    <w:link w:val="BalloonTextChar"/>
    <w:uiPriority w:val="99"/>
    <w:semiHidden/>
    <w:unhideWhenUsed/>
    <w:qFormat/>
    <w:rsid w:val="00A54E17"/>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qFormat/>
    <w:rsid w:val="00A54E17"/>
    <w:rPr>
      <w:rFonts w:ascii="Segoe UI" w:hAnsi="Segoe UI" w:cs="Segoe UI"/>
      <w:kern w:val="2"/>
      <w:sz w:val="18"/>
      <w:szCs w:val="18"/>
      <w14:ligatures w14:val="standardContextual"/>
    </w:rPr>
  </w:style>
  <w:style w:type="character" w:styleId="Hyperlink">
    <w:name w:val="Hyperlink"/>
    <w:basedOn w:val="DefaultParagraphFont"/>
    <w:uiPriority w:val="99"/>
    <w:unhideWhenUsed/>
    <w:qFormat/>
    <w:rsid w:val="00986FA2"/>
    <w:rPr>
      <w:color w:val="0000FF"/>
      <w:u w:val="single"/>
    </w:rPr>
  </w:style>
  <w:style w:type="paragraph" w:styleId="ListParagraph">
    <w:name w:val="List Paragraph"/>
    <w:basedOn w:val="Normal"/>
    <w:uiPriority w:val="34"/>
    <w:qFormat/>
    <w:rsid w:val="000C6E24"/>
    <w:pPr>
      <w:ind w:left="720"/>
      <w:contextualSpacing/>
    </w:pPr>
  </w:style>
  <w:style w:type="character" w:styleId="UnresolvedMention">
    <w:name w:val="Unresolved Mention"/>
    <w:basedOn w:val="DefaultParagraphFont"/>
    <w:uiPriority w:val="99"/>
    <w:semiHidden/>
    <w:unhideWhenUsed/>
    <w:rsid w:val="00E54E8F"/>
    <w:rPr>
      <w:color w:val="605E5C"/>
      <w:shd w:val="clear" w:color="auto" w:fill="E1DFDD"/>
    </w:rPr>
  </w:style>
  <w:style w:type="character" w:customStyle="1" w:styleId="rpv-coretext-layer-text">
    <w:name w:val="rpv-core__text-layer-text"/>
    <w:basedOn w:val="DefaultParagraphFont"/>
    <w:qFormat/>
    <w:rsid w:val="00253342"/>
  </w:style>
  <w:style w:type="paragraph" w:styleId="Header">
    <w:name w:val="header"/>
    <w:basedOn w:val="Normal"/>
    <w:link w:val="HeaderChar"/>
    <w:uiPriority w:val="99"/>
    <w:unhideWhenUsed/>
    <w:rsid w:val="001C4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DEE"/>
  </w:style>
  <w:style w:type="paragraph" w:styleId="Footer">
    <w:name w:val="footer"/>
    <w:basedOn w:val="Normal"/>
    <w:link w:val="FooterChar"/>
    <w:uiPriority w:val="99"/>
    <w:unhideWhenUsed/>
    <w:rsid w:val="001C4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64">
      <w:bodyDiv w:val="1"/>
      <w:marLeft w:val="0"/>
      <w:marRight w:val="0"/>
      <w:marTop w:val="0"/>
      <w:marBottom w:val="0"/>
      <w:divBdr>
        <w:top w:val="none" w:sz="0" w:space="0" w:color="auto"/>
        <w:left w:val="none" w:sz="0" w:space="0" w:color="auto"/>
        <w:bottom w:val="none" w:sz="0" w:space="0" w:color="auto"/>
        <w:right w:val="none" w:sz="0" w:space="0" w:color="auto"/>
      </w:divBdr>
    </w:div>
    <w:div w:id="4744640">
      <w:bodyDiv w:val="1"/>
      <w:marLeft w:val="0"/>
      <w:marRight w:val="0"/>
      <w:marTop w:val="0"/>
      <w:marBottom w:val="0"/>
      <w:divBdr>
        <w:top w:val="none" w:sz="0" w:space="0" w:color="auto"/>
        <w:left w:val="none" w:sz="0" w:space="0" w:color="auto"/>
        <w:bottom w:val="none" w:sz="0" w:space="0" w:color="auto"/>
        <w:right w:val="none" w:sz="0" w:space="0" w:color="auto"/>
      </w:divBdr>
    </w:div>
    <w:div w:id="126707167">
      <w:bodyDiv w:val="1"/>
      <w:marLeft w:val="0"/>
      <w:marRight w:val="0"/>
      <w:marTop w:val="0"/>
      <w:marBottom w:val="0"/>
      <w:divBdr>
        <w:top w:val="none" w:sz="0" w:space="0" w:color="auto"/>
        <w:left w:val="none" w:sz="0" w:space="0" w:color="auto"/>
        <w:bottom w:val="none" w:sz="0" w:space="0" w:color="auto"/>
        <w:right w:val="none" w:sz="0" w:space="0" w:color="auto"/>
      </w:divBdr>
    </w:div>
    <w:div w:id="128279852">
      <w:bodyDiv w:val="1"/>
      <w:marLeft w:val="0"/>
      <w:marRight w:val="0"/>
      <w:marTop w:val="0"/>
      <w:marBottom w:val="0"/>
      <w:divBdr>
        <w:top w:val="none" w:sz="0" w:space="0" w:color="auto"/>
        <w:left w:val="none" w:sz="0" w:space="0" w:color="auto"/>
        <w:bottom w:val="none" w:sz="0" w:space="0" w:color="auto"/>
        <w:right w:val="none" w:sz="0" w:space="0" w:color="auto"/>
      </w:divBdr>
    </w:div>
    <w:div w:id="147135566">
      <w:bodyDiv w:val="1"/>
      <w:marLeft w:val="0"/>
      <w:marRight w:val="0"/>
      <w:marTop w:val="0"/>
      <w:marBottom w:val="0"/>
      <w:divBdr>
        <w:top w:val="none" w:sz="0" w:space="0" w:color="auto"/>
        <w:left w:val="none" w:sz="0" w:space="0" w:color="auto"/>
        <w:bottom w:val="none" w:sz="0" w:space="0" w:color="auto"/>
        <w:right w:val="none" w:sz="0" w:space="0" w:color="auto"/>
      </w:divBdr>
    </w:div>
    <w:div w:id="182940198">
      <w:bodyDiv w:val="1"/>
      <w:marLeft w:val="0"/>
      <w:marRight w:val="0"/>
      <w:marTop w:val="0"/>
      <w:marBottom w:val="0"/>
      <w:divBdr>
        <w:top w:val="none" w:sz="0" w:space="0" w:color="auto"/>
        <w:left w:val="none" w:sz="0" w:space="0" w:color="auto"/>
        <w:bottom w:val="none" w:sz="0" w:space="0" w:color="auto"/>
        <w:right w:val="none" w:sz="0" w:space="0" w:color="auto"/>
      </w:divBdr>
    </w:div>
    <w:div w:id="275066762">
      <w:bodyDiv w:val="1"/>
      <w:marLeft w:val="0"/>
      <w:marRight w:val="0"/>
      <w:marTop w:val="0"/>
      <w:marBottom w:val="0"/>
      <w:divBdr>
        <w:top w:val="none" w:sz="0" w:space="0" w:color="auto"/>
        <w:left w:val="none" w:sz="0" w:space="0" w:color="auto"/>
        <w:bottom w:val="none" w:sz="0" w:space="0" w:color="auto"/>
        <w:right w:val="none" w:sz="0" w:space="0" w:color="auto"/>
      </w:divBdr>
    </w:div>
    <w:div w:id="303704532">
      <w:bodyDiv w:val="1"/>
      <w:marLeft w:val="0"/>
      <w:marRight w:val="0"/>
      <w:marTop w:val="0"/>
      <w:marBottom w:val="0"/>
      <w:divBdr>
        <w:top w:val="none" w:sz="0" w:space="0" w:color="auto"/>
        <w:left w:val="none" w:sz="0" w:space="0" w:color="auto"/>
        <w:bottom w:val="none" w:sz="0" w:space="0" w:color="auto"/>
        <w:right w:val="none" w:sz="0" w:space="0" w:color="auto"/>
      </w:divBdr>
    </w:div>
    <w:div w:id="320935355">
      <w:bodyDiv w:val="1"/>
      <w:marLeft w:val="0"/>
      <w:marRight w:val="0"/>
      <w:marTop w:val="0"/>
      <w:marBottom w:val="0"/>
      <w:divBdr>
        <w:top w:val="none" w:sz="0" w:space="0" w:color="auto"/>
        <w:left w:val="none" w:sz="0" w:space="0" w:color="auto"/>
        <w:bottom w:val="none" w:sz="0" w:space="0" w:color="auto"/>
        <w:right w:val="none" w:sz="0" w:space="0" w:color="auto"/>
      </w:divBdr>
    </w:div>
    <w:div w:id="331179455">
      <w:bodyDiv w:val="1"/>
      <w:marLeft w:val="0"/>
      <w:marRight w:val="0"/>
      <w:marTop w:val="0"/>
      <w:marBottom w:val="0"/>
      <w:divBdr>
        <w:top w:val="none" w:sz="0" w:space="0" w:color="auto"/>
        <w:left w:val="none" w:sz="0" w:space="0" w:color="auto"/>
        <w:bottom w:val="none" w:sz="0" w:space="0" w:color="auto"/>
        <w:right w:val="none" w:sz="0" w:space="0" w:color="auto"/>
      </w:divBdr>
    </w:div>
    <w:div w:id="347098548">
      <w:bodyDiv w:val="1"/>
      <w:marLeft w:val="0"/>
      <w:marRight w:val="0"/>
      <w:marTop w:val="0"/>
      <w:marBottom w:val="0"/>
      <w:divBdr>
        <w:top w:val="none" w:sz="0" w:space="0" w:color="auto"/>
        <w:left w:val="none" w:sz="0" w:space="0" w:color="auto"/>
        <w:bottom w:val="none" w:sz="0" w:space="0" w:color="auto"/>
        <w:right w:val="none" w:sz="0" w:space="0" w:color="auto"/>
      </w:divBdr>
    </w:div>
    <w:div w:id="352540521">
      <w:bodyDiv w:val="1"/>
      <w:marLeft w:val="0"/>
      <w:marRight w:val="0"/>
      <w:marTop w:val="0"/>
      <w:marBottom w:val="0"/>
      <w:divBdr>
        <w:top w:val="none" w:sz="0" w:space="0" w:color="auto"/>
        <w:left w:val="none" w:sz="0" w:space="0" w:color="auto"/>
        <w:bottom w:val="none" w:sz="0" w:space="0" w:color="auto"/>
        <w:right w:val="none" w:sz="0" w:space="0" w:color="auto"/>
      </w:divBdr>
    </w:div>
    <w:div w:id="421145254">
      <w:bodyDiv w:val="1"/>
      <w:marLeft w:val="0"/>
      <w:marRight w:val="0"/>
      <w:marTop w:val="0"/>
      <w:marBottom w:val="0"/>
      <w:divBdr>
        <w:top w:val="none" w:sz="0" w:space="0" w:color="auto"/>
        <w:left w:val="none" w:sz="0" w:space="0" w:color="auto"/>
        <w:bottom w:val="none" w:sz="0" w:space="0" w:color="auto"/>
        <w:right w:val="none" w:sz="0" w:space="0" w:color="auto"/>
      </w:divBdr>
    </w:div>
    <w:div w:id="431557894">
      <w:bodyDiv w:val="1"/>
      <w:marLeft w:val="0"/>
      <w:marRight w:val="0"/>
      <w:marTop w:val="0"/>
      <w:marBottom w:val="0"/>
      <w:divBdr>
        <w:top w:val="none" w:sz="0" w:space="0" w:color="auto"/>
        <w:left w:val="none" w:sz="0" w:space="0" w:color="auto"/>
        <w:bottom w:val="none" w:sz="0" w:space="0" w:color="auto"/>
        <w:right w:val="none" w:sz="0" w:space="0" w:color="auto"/>
      </w:divBdr>
    </w:div>
    <w:div w:id="496504493">
      <w:bodyDiv w:val="1"/>
      <w:marLeft w:val="0"/>
      <w:marRight w:val="0"/>
      <w:marTop w:val="0"/>
      <w:marBottom w:val="0"/>
      <w:divBdr>
        <w:top w:val="none" w:sz="0" w:space="0" w:color="auto"/>
        <w:left w:val="none" w:sz="0" w:space="0" w:color="auto"/>
        <w:bottom w:val="none" w:sz="0" w:space="0" w:color="auto"/>
        <w:right w:val="none" w:sz="0" w:space="0" w:color="auto"/>
      </w:divBdr>
    </w:div>
    <w:div w:id="517551037">
      <w:bodyDiv w:val="1"/>
      <w:marLeft w:val="0"/>
      <w:marRight w:val="0"/>
      <w:marTop w:val="0"/>
      <w:marBottom w:val="0"/>
      <w:divBdr>
        <w:top w:val="none" w:sz="0" w:space="0" w:color="auto"/>
        <w:left w:val="none" w:sz="0" w:space="0" w:color="auto"/>
        <w:bottom w:val="none" w:sz="0" w:space="0" w:color="auto"/>
        <w:right w:val="none" w:sz="0" w:space="0" w:color="auto"/>
      </w:divBdr>
    </w:div>
    <w:div w:id="522787962">
      <w:bodyDiv w:val="1"/>
      <w:marLeft w:val="0"/>
      <w:marRight w:val="0"/>
      <w:marTop w:val="0"/>
      <w:marBottom w:val="0"/>
      <w:divBdr>
        <w:top w:val="none" w:sz="0" w:space="0" w:color="auto"/>
        <w:left w:val="none" w:sz="0" w:space="0" w:color="auto"/>
        <w:bottom w:val="none" w:sz="0" w:space="0" w:color="auto"/>
        <w:right w:val="none" w:sz="0" w:space="0" w:color="auto"/>
      </w:divBdr>
    </w:div>
    <w:div w:id="526871885">
      <w:bodyDiv w:val="1"/>
      <w:marLeft w:val="0"/>
      <w:marRight w:val="0"/>
      <w:marTop w:val="0"/>
      <w:marBottom w:val="0"/>
      <w:divBdr>
        <w:top w:val="none" w:sz="0" w:space="0" w:color="auto"/>
        <w:left w:val="none" w:sz="0" w:space="0" w:color="auto"/>
        <w:bottom w:val="none" w:sz="0" w:space="0" w:color="auto"/>
        <w:right w:val="none" w:sz="0" w:space="0" w:color="auto"/>
      </w:divBdr>
    </w:div>
    <w:div w:id="614018546">
      <w:bodyDiv w:val="1"/>
      <w:marLeft w:val="0"/>
      <w:marRight w:val="0"/>
      <w:marTop w:val="0"/>
      <w:marBottom w:val="0"/>
      <w:divBdr>
        <w:top w:val="none" w:sz="0" w:space="0" w:color="auto"/>
        <w:left w:val="none" w:sz="0" w:space="0" w:color="auto"/>
        <w:bottom w:val="none" w:sz="0" w:space="0" w:color="auto"/>
        <w:right w:val="none" w:sz="0" w:space="0" w:color="auto"/>
      </w:divBdr>
    </w:div>
    <w:div w:id="708723143">
      <w:bodyDiv w:val="1"/>
      <w:marLeft w:val="0"/>
      <w:marRight w:val="0"/>
      <w:marTop w:val="0"/>
      <w:marBottom w:val="0"/>
      <w:divBdr>
        <w:top w:val="none" w:sz="0" w:space="0" w:color="auto"/>
        <w:left w:val="none" w:sz="0" w:space="0" w:color="auto"/>
        <w:bottom w:val="none" w:sz="0" w:space="0" w:color="auto"/>
        <w:right w:val="none" w:sz="0" w:space="0" w:color="auto"/>
      </w:divBdr>
    </w:div>
    <w:div w:id="812336240">
      <w:bodyDiv w:val="1"/>
      <w:marLeft w:val="0"/>
      <w:marRight w:val="0"/>
      <w:marTop w:val="0"/>
      <w:marBottom w:val="0"/>
      <w:divBdr>
        <w:top w:val="none" w:sz="0" w:space="0" w:color="auto"/>
        <w:left w:val="none" w:sz="0" w:space="0" w:color="auto"/>
        <w:bottom w:val="none" w:sz="0" w:space="0" w:color="auto"/>
        <w:right w:val="none" w:sz="0" w:space="0" w:color="auto"/>
      </w:divBdr>
    </w:div>
    <w:div w:id="835002435">
      <w:bodyDiv w:val="1"/>
      <w:marLeft w:val="0"/>
      <w:marRight w:val="0"/>
      <w:marTop w:val="0"/>
      <w:marBottom w:val="0"/>
      <w:divBdr>
        <w:top w:val="none" w:sz="0" w:space="0" w:color="auto"/>
        <w:left w:val="none" w:sz="0" w:space="0" w:color="auto"/>
        <w:bottom w:val="none" w:sz="0" w:space="0" w:color="auto"/>
        <w:right w:val="none" w:sz="0" w:space="0" w:color="auto"/>
      </w:divBdr>
    </w:div>
    <w:div w:id="940799916">
      <w:bodyDiv w:val="1"/>
      <w:marLeft w:val="0"/>
      <w:marRight w:val="0"/>
      <w:marTop w:val="0"/>
      <w:marBottom w:val="0"/>
      <w:divBdr>
        <w:top w:val="none" w:sz="0" w:space="0" w:color="auto"/>
        <w:left w:val="none" w:sz="0" w:space="0" w:color="auto"/>
        <w:bottom w:val="none" w:sz="0" w:space="0" w:color="auto"/>
        <w:right w:val="none" w:sz="0" w:space="0" w:color="auto"/>
      </w:divBdr>
    </w:div>
    <w:div w:id="957838371">
      <w:bodyDiv w:val="1"/>
      <w:marLeft w:val="0"/>
      <w:marRight w:val="0"/>
      <w:marTop w:val="0"/>
      <w:marBottom w:val="0"/>
      <w:divBdr>
        <w:top w:val="none" w:sz="0" w:space="0" w:color="auto"/>
        <w:left w:val="none" w:sz="0" w:space="0" w:color="auto"/>
        <w:bottom w:val="none" w:sz="0" w:space="0" w:color="auto"/>
        <w:right w:val="none" w:sz="0" w:space="0" w:color="auto"/>
      </w:divBdr>
    </w:div>
    <w:div w:id="986980393">
      <w:bodyDiv w:val="1"/>
      <w:marLeft w:val="0"/>
      <w:marRight w:val="0"/>
      <w:marTop w:val="0"/>
      <w:marBottom w:val="0"/>
      <w:divBdr>
        <w:top w:val="none" w:sz="0" w:space="0" w:color="auto"/>
        <w:left w:val="none" w:sz="0" w:space="0" w:color="auto"/>
        <w:bottom w:val="none" w:sz="0" w:space="0" w:color="auto"/>
        <w:right w:val="none" w:sz="0" w:space="0" w:color="auto"/>
      </w:divBdr>
    </w:div>
    <w:div w:id="1055347824">
      <w:bodyDiv w:val="1"/>
      <w:marLeft w:val="0"/>
      <w:marRight w:val="0"/>
      <w:marTop w:val="0"/>
      <w:marBottom w:val="0"/>
      <w:divBdr>
        <w:top w:val="none" w:sz="0" w:space="0" w:color="auto"/>
        <w:left w:val="none" w:sz="0" w:space="0" w:color="auto"/>
        <w:bottom w:val="none" w:sz="0" w:space="0" w:color="auto"/>
        <w:right w:val="none" w:sz="0" w:space="0" w:color="auto"/>
      </w:divBdr>
    </w:div>
    <w:div w:id="1139422662">
      <w:bodyDiv w:val="1"/>
      <w:marLeft w:val="0"/>
      <w:marRight w:val="0"/>
      <w:marTop w:val="0"/>
      <w:marBottom w:val="0"/>
      <w:divBdr>
        <w:top w:val="none" w:sz="0" w:space="0" w:color="auto"/>
        <w:left w:val="none" w:sz="0" w:space="0" w:color="auto"/>
        <w:bottom w:val="none" w:sz="0" w:space="0" w:color="auto"/>
        <w:right w:val="none" w:sz="0" w:space="0" w:color="auto"/>
      </w:divBdr>
    </w:div>
    <w:div w:id="1141800522">
      <w:bodyDiv w:val="1"/>
      <w:marLeft w:val="0"/>
      <w:marRight w:val="0"/>
      <w:marTop w:val="0"/>
      <w:marBottom w:val="0"/>
      <w:divBdr>
        <w:top w:val="none" w:sz="0" w:space="0" w:color="auto"/>
        <w:left w:val="none" w:sz="0" w:space="0" w:color="auto"/>
        <w:bottom w:val="none" w:sz="0" w:space="0" w:color="auto"/>
        <w:right w:val="none" w:sz="0" w:space="0" w:color="auto"/>
      </w:divBdr>
    </w:div>
    <w:div w:id="1236237633">
      <w:bodyDiv w:val="1"/>
      <w:marLeft w:val="0"/>
      <w:marRight w:val="0"/>
      <w:marTop w:val="0"/>
      <w:marBottom w:val="0"/>
      <w:divBdr>
        <w:top w:val="none" w:sz="0" w:space="0" w:color="auto"/>
        <w:left w:val="none" w:sz="0" w:space="0" w:color="auto"/>
        <w:bottom w:val="none" w:sz="0" w:space="0" w:color="auto"/>
        <w:right w:val="none" w:sz="0" w:space="0" w:color="auto"/>
      </w:divBdr>
    </w:div>
    <w:div w:id="1289899615">
      <w:bodyDiv w:val="1"/>
      <w:marLeft w:val="0"/>
      <w:marRight w:val="0"/>
      <w:marTop w:val="0"/>
      <w:marBottom w:val="0"/>
      <w:divBdr>
        <w:top w:val="none" w:sz="0" w:space="0" w:color="auto"/>
        <w:left w:val="none" w:sz="0" w:space="0" w:color="auto"/>
        <w:bottom w:val="none" w:sz="0" w:space="0" w:color="auto"/>
        <w:right w:val="none" w:sz="0" w:space="0" w:color="auto"/>
      </w:divBdr>
    </w:div>
    <w:div w:id="1290621992">
      <w:bodyDiv w:val="1"/>
      <w:marLeft w:val="0"/>
      <w:marRight w:val="0"/>
      <w:marTop w:val="0"/>
      <w:marBottom w:val="0"/>
      <w:divBdr>
        <w:top w:val="none" w:sz="0" w:space="0" w:color="auto"/>
        <w:left w:val="none" w:sz="0" w:space="0" w:color="auto"/>
        <w:bottom w:val="none" w:sz="0" w:space="0" w:color="auto"/>
        <w:right w:val="none" w:sz="0" w:space="0" w:color="auto"/>
      </w:divBdr>
    </w:div>
    <w:div w:id="1331711512">
      <w:bodyDiv w:val="1"/>
      <w:marLeft w:val="0"/>
      <w:marRight w:val="0"/>
      <w:marTop w:val="0"/>
      <w:marBottom w:val="0"/>
      <w:divBdr>
        <w:top w:val="none" w:sz="0" w:space="0" w:color="auto"/>
        <w:left w:val="none" w:sz="0" w:space="0" w:color="auto"/>
        <w:bottom w:val="none" w:sz="0" w:space="0" w:color="auto"/>
        <w:right w:val="none" w:sz="0" w:space="0" w:color="auto"/>
      </w:divBdr>
    </w:div>
    <w:div w:id="1341590118">
      <w:bodyDiv w:val="1"/>
      <w:marLeft w:val="0"/>
      <w:marRight w:val="0"/>
      <w:marTop w:val="0"/>
      <w:marBottom w:val="0"/>
      <w:divBdr>
        <w:top w:val="none" w:sz="0" w:space="0" w:color="auto"/>
        <w:left w:val="none" w:sz="0" w:space="0" w:color="auto"/>
        <w:bottom w:val="none" w:sz="0" w:space="0" w:color="auto"/>
        <w:right w:val="none" w:sz="0" w:space="0" w:color="auto"/>
      </w:divBdr>
    </w:div>
    <w:div w:id="1380663347">
      <w:bodyDiv w:val="1"/>
      <w:marLeft w:val="0"/>
      <w:marRight w:val="0"/>
      <w:marTop w:val="0"/>
      <w:marBottom w:val="0"/>
      <w:divBdr>
        <w:top w:val="none" w:sz="0" w:space="0" w:color="auto"/>
        <w:left w:val="none" w:sz="0" w:space="0" w:color="auto"/>
        <w:bottom w:val="none" w:sz="0" w:space="0" w:color="auto"/>
        <w:right w:val="none" w:sz="0" w:space="0" w:color="auto"/>
      </w:divBdr>
    </w:div>
    <w:div w:id="1409764471">
      <w:bodyDiv w:val="1"/>
      <w:marLeft w:val="0"/>
      <w:marRight w:val="0"/>
      <w:marTop w:val="0"/>
      <w:marBottom w:val="0"/>
      <w:divBdr>
        <w:top w:val="none" w:sz="0" w:space="0" w:color="auto"/>
        <w:left w:val="none" w:sz="0" w:space="0" w:color="auto"/>
        <w:bottom w:val="none" w:sz="0" w:space="0" w:color="auto"/>
        <w:right w:val="none" w:sz="0" w:space="0" w:color="auto"/>
      </w:divBdr>
    </w:div>
    <w:div w:id="1451167989">
      <w:bodyDiv w:val="1"/>
      <w:marLeft w:val="0"/>
      <w:marRight w:val="0"/>
      <w:marTop w:val="0"/>
      <w:marBottom w:val="0"/>
      <w:divBdr>
        <w:top w:val="none" w:sz="0" w:space="0" w:color="auto"/>
        <w:left w:val="none" w:sz="0" w:space="0" w:color="auto"/>
        <w:bottom w:val="none" w:sz="0" w:space="0" w:color="auto"/>
        <w:right w:val="none" w:sz="0" w:space="0" w:color="auto"/>
      </w:divBdr>
    </w:div>
    <w:div w:id="1468814450">
      <w:bodyDiv w:val="1"/>
      <w:marLeft w:val="0"/>
      <w:marRight w:val="0"/>
      <w:marTop w:val="0"/>
      <w:marBottom w:val="0"/>
      <w:divBdr>
        <w:top w:val="none" w:sz="0" w:space="0" w:color="auto"/>
        <w:left w:val="none" w:sz="0" w:space="0" w:color="auto"/>
        <w:bottom w:val="none" w:sz="0" w:space="0" w:color="auto"/>
        <w:right w:val="none" w:sz="0" w:space="0" w:color="auto"/>
      </w:divBdr>
    </w:div>
    <w:div w:id="1544711587">
      <w:bodyDiv w:val="1"/>
      <w:marLeft w:val="0"/>
      <w:marRight w:val="0"/>
      <w:marTop w:val="0"/>
      <w:marBottom w:val="0"/>
      <w:divBdr>
        <w:top w:val="none" w:sz="0" w:space="0" w:color="auto"/>
        <w:left w:val="none" w:sz="0" w:space="0" w:color="auto"/>
        <w:bottom w:val="none" w:sz="0" w:space="0" w:color="auto"/>
        <w:right w:val="none" w:sz="0" w:space="0" w:color="auto"/>
      </w:divBdr>
    </w:div>
    <w:div w:id="1608193991">
      <w:bodyDiv w:val="1"/>
      <w:marLeft w:val="0"/>
      <w:marRight w:val="0"/>
      <w:marTop w:val="0"/>
      <w:marBottom w:val="0"/>
      <w:divBdr>
        <w:top w:val="none" w:sz="0" w:space="0" w:color="auto"/>
        <w:left w:val="none" w:sz="0" w:space="0" w:color="auto"/>
        <w:bottom w:val="none" w:sz="0" w:space="0" w:color="auto"/>
        <w:right w:val="none" w:sz="0" w:space="0" w:color="auto"/>
      </w:divBdr>
    </w:div>
    <w:div w:id="1683628629">
      <w:bodyDiv w:val="1"/>
      <w:marLeft w:val="0"/>
      <w:marRight w:val="0"/>
      <w:marTop w:val="0"/>
      <w:marBottom w:val="0"/>
      <w:divBdr>
        <w:top w:val="none" w:sz="0" w:space="0" w:color="auto"/>
        <w:left w:val="none" w:sz="0" w:space="0" w:color="auto"/>
        <w:bottom w:val="none" w:sz="0" w:space="0" w:color="auto"/>
        <w:right w:val="none" w:sz="0" w:space="0" w:color="auto"/>
      </w:divBdr>
    </w:div>
    <w:div w:id="1725056946">
      <w:bodyDiv w:val="1"/>
      <w:marLeft w:val="0"/>
      <w:marRight w:val="0"/>
      <w:marTop w:val="0"/>
      <w:marBottom w:val="0"/>
      <w:divBdr>
        <w:top w:val="none" w:sz="0" w:space="0" w:color="auto"/>
        <w:left w:val="none" w:sz="0" w:space="0" w:color="auto"/>
        <w:bottom w:val="none" w:sz="0" w:space="0" w:color="auto"/>
        <w:right w:val="none" w:sz="0" w:space="0" w:color="auto"/>
      </w:divBdr>
    </w:div>
    <w:div w:id="1825655653">
      <w:bodyDiv w:val="1"/>
      <w:marLeft w:val="0"/>
      <w:marRight w:val="0"/>
      <w:marTop w:val="0"/>
      <w:marBottom w:val="0"/>
      <w:divBdr>
        <w:top w:val="none" w:sz="0" w:space="0" w:color="auto"/>
        <w:left w:val="none" w:sz="0" w:space="0" w:color="auto"/>
        <w:bottom w:val="none" w:sz="0" w:space="0" w:color="auto"/>
        <w:right w:val="none" w:sz="0" w:space="0" w:color="auto"/>
      </w:divBdr>
    </w:div>
    <w:div w:id="1870219698">
      <w:bodyDiv w:val="1"/>
      <w:marLeft w:val="0"/>
      <w:marRight w:val="0"/>
      <w:marTop w:val="0"/>
      <w:marBottom w:val="0"/>
      <w:divBdr>
        <w:top w:val="none" w:sz="0" w:space="0" w:color="auto"/>
        <w:left w:val="none" w:sz="0" w:space="0" w:color="auto"/>
        <w:bottom w:val="none" w:sz="0" w:space="0" w:color="auto"/>
        <w:right w:val="none" w:sz="0" w:space="0" w:color="auto"/>
      </w:divBdr>
    </w:div>
    <w:div w:id="1875388541">
      <w:bodyDiv w:val="1"/>
      <w:marLeft w:val="0"/>
      <w:marRight w:val="0"/>
      <w:marTop w:val="0"/>
      <w:marBottom w:val="0"/>
      <w:divBdr>
        <w:top w:val="none" w:sz="0" w:space="0" w:color="auto"/>
        <w:left w:val="none" w:sz="0" w:space="0" w:color="auto"/>
        <w:bottom w:val="none" w:sz="0" w:space="0" w:color="auto"/>
        <w:right w:val="none" w:sz="0" w:space="0" w:color="auto"/>
      </w:divBdr>
    </w:div>
    <w:div w:id="1878397566">
      <w:bodyDiv w:val="1"/>
      <w:marLeft w:val="0"/>
      <w:marRight w:val="0"/>
      <w:marTop w:val="0"/>
      <w:marBottom w:val="0"/>
      <w:divBdr>
        <w:top w:val="none" w:sz="0" w:space="0" w:color="auto"/>
        <w:left w:val="none" w:sz="0" w:space="0" w:color="auto"/>
        <w:bottom w:val="none" w:sz="0" w:space="0" w:color="auto"/>
        <w:right w:val="none" w:sz="0" w:space="0" w:color="auto"/>
      </w:divBdr>
    </w:div>
    <w:div w:id="1906531068">
      <w:bodyDiv w:val="1"/>
      <w:marLeft w:val="0"/>
      <w:marRight w:val="0"/>
      <w:marTop w:val="0"/>
      <w:marBottom w:val="0"/>
      <w:divBdr>
        <w:top w:val="none" w:sz="0" w:space="0" w:color="auto"/>
        <w:left w:val="none" w:sz="0" w:space="0" w:color="auto"/>
        <w:bottom w:val="none" w:sz="0" w:space="0" w:color="auto"/>
        <w:right w:val="none" w:sz="0" w:space="0" w:color="auto"/>
      </w:divBdr>
    </w:div>
    <w:div w:id="1924488520">
      <w:bodyDiv w:val="1"/>
      <w:marLeft w:val="0"/>
      <w:marRight w:val="0"/>
      <w:marTop w:val="0"/>
      <w:marBottom w:val="0"/>
      <w:divBdr>
        <w:top w:val="none" w:sz="0" w:space="0" w:color="auto"/>
        <w:left w:val="none" w:sz="0" w:space="0" w:color="auto"/>
        <w:bottom w:val="none" w:sz="0" w:space="0" w:color="auto"/>
        <w:right w:val="none" w:sz="0" w:space="0" w:color="auto"/>
      </w:divBdr>
    </w:div>
    <w:div w:id="1949653951">
      <w:bodyDiv w:val="1"/>
      <w:marLeft w:val="0"/>
      <w:marRight w:val="0"/>
      <w:marTop w:val="0"/>
      <w:marBottom w:val="0"/>
      <w:divBdr>
        <w:top w:val="none" w:sz="0" w:space="0" w:color="auto"/>
        <w:left w:val="none" w:sz="0" w:space="0" w:color="auto"/>
        <w:bottom w:val="none" w:sz="0" w:space="0" w:color="auto"/>
        <w:right w:val="none" w:sz="0" w:space="0" w:color="auto"/>
      </w:divBdr>
    </w:div>
    <w:div w:id="2018926227">
      <w:bodyDiv w:val="1"/>
      <w:marLeft w:val="0"/>
      <w:marRight w:val="0"/>
      <w:marTop w:val="0"/>
      <w:marBottom w:val="0"/>
      <w:divBdr>
        <w:top w:val="none" w:sz="0" w:space="0" w:color="auto"/>
        <w:left w:val="none" w:sz="0" w:space="0" w:color="auto"/>
        <w:bottom w:val="none" w:sz="0" w:space="0" w:color="auto"/>
        <w:right w:val="none" w:sz="0" w:space="0" w:color="auto"/>
      </w:divBdr>
    </w:div>
    <w:div w:id="2109500183">
      <w:bodyDiv w:val="1"/>
      <w:marLeft w:val="0"/>
      <w:marRight w:val="0"/>
      <w:marTop w:val="0"/>
      <w:marBottom w:val="0"/>
      <w:divBdr>
        <w:top w:val="none" w:sz="0" w:space="0" w:color="auto"/>
        <w:left w:val="none" w:sz="0" w:space="0" w:color="auto"/>
        <w:bottom w:val="none" w:sz="0" w:space="0" w:color="auto"/>
        <w:right w:val="none" w:sz="0" w:space="0" w:color="auto"/>
      </w:divBdr>
    </w:div>
    <w:div w:id="21218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hyperlink" Target="http://doi.org/10.26480/pjg.01.2024.67.73%20" TargetMode="External"/><Relationship Id="rId39" Type="http://schemas.openxmlformats.org/officeDocument/2006/relationships/fontTable" Target="fontTable.xml"/><Relationship Id="rId21" Type="http://schemas.openxmlformats.org/officeDocument/2006/relationships/hyperlink" Target="https://doi.org/10.1016/j.jafrearsci.2022.104520"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3390/min11121396"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jksus.2023.102809" TargetMode="External"/><Relationship Id="rId29" Type="http://schemas.openxmlformats.org/officeDocument/2006/relationships/hyperlink" Target="https://doi.org/10.1016/j.jafrearsci.2015.07.0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gi.obs-mip.fr/data-products/outils/wgm2012-visualizationextraction/" TargetMode="External"/><Relationship Id="rId32" Type="http://schemas.openxmlformats.org/officeDocument/2006/relationships/hyperlink" Target="https://www.usgs.gov/media/images/world-geologic-maps-data-download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62292/njp.v33i2.2024.212" TargetMode="External"/><Relationship Id="rId28" Type="http://schemas.openxmlformats.org/officeDocument/2006/relationships/hyperlink" Target="https://doi.org/10.33003/fjs-2020-0404-489"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7/CBO978113916793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20https:/doi.org/10.1016/j.heliyon.2022.e09055" TargetMode="External"/><Relationship Id="rId27" Type="http://schemas.openxmlformats.org/officeDocument/2006/relationships/hyperlink" Target="file:///C:\Users\KAZEEM%20SALAKO\AppData\Roaming\Microsoft\Word\FUDMA%20Journal%20of%20Sciences" TargetMode="External"/><Relationship Id="rId30" Type="http://schemas.openxmlformats.org/officeDocument/2006/relationships/hyperlink" Target="https://doi.org/10.1016/j.heliyon.2024.e34093"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4146</TotalTime>
  <Pages>19</Pages>
  <Words>4645</Words>
  <Characters>26477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24</cp:revision>
  <dcterms:created xsi:type="dcterms:W3CDTF">2025-08-07T18:54:00Z</dcterms:created>
  <dcterms:modified xsi:type="dcterms:W3CDTF">2025-08-16T11:06:00Z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c002bb17-f64f-45ce-844b-a87076fa8ea8</vt:lpwstr>
  </property>
</Properties>
</file>