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3516" w14:textId="77777777" w:rsidR="000E5A16" w:rsidRDefault="000E5A16">
      <w:pPr>
        <w:rPr>
          <w:b/>
          <w:sz w:val="24"/>
          <w:szCs w:val="24"/>
          <w:lang w:val="en-GB"/>
        </w:rPr>
      </w:pPr>
      <w:r w:rsidRPr="000E5A16">
        <w:rPr>
          <w:b/>
          <w:sz w:val="24"/>
          <w:szCs w:val="24"/>
          <w:lang w:val="en-GB"/>
        </w:rPr>
        <w:t xml:space="preserve">Original Research Article </w:t>
      </w:r>
    </w:p>
    <w:p w14:paraId="58D200E8" w14:textId="77777777" w:rsidR="000E5A16" w:rsidRDefault="000E5A16">
      <w:pPr>
        <w:rPr>
          <w:b/>
          <w:sz w:val="24"/>
          <w:szCs w:val="24"/>
          <w:lang w:val="en-GB"/>
        </w:rPr>
      </w:pPr>
    </w:p>
    <w:p w14:paraId="0A96F5D9" w14:textId="292A5A2C" w:rsidR="00D724E9" w:rsidRDefault="00A57724">
      <w:pPr>
        <w:rPr>
          <w:b/>
          <w:sz w:val="24"/>
          <w:szCs w:val="24"/>
          <w:lang w:val="en-GB"/>
        </w:rPr>
      </w:pPr>
      <w:r>
        <w:rPr>
          <w:b/>
          <w:sz w:val="24"/>
          <w:szCs w:val="24"/>
          <w:lang w:val="en-GB"/>
        </w:rPr>
        <w:t>BLADDER WALL THICKNESS,</w:t>
      </w:r>
      <w:r w:rsidR="00B52CB8" w:rsidRPr="00626E50">
        <w:rPr>
          <w:b/>
          <w:sz w:val="24"/>
          <w:szCs w:val="24"/>
          <w:lang w:val="en-GB"/>
        </w:rPr>
        <w:t xml:space="preserve"> POST-VOID </w:t>
      </w:r>
      <w:r w:rsidR="002329ED">
        <w:rPr>
          <w:b/>
          <w:sz w:val="24"/>
          <w:szCs w:val="24"/>
          <w:lang w:val="en-GB"/>
        </w:rPr>
        <w:t>RESIDUAL URINE</w:t>
      </w:r>
      <w:r>
        <w:rPr>
          <w:b/>
          <w:sz w:val="24"/>
          <w:szCs w:val="24"/>
          <w:lang w:val="en-GB"/>
        </w:rPr>
        <w:t>, AND PROSTATE VOLUME</w:t>
      </w:r>
      <w:r w:rsidR="00B52CB8" w:rsidRPr="00626E50">
        <w:rPr>
          <w:b/>
          <w:sz w:val="24"/>
          <w:szCs w:val="24"/>
          <w:lang w:val="en-GB"/>
        </w:rPr>
        <w:t xml:space="preserve"> </w:t>
      </w:r>
      <w:r>
        <w:rPr>
          <w:b/>
          <w:sz w:val="24"/>
          <w:szCs w:val="24"/>
          <w:lang w:val="en-GB"/>
        </w:rPr>
        <w:t xml:space="preserve">EVALUATION </w:t>
      </w:r>
      <w:r w:rsidR="009D7E7C">
        <w:rPr>
          <w:b/>
          <w:sz w:val="24"/>
          <w:szCs w:val="24"/>
          <w:lang w:val="en-GB"/>
        </w:rPr>
        <w:t xml:space="preserve">IN </w:t>
      </w:r>
      <w:r>
        <w:rPr>
          <w:b/>
          <w:sz w:val="24"/>
          <w:szCs w:val="24"/>
          <w:lang w:val="en-GB"/>
        </w:rPr>
        <w:t xml:space="preserve">ADULT PATIENTS WITH </w:t>
      </w:r>
      <w:r w:rsidR="00B52CB8" w:rsidRPr="00626E50">
        <w:rPr>
          <w:b/>
          <w:sz w:val="24"/>
          <w:szCs w:val="24"/>
          <w:lang w:val="en-GB"/>
        </w:rPr>
        <w:t>BLADDER OUTLET OBSTRUCTION</w:t>
      </w:r>
    </w:p>
    <w:p w14:paraId="052F0CC9" w14:textId="40D12F3D" w:rsidR="000E5A16" w:rsidRPr="000E5A16" w:rsidRDefault="000E5A16" w:rsidP="000E5A16">
      <w:pPr>
        <w:spacing w:line="480" w:lineRule="auto"/>
        <w:ind w:left="720"/>
        <w:contextualSpacing/>
        <w:rPr>
          <w:sz w:val="24"/>
          <w:szCs w:val="24"/>
          <w:lang w:val="en-GB"/>
        </w:rPr>
      </w:pPr>
      <w:r w:rsidRPr="000E5A16">
        <w:rPr>
          <w:sz w:val="24"/>
          <w:szCs w:val="24"/>
          <w:lang w:val="en-GB"/>
        </w:rPr>
        <w:t xml:space="preserve"> </w:t>
      </w:r>
    </w:p>
    <w:p w14:paraId="3FB012D9" w14:textId="77777777" w:rsidR="000E5A16" w:rsidRDefault="000E5A16">
      <w:pPr>
        <w:rPr>
          <w:sz w:val="24"/>
          <w:szCs w:val="24"/>
          <w:lang w:val="en-GB"/>
        </w:rPr>
      </w:pPr>
      <w:bookmarkStart w:id="0" w:name="_GoBack"/>
      <w:bookmarkEnd w:id="0"/>
    </w:p>
    <w:p w14:paraId="1FF62480" w14:textId="77777777" w:rsidR="000E5A16" w:rsidRDefault="000E5A16">
      <w:pPr>
        <w:rPr>
          <w:sz w:val="24"/>
          <w:szCs w:val="24"/>
          <w:lang w:val="en-GB"/>
        </w:rPr>
      </w:pPr>
    </w:p>
    <w:p w14:paraId="4F9B08C7" w14:textId="60CFD39D" w:rsidR="00DA68FC" w:rsidRPr="00A57724" w:rsidRDefault="00B52CB8">
      <w:pPr>
        <w:rPr>
          <w:sz w:val="24"/>
          <w:szCs w:val="24"/>
          <w:lang w:val="en-GB"/>
        </w:rPr>
      </w:pPr>
      <w:r w:rsidRPr="00626E50">
        <w:rPr>
          <w:sz w:val="24"/>
          <w:szCs w:val="24"/>
          <w:lang w:val="en-GB"/>
        </w:rPr>
        <w:t>Abstract</w:t>
      </w:r>
    </w:p>
    <w:p w14:paraId="09AC9D80" w14:textId="77777777" w:rsidR="002329ED" w:rsidRDefault="00DA68FC" w:rsidP="00DA68FC">
      <w:pPr>
        <w:spacing w:line="480" w:lineRule="auto"/>
        <w:rPr>
          <w:sz w:val="24"/>
          <w:szCs w:val="24"/>
        </w:rPr>
      </w:pPr>
      <w:r w:rsidRPr="005D4EE8">
        <w:rPr>
          <w:b/>
          <w:sz w:val="24"/>
          <w:szCs w:val="24"/>
          <w:lang w:val="en-GB"/>
        </w:rPr>
        <w:t>INTRODUCTION</w:t>
      </w:r>
      <w:r>
        <w:rPr>
          <w:b/>
          <w:sz w:val="24"/>
          <w:szCs w:val="24"/>
          <w:lang w:val="en-GB"/>
        </w:rPr>
        <w:t xml:space="preserve">: </w:t>
      </w:r>
      <w:r w:rsidRPr="00930184">
        <w:rPr>
          <w:rFonts w:cs="Tahoma"/>
          <w:sz w:val="24"/>
          <w:szCs w:val="24"/>
        </w:rPr>
        <w:t>Bladder outlet obstruction (BOO) can lead to ascending infection</w:t>
      </w:r>
      <w:r w:rsidR="006B22E1">
        <w:rPr>
          <w:rFonts w:cs="Tahoma"/>
          <w:sz w:val="24"/>
          <w:szCs w:val="24"/>
        </w:rPr>
        <w:t>,</w:t>
      </w:r>
      <w:r w:rsidRPr="00930184">
        <w:rPr>
          <w:rFonts w:cs="Tahoma"/>
          <w:sz w:val="24"/>
          <w:szCs w:val="24"/>
        </w:rPr>
        <w:t xml:space="preserve"> which may result in renal failure if left undiagnosed.</w:t>
      </w:r>
      <w:r>
        <w:rPr>
          <w:rFonts w:cs="Tahoma"/>
          <w:sz w:val="24"/>
          <w:szCs w:val="24"/>
        </w:rPr>
        <w:t xml:space="preserve"> </w:t>
      </w:r>
      <w:r w:rsidRPr="00930184">
        <w:rPr>
          <w:rFonts w:cs="Tahoma"/>
          <w:sz w:val="24"/>
          <w:szCs w:val="24"/>
        </w:rPr>
        <w:t>BOO may also occur in the comple</w:t>
      </w:r>
      <w:r>
        <w:rPr>
          <w:rFonts w:cs="Tahoma"/>
          <w:sz w:val="24"/>
          <w:szCs w:val="24"/>
        </w:rPr>
        <w:t xml:space="preserve">te absence of symptoms and be identified first as a case </w:t>
      </w:r>
      <w:r w:rsidRPr="00930184">
        <w:rPr>
          <w:rFonts w:cs="Tahoma"/>
          <w:sz w:val="24"/>
          <w:szCs w:val="24"/>
        </w:rPr>
        <w:t>of urinary retention.</w:t>
      </w:r>
      <w:r>
        <w:rPr>
          <w:rFonts w:cs="Tahoma"/>
          <w:sz w:val="24"/>
          <w:szCs w:val="24"/>
        </w:rPr>
        <w:t xml:space="preserve"> </w:t>
      </w:r>
      <w:r w:rsidRPr="00DA68FC">
        <w:rPr>
          <w:rFonts w:cs="Tahoma"/>
          <w:b/>
          <w:sz w:val="24"/>
          <w:szCs w:val="24"/>
        </w:rPr>
        <w:t>AIM:</w:t>
      </w:r>
      <w:r>
        <w:rPr>
          <w:rFonts w:cs="Tahoma"/>
          <w:sz w:val="24"/>
          <w:szCs w:val="24"/>
        </w:rPr>
        <w:t xml:space="preserve"> T</w:t>
      </w:r>
      <w:r w:rsidRPr="005D4EE8">
        <w:rPr>
          <w:rFonts w:cs="Tahoma"/>
          <w:sz w:val="24"/>
          <w:szCs w:val="24"/>
        </w:rPr>
        <w:t>o determine the relationship between bladder wall thickness, prostate volume</w:t>
      </w:r>
      <w:r>
        <w:rPr>
          <w:rFonts w:cs="Tahoma"/>
          <w:sz w:val="24"/>
          <w:szCs w:val="24"/>
        </w:rPr>
        <w:t>, and post-void urine volume with</w:t>
      </w:r>
      <w:r w:rsidRPr="005D4EE8">
        <w:rPr>
          <w:rFonts w:cs="Tahoma"/>
          <w:sz w:val="24"/>
          <w:szCs w:val="24"/>
        </w:rPr>
        <w:t xml:space="preserve"> IPSS.</w:t>
      </w:r>
      <w:r>
        <w:rPr>
          <w:rFonts w:cs="Tahoma"/>
          <w:sz w:val="24"/>
          <w:szCs w:val="24"/>
        </w:rPr>
        <w:t xml:space="preserve"> </w:t>
      </w:r>
      <w:r w:rsidRPr="00DA68FC">
        <w:rPr>
          <w:rFonts w:cs="Tahoma"/>
          <w:b/>
          <w:sz w:val="24"/>
          <w:szCs w:val="24"/>
        </w:rPr>
        <w:t>METHODS:</w:t>
      </w:r>
      <w:r>
        <w:rPr>
          <w:rFonts w:cs="Tahoma"/>
          <w:sz w:val="24"/>
          <w:szCs w:val="24"/>
        </w:rPr>
        <w:t xml:space="preserve"> A prospective study of 100 participants using ultrasound to evaluate post-void residual volume [PVR], Bladder wall thickness [BWT], and prostate volume with IPPS as the Gold standard. </w:t>
      </w:r>
      <w:r w:rsidRPr="00DA68FC">
        <w:rPr>
          <w:rFonts w:cs="Tahoma"/>
          <w:b/>
          <w:sz w:val="24"/>
          <w:szCs w:val="24"/>
        </w:rPr>
        <w:t>RESULTS:</w:t>
      </w:r>
      <w:r>
        <w:rPr>
          <w:rFonts w:cs="Tahoma"/>
          <w:sz w:val="24"/>
          <w:szCs w:val="24"/>
        </w:rPr>
        <w:t xml:space="preserve">  Mean age of participants with BOO was </w:t>
      </w:r>
      <w:r w:rsidR="006B22E1">
        <w:rPr>
          <w:rFonts w:cs="Tahoma"/>
          <w:sz w:val="24"/>
          <w:szCs w:val="24"/>
        </w:rPr>
        <w:t>62.6 years</w:t>
      </w:r>
      <w:r>
        <w:rPr>
          <w:rFonts w:cs="Tahoma"/>
          <w:sz w:val="24"/>
          <w:szCs w:val="24"/>
        </w:rPr>
        <w:t>. Mean</w:t>
      </w:r>
      <w:r w:rsidR="00894447">
        <w:rPr>
          <w:rFonts w:cs="Tahoma"/>
          <w:sz w:val="24"/>
          <w:szCs w:val="24"/>
        </w:rPr>
        <w:t xml:space="preserve"> values were</w:t>
      </w:r>
      <w:r>
        <w:rPr>
          <w:rFonts w:cs="Tahoma"/>
          <w:sz w:val="24"/>
          <w:szCs w:val="24"/>
        </w:rPr>
        <w:t xml:space="preserve"> prostate vo</w:t>
      </w:r>
      <w:r w:rsidR="00894447">
        <w:rPr>
          <w:rFonts w:cs="Tahoma"/>
          <w:sz w:val="24"/>
          <w:szCs w:val="24"/>
        </w:rPr>
        <w:t>lume</w:t>
      </w:r>
      <w:r>
        <w:rPr>
          <w:rFonts w:cs="Tahoma"/>
          <w:sz w:val="24"/>
          <w:szCs w:val="24"/>
        </w:rPr>
        <w:t xml:space="preserve"> 75.2</w:t>
      </w:r>
      <w:r w:rsidR="006B22E1">
        <w:rPr>
          <w:rFonts w:cs="Tahoma"/>
          <w:sz w:val="24"/>
          <w:szCs w:val="24"/>
        </w:rPr>
        <w:t xml:space="preserve"> cm³</w:t>
      </w:r>
      <w:r w:rsidR="00894447">
        <w:rPr>
          <w:rFonts w:cs="Tahoma"/>
          <w:sz w:val="24"/>
          <w:szCs w:val="24"/>
        </w:rPr>
        <w:t>, BWT 0.46cm, and PVR</w:t>
      </w:r>
      <w:r>
        <w:rPr>
          <w:rFonts w:cs="Tahoma"/>
          <w:sz w:val="24"/>
          <w:szCs w:val="24"/>
        </w:rPr>
        <w:t xml:space="preserve"> 61.02cm</w:t>
      </w:r>
      <w:r>
        <w:rPr>
          <w:rFonts w:cs="Tahoma"/>
          <w:sz w:val="24"/>
          <w:szCs w:val="24"/>
          <w:vertAlign w:val="superscript"/>
        </w:rPr>
        <w:t>3</w:t>
      </w:r>
      <w:r>
        <w:rPr>
          <w:rFonts w:cs="Tahoma"/>
          <w:sz w:val="24"/>
          <w:szCs w:val="24"/>
        </w:rPr>
        <w:t xml:space="preserve">. Association between PVR, BWT, and Prostate volume was </w:t>
      </w:r>
      <w:r w:rsidR="0089307D">
        <w:rPr>
          <w:rFonts w:cs="Tahoma"/>
          <w:sz w:val="24"/>
          <w:szCs w:val="24"/>
        </w:rPr>
        <w:t xml:space="preserve">0.000, </w:t>
      </w:r>
      <w:r>
        <w:rPr>
          <w:rFonts w:cs="Tahoma"/>
          <w:sz w:val="24"/>
          <w:szCs w:val="24"/>
        </w:rPr>
        <w:t xml:space="preserve">0.006, </w:t>
      </w:r>
      <w:r w:rsidR="0089307D">
        <w:rPr>
          <w:rFonts w:cs="Tahoma"/>
          <w:sz w:val="24"/>
          <w:szCs w:val="24"/>
        </w:rPr>
        <w:t xml:space="preserve">and </w:t>
      </w:r>
      <w:r>
        <w:rPr>
          <w:rFonts w:cs="Tahoma"/>
          <w:sz w:val="24"/>
          <w:szCs w:val="24"/>
        </w:rPr>
        <w:t>0.006</w:t>
      </w:r>
      <w:r w:rsidR="006B22E1">
        <w:rPr>
          <w:rFonts w:cs="Tahoma"/>
          <w:sz w:val="24"/>
          <w:szCs w:val="24"/>
        </w:rPr>
        <w:t>,</w:t>
      </w:r>
      <w:r w:rsidR="0089307D">
        <w:rPr>
          <w:rFonts w:cs="Tahoma"/>
          <w:sz w:val="24"/>
          <w:szCs w:val="24"/>
        </w:rPr>
        <w:t xml:space="preserve"> respectively. Relationship between all three </w:t>
      </w:r>
      <w:proofErr w:type="spellStart"/>
      <w:r w:rsidR="0089307D">
        <w:rPr>
          <w:rFonts w:cs="Tahoma"/>
          <w:sz w:val="24"/>
          <w:szCs w:val="24"/>
        </w:rPr>
        <w:t>parametres</w:t>
      </w:r>
      <w:proofErr w:type="spellEnd"/>
      <w:r w:rsidR="0089307D">
        <w:rPr>
          <w:rFonts w:cs="Tahoma"/>
          <w:sz w:val="24"/>
          <w:szCs w:val="24"/>
        </w:rPr>
        <w:t xml:space="preserve"> and IPPS was significant [0.000]. Correlation coefficient between variables and IPPS was significant. Logistic regression analysis between </w:t>
      </w:r>
      <w:proofErr w:type="spellStart"/>
      <w:r w:rsidR="0089307D">
        <w:rPr>
          <w:rFonts w:cs="Tahoma"/>
          <w:sz w:val="24"/>
          <w:szCs w:val="24"/>
        </w:rPr>
        <w:t>parametres</w:t>
      </w:r>
      <w:proofErr w:type="spellEnd"/>
      <w:r w:rsidR="0089307D">
        <w:rPr>
          <w:rFonts w:cs="Tahoma"/>
          <w:sz w:val="24"/>
          <w:szCs w:val="24"/>
        </w:rPr>
        <w:t xml:space="preserve"> and mild IPPS showed BWT with a significance of 0.005. Logistic regression analysis between </w:t>
      </w:r>
      <w:proofErr w:type="spellStart"/>
      <w:r w:rsidR="0089307D">
        <w:rPr>
          <w:rFonts w:cs="Tahoma"/>
          <w:sz w:val="24"/>
          <w:szCs w:val="24"/>
        </w:rPr>
        <w:t>parametres</w:t>
      </w:r>
      <w:proofErr w:type="spellEnd"/>
      <w:r w:rsidR="0089307D">
        <w:rPr>
          <w:rFonts w:cs="Tahoma"/>
          <w:sz w:val="24"/>
          <w:szCs w:val="24"/>
        </w:rPr>
        <w:t xml:space="preserve"> and moderate IPPS showed BWT with a significance of 0.000. PVR had the highest sensitivity [68%] of the three </w:t>
      </w:r>
      <w:proofErr w:type="spellStart"/>
      <w:r w:rsidR="0089307D">
        <w:rPr>
          <w:rFonts w:cs="Tahoma"/>
          <w:sz w:val="24"/>
          <w:szCs w:val="24"/>
        </w:rPr>
        <w:t>parametres</w:t>
      </w:r>
      <w:proofErr w:type="spellEnd"/>
      <w:r w:rsidR="0089307D">
        <w:rPr>
          <w:rFonts w:cs="Tahoma"/>
          <w:sz w:val="24"/>
          <w:szCs w:val="24"/>
        </w:rPr>
        <w:t xml:space="preserve"> but the least specificity [42%]. ROC showed BWT with the largest area of 0.314 and PVR with the smallest [0.246]. </w:t>
      </w:r>
      <w:r w:rsidR="0089307D" w:rsidRPr="002329ED">
        <w:rPr>
          <w:rFonts w:cs="Tahoma"/>
          <w:b/>
          <w:sz w:val="24"/>
          <w:szCs w:val="24"/>
        </w:rPr>
        <w:t>CONCLUSION:</w:t>
      </w:r>
      <w:r w:rsidR="0089307D">
        <w:rPr>
          <w:rFonts w:cs="Tahoma"/>
          <w:sz w:val="24"/>
          <w:szCs w:val="24"/>
        </w:rPr>
        <w:t xml:space="preserve"> </w:t>
      </w:r>
      <w:r w:rsidR="00894447">
        <w:rPr>
          <w:rFonts w:cs="Tahoma"/>
          <w:sz w:val="24"/>
          <w:szCs w:val="24"/>
        </w:rPr>
        <w:t xml:space="preserve">Combined use of </w:t>
      </w:r>
      <w:r w:rsidR="0089307D">
        <w:rPr>
          <w:rFonts w:cs="Tahoma"/>
          <w:sz w:val="24"/>
          <w:szCs w:val="24"/>
        </w:rPr>
        <w:t xml:space="preserve">BWT </w:t>
      </w:r>
      <w:r w:rsidR="00894447">
        <w:rPr>
          <w:sz w:val="24"/>
          <w:szCs w:val="24"/>
        </w:rPr>
        <w:t xml:space="preserve">and PVR </w:t>
      </w:r>
      <w:r w:rsidR="002329ED" w:rsidRPr="004763D2">
        <w:rPr>
          <w:sz w:val="24"/>
          <w:szCs w:val="24"/>
        </w:rPr>
        <w:t xml:space="preserve">can better distinguish moderate to severe symptomatic men from mildly symptomatic cases. </w:t>
      </w:r>
    </w:p>
    <w:p w14:paraId="3E22FDDC" w14:textId="77777777" w:rsidR="0089307D" w:rsidRDefault="002329ED" w:rsidP="002329ED">
      <w:pPr>
        <w:spacing w:line="480" w:lineRule="auto"/>
        <w:rPr>
          <w:rFonts w:cs="Tahoma"/>
          <w:sz w:val="24"/>
          <w:szCs w:val="24"/>
        </w:rPr>
      </w:pPr>
      <w:r w:rsidRPr="002329ED">
        <w:rPr>
          <w:b/>
          <w:sz w:val="24"/>
          <w:szCs w:val="24"/>
        </w:rPr>
        <w:lastRenderedPageBreak/>
        <w:t xml:space="preserve">Keywords: </w:t>
      </w:r>
      <w:r w:rsidR="0062074F">
        <w:rPr>
          <w:sz w:val="24"/>
          <w:szCs w:val="24"/>
        </w:rPr>
        <w:t xml:space="preserve">BWT, </w:t>
      </w:r>
      <w:r>
        <w:rPr>
          <w:sz w:val="24"/>
          <w:szCs w:val="24"/>
        </w:rPr>
        <w:t>BOO</w:t>
      </w:r>
      <w:r w:rsidR="0062074F">
        <w:rPr>
          <w:sz w:val="24"/>
          <w:szCs w:val="24"/>
        </w:rPr>
        <w:t>, logistic regression, IPPS, Participants, PVR</w:t>
      </w:r>
      <w:r w:rsidR="004D5BD4">
        <w:rPr>
          <w:rFonts w:cs="Tahoma"/>
          <w:sz w:val="24"/>
          <w:szCs w:val="24"/>
        </w:rPr>
        <w:t>.</w:t>
      </w:r>
      <w:r w:rsidR="0089307D">
        <w:rPr>
          <w:rFonts w:cs="Tahoma"/>
          <w:sz w:val="24"/>
          <w:szCs w:val="24"/>
        </w:rPr>
        <w:t xml:space="preserve">                   </w:t>
      </w:r>
    </w:p>
    <w:p w14:paraId="5F71A9E7" w14:textId="77777777" w:rsidR="002329ED" w:rsidRPr="002329ED" w:rsidRDefault="002329ED" w:rsidP="002329ED">
      <w:pPr>
        <w:spacing w:line="480" w:lineRule="auto"/>
        <w:rPr>
          <w:rFonts w:cs="Tahoma"/>
          <w:sz w:val="24"/>
          <w:szCs w:val="24"/>
        </w:rPr>
      </w:pPr>
    </w:p>
    <w:p w14:paraId="268FD99D" w14:textId="77777777" w:rsidR="00626E50" w:rsidRPr="005D4EE8" w:rsidRDefault="00B52CB8">
      <w:pPr>
        <w:rPr>
          <w:b/>
          <w:sz w:val="24"/>
          <w:szCs w:val="24"/>
          <w:lang w:val="en-GB"/>
        </w:rPr>
      </w:pPr>
      <w:r w:rsidRPr="005D4EE8">
        <w:rPr>
          <w:b/>
          <w:sz w:val="24"/>
          <w:szCs w:val="24"/>
          <w:lang w:val="en-GB"/>
        </w:rPr>
        <w:t>I</w:t>
      </w:r>
      <w:r w:rsidR="005D4EE8" w:rsidRPr="005D4EE8">
        <w:rPr>
          <w:b/>
          <w:sz w:val="24"/>
          <w:szCs w:val="24"/>
          <w:lang w:val="en-GB"/>
        </w:rPr>
        <w:t>NTRODUCTION</w:t>
      </w:r>
    </w:p>
    <w:p w14:paraId="779C1594" w14:textId="77777777" w:rsidR="00930184" w:rsidRPr="00930184" w:rsidRDefault="00B52CB8" w:rsidP="0089307D">
      <w:pPr>
        <w:pStyle w:val="NoSpacing"/>
        <w:spacing w:line="480" w:lineRule="auto"/>
        <w:jc w:val="both"/>
        <w:rPr>
          <w:rFonts w:cs="Tahoma"/>
          <w:sz w:val="24"/>
          <w:szCs w:val="24"/>
        </w:rPr>
      </w:pPr>
      <w:r w:rsidRPr="00930184">
        <w:rPr>
          <w:rFonts w:cs="Tahoma"/>
          <w:sz w:val="24"/>
          <w:szCs w:val="24"/>
        </w:rPr>
        <w:t>Bladder outlet obstruction (BOO) can lead to ascending infection</w:t>
      </w:r>
      <w:r w:rsidR="006B22E1">
        <w:rPr>
          <w:rFonts w:cs="Tahoma"/>
          <w:sz w:val="24"/>
          <w:szCs w:val="24"/>
        </w:rPr>
        <w:t>,</w:t>
      </w:r>
      <w:r w:rsidRPr="00930184">
        <w:rPr>
          <w:rFonts w:cs="Tahoma"/>
          <w:sz w:val="24"/>
          <w:szCs w:val="24"/>
        </w:rPr>
        <w:t xml:space="preserve"> which may result in re</w:t>
      </w:r>
      <w:r w:rsidR="00855D7A">
        <w:rPr>
          <w:rFonts w:cs="Tahoma"/>
          <w:sz w:val="24"/>
          <w:szCs w:val="24"/>
        </w:rPr>
        <w:t>nal failure if left undiagnosed</w:t>
      </w:r>
      <w:r w:rsidR="005002E2">
        <w:rPr>
          <w:rFonts w:cs="Tahoma"/>
          <w:sz w:val="24"/>
          <w:szCs w:val="24"/>
        </w:rPr>
        <w:t xml:space="preserve"> </w:t>
      </w:r>
      <w:r w:rsidR="00855D7A">
        <w:rPr>
          <w:rFonts w:cs="Tahoma"/>
          <w:sz w:val="24"/>
          <w:szCs w:val="24"/>
        </w:rPr>
        <w:t>[1].</w:t>
      </w:r>
      <w:r w:rsidR="005002E2">
        <w:rPr>
          <w:rFonts w:cs="Tahoma"/>
          <w:sz w:val="24"/>
          <w:szCs w:val="24"/>
          <w:vertAlign w:val="superscript"/>
        </w:rPr>
        <w:t xml:space="preserve"> </w:t>
      </w:r>
      <w:r w:rsidRPr="00930184">
        <w:rPr>
          <w:rFonts w:cs="Tahoma"/>
          <w:sz w:val="24"/>
          <w:szCs w:val="24"/>
        </w:rPr>
        <w:t>It has many varied aetiologies and is frequently associated with an enlarged prostatic gland. It can lead to lower urinary tract symptoms (LUTS), upper and lower urinary</w:t>
      </w:r>
      <w:r w:rsidR="005D4EE8">
        <w:rPr>
          <w:rFonts w:cs="Tahoma"/>
          <w:sz w:val="24"/>
          <w:szCs w:val="24"/>
        </w:rPr>
        <w:t xml:space="preserve"> tract dysfunction, infections, bladder </w:t>
      </w:r>
      <w:r w:rsidRPr="00930184">
        <w:rPr>
          <w:rFonts w:cs="Tahoma"/>
          <w:sz w:val="24"/>
          <w:szCs w:val="24"/>
        </w:rPr>
        <w:t>stones</w:t>
      </w:r>
      <w:r w:rsidR="005D4EE8">
        <w:rPr>
          <w:rFonts w:cs="Tahoma"/>
          <w:sz w:val="24"/>
          <w:szCs w:val="24"/>
        </w:rPr>
        <w:t>,</w:t>
      </w:r>
      <w:r w:rsidR="00855D7A">
        <w:rPr>
          <w:rFonts w:cs="Tahoma"/>
          <w:sz w:val="24"/>
          <w:szCs w:val="24"/>
        </w:rPr>
        <w:t xml:space="preserve"> and decreased quality of life [1].</w:t>
      </w:r>
      <w:r w:rsidRPr="00930184">
        <w:rPr>
          <w:rFonts w:cs="Tahoma"/>
          <w:sz w:val="24"/>
          <w:szCs w:val="24"/>
        </w:rPr>
        <w:t xml:space="preserve">  </w:t>
      </w:r>
      <w:r w:rsidRPr="00930184">
        <w:rPr>
          <w:rFonts w:cs="Tahoma"/>
          <w:sz w:val="24"/>
          <w:szCs w:val="24"/>
        </w:rPr>
        <w:tab/>
      </w:r>
    </w:p>
    <w:p w14:paraId="39F4BBC9" w14:textId="77777777" w:rsidR="00930184" w:rsidRPr="00930184" w:rsidRDefault="00B52CB8" w:rsidP="0089307D">
      <w:pPr>
        <w:pStyle w:val="NoSpacing"/>
        <w:spacing w:line="480" w:lineRule="auto"/>
        <w:jc w:val="both"/>
        <w:rPr>
          <w:rFonts w:cs="Tahoma"/>
          <w:sz w:val="24"/>
          <w:szCs w:val="24"/>
        </w:rPr>
      </w:pPr>
      <w:r w:rsidRPr="00930184">
        <w:rPr>
          <w:rFonts w:cs="Tahoma"/>
          <w:sz w:val="24"/>
          <w:szCs w:val="24"/>
        </w:rPr>
        <w:t>Bladder outlet obstruction (BOO) is a common urologic diagnosis</w:t>
      </w:r>
      <w:r w:rsidR="006B22E1">
        <w:rPr>
          <w:rFonts w:cs="Tahoma"/>
          <w:sz w:val="24"/>
          <w:szCs w:val="24"/>
        </w:rPr>
        <w:t>,</w:t>
      </w:r>
      <w:r w:rsidRPr="00930184">
        <w:rPr>
          <w:rFonts w:cs="Tahoma"/>
          <w:sz w:val="24"/>
          <w:szCs w:val="24"/>
        </w:rPr>
        <w:t xml:space="preserve"> and it is reported to be the most common urologic problem of elderly male patients</w:t>
      </w:r>
      <w:r w:rsidR="006B22E1">
        <w:rPr>
          <w:rFonts w:cs="Tahoma"/>
          <w:sz w:val="24"/>
          <w:szCs w:val="24"/>
        </w:rPr>
        <w:t>,</w:t>
      </w:r>
      <w:r w:rsidRPr="00930184">
        <w:rPr>
          <w:rFonts w:cs="Tahoma"/>
          <w:sz w:val="24"/>
          <w:szCs w:val="24"/>
        </w:rPr>
        <w:t xml:space="preserve"> which can lead to detrusor instability in 50% to 70% of men wi</w:t>
      </w:r>
      <w:r w:rsidR="00754BD8">
        <w:rPr>
          <w:rFonts w:cs="Tahoma"/>
          <w:sz w:val="24"/>
          <w:szCs w:val="24"/>
        </w:rPr>
        <w:t xml:space="preserve">th benign prostatic hyperplasia </w:t>
      </w:r>
      <w:r w:rsidR="00855D7A">
        <w:rPr>
          <w:rFonts w:cs="Tahoma"/>
          <w:sz w:val="24"/>
          <w:szCs w:val="24"/>
        </w:rPr>
        <w:t>[2]</w:t>
      </w:r>
      <w:r w:rsidR="00754BD8">
        <w:rPr>
          <w:rFonts w:cs="Tahoma"/>
          <w:sz w:val="24"/>
          <w:szCs w:val="24"/>
        </w:rPr>
        <w:t>.</w:t>
      </w:r>
      <w:r w:rsidRPr="00930184">
        <w:rPr>
          <w:rFonts w:cs="Tahoma"/>
          <w:sz w:val="24"/>
          <w:szCs w:val="24"/>
        </w:rPr>
        <w:t xml:space="preserve"> The history of BOO involves bladder wall thickening and weight increase. Over time, as the </w:t>
      </w:r>
      <w:r w:rsidR="00754BD8">
        <w:rPr>
          <w:rFonts w:cs="Tahoma"/>
          <w:sz w:val="24"/>
          <w:szCs w:val="24"/>
        </w:rPr>
        <w:t xml:space="preserve">severity of the obstruction increases, the detrusor muscle may lose some or all of its </w:t>
      </w:r>
      <w:r w:rsidRPr="00930184">
        <w:rPr>
          <w:rFonts w:cs="Tahoma"/>
          <w:sz w:val="24"/>
          <w:szCs w:val="24"/>
        </w:rPr>
        <w:t>contractility</w:t>
      </w:r>
      <w:r w:rsidR="00754BD8">
        <w:rPr>
          <w:rFonts w:cs="Tahoma"/>
          <w:sz w:val="24"/>
          <w:szCs w:val="24"/>
        </w:rPr>
        <w:t xml:space="preserve"> [1, </w:t>
      </w:r>
      <w:r w:rsidR="00855D7A">
        <w:rPr>
          <w:rFonts w:cs="Tahoma"/>
          <w:sz w:val="24"/>
          <w:szCs w:val="24"/>
        </w:rPr>
        <w:t>3]</w:t>
      </w:r>
      <w:r w:rsidRPr="00930184">
        <w:rPr>
          <w:rFonts w:cs="Tahoma"/>
          <w:sz w:val="24"/>
          <w:szCs w:val="24"/>
        </w:rPr>
        <w:t>.</w:t>
      </w:r>
      <w:r w:rsidR="00754BD8">
        <w:rPr>
          <w:rFonts w:cs="Tahoma"/>
          <w:sz w:val="24"/>
          <w:szCs w:val="24"/>
          <w:vertAlign w:val="superscript"/>
        </w:rPr>
        <w:t xml:space="preserve"> </w:t>
      </w:r>
      <w:r w:rsidRPr="00930184">
        <w:rPr>
          <w:rFonts w:cs="Tahoma"/>
          <w:sz w:val="24"/>
          <w:szCs w:val="24"/>
        </w:rPr>
        <w:t xml:space="preserve">  </w:t>
      </w:r>
    </w:p>
    <w:p w14:paraId="7CD4F2F2" w14:textId="77777777" w:rsidR="00626E50" w:rsidRPr="00930184" w:rsidRDefault="00B52CB8" w:rsidP="0089307D">
      <w:pPr>
        <w:pStyle w:val="NoSpacing"/>
        <w:spacing w:line="480" w:lineRule="auto"/>
        <w:jc w:val="both"/>
        <w:rPr>
          <w:rFonts w:cs="Tahoma"/>
          <w:sz w:val="24"/>
          <w:szCs w:val="24"/>
        </w:rPr>
      </w:pPr>
      <w:r>
        <w:rPr>
          <w:rFonts w:cs="Tahoma"/>
          <w:sz w:val="24"/>
          <w:szCs w:val="24"/>
        </w:rPr>
        <w:t xml:space="preserve">The role of </w:t>
      </w:r>
      <w:r w:rsidRPr="00930184">
        <w:rPr>
          <w:rFonts w:cs="Tahoma"/>
          <w:sz w:val="24"/>
          <w:szCs w:val="24"/>
        </w:rPr>
        <w:t xml:space="preserve">physicians is to identify patients with BOO before they enter these widely variable and sometimes irreversible alterations in </w:t>
      </w:r>
      <w:r>
        <w:rPr>
          <w:rFonts w:cs="Tahoma"/>
          <w:sz w:val="24"/>
          <w:szCs w:val="24"/>
        </w:rPr>
        <w:t>c</w:t>
      </w:r>
      <w:r w:rsidR="00E23B1D">
        <w:rPr>
          <w:rFonts w:cs="Tahoma"/>
          <w:sz w:val="24"/>
          <w:szCs w:val="24"/>
        </w:rPr>
        <w:t xml:space="preserve">ontractility and/or compliance. </w:t>
      </w:r>
      <w:r w:rsidRPr="00930184">
        <w:rPr>
          <w:rFonts w:cs="Tahoma"/>
          <w:sz w:val="24"/>
          <w:szCs w:val="24"/>
        </w:rPr>
        <w:t>The symptoms of BOO are rarely isolated</w:t>
      </w:r>
      <w:r w:rsidR="006B22E1">
        <w:rPr>
          <w:rFonts w:cs="Tahoma"/>
          <w:sz w:val="24"/>
          <w:szCs w:val="24"/>
        </w:rPr>
        <w:t>;</w:t>
      </w:r>
      <w:r w:rsidRPr="00930184">
        <w:rPr>
          <w:rFonts w:cs="Tahoma"/>
          <w:sz w:val="24"/>
          <w:szCs w:val="24"/>
        </w:rPr>
        <w:t xml:space="preserve"> often</w:t>
      </w:r>
      <w:r w:rsidR="006B22E1">
        <w:rPr>
          <w:rFonts w:cs="Tahoma"/>
          <w:sz w:val="24"/>
          <w:szCs w:val="24"/>
        </w:rPr>
        <w:t>,</w:t>
      </w:r>
      <w:r w:rsidRPr="00930184">
        <w:rPr>
          <w:rFonts w:cs="Tahoma"/>
          <w:sz w:val="24"/>
          <w:szCs w:val="24"/>
        </w:rPr>
        <w:t xml:space="preserve"> the individual experiencing </w:t>
      </w:r>
      <w:r w:rsidR="00D174AD">
        <w:rPr>
          <w:rFonts w:cs="Tahoma"/>
          <w:sz w:val="24"/>
          <w:szCs w:val="24"/>
        </w:rPr>
        <w:t>lower urinary tract symptoms [</w:t>
      </w:r>
      <w:r w:rsidRPr="00930184">
        <w:rPr>
          <w:rFonts w:cs="Tahoma"/>
          <w:sz w:val="24"/>
          <w:szCs w:val="24"/>
        </w:rPr>
        <w:t>LUTS</w:t>
      </w:r>
      <w:r w:rsidR="00D174AD">
        <w:rPr>
          <w:rFonts w:cs="Tahoma"/>
          <w:sz w:val="24"/>
          <w:szCs w:val="24"/>
        </w:rPr>
        <w:t>]</w:t>
      </w:r>
      <w:r w:rsidRPr="00930184">
        <w:rPr>
          <w:rFonts w:cs="Tahoma"/>
          <w:sz w:val="24"/>
          <w:szCs w:val="24"/>
        </w:rPr>
        <w:t xml:space="preserve"> presents with a variety of mixed symptoms of obstruction and irritation. BOO may also occur in the comple</w:t>
      </w:r>
      <w:r>
        <w:rPr>
          <w:rFonts w:cs="Tahoma"/>
          <w:sz w:val="24"/>
          <w:szCs w:val="24"/>
        </w:rPr>
        <w:t xml:space="preserve">te absence of symptoms and be identified first as a case </w:t>
      </w:r>
      <w:r w:rsidRPr="00930184">
        <w:rPr>
          <w:rFonts w:cs="Tahoma"/>
          <w:sz w:val="24"/>
          <w:szCs w:val="24"/>
        </w:rPr>
        <w:t>of urinary retention. Anatomic obstruction in men results most commonly from benign prostatic en</w:t>
      </w:r>
      <w:r w:rsidR="00855D7A">
        <w:rPr>
          <w:rFonts w:cs="Tahoma"/>
          <w:sz w:val="24"/>
          <w:szCs w:val="24"/>
        </w:rPr>
        <w:t>largement or urethral stricture</w:t>
      </w:r>
      <w:r w:rsidR="00754BD8">
        <w:rPr>
          <w:rFonts w:cs="Tahoma"/>
          <w:sz w:val="24"/>
          <w:szCs w:val="24"/>
        </w:rPr>
        <w:t xml:space="preserve"> </w:t>
      </w:r>
      <w:r w:rsidR="00855D7A">
        <w:rPr>
          <w:rFonts w:cs="Tahoma"/>
          <w:sz w:val="24"/>
          <w:szCs w:val="24"/>
        </w:rPr>
        <w:t>[3].</w:t>
      </w:r>
      <w:r w:rsidRPr="00930184">
        <w:rPr>
          <w:rFonts w:cs="Tahoma"/>
          <w:sz w:val="24"/>
          <w:szCs w:val="24"/>
        </w:rPr>
        <w:t xml:space="preserve"> </w:t>
      </w:r>
      <w:r w:rsidR="00D174AD" w:rsidRPr="00DA75E3">
        <w:rPr>
          <w:rFonts w:ascii="Times New Roman" w:hAnsi="Times New Roman"/>
          <w:color w:val="000000"/>
          <w:sz w:val="24"/>
          <w:szCs w:val="24"/>
        </w:rPr>
        <w:t>Benign prostatic hyperplasia is an important cause of bladder outlet obstruction</w:t>
      </w:r>
      <w:r w:rsidR="00D174AD">
        <w:rPr>
          <w:rFonts w:ascii="Times New Roman" w:hAnsi="Times New Roman"/>
          <w:color w:val="000000"/>
          <w:sz w:val="24"/>
          <w:szCs w:val="24"/>
        </w:rPr>
        <w:t>, resulting in</w:t>
      </w:r>
      <w:r w:rsidR="00855D7A">
        <w:rPr>
          <w:rFonts w:ascii="Times New Roman" w:hAnsi="Times New Roman"/>
          <w:color w:val="000000"/>
          <w:sz w:val="24"/>
          <w:szCs w:val="24"/>
        </w:rPr>
        <w:t xml:space="preserve"> LUTS [4].</w:t>
      </w:r>
      <w:r w:rsidR="00D174AD" w:rsidRPr="00DA75E3">
        <w:rPr>
          <w:rFonts w:ascii="Times New Roman" w:hAnsi="Times New Roman"/>
          <w:color w:val="000000"/>
          <w:sz w:val="24"/>
          <w:szCs w:val="24"/>
          <w:vertAlign w:val="superscript"/>
        </w:rPr>
        <w:t xml:space="preserve"> </w:t>
      </w:r>
      <w:r w:rsidR="00D174AD">
        <w:t xml:space="preserve"> </w:t>
      </w:r>
      <w:r w:rsidR="00D174AD" w:rsidRPr="00DA75E3">
        <w:rPr>
          <w:rFonts w:ascii="Times New Roman" w:hAnsi="Times New Roman"/>
          <w:color w:val="000000"/>
          <w:sz w:val="24"/>
          <w:szCs w:val="24"/>
          <w:shd w:val="clear" w:color="auto" w:fill="FFFFFF"/>
        </w:rPr>
        <w:t>In the aging male population, LUTS are usually attributed to benign prostatic enlargement (BPE)</w:t>
      </w:r>
      <w:r w:rsidR="006B22E1">
        <w:rPr>
          <w:rFonts w:ascii="Times New Roman" w:hAnsi="Times New Roman"/>
          <w:color w:val="000000"/>
          <w:sz w:val="24"/>
          <w:szCs w:val="24"/>
          <w:shd w:val="clear" w:color="auto" w:fill="FFFFFF"/>
        </w:rPr>
        <w:t>;</w:t>
      </w:r>
      <w:r w:rsidR="00D174AD" w:rsidRPr="00DA75E3">
        <w:rPr>
          <w:rFonts w:ascii="Times New Roman" w:hAnsi="Times New Roman"/>
          <w:color w:val="000000"/>
          <w:sz w:val="24"/>
          <w:szCs w:val="24"/>
          <w:shd w:val="clear" w:color="auto" w:fill="FFFFFF"/>
        </w:rPr>
        <w:t xml:space="preserve"> however</w:t>
      </w:r>
      <w:r w:rsidR="00D174AD">
        <w:rPr>
          <w:rFonts w:ascii="Times New Roman" w:hAnsi="Times New Roman"/>
          <w:color w:val="000000"/>
          <w:sz w:val="24"/>
          <w:szCs w:val="24"/>
          <w:shd w:val="clear" w:color="auto" w:fill="FFFFFF"/>
        </w:rPr>
        <w:t>,</w:t>
      </w:r>
      <w:r w:rsidR="00D174AD" w:rsidRPr="00DA75E3">
        <w:rPr>
          <w:rFonts w:ascii="Times New Roman" w:hAnsi="Times New Roman"/>
          <w:color w:val="000000"/>
          <w:sz w:val="24"/>
          <w:szCs w:val="24"/>
          <w:shd w:val="clear" w:color="auto" w:fill="FFFFFF"/>
        </w:rPr>
        <w:t xml:space="preserve"> it is now widely recognized that LUTS can be attributed to urological and neurological conditions</w:t>
      </w:r>
      <w:r w:rsidR="00D174AD">
        <w:rPr>
          <w:rFonts w:ascii="Times New Roman" w:hAnsi="Times New Roman"/>
          <w:color w:val="000000"/>
          <w:sz w:val="24"/>
          <w:szCs w:val="24"/>
          <w:shd w:val="clear" w:color="auto" w:fill="FFFFFF"/>
        </w:rPr>
        <w:t>.</w:t>
      </w:r>
      <w:r w:rsidRPr="00930184">
        <w:rPr>
          <w:rFonts w:cs="Tahoma"/>
          <w:sz w:val="24"/>
          <w:szCs w:val="24"/>
        </w:rPr>
        <w:t xml:space="preserve">      </w:t>
      </w:r>
    </w:p>
    <w:p w14:paraId="10792175" w14:textId="77777777" w:rsidR="005D4EE8" w:rsidRPr="005D4EE8" w:rsidRDefault="00B52CB8" w:rsidP="0089307D">
      <w:pPr>
        <w:pStyle w:val="NoSpacing"/>
        <w:spacing w:line="480" w:lineRule="auto"/>
        <w:jc w:val="both"/>
        <w:rPr>
          <w:rFonts w:cs="Tahoma"/>
          <w:sz w:val="24"/>
          <w:szCs w:val="24"/>
          <w:vertAlign w:val="superscript"/>
        </w:rPr>
      </w:pPr>
      <w:r w:rsidRPr="00930184">
        <w:rPr>
          <w:rFonts w:cs="Tahoma"/>
          <w:sz w:val="24"/>
          <w:szCs w:val="24"/>
        </w:rPr>
        <w:lastRenderedPageBreak/>
        <w:t>The gold-standard for diagnosing BOO, dynamically, i</w:t>
      </w:r>
      <w:r w:rsidR="00855D7A">
        <w:rPr>
          <w:rFonts w:cs="Tahoma"/>
          <w:sz w:val="24"/>
          <w:szCs w:val="24"/>
        </w:rPr>
        <w:t>s the pressure-flow study (PFS) [5,6]</w:t>
      </w:r>
      <w:r w:rsidRPr="00930184">
        <w:rPr>
          <w:rFonts w:cs="Tahoma"/>
          <w:sz w:val="24"/>
          <w:szCs w:val="24"/>
        </w:rPr>
        <w:t xml:space="preserve"> Researchers are investigating alternatives to this technique </w:t>
      </w:r>
      <w:r>
        <w:rPr>
          <w:rFonts w:cs="Tahoma"/>
          <w:sz w:val="24"/>
          <w:szCs w:val="24"/>
        </w:rPr>
        <w:t xml:space="preserve">because of several </w:t>
      </w:r>
      <w:r w:rsidRPr="00930184">
        <w:rPr>
          <w:rFonts w:cs="Tahoma"/>
          <w:sz w:val="24"/>
          <w:szCs w:val="24"/>
        </w:rPr>
        <w:t>dr</w:t>
      </w:r>
      <w:r>
        <w:rPr>
          <w:rFonts w:cs="Tahoma"/>
          <w:sz w:val="24"/>
          <w:szCs w:val="24"/>
        </w:rPr>
        <w:t>awbacks, such as its</w:t>
      </w:r>
      <w:r w:rsidRPr="00930184">
        <w:rPr>
          <w:rFonts w:cs="Tahoma"/>
          <w:sz w:val="24"/>
          <w:szCs w:val="24"/>
        </w:rPr>
        <w:t xml:space="preserve"> invasive</w:t>
      </w:r>
      <w:r>
        <w:rPr>
          <w:rFonts w:cs="Tahoma"/>
          <w:sz w:val="24"/>
          <w:szCs w:val="24"/>
        </w:rPr>
        <w:t>ness,</w:t>
      </w:r>
      <w:r w:rsidRPr="00930184">
        <w:rPr>
          <w:rFonts w:cs="Tahoma"/>
          <w:sz w:val="24"/>
          <w:szCs w:val="24"/>
        </w:rPr>
        <w:t xml:space="preserve"> stressful </w:t>
      </w:r>
      <w:r>
        <w:rPr>
          <w:rFonts w:cs="Tahoma"/>
          <w:sz w:val="24"/>
          <w:szCs w:val="24"/>
        </w:rPr>
        <w:t xml:space="preserve">nature </w:t>
      </w:r>
      <w:r w:rsidRPr="00930184">
        <w:rPr>
          <w:rFonts w:cs="Tahoma"/>
          <w:sz w:val="24"/>
          <w:szCs w:val="24"/>
        </w:rPr>
        <w:t>for most</w:t>
      </w:r>
      <w:r>
        <w:rPr>
          <w:rFonts w:cs="Tahoma"/>
          <w:sz w:val="24"/>
          <w:szCs w:val="24"/>
        </w:rPr>
        <w:t xml:space="preserve"> patients, messiness</w:t>
      </w:r>
      <w:r w:rsidRPr="00930184">
        <w:rPr>
          <w:rFonts w:cs="Tahoma"/>
          <w:sz w:val="24"/>
          <w:szCs w:val="24"/>
        </w:rPr>
        <w:t>, time-consuming</w:t>
      </w:r>
      <w:r>
        <w:rPr>
          <w:rFonts w:cs="Tahoma"/>
          <w:sz w:val="24"/>
          <w:szCs w:val="24"/>
        </w:rPr>
        <w:t xml:space="preserve"> nature,</w:t>
      </w:r>
      <w:r w:rsidRPr="00930184">
        <w:rPr>
          <w:rFonts w:cs="Tahoma"/>
          <w:sz w:val="24"/>
          <w:szCs w:val="24"/>
        </w:rPr>
        <w:t xml:space="preserve"> and</w:t>
      </w:r>
      <w:r>
        <w:rPr>
          <w:rFonts w:cs="Tahoma"/>
          <w:sz w:val="24"/>
          <w:szCs w:val="24"/>
        </w:rPr>
        <w:t xml:space="preserve"> it</w:t>
      </w:r>
      <w:r w:rsidRPr="00930184">
        <w:rPr>
          <w:rFonts w:cs="Tahoma"/>
          <w:sz w:val="24"/>
          <w:szCs w:val="24"/>
        </w:rPr>
        <w:t xml:space="preserve"> requires a trained professional [</w:t>
      </w:r>
      <w:proofErr w:type="spellStart"/>
      <w:r w:rsidRPr="00930184">
        <w:rPr>
          <w:rFonts w:cs="Tahoma"/>
          <w:sz w:val="24"/>
          <w:szCs w:val="24"/>
        </w:rPr>
        <w:t>urodynamist</w:t>
      </w:r>
      <w:proofErr w:type="spellEnd"/>
      <w:r w:rsidRPr="00930184">
        <w:rPr>
          <w:rFonts w:cs="Tahoma"/>
          <w:sz w:val="24"/>
          <w:szCs w:val="24"/>
        </w:rPr>
        <w:t>] to perform and interpret the study meaningfully</w:t>
      </w:r>
      <w:r w:rsidR="00855D7A">
        <w:rPr>
          <w:rFonts w:cs="Tahoma"/>
          <w:sz w:val="24"/>
          <w:szCs w:val="24"/>
        </w:rPr>
        <w:t xml:space="preserve"> [5,6]</w:t>
      </w:r>
      <w:r w:rsidRPr="00930184">
        <w:rPr>
          <w:rFonts w:cs="Tahoma"/>
          <w:sz w:val="24"/>
          <w:szCs w:val="24"/>
        </w:rPr>
        <w:t xml:space="preserve">. </w:t>
      </w:r>
      <w:r w:rsidRPr="005D4EE8">
        <w:rPr>
          <w:rFonts w:cs="Tahoma"/>
          <w:sz w:val="24"/>
          <w:szCs w:val="24"/>
        </w:rPr>
        <w:t xml:space="preserve">The need for a non-invasive diagnosis of BOO has been </w:t>
      </w:r>
      <w:r w:rsidR="006B22E1">
        <w:rPr>
          <w:rFonts w:cs="Tahoma"/>
          <w:sz w:val="24"/>
          <w:szCs w:val="24"/>
        </w:rPr>
        <w:t>ongoing</w:t>
      </w:r>
      <w:r w:rsidRPr="005D4EE8">
        <w:rPr>
          <w:rFonts w:cs="Tahoma"/>
          <w:sz w:val="24"/>
          <w:szCs w:val="24"/>
        </w:rPr>
        <w:t xml:space="preserve"> for many years</w:t>
      </w:r>
      <w:r w:rsidR="006B22E1">
        <w:rPr>
          <w:rFonts w:cs="Tahoma"/>
          <w:sz w:val="24"/>
          <w:szCs w:val="24"/>
        </w:rPr>
        <w:t>,</w:t>
      </w:r>
      <w:r w:rsidRPr="005D4EE8">
        <w:rPr>
          <w:rFonts w:cs="Tahoma"/>
          <w:sz w:val="24"/>
          <w:szCs w:val="24"/>
        </w:rPr>
        <w:t xml:space="preserve"> and ultrasound has emerged as a safe, repeatable, </w:t>
      </w:r>
      <w:r w:rsidR="006B22E1">
        <w:rPr>
          <w:rFonts w:cs="Tahoma"/>
          <w:sz w:val="24"/>
          <w:szCs w:val="24"/>
        </w:rPr>
        <w:t>non-invasive</w:t>
      </w:r>
      <w:r w:rsidRPr="005D4EE8">
        <w:rPr>
          <w:rFonts w:cs="Tahoma"/>
          <w:sz w:val="24"/>
          <w:szCs w:val="24"/>
        </w:rPr>
        <w:t>, and easiest option in measuring bladder wall thickness</w:t>
      </w:r>
      <w:r w:rsidR="00855D7A">
        <w:rPr>
          <w:rFonts w:cs="Tahoma"/>
          <w:sz w:val="24"/>
          <w:szCs w:val="24"/>
        </w:rPr>
        <w:t xml:space="preserve"> [3, 5, 6]</w:t>
      </w:r>
      <w:r w:rsidRPr="005D4EE8">
        <w:rPr>
          <w:rFonts w:cs="Tahoma"/>
          <w:sz w:val="24"/>
          <w:szCs w:val="24"/>
        </w:rPr>
        <w:t>.</w:t>
      </w:r>
      <w:r w:rsidR="00754BD8">
        <w:rPr>
          <w:rFonts w:cs="Tahoma"/>
          <w:sz w:val="24"/>
          <w:szCs w:val="24"/>
          <w:vertAlign w:val="superscript"/>
        </w:rPr>
        <w:t xml:space="preserve"> </w:t>
      </w:r>
      <w:r w:rsidR="00D174AD" w:rsidRPr="00A24764">
        <w:rPr>
          <w:rFonts w:ascii="Times New Roman" w:hAnsi="Times New Roman"/>
          <w:color w:val="000000"/>
          <w:sz w:val="24"/>
          <w:szCs w:val="24"/>
          <w14:ligatures w14:val="standardContextual"/>
        </w:rPr>
        <w:t>Ultrasonograp</w:t>
      </w:r>
      <w:r w:rsidR="00D174AD">
        <w:rPr>
          <w:rFonts w:ascii="Times New Roman" w:hAnsi="Times New Roman"/>
          <w:color w:val="000000"/>
          <w:sz w:val="24"/>
          <w:szCs w:val="24"/>
          <w14:ligatures w14:val="standardContextual"/>
        </w:rPr>
        <w:t xml:space="preserve">hic assessment has proved useful and </w:t>
      </w:r>
      <w:r w:rsidR="00D174AD" w:rsidRPr="00A24764">
        <w:rPr>
          <w:rFonts w:ascii="Times New Roman" w:hAnsi="Times New Roman"/>
          <w:color w:val="000000"/>
          <w:sz w:val="24"/>
          <w:szCs w:val="24"/>
          <w14:ligatures w14:val="standardContextual"/>
        </w:rPr>
        <w:t>provides reliable and</w:t>
      </w:r>
      <w:r w:rsidR="00D174AD">
        <w:rPr>
          <w:rFonts w:ascii="Times New Roman" w:hAnsi="Times New Roman"/>
          <w:color w:val="000000"/>
          <w:sz w:val="24"/>
          <w:szCs w:val="24"/>
          <w14:ligatures w14:val="standardContextual"/>
        </w:rPr>
        <w:t xml:space="preserve"> quick information</w:t>
      </w:r>
      <w:r w:rsidR="00855D7A">
        <w:rPr>
          <w:rFonts w:ascii="Times New Roman" w:hAnsi="Times New Roman"/>
          <w:color w:val="000000"/>
          <w:sz w:val="24"/>
          <w:szCs w:val="24"/>
          <w14:ligatures w14:val="standardContextual"/>
        </w:rPr>
        <w:t xml:space="preserve"> [7]</w:t>
      </w:r>
      <w:r w:rsidR="00754BD8">
        <w:rPr>
          <w:rFonts w:ascii="Times New Roman" w:hAnsi="Times New Roman"/>
          <w:color w:val="000000"/>
          <w:sz w:val="24"/>
          <w:szCs w:val="24"/>
          <w14:ligatures w14:val="standardContextual"/>
        </w:rPr>
        <w:t>. It</w:t>
      </w:r>
      <w:r w:rsidR="00D174AD" w:rsidRPr="00A24764">
        <w:rPr>
          <w:rFonts w:ascii="Times New Roman" w:hAnsi="Times New Roman"/>
          <w:color w:val="000000"/>
          <w:sz w:val="24"/>
          <w:szCs w:val="24"/>
          <w14:ligatures w14:val="standardContextual"/>
        </w:rPr>
        <w:t xml:space="preserve"> also provides data on other significant features</w:t>
      </w:r>
      <w:r w:rsidR="006B22E1">
        <w:rPr>
          <w:rFonts w:ascii="Times New Roman" w:hAnsi="Times New Roman"/>
          <w:color w:val="000000"/>
          <w:sz w:val="24"/>
          <w:szCs w:val="24"/>
          <w14:ligatures w14:val="standardContextual"/>
        </w:rPr>
        <w:t>, such as intravesical protrusion, Doppler studies, complications like hydronephrosis, urinary tract infections, calculi, and other comorbidities</w:t>
      </w:r>
      <w:r w:rsidR="00D174AD">
        <w:rPr>
          <w:rFonts w:ascii="Times New Roman" w:hAnsi="Times New Roman"/>
          <w:color w:val="000000"/>
          <w:sz w:val="24"/>
          <w:szCs w:val="24"/>
          <w14:ligatures w14:val="standardContextual"/>
        </w:rPr>
        <w:t xml:space="preserve">. </w:t>
      </w:r>
      <w:r w:rsidRPr="005D4EE8">
        <w:rPr>
          <w:rFonts w:cs="Tahoma"/>
          <w:sz w:val="24"/>
          <w:szCs w:val="24"/>
        </w:rPr>
        <w:t xml:space="preserve">It is imperative that BOO is appropriately investigated and </w:t>
      </w:r>
      <w:r>
        <w:rPr>
          <w:rFonts w:cs="Tahoma"/>
          <w:sz w:val="24"/>
          <w:szCs w:val="24"/>
        </w:rPr>
        <w:t xml:space="preserve">an early </w:t>
      </w:r>
      <w:r w:rsidRPr="005D4EE8">
        <w:rPr>
          <w:rFonts w:cs="Tahoma"/>
          <w:sz w:val="24"/>
          <w:szCs w:val="24"/>
        </w:rPr>
        <w:t>diagnosis made to enable prompt and appropriate management of the disease by the urolog</w:t>
      </w:r>
      <w:r w:rsidR="006B22E1">
        <w:rPr>
          <w:rFonts w:cs="Tahoma"/>
          <w:sz w:val="24"/>
          <w:szCs w:val="24"/>
        </w:rPr>
        <w:t>ist. An ideal assessment tool for</w:t>
      </w:r>
      <w:r w:rsidRPr="005D4EE8">
        <w:rPr>
          <w:rFonts w:cs="Tahoma"/>
          <w:sz w:val="24"/>
          <w:szCs w:val="24"/>
        </w:rPr>
        <w:t xml:space="preserve"> BOO must be non-invasive, quick, inexpensive</w:t>
      </w:r>
      <w:r w:rsidR="006B22E1">
        <w:rPr>
          <w:rFonts w:cs="Tahoma"/>
          <w:sz w:val="24"/>
          <w:szCs w:val="24"/>
        </w:rPr>
        <w:t xml:space="preserve">, </w:t>
      </w:r>
      <w:r w:rsidRPr="005D4EE8">
        <w:rPr>
          <w:rFonts w:cs="Tahoma"/>
          <w:sz w:val="24"/>
          <w:szCs w:val="24"/>
        </w:rPr>
        <w:t>reproducible</w:t>
      </w:r>
      <w:r w:rsidR="006B22E1">
        <w:rPr>
          <w:rFonts w:cs="Tahoma"/>
          <w:sz w:val="24"/>
          <w:szCs w:val="24"/>
        </w:rPr>
        <w:t xml:space="preserve">, and have </w:t>
      </w:r>
      <w:r w:rsidRPr="005D4EE8">
        <w:rPr>
          <w:rFonts w:cs="Tahoma"/>
          <w:sz w:val="24"/>
          <w:szCs w:val="24"/>
        </w:rPr>
        <w:t>high diagnostic accuracy</w:t>
      </w:r>
      <w:r w:rsidR="00855D7A">
        <w:rPr>
          <w:rFonts w:cs="Tahoma"/>
          <w:sz w:val="24"/>
          <w:szCs w:val="24"/>
        </w:rPr>
        <w:t xml:space="preserve"> [5,</w:t>
      </w:r>
      <w:r w:rsidR="00754BD8">
        <w:rPr>
          <w:rFonts w:cs="Tahoma"/>
          <w:sz w:val="24"/>
          <w:szCs w:val="24"/>
        </w:rPr>
        <w:t xml:space="preserve"> </w:t>
      </w:r>
      <w:r w:rsidR="00855D7A">
        <w:rPr>
          <w:rFonts w:cs="Tahoma"/>
          <w:sz w:val="24"/>
          <w:szCs w:val="24"/>
        </w:rPr>
        <w:t>6, 8, 9]</w:t>
      </w:r>
      <w:r w:rsidRPr="005D4EE8">
        <w:rPr>
          <w:rFonts w:cs="Tahoma"/>
          <w:sz w:val="24"/>
          <w:szCs w:val="24"/>
        </w:rPr>
        <w:t>.</w:t>
      </w:r>
      <w:r w:rsidR="00754BD8">
        <w:rPr>
          <w:rFonts w:cs="Tahoma"/>
          <w:sz w:val="24"/>
          <w:szCs w:val="24"/>
          <w:vertAlign w:val="superscript"/>
        </w:rPr>
        <w:t xml:space="preserve"> </w:t>
      </w:r>
      <w:r>
        <w:rPr>
          <w:rFonts w:cs="Tahoma"/>
          <w:sz w:val="24"/>
          <w:szCs w:val="24"/>
          <w:vertAlign w:val="superscript"/>
        </w:rPr>
        <w:t xml:space="preserve"> </w:t>
      </w:r>
      <w:r w:rsidRPr="005D4EE8">
        <w:rPr>
          <w:rFonts w:cs="Tahoma"/>
          <w:sz w:val="24"/>
          <w:szCs w:val="24"/>
        </w:rPr>
        <w:t>The study aimed to determine the relationship between bladder wall thickness, prostate volume</w:t>
      </w:r>
      <w:r w:rsidR="00044E43">
        <w:rPr>
          <w:rFonts w:cs="Tahoma"/>
          <w:sz w:val="24"/>
          <w:szCs w:val="24"/>
        </w:rPr>
        <w:t>, and post-void urine volume with</w:t>
      </w:r>
      <w:r w:rsidRPr="005D4EE8">
        <w:rPr>
          <w:rFonts w:cs="Tahoma"/>
          <w:sz w:val="24"/>
          <w:szCs w:val="24"/>
        </w:rPr>
        <w:t xml:space="preserve"> IPSS.</w:t>
      </w:r>
    </w:p>
    <w:p w14:paraId="12053C94" w14:textId="77777777" w:rsidR="00626E50" w:rsidRPr="002A04EF" w:rsidRDefault="00B52CB8" w:rsidP="0089307D">
      <w:pPr>
        <w:pStyle w:val="NoSpacing"/>
        <w:spacing w:line="480" w:lineRule="auto"/>
        <w:jc w:val="both"/>
        <w:rPr>
          <w:b/>
          <w:sz w:val="24"/>
          <w:szCs w:val="24"/>
        </w:rPr>
      </w:pPr>
      <w:r w:rsidRPr="002A04EF">
        <w:rPr>
          <w:b/>
          <w:sz w:val="24"/>
          <w:szCs w:val="24"/>
        </w:rPr>
        <w:t>M</w:t>
      </w:r>
      <w:r w:rsidR="005D4EE8" w:rsidRPr="002A04EF">
        <w:rPr>
          <w:b/>
          <w:sz w:val="24"/>
          <w:szCs w:val="24"/>
        </w:rPr>
        <w:t>ETHODS AND MATERIALS</w:t>
      </w:r>
    </w:p>
    <w:p w14:paraId="6DF1C0A5" w14:textId="77777777" w:rsidR="002A04EF" w:rsidRPr="0089307D" w:rsidRDefault="00B52CB8" w:rsidP="0089307D">
      <w:pPr>
        <w:pStyle w:val="NoSpacing"/>
        <w:spacing w:line="480" w:lineRule="auto"/>
        <w:jc w:val="both"/>
        <w:rPr>
          <w:sz w:val="24"/>
          <w:szCs w:val="24"/>
        </w:rPr>
      </w:pPr>
      <w:r w:rsidRPr="0089307D">
        <w:rPr>
          <w:sz w:val="24"/>
          <w:szCs w:val="24"/>
        </w:rPr>
        <w:t>STUDY DESIGN</w:t>
      </w:r>
    </w:p>
    <w:p w14:paraId="6E7873B3" w14:textId="77777777" w:rsidR="002A04EF" w:rsidRDefault="00C83EBA" w:rsidP="0089307D">
      <w:pPr>
        <w:tabs>
          <w:tab w:val="left" w:pos="3510"/>
        </w:tabs>
        <w:spacing w:line="480" w:lineRule="auto"/>
        <w:jc w:val="both"/>
        <w:rPr>
          <w:sz w:val="24"/>
          <w:szCs w:val="24"/>
        </w:rPr>
      </w:pPr>
      <w:r>
        <w:rPr>
          <w:sz w:val="24"/>
          <w:szCs w:val="24"/>
        </w:rPr>
        <w:t>A</w:t>
      </w:r>
      <w:r w:rsidR="00B52CB8" w:rsidRPr="002A04EF">
        <w:rPr>
          <w:sz w:val="24"/>
          <w:szCs w:val="24"/>
        </w:rPr>
        <w:t xml:space="preserve"> prospective, descriptive</w:t>
      </w:r>
      <w:r w:rsidR="00754BD8">
        <w:rPr>
          <w:sz w:val="24"/>
          <w:szCs w:val="24"/>
        </w:rPr>
        <w:t>,</w:t>
      </w:r>
      <w:r w:rsidR="00B52CB8" w:rsidRPr="002A04EF">
        <w:rPr>
          <w:sz w:val="24"/>
          <w:szCs w:val="24"/>
        </w:rPr>
        <w:t xml:space="preserve"> and comparative ult</w:t>
      </w:r>
      <w:r w:rsidR="00D174AD">
        <w:rPr>
          <w:sz w:val="24"/>
          <w:szCs w:val="24"/>
        </w:rPr>
        <w:t xml:space="preserve">rasonographic evaluation of </w:t>
      </w:r>
      <w:r w:rsidR="00BB5115">
        <w:rPr>
          <w:sz w:val="24"/>
          <w:szCs w:val="24"/>
        </w:rPr>
        <w:t>the urinary bladder of adult male</w:t>
      </w:r>
      <w:r w:rsidR="00B52CB8" w:rsidRPr="002A04EF">
        <w:rPr>
          <w:sz w:val="24"/>
          <w:szCs w:val="24"/>
        </w:rPr>
        <w:t xml:space="preserve"> patients with bladder outlet obstructi</w:t>
      </w:r>
      <w:r w:rsidR="00D174AD">
        <w:rPr>
          <w:sz w:val="24"/>
          <w:szCs w:val="24"/>
        </w:rPr>
        <w:t>on (BOO)</w:t>
      </w:r>
      <w:r w:rsidR="00BB5115">
        <w:rPr>
          <w:sz w:val="24"/>
          <w:szCs w:val="24"/>
        </w:rPr>
        <w:t xml:space="preserve"> </w:t>
      </w:r>
      <w:r>
        <w:rPr>
          <w:sz w:val="24"/>
          <w:szCs w:val="24"/>
        </w:rPr>
        <w:t xml:space="preserve">was </w:t>
      </w:r>
      <w:r w:rsidR="00D174AD">
        <w:rPr>
          <w:sz w:val="24"/>
          <w:szCs w:val="24"/>
        </w:rPr>
        <w:t>done at the R</w:t>
      </w:r>
      <w:r w:rsidR="00B52CB8" w:rsidRPr="002A04EF">
        <w:rPr>
          <w:sz w:val="24"/>
          <w:szCs w:val="24"/>
        </w:rPr>
        <w:t xml:space="preserve">adiology department of </w:t>
      </w:r>
      <w:r w:rsidR="00754BD8">
        <w:rPr>
          <w:sz w:val="24"/>
          <w:szCs w:val="24"/>
        </w:rPr>
        <w:t xml:space="preserve">the </w:t>
      </w:r>
      <w:r w:rsidR="00B52CB8" w:rsidRPr="002A04EF">
        <w:rPr>
          <w:sz w:val="24"/>
          <w:szCs w:val="24"/>
        </w:rPr>
        <w:t>University of Nigeria T</w:t>
      </w:r>
      <w:r w:rsidR="00B52CB8">
        <w:rPr>
          <w:sz w:val="24"/>
          <w:szCs w:val="24"/>
        </w:rPr>
        <w:t xml:space="preserve">eaching Hospital, </w:t>
      </w:r>
      <w:proofErr w:type="spellStart"/>
      <w:r w:rsidR="00B52CB8">
        <w:rPr>
          <w:sz w:val="24"/>
          <w:szCs w:val="24"/>
        </w:rPr>
        <w:t>Ituku-Ozalla</w:t>
      </w:r>
      <w:proofErr w:type="spellEnd"/>
      <w:r w:rsidR="00B52CB8">
        <w:rPr>
          <w:sz w:val="24"/>
          <w:szCs w:val="24"/>
        </w:rPr>
        <w:t xml:space="preserve">, </w:t>
      </w:r>
      <w:r w:rsidR="00B52CB8" w:rsidRPr="002A04EF">
        <w:rPr>
          <w:sz w:val="24"/>
          <w:szCs w:val="24"/>
        </w:rPr>
        <w:t>Enugu</w:t>
      </w:r>
      <w:r w:rsidR="004D5BD4">
        <w:rPr>
          <w:sz w:val="24"/>
          <w:szCs w:val="24"/>
        </w:rPr>
        <w:t>,</w:t>
      </w:r>
      <w:r w:rsidR="00B52CB8" w:rsidRPr="002A04EF">
        <w:rPr>
          <w:sz w:val="24"/>
          <w:szCs w:val="24"/>
        </w:rPr>
        <w:t xml:space="preserve"> </w:t>
      </w:r>
      <w:r>
        <w:rPr>
          <w:sz w:val="24"/>
          <w:szCs w:val="24"/>
        </w:rPr>
        <w:t xml:space="preserve">over </w:t>
      </w:r>
      <w:r w:rsidR="00B52CB8" w:rsidRPr="002A04EF">
        <w:rPr>
          <w:sz w:val="24"/>
          <w:szCs w:val="24"/>
        </w:rPr>
        <w:t>9</w:t>
      </w:r>
      <w:r w:rsidR="00D174AD">
        <w:rPr>
          <w:sz w:val="24"/>
          <w:szCs w:val="24"/>
        </w:rPr>
        <w:t xml:space="preserve"> </w:t>
      </w:r>
      <w:r w:rsidR="00B52CB8" w:rsidRPr="002A04EF">
        <w:rPr>
          <w:sz w:val="24"/>
          <w:szCs w:val="24"/>
        </w:rPr>
        <w:t>months. Ethical clearance was obta</w:t>
      </w:r>
      <w:r>
        <w:rPr>
          <w:sz w:val="24"/>
          <w:szCs w:val="24"/>
        </w:rPr>
        <w:t xml:space="preserve">ined from </w:t>
      </w:r>
      <w:r w:rsidR="004D5BD4">
        <w:rPr>
          <w:sz w:val="24"/>
          <w:szCs w:val="24"/>
        </w:rPr>
        <w:t xml:space="preserve">the above institution </w:t>
      </w:r>
      <w:r w:rsidR="00B52CB8" w:rsidRPr="002A04EF">
        <w:rPr>
          <w:sz w:val="24"/>
          <w:szCs w:val="24"/>
        </w:rPr>
        <w:t>with reference number UNTH/C</w:t>
      </w:r>
      <w:r w:rsidR="00B52CB8">
        <w:rPr>
          <w:sz w:val="24"/>
          <w:szCs w:val="24"/>
        </w:rPr>
        <w:t>SA</w:t>
      </w:r>
      <w:r w:rsidR="00B52CB8" w:rsidRPr="002A04EF">
        <w:rPr>
          <w:sz w:val="24"/>
          <w:szCs w:val="24"/>
        </w:rPr>
        <w:t>.</w:t>
      </w:r>
      <w:r w:rsidR="00B52CB8">
        <w:rPr>
          <w:sz w:val="24"/>
          <w:szCs w:val="24"/>
        </w:rPr>
        <w:t>329/VOL.5.</w:t>
      </w:r>
    </w:p>
    <w:p w14:paraId="1DFB7A50" w14:textId="77777777" w:rsidR="00C83EBA" w:rsidRDefault="00C83EBA" w:rsidP="0089307D">
      <w:pPr>
        <w:tabs>
          <w:tab w:val="left" w:pos="3510"/>
        </w:tabs>
        <w:spacing w:line="480" w:lineRule="auto"/>
        <w:jc w:val="both"/>
        <w:rPr>
          <w:sz w:val="24"/>
          <w:szCs w:val="24"/>
        </w:rPr>
      </w:pPr>
    </w:p>
    <w:p w14:paraId="53901246" w14:textId="77777777" w:rsidR="00C83EBA" w:rsidRDefault="00C83EBA" w:rsidP="0089307D">
      <w:pPr>
        <w:tabs>
          <w:tab w:val="left" w:pos="3510"/>
        </w:tabs>
        <w:spacing w:line="480" w:lineRule="auto"/>
        <w:jc w:val="both"/>
        <w:rPr>
          <w:sz w:val="24"/>
          <w:szCs w:val="24"/>
        </w:rPr>
      </w:pPr>
    </w:p>
    <w:p w14:paraId="5919DEA5" w14:textId="77777777" w:rsidR="002A04EF" w:rsidRPr="0089307D" w:rsidRDefault="00B52CB8" w:rsidP="0089307D">
      <w:pPr>
        <w:tabs>
          <w:tab w:val="left" w:pos="3510"/>
        </w:tabs>
        <w:spacing w:line="480" w:lineRule="auto"/>
        <w:jc w:val="both"/>
        <w:rPr>
          <w:sz w:val="24"/>
          <w:szCs w:val="24"/>
        </w:rPr>
      </w:pPr>
      <w:r w:rsidRPr="0089307D">
        <w:rPr>
          <w:sz w:val="24"/>
          <w:szCs w:val="24"/>
        </w:rPr>
        <w:t xml:space="preserve">STUDY POPULATION </w:t>
      </w:r>
    </w:p>
    <w:p w14:paraId="507F4A44" w14:textId="77777777" w:rsidR="002A04EF" w:rsidRPr="002A04EF" w:rsidRDefault="00B52CB8" w:rsidP="0089307D">
      <w:pPr>
        <w:pStyle w:val="NoSpacing"/>
        <w:spacing w:line="480" w:lineRule="auto"/>
        <w:jc w:val="both"/>
        <w:rPr>
          <w:rFonts w:cs="Tahoma"/>
          <w:sz w:val="24"/>
          <w:szCs w:val="24"/>
        </w:rPr>
      </w:pPr>
      <w:r w:rsidRPr="002A04EF">
        <w:rPr>
          <w:sz w:val="24"/>
          <w:szCs w:val="24"/>
        </w:rPr>
        <w:t xml:space="preserve">The study population </w:t>
      </w:r>
      <w:r w:rsidR="006B22E1">
        <w:rPr>
          <w:sz w:val="24"/>
          <w:szCs w:val="24"/>
        </w:rPr>
        <w:t>was males aged</w:t>
      </w:r>
      <w:r w:rsidRPr="002A04EF">
        <w:rPr>
          <w:sz w:val="24"/>
          <w:szCs w:val="24"/>
        </w:rPr>
        <w:t xml:space="preserve"> 40</w:t>
      </w:r>
      <w:r w:rsidR="006B22E1">
        <w:rPr>
          <w:sz w:val="24"/>
          <w:szCs w:val="24"/>
        </w:rPr>
        <w:t xml:space="preserve"> </w:t>
      </w:r>
      <w:r w:rsidRPr="002A04EF">
        <w:rPr>
          <w:sz w:val="24"/>
          <w:szCs w:val="24"/>
        </w:rPr>
        <w:t>y</w:t>
      </w:r>
      <w:r w:rsidR="006B22E1">
        <w:rPr>
          <w:sz w:val="24"/>
          <w:szCs w:val="24"/>
        </w:rPr>
        <w:t>ea</w:t>
      </w:r>
      <w:r w:rsidRPr="002A04EF">
        <w:rPr>
          <w:sz w:val="24"/>
          <w:szCs w:val="24"/>
        </w:rPr>
        <w:t xml:space="preserve">rs and above with symptoms of BOO as determined by </w:t>
      </w:r>
      <w:r w:rsidR="004D5BD4">
        <w:rPr>
          <w:sz w:val="24"/>
          <w:szCs w:val="24"/>
        </w:rPr>
        <w:t xml:space="preserve">the </w:t>
      </w:r>
      <w:r w:rsidR="00D174AD">
        <w:rPr>
          <w:sz w:val="24"/>
          <w:szCs w:val="24"/>
        </w:rPr>
        <w:t>International Prostate Symptom Score [</w:t>
      </w:r>
      <w:r w:rsidRPr="002A04EF">
        <w:rPr>
          <w:sz w:val="24"/>
          <w:szCs w:val="24"/>
        </w:rPr>
        <w:t>IPSS</w:t>
      </w:r>
      <w:r w:rsidR="00D174AD">
        <w:rPr>
          <w:sz w:val="24"/>
          <w:szCs w:val="24"/>
        </w:rPr>
        <w:t>]</w:t>
      </w:r>
      <w:r w:rsidRPr="002A04EF">
        <w:rPr>
          <w:sz w:val="24"/>
          <w:szCs w:val="24"/>
        </w:rPr>
        <w:t xml:space="preserve"> for the BOO group.  The control group </w:t>
      </w:r>
      <w:r w:rsidR="006B22E1">
        <w:rPr>
          <w:sz w:val="24"/>
          <w:szCs w:val="24"/>
        </w:rPr>
        <w:t xml:space="preserve">consisted of adult males aged 40 years and above who came </w:t>
      </w:r>
      <w:r w:rsidRPr="002A04EF">
        <w:rPr>
          <w:sz w:val="24"/>
          <w:szCs w:val="24"/>
        </w:rPr>
        <w:t>to the Radiology D</w:t>
      </w:r>
      <w:r>
        <w:rPr>
          <w:sz w:val="24"/>
          <w:szCs w:val="24"/>
        </w:rPr>
        <w:t>epartment for other reasons</w:t>
      </w:r>
      <w:r w:rsidRPr="002A04EF">
        <w:rPr>
          <w:sz w:val="24"/>
          <w:szCs w:val="24"/>
        </w:rPr>
        <w:t xml:space="preserve"> other than BOO</w:t>
      </w:r>
      <w:r w:rsidR="006B22E1">
        <w:rPr>
          <w:sz w:val="24"/>
          <w:szCs w:val="24"/>
        </w:rPr>
        <w:t xml:space="preserve"> and</w:t>
      </w:r>
      <w:r>
        <w:rPr>
          <w:sz w:val="24"/>
          <w:szCs w:val="24"/>
        </w:rPr>
        <w:t xml:space="preserve"> had no </w:t>
      </w:r>
      <w:r w:rsidRPr="002A04EF">
        <w:rPr>
          <w:sz w:val="24"/>
          <w:szCs w:val="24"/>
        </w:rPr>
        <w:t>symptoms</w:t>
      </w:r>
      <w:r>
        <w:rPr>
          <w:sz w:val="24"/>
          <w:szCs w:val="24"/>
        </w:rPr>
        <w:t xml:space="preserve"> of BOO</w:t>
      </w:r>
      <w:r w:rsidR="00D174AD">
        <w:rPr>
          <w:sz w:val="24"/>
          <w:szCs w:val="24"/>
        </w:rPr>
        <w:t>.</w:t>
      </w:r>
      <w:r w:rsidRPr="002A04EF">
        <w:rPr>
          <w:rFonts w:cs="Tahoma"/>
          <w:sz w:val="28"/>
          <w:szCs w:val="28"/>
        </w:rPr>
        <w:t xml:space="preserve"> </w:t>
      </w:r>
      <w:r w:rsidRPr="002A04EF">
        <w:rPr>
          <w:rFonts w:cs="Tahoma"/>
          <w:sz w:val="24"/>
          <w:szCs w:val="24"/>
        </w:rPr>
        <w:t xml:space="preserve">The inclusion criteria </w:t>
      </w:r>
      <w:r w:rsidR="00C653EF">
        <w:rPr>
          <w:rFonts w:cs="Tahoma"/>
          <w:sz w:val="24"/>
          <w:szCs w:val="24"/>
        </w:rPr>
        <w:t xml:space="preserve">for the BOO group </w:t>
      </w:r>
      <w:r w:rsidR="006B22E1">
        <w:rPr>
          <w:rFonts w:cs="Tahoma"/>
          <w:sz w:val="24"/>
          <w:szCs w:val="24"/>
        </w:rPr>
        <w:t>were adult male Nigerians aged</w:t>
      </w:r>
      <w:r w:rsidRPr="002A04EF">
        <w:rPr>
          <w:rFonts w:cs="Tahoma"/>
          <w:sz w:val="24"/>
          <w:szCs w:val="24"/>
        </w:rPr>
        <w:t xml:space="preserve"> 40 years and above, with clinical symptoms of BOO/LUTS</w:t>
      </w:r>
      <w:r w:rsidR="00044E43">
        <w:rPr>
          <w:rFonts w:cs="Tahoma"/>
          <w:sz w:val="24"/>
          <w:szCs w:val="24"/>
        </w:rPr>
        <w:t xml:space="preserve"> who were evaluated using </w:t>
      </w:r>
      <w:r w:rsidR="006B22E1">
        <w:rPr>
          <w:rFonts w:cs="Tahoma"/>
          <w:sz w:val="24"/>
          <w:szCs w:val="24"/>
        </w:rPr>
        <w:t xml:space="preserve">the </w:t>
      </w:r>
      <w:r w:rsidR="00044E43">
        <w:rPr>
          <w:rFonts w:cs="Tahoma"/>
          <w:sz w:val="24"/>
          <w:szCs w:val="24"/>
        </w:rPr>
        <w:t>I</w:t>
      </w:r>
      <w:r>
        <w:rPr>
          <w:rFonts w:cs="Tahoma"/>
          <w:sz w:val="24"/>
          <w:szCs w:val="24"/>
        </w:rPr>
        <w:t xml:space="preserve">nternational Prostate Symptom Score (IPSS) </w:t>
      </w:r>
      <w:r w:rsidR="00C653EF">
        <w:rPr>
          <w:rFonts w:cs="Tahoma"/>
          <w:sz w:val="24"/>
          <w:szCs w:val="24"/>
        </w:rPr>
        <w:t xml:space="preserve">questionnaire </w:t>
      </w:r>
      <w:r>
        <w:rPr>
          <w:rFonts w:cs="Tahoma"/>
          <w:sz w:val="24"/>
          <w:szCs w:val="24"/>
        </w:rPr>
        <w:t>and by examination.</w:t>
      </w:r>
      <w:r w:rsidR="00C653EF">
        <w:rPr>
          <w:rFonts w:cs="Tahoma"/>
          <w:sz w:val="24"/>
          <w:szCs w:val="24"/>
        </w:rPr>
        <w:t xml:space="preserve"> The exclusion criteria were non-Nigerian subjects less than 40 years, subjects undergoing bouginage therapy, recent genital instrumentation, recent pelvic fractures, acute urinary retention, on continuous bladder drainage, prior pelvic surgery, neuro-vesical dysfunction, and confirmed prostate cancer subjects.</w:t>
      </w:r>
    </w:p>
    <w:p w14:paraId="3E50E2E0" w14:textId="77777777" w:rsidR="002A04EF" w:rsidRDefault="00B52CB8" w:rsidP="0089307D">
      <w:pPr>
        <w:pStyle w:val="NoSpacing"/>
        <w:spacing w:line="480" w:lineRule="auto"/>
        <w:jc w:val="both"/>
        <w:rPr>
          <w:sz w:val="24"/>
          <w:szCs w:val="24"/>
        </w:rPr>
      </w:pPr>
      <w:r w:rsidRPr="00C653EF">
        <w:rPr>
          <w:sz w:val="24"/>
          <w:szCs w:val="24"/>
        </w:rPr>
        <w:t xml:space="preserve">The inclusion criteria for the non-BOO </w:t>
      </w:r>
      <w:r>
        <w:rPr>
          <w:sz w:val="24"/>
          <w:szCs w:val="24"/>
        </w:rPr>
        <w:t xml:space="preserve">group were </w:t>
      </w:r>
      <w:r w:rsidR="00D174AD">
        <w:rPr>
          <w:sz w:val="24"/>
          <w:szCs w:val="24"/>
        </w:rPr>
        <w:t xml:space="preserve">age-matched subjects without </w:t>
      </w:r>
      <w:r>
        <w:rPr>
          <w:sz w:val="24"/>
          <w:szCs w:val="24"/>
        </w:rPr>
        <w:t>BOO.</w:t>
      </w:r>
    </w:p>
    <w:p w14:paraId="401C92DA" w14:textId="77777777" w:rsidR="00721964" w:rsidRPr="0089307D" w:rsidRDefault="00B52CB8" w:rsidP="0089307D">
      <w:pPr>
        <w:pStyle w:val="NoSpacing"/>
        <w:spacing w:line="480" w:lineRule="auto"/>
        <w:jc w:val="both"/>
        <w:rPr>
          <w:sz w:val="24"/>
          <w:szCs w:val="24"/>
        </w:rPr>
      </w:pPr>
      <w:r w:rsidRPr="0089307D">
        <w:rPr>
          <w:sz w:val="24"/>
          <w:szCs w:val="24"/>
        </w:rPr>
        <w:t xml:space="preserve">SAMPLE SIZE </w:t>
      </w:r>
    </w:p>
    <w:p w14:paraId="233A891E" w14:textId="77777777" w:rsidR="00721964" w:rsidRPr="00721964" w:rsidRDefault="00B52CB8" w:rsidP="0089307D">
      <w:pPr>
        <w:spacing w:line="480" w:lineRule="auto"/>
        <w:rPr>
          <w:rFonts w:ascii="Times New Roman" w:eastAsia="Calibri" w:hAnsi="Times New Roman" w:cs="Times New Roman"/>
          <w:color w:val="000000"/>
          <w:sz w:val="24"/>
          <w:szCs w:val="24"/>
          <w:shd w:val="clear" w:color="auto" w:fill="FFFFFF"/>
        </w:rPr>
      </w:pPr>
      <w:r w:rsidRPr="00721964">
        <w:rPr>
          <w:rFonts w:ascii="Times New Roman" w:eastAsia="Calibri" w:hAnsi="Times New Roman" w:cs="Times New Roman"/>
          <w:color w:val="000000"/>
          <w:sz w:val="24"/>
          <w:szCs w:val="24"/>
          <w:shd w:val="clear" w:color="auto" w:fill="FFFFFF"/>
        </w:rPr>
        <w:t>The sampl</w:t>
      </w:r>
      <w:r w:rsidR="00C83EBA">
        <w:rPr>
          <w:rFonts w:ascii="Times New Roman" w:eastAsia="Calibri" w:hAnsi="Times New Roman" w:cs="Times New Roman"/>
          <w:color w:val="000000"/>
          <w:sz w:val="24"/>
          <w:szCs w:val="24"/>
          <w:shd w:val="clear" w:color="auto" w:fill="FFFFFF"/>
        </w:rPr>
        <w:t>e size was calculated using the</w:t>
      </w:r>
      <w:r w:rsidRPr="00721964">
        <w:rPr>
          <w:rFonts w:ascii="Times New Roman" w:eastAsia="Calibri" w:hAnsi="Times New Roman" w:cs="Times New Roman"/>
          <w:color w:val="000000"/>
          <w:sz w:val="24"/>
          <w:szCs w:val="24"/>
          <w:shd w:val="clear" w:color="auto" w:fill="FFFFFF"/>
        </w:rPr>
        <w:t xml:space="preserve"> formula</w:t>
      </w:r>
      <w:r w:rsidR="009D0BAF">
        <w:rPr>
          <w:rFonts w:ascii="Times New Roman" w:eastAsia="Calibri" w:hAnsi="Times New Roman" w:cs="Times New Roman"/>
          <w:color w:val="000000"/>
          <w:sz w:val="24"/>
          <w:szCs w:val="24"/>
          <w:shd w:val="clear" w:color="auto" w:fill="FFFFFF"/>
        </w:rPr>
        <w:t xml:space="preserve"> [10]</w:t>
      </w:r>
      <w:r w:rsidR="00754BD8">
        <w:rPr>
          <w:rFonts w:ascii="Times New Roman" w:eastAsia="Calibri" w:hAnsi="Times New Roman" w:cs="Times New Roman"/>
          <w:color w:val="000000"/>
          <w:sz w:val="24"/>
          <w:szCs w:val="24"/>
          <w:shd w:val="clear" w:color="auto" w:fill="FFFFFF"/>
        </w:rPr>
        <w:t>.</w:t>
      </w:r>
    </w:p>
    <w:p w14:paraId="17AB0829" w14:textId="77777777" w:rsidR="00721964" w:rsidRPr="00721964" w:rsidRDefault="00B52CB8" w:rsidP="0089307D">
      <w:pPr>
        <w:spacing w:line="480" w:lineRule="auto"/>
        <w:rPr>
          <w:rFonts w:ascii="Times New Roman" w:eastAsia="Calibri" w:hAnsi="Times New Roman" w:cs="Times New Roman"/>
          <w:color w:val="000000"/>
          <w:sz w:val="24"/>
          <w:szCs w:val="24"/>
          <w:shd w:val="clear" w:color="auto" w:fill="FFFFFF"/>
        </w:rPr>
      </w:pPr>
      <w:r w:rsidRPr="00721964">
        <w:rPr>
          <w:rFonts w:ascii="Times New Roman" w:eastAsia="Calibri" w:hAnsi="Times New Roman" w:cs="Times New Roman"/>
          <w:color w:val="000000"/>
          <w:sz w:val="24"/>
          <w:szCs w:val="24"/>
          <w:shd w:val="clear" w:color="auto" w:fill="FFFFFF"/>
        </w:rPr>
        <w:t>n = (u + v)</w:t>
      </w:r>
      <w:r w:rsidRPr="00721964">
        <w:rPr>
          <w:rFonts w:ascii="Times New Roman" w:eastAsia="Calibri" w:hAnsi="Times New Roman" w:cs="Times New Roman"/>
          <w:color w:val="000000"/>
          <w:sz w:val="24"/>
          <w:szCs w:val="24"/>
          <w:shd w:val="clear" w:color="auto" w:fill="FFFFFF"/>
          <w:vertAlign w:val="superscript"/>
        </w:rPr>
        <w:t xml:space="preserve">2 </w:t>
      </w:r>
      <w:r w:rsidRPr="00721964">
        <w:rPr>
          <w:rFonts w:ascii="Times New Roman" w:eastAsia="Calibri" w:hAnsi="Times New Roman" w:cs="Times New Roman"/>
          <w:color w:val="000000"/>
          <w:sz w:val="24"/>
          <w:szCs w:val="24"/>
          <w:shd w:val="clear" w:color="auto" w:fill="FFFFFF"/>
        </w:rPr>
        <w:t xml:space="preserve"> (r</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w:t>
      </w:r>
      <w:r w:rsidRPr="00721964">
        <w:rPr>
          <w:rFonts w:ascii="Times New Roman" w:eastAsia="Calibri" w:hAnsi="Times New Roman" w:cs="Times New Roman"/>
          <w:color w:val="000000"/>
          <w:sz w:val="24"/>
          <w:szCs w:val="24"/>
          <w:shd w:val="clear" w:color="auto" w:fill="FFFFFF"/>
          <w:vertAlign w:val="subscript"/>
        </w:rPr>
        <w:t xml:space="preserve"> </w:t>
      </w:r>
      <w:r w:rsidRPr="00721964">
        <w:rPr>
          <w:rFonts w:ascii="Times New Roman" w:eastAsia="Calibri" w:hAnsi="Times New Roman" w:cs="Times New Roman"/>
          <w:color w:val="000000"/>
          <w:sz w:val="24"/>
          <w:szCs w:val="24"/>
          <w:shd w:val="clear" w:color="auto" w:fill="FFFFFF"/>
          <w:vertAlign w:val="superscript"/>
        </w:rPr>
        <w:t>r</w:t>
      </w:r>
      <w:r w:rsidRPr="00721964">
        <w:rPr>
          <w:rFonts w:ascii="Times New Roman" w:eastAsia="Calibri" w:hAnsi="Times New Roman" w:cs="Times New Roman"/>
          <w:color w:val="000000"/>
          <w:sz w:val="24"/>
          <w:szCs w:val="24"/>
          <w:shd w:val="clear" w:color="auto" w:fill="FFFFFF"/>
          <w:vertAlign w:val="subscript"/>
        </w:rPr>
        <w:t xml:space="preserve">2 </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 / (u</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rPr>
        <w:t xml:space="preserve"> –u</w:t>
      </w:r>
      <w:r w:rsidRPr="00721964">
        <w:rPr>
          <w:rFonts w:ascii="Times New Roman" w:eastAsia="Calibri" w:hAnsi="Times New Roman" w:cs="Times New Roman"/>
          <w:color w:val="000000"/>
          <w:sz w:val="24"/>
          <w:szCs w:val="24"/>
          <w:shd w:val="clear" w:color="auto" w:fill="FFFFFF"/>
          <w:vertAlign w:val="subscript"/>
        </w:rPr>
        <w:t>2</w:t>
      </w:r>
      <w:r w:rsidRPr="00721964">
        <w:rPr>
          <w:rFonts w:ascii="Times New Roman" w:eastAsia="Calibri" w:hAnsi="Times New Roman" w:cs="Times New Roman"/>
          <w:color w:val="000000"/>
          <w:sz w:val="24"/>
          <w:szCs w:val="24"/>
          <w:shd w:val="clear" w:color="auto" w:fill="FFFFFF"/>
        </w:rPr>
        <w:t>) where n = sample size, u</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rPr>
        <w:t xml:space="preserve"> = 4.54mm</w:t>
      </w:r>
      <w:r w:rsidRPr="00721964">
        <w:rPr>
          <w:rFonts w:ascii="Times New Roman" w:eastAsia="Calibri" w:hAnsi="Times New Roman" w:cs="Times New Roman"/>
          <w:color w:val="000000"/>
          <w:sz w:val="24"/>
          <w:szCs w:val="24"/>
          <w:shd w:val="clear" w:color="auto" w:fill="FFFFFF"/>
          <w:vertAlign w:val="superscript"/>
        </w:rPr>
        <w:t>5</w:t>
      </w:r>
      <w:r w:rsidRPr="00721964">
        <w:rPr>
          <w:rFonts w:ascii="Times New Roman" w:eastAsia="Calibri" w:hAnsi="Times New Roman" w:cs="Times New Roman"/>
          <w:color w:val="000000"/>
          <w:sz w:val="24"/>
          <w:szCs w:val="24"/>
          <w:shd w:val="clear" w:color="auto" w:fill="FFFFFF"/>
        </w:rPr>
        <w:t xml:space="preserve"> (subject mean BWT), u</w:t>
      </w:r>
      <w:r w:rsidRPr="00721964">
        <w:rPr>
          <w:rFonts w:ascii="Times New Roman" w:eastAsia="Calibri" w:hAnsi="Times New Roman" w:cs="Times New Roman"/>
          <w:color w:val="000000"/>
          <w:sz w:val="24"/>
          <w:szCs w:val="24"/>
          <w:shd w:val="clear" w:color="auto" w:fill="FFFFFF"/>
          <w:vertAlign w:val="subscript"/>
        </w:rPr>
        <w:t xml:space="preserve">2 = </w:t>
      </w:r>
      <w:r w:rsidRPr="00721964">
        <w:rPr>
          <w:rFonts w:ascii="Times New Roman" w:eastAsia="Calibri" w:hAnsi="Times New Roman" w:cs="Times New Roman"/>
          <w:color w:val="000000"/>
          <w:sz w:val="24"/>
          <w:szCs w:val="24"/>
          <w:shd w:val="clear" w:color="auto" w:fill="FFFFFF"/>
        </w:rPr>
        <w:t>3mm</w:t>
      </w:r>
      <w:r w:rsidRPr="00721964">
        <w:rPr>
          <w:rFonts w:ascii="Times New Roman" w:eastAsia="Calibri" w:hAnsi="Times New Roman" w:cs="Times New Roman"/>
          <w:color w:val="000000"/>
          <w:sz w:val="24"/>
          <w:szCs w:val="24"/>
          <w:shd w:val="clear" w:color="auto" w:fill="FFFFFF"/>
          <w:vertAlign w:val="superscript"/>
        </w:rPr>
        <w:t xml:space="preserve">17 </w:t>
      </w:r>
      <w:r w:rsidRPr="00721964">
        <w:rPr>
          <w:rFonts w:ascii="Times New Roman" w:eastAsia="Calibri" w:hAnsi="Times New Roman" w:cs="Times New Roman"/>
          <w:color w:val="000000"/>
          <w:sz w:val="24"/>
          <w:szCs w:val="24"/>
          <w:shd w:val="clear" w:color="auto" w:fill="FFFFFF"/>
        </w:rPr>
        <w:t>(control mean BWT), r</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rPr>
        <w:t xml:space="preserve"> = 1.1, r</w:t>
      </w:r>
      <w:r w:rsidRPr="00721964">
        <w:rPr>
          <w:rFonts w:ascii="Times New Roman" w:eastAsia="Calibri" w:hAnsi="Times New Roman" w:cs="Times New Roman"/>
          <w:color w:val="000000"/>
          <w:sz w:val="24"/>
          <w:szCs w:val="24"/>
          <w:shd w:val="clear" w:color="auto" w:fill="FFFFFF"/>
          <w:vertAlign w:val="subscript"/>
        </w:rPr>
        <w:t>2</w:t>
      </w:r>
      <w:r w:rsidRPr="00721964">
        <w:rPr>
          <w:rFonts w:ascii="Times New Roman" w:eastAsia="Calibri" w:hAnsi="Times New Roman" w:cs="Times New Roman"/>
          <w:color w:val="000000"/>
          <w:sz w:val="24"/>
          <w:szCs w:val="24"/>
          <w:shd w:val="clear" w:color="auto" w:fill="FFFFFF"/>
        </w:rPr>
        <w:t xml:space="preserve"> = 1.1, u = one-side percentage point of normal distribution corresponding to 100%, if power = 90%, u = 1.28, and v =percentage point of the normal distribution corresponding to the [two- sided] significance of level. </w:t>
      </w:r>
      <w:proofErr w:type="spellStart"/>
      <w:r w:rsidRPr="00721964">
        <w:rPr>
          <w:rFonts w:ascii="Times New Roman" w:eastAsia="Calibri" w:hAnsi="Times New Roman" w:cs="Times New Roman"/>
          <w:color w:val="000000"/>
          <w:sz w:val="24"/>
          <w:szCs w:val="24"/>
          <w:shd w:val="clear" w:color="auto" w:fill="FFFFFF"/>
        </w:rPr>
        <w:t>e.g</w:t>
      </w:r>
      <w:proofErr w:type="spellEnd"/>
      <w:r w:rsidRPr="00721964">
        <w:rPr>
          <w:rFonts w:ascii="Times New Roman" w:eastAsia="Calibri" w:hAnsi="Times New Roman" w:cs="Times New Roman"/>
          <w:color w:val="000000"/>
          <w:sz w:val="24"/>
          <w:szCs w:val="24"/>
          <w:shd w:val="clear" w:color="auto" w:fill="FFFFFF"/>
        </w:rPr>
        <w:t>, If the significance level is 5%, then v = 1.96.</w:t>
      </w:r>
    </w:p>
    <w:p w14:paraId="1764D295" w14:textId="77777777" w:rsidR="00721964" w:rsidRPr="00721964" w:rsidRDefault="00B52CB8" w:rsidP="0089307D">
      <w:pPr>
        <w:spacing w:line="480" w:lineRule="auto"/>
        <w:rPr>
          <w:rFonts w:ascii="Times New Roman" w:eastAsia="Calibri" w:hAnsi="Times New Roman" w:cs="Times New Roman"/>
          <w:color w:val="000000"/>
          <w:sz w:val="24"/>
          <w:szCs w:val="24"/>
          <w:shd w:val="clear" w:color="auto" w:fill="FFFFFF"/>
        </w:rPr>
      </w:pPr>
      <w:r w:rsidRPr="00721964">
        <w:rPr>
          <w:rFonts w:ascii="Times New Roman" w:eastAsia="Calibri" w:hAnsi="Times New Roman" w:cs="Times New Roman"/>
          <w:color w:val="000000"/>
          <w:sz w:val="24"/>
          <w:szCs w:val="24"/>
          <w:shd w:val="clear" w:color="auto" w:fill="FFFFFF"/>
        </w:rPr>
        <w:lastRenderedPageBreak/>
        <w:t>(1.28 +1.96)</w:t>
      </w:r>
      <w:r w:rsidRPr="00721964">
        <w:rPr>
          <w:rFonts w:ascii="Times New Roman" w:eastAsia="Calibri" w:hAnsi="Times New Roman" w:cs="Times New Roman"/>
          <w:color w:val="000000"/>
          <w:sz w:val="24"/>
          <w:szCs w:val="24"/>
          <w:shd w:val="clear" w:color="auto" w:fill="FFFFFF"/>
          <w:vertAlign w:val="superscript"/>
        </w:rPr>
        <w:t xml:space="preserve">2 </w:t>
      </w:r>
      <w:r w:rsidRPr="00721964">
        <w:rPr>
          <w:rFonts w:ascii="Times New Roman" w:eastAsia="Calibri" w:hAnsi="Times New Roman" w:cs="Times New Roman"/>
          <w:color w:val="000000"/>
          <w:sz w:val="24"/>
          <w:szCs w:val="24"/>
          <w:shd w:val="clear" w:color="auto" w:fill="FFFFFF"/>
        </w:rPr>
        <w:t>(1.1</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 xml:space="preserve"> +1.1</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 / (4.54 -3) = (10.4976) (2.42) / 2.3716 = 10.7 approximate of 11. A sample size of 200 subjects was used (100 study subjects and 100 control subjects).</w:t>
      </w:r>
    </w:p>
    <w:p w14:paraId="11EF4EC3" w14:textId="77777777" w:rsidR="004D5BD4" w:rsidRDefault="004D5BD4" w:rsidP="0089307D">
      <w:pPr>
        <w:pStyle w:val="NoSpacing"/>
        <w:spacing w:line="480" w:lineRule="auto"/>
        <w:jc w:val="both"/>
        <w:rPr>
          <w:sz w:val="24"/>
          <w:szCs w:val="24"/>
        </w:rPr>
      </w:pPr>
    </w:p>
    <w:p w14:paraId="24AD3DE6" w14:textId="77777777" w:rsidR="004D5BD4" w:rsidRDefault="004D5BD4" w:rsidP="0089307D">
      <w:pPr>
        <w:pStyle w:val="NoSpacing"/>
        <w:spacing w:line="480" w:lineRule="auto"/>
        <w:jc w:val="both"/>
        <w:rPr>
          <w:sz w:val="24"/>
          <w:szCs w:val="24"/>
        </w:rPr>
      </w:pPr>
    </w:p>
    <w:p w14:paraId="252C56BB" w14:textId="77777777" w:rsidR="00C653EF" w:rsidRPr="0089307D" w:rsidRDefault="00B52CB8" w:rsidP="0089307D">
      <w:pPr>
        <w:pStyle w:val="NoSpacing"/>
        <w:spacing w:line="480" w:lineRule="auto"/>
        <w:jc w:val="both"/>
        <w:rPr>
          <w:sz w:val="24"/>
          <w:szCs w:val="24"/>
        </w:rPr>
      </w:pPr>
      <w:r w:rsidRPr="0089307D">
        <w:rPr>
          <w:sz w:val="24"/>
          <w:szCs w:val="24"/>
        </w:rPr>
        <w:t>S</w:t>
      </w:r>
      <w:r w:rsidR="00716F75" w:rsidRPr="0089307D">
        <w:rPr>
          <w:sz w:val="24"/>
          <w:szCs w:val="24"/>
        </w:rPr>
        <w:t>TUDY TECHNIQUE</w:t>
      </w:r>
    </w:p>
    <w:p w14:paraId="310803EC" w14:textId="77777777" w:rsidR="00274A06" w:rsidRPr="00721964" w:rsidRDefault="008659AA" w:rsidP="0089307D">
      <w:pPr>
        <w:tabs>
          <w:tab w:val="left" w:pos="3510"/>
        </w:tabs>
        <w:spacing w:line="480" w:lineRule="auto"/>
        <w:jc w:val="both"/>
        <w:rPr>
          <w:rFonts w:cs="Tahoma"/>
          <w:sz w:val="24"/>
          <w:szCs w:val="24"/>
        </w:rPr>
      </w:pPr>
      <w:r>
        <w:rPr>
          <w:rFonts w:cs="Tahoma"/>
          <w:sz w:val="24"/>
          <w:szCs w:val="24"/>
        </w:rPr>
        <w:t xml:space="preserve">The study </w:t>
      </w:r>
      <w:r w:rsidR="00B52CB8" w:rsidRPr="00274A06">
        <w:rPr>
          <w:rFonts w:cs="Tahoma"/>
          <w:sz w:val="24"/>
          <w:szCs w:val="24"/>
        </w:rPr>
        <w:t>procedure and full implications of partici</w:t>
      </w:r>
      <w:r w:rsidR="0089307D">
        <w:rPr>
          <w:rFonts w:cs="Tahoma"/>
          <w:sz w:val="24"/>
          <w:szCs w:val="24"/>
        </w:rPr>
        <w:t xml:space="preserve">pation were discussed with each </w:t>
      </w:r>
      <w:r w:rsidR="00B52CB8" w:rsidRPr="00274A06">
        <w:rPr>
          <w:rFonts w:cs="Tahoma"/>
          <w:sz w:val="24"/>
          <w:szCs w:val="24"/>
        </w:rPr>
        <w:t>participant</w:t>
      </w:r>
      <w:r w:rsidR="004D5BD4">
        <w:rPr>
          <w:rFonts w:cs="Tahoma"/>
          <w:sz w:val="24"/>
          <w:szCs w:val="24"/>
        </w:rPr>
        <w:t>,</w:t>
      </w:r>
      <w:r w:rsidR="00B52CB8" w:rsidRPr="00274A06">
        <w:rPr>
          <w:rFonts w:cs="Tahoma"/>
          <w:sz w:val="24"/>
          <w:szCs w:val="24"/>
        </w:rPr>
        <w:t xml:space="preserve"> and their questions </w:t>
      </w:r>
      <w:r w:rsidR="004D5BD4">
        <w:rPr>
          <w:rFonts w:cs="Tahoma"/>
          <w:sz w:val="24"/>
          <w:szCs w:val="24"/>
        </w:rPr>
        <w:t xml:space="preserve">were </w:t>
      </w:r>
      <w:r w:rsidR="00B52CB8" w:rsidRPr="00274A06">
        <w:rPr>
          <w:rFonts w:cs="Tahoma"/>
          <w:sz w:val="24"/>
          <w:szCs w:val="24"/>
        </w:rPr>
        <w:t>answered before th</w:t>
      </w:r>
      <w:r>
        <w:rPr>
          <w:rFonts w:cs="Tahoma"/>
          <w:sz w:val="24"/>
          <w:szCs w:val="24"/>
        </w:rPr>
        <w:t>e consent form was signed. The participation of the patients was voluntary</w:t>
      </w:r>
      <w:r w:rsidR="00B52CB8" w:rsidRPr="00274A06">
        <w:rPr>
          <w:rFonts w:cs="Tahoma"/>
          <w:sz w:val="24"/>
          <w:szCs w:val="24"/>
        </w:rPr>
        <w:t xml:space="preserve">. </w:t>
      </w:r>
      <w:r w:rsidR="00721964">
        <w:rPr>
          <w:rFonts w:cs="Tahoma"/>
          <w:sz w:val="24"/>
          <w:szCs w:val="24"/>
        </w:rPr>
        <w:t>Scanning</w:t>
      </w:r>
      <w:r w:rsidR="00D174AD">
        <w:rPr>
          <w:rFonts w:cs="Tahoma"/>
          <w:sz w:val="24"/>
          <w:szCs w:val="24"/>
        </w:rPr>
        <w:t xml:space="preserve"> was</w:t>
      </w:r>
      <w:r w:rsidR="00721964" w:rsidRPr="00721964">
        <w:rPr>
          <w:rFonts w:cs="Tahoma"/>
          <w:sz w:val="24"/>
          <w:szCs w:val="24"/>
        </w:rPr>
        <w:t xml:space="preserve"> carried ou</w:t>
      </w:r>
      <w:r>
        <w:rPr>
          <w:rFonts w:cs="Tahoma"/>
          <w:sz w:val="24"/>
          <w:szCs w:val="24"/>
        </w:rPr>
        <w:t xml:space="preserve">t using a real-time, greyscale </w:t>
      </w:r>
      <w:r w:rsidR="00721964" w:rsidRPr="00721964">
        <w:rPr>
          <w:rFonts w:cs="Tahoma"/>
          <w:sz w:val="24"/>
          <w:szCs w:val="24"/>
        </w:rPr>
        <w:t xml:space="preserve">“ALOKA" ultrasound machine (Model SSD-500; SN 190605) fitted with 3.5 – 5.0 </w:t>
      </w:r>
      <w:proofErr w:type="spellStart"/>
      <w:r w:rsidR="00721964" w:rsidRPr="00721964">
        <w:rPr>
          <w:rFonts w:cs="Tahoma"/>
          <w:sz w:val="24"/>
          <w:szCs w:val="24"/>
        </w:rPr>
        <w:t>mHz</w:t>
      </w:r>
      <w:proofErr w:type="spellEnd"/>
      <w:r w:rsidR="00721964" w:rsidRPr="00721964">
        <w:rPr>
          <w:rFonts w:cs="Tahoma"/>
          <w:sz w:val="24"/>
          <w:szCs w:val="24"/>
        </w:rPr>
        <w:t xml:space="preserve"> linear array probes.  </w:t>
      </w:r>
    </w:p>
    <w:p w14:paraId="1B8B5339" w14:textId="77777777" w:rsidR="00274A06" w:rsidRPr="00274A06" w:rsidRDefault="008659AA" w:rsidP="0089307D">
      <w:pPr>
        <w:tabs>
          <w:tab w:val="left" w:pos="3510"/>
        </w:tabs>
        <w:spacing w:line="480" w:lineRule="auto"/>
        <w:jc w:val="both"/>
        <w:rPr>
          <w:sz w:val="24"/>
          <w:szCs w:val="24"/>
        </w:rPr>
      </w:pPr>
      <w:r>
        <w:rPr>
          <w:sz w:val="24"/>
          <w:szCs w:val="24"/>
        </w:rPr>
        <w:t>During the</w:t>
      </w:r>
      <w:r w:rsidR="00B52CB8" w:rsidRPr="00274A06">
        <w:rPr>
          <w:sz w:val="24"/>
          <w:szCs w:val="24"/>
        </w:rPr>
        <w:t xml:space="preserve"> initial assessment, all patients were evaluated using the IPSS questionnaire and then divided into three groups according to </w:t>
      </w:r>
      <w:r w:rsidR="00D174AD">
        <w:rPr>
          <w:sz w:val="24"/>
          <w:szCs w:val="24"/>
        </w:rPr>
        <w:t>their IPSS results</w:t>
      </w:r>
      <w:r w:rsidR="009D0BAF">
        <w:rPr>
          <w:sz w:val="24"/>
          <w:szCs w:val="24"/>
        </w:rPr>
        <w:t>. Group 1 showed IPSS 0-7 (mild) [11, 12]</w:t>
      </w:r>
      <w:r w:rsidR="00D174AD">
        <w:rPr>
          <w:sz w:val="24"/>
          <w:szCs w:val="24"/>
        </w:rPr>
        <w:t xml:space="preserve">, </w:t>
      </w:r>
      <w:r w:rsidR="00B52CB8" w:rsidRPr="00274A06">
        <w:rPr>
          <w:sz w:val="24"/>
          <w:szCs w:val="24"/>
        </w:rPr>
        <w:t xml:space="preserve">group 2 </w:t>
      </w:r>
      <w:r w:rsidR="009D0BAF">
        <w:rPr>
          <w:sz w:val="24"/>
          <w:szCs w:val="24"/>
        </w:rPr>
        <w:t>showed IPSS 8-19 (moderate)</w:t>
      </w:r>
      <w:r w:rsidR="00D174AD">
        <w:rPr>
          <w:sz w:val="24"/>
          <w:szCs w:val="24"/>
        </w:rPr>
        <w:t>,</w:t>
      </w:r>
      <w:r w:rsidR="00B52CB8" w:rsidRPr="00274A06">
        <w:rPr>
          <w:sz w:val="24"/>
          <w:szCs w:val="24"/>
        </w:rPr>
        <w:t xml:space="preserve"> and group 3 </w:t>
      </w:r>
      <w:r w:rsidR="009D0BAF">
        <w:rPr>
          <w:sz w:val="24"/>
          <w:szCs w:val="24"/>
        </w:rPr>
        <w:t>showed IPSS 20-35 (severe)</w:t>
      </w:r>
      <w:r w:rsidR="00B52CB8" w:rsidRPr="00274A06">
        <w:rPr>
          <w:sz w:val="24"/>
          <w:szCs w:val="24"/>
        </w:rPr>
        <w:t>.</w:t>
      </w:r>
    </w:p>
    <w:p w14:paraId="4B04670E" w14:textId="77777777" w:rsidR="00274A06" w:rsidRPr="00274A06" w:rsidRDefault="00B52CB8" w:rsidP="0089307D">
      <w:pPr>
        <w:tabs>
          <w:tab w:val="left" w:pos="3510"/>
        </w:tabs>
        <w:spacing w:line="480" w:lineRule="auto"/>
        <w:jc w:val="both"/>
        <w:rPr>
          <w:sz w:val="24"/>
          <w:szCs w:val="24"/>
        </w:rPr>
      </w:pPr>
      <w:r w:rsidRPr="00274A06">
        <w:rPr>
          <w:rFonts w:cs="Tahoma"/>
          <w:sz w:val="24"/>
          <w:szCs w:val="24"/>
        </w:rPr>
        <w:t xml:space="preserve">The subject’s age, duration of symptoms, </w:t>
      </w:r>
      <w:r>
        <w:rPr>
          <w:rFonts w:cs="Tahoma"/>
          <w:sz w:val="24"/>
          <w:szCs w:val="24"/>
        </w:rPr>
        <w:t xml:space="preserve">and IPSS score were </w:t>
      </w:r>
      <w:r w:rsidRPr="00274A06">
        <w:rPr>
          <w:rFonts w:cs="Tahoma"/>
          <w:sz w:val="24"/>
          <w:szCs w:val="24"/>
        </w:rPr>
        <w:t>documented in the data sheet.</w:t>
      </w:r>
      <w:r>
        <w:rPr>
          <w:rFonts w:cs="Tahoma"/>
          <w:sz w:val="24"/>
          <w:szCs w:val="24"/>
        </w:rPr>
        <w:t xml:space="preserve"> </w:t>
      </w:r>
      <w:r w:rsidRPr="00274A06">
        <w:rPr>
          <w:sz w:val="24"/>
          <w:szCs w:val="24"/>
        </w:rPr>
        <w:t>Those who met the inclusion criteria were then asked to drink some water</w:t>
      </w:r>
      <w:r w:rsidR="00721964">
        <w:rPr>
          <w:sz w:val="24"/>
          <w:szCs w:val="24"/>
        </w:rPr>
        <w:t>. Scanning was</w:t>
      </w:r>
      <w:r w:rsidRPr="00274A06">
        <w:rPr>
          <w:sz w:val="24"/>
          <w:szCs w:val="24"/>
        </w:rPr>
        <w:t xml:space="preserve"> done</w:t>
      </w:r>
      <w:r>
        <w:rPr>
          <w:sz w:val="24"/>
          <w:szCs w:val="24"/>
        </w:rPr>
        <w:t xml:space="preserve"> when the </w:t>
      </w:r>
      <w:r w:rsidRPr="00274A06">
        <w:rPr>
          <w:sz w:val="24"/>
          <w:szCs w:val="24"/>
        </w:rPr>
        <w:t>urge to void</w:t>
      </w:r>
      <w:r>
        <w:rPr>
          <w:sz w:val="24"/>
          <w:szCs w:val="24"/>
        </w:rPr>
        <w:t xml:space="preserve"> was felt</w:t>
      </w:r>
      <w:r w:rsidR="008659AA">
        <w:rPr>
          <w:sz w:val="24"/>
          <w:szCs w:val="24"/>
        </w:rPr>
        <w:t xml:space="preserve">. </w:t>
      </w:r>
      <w:r w:rsidRPr="00274A06">
        <w:rPr>
          <w:sz w:val="24"/>
          <w:szCs w:val="24"/>
        </w:rPr>
        <w:t>B</w:t>
      </w:r>
      <w:r w:rsidR="008659AA">
        <w:rPr>
          <w:sz w:val="24"/>
          <w:szCs w:val="24"/>
        </w:rPr>
        <w:t xml:space="preserve">WT decreases continuously as </w:t>
      </w:r>
      <w:r w:rsidRPr="00274A06">
        <w:rPr>
          <w:sz w:val="24"/>
          <w:szCs w:val="24"/>
        </w:rPr>
        <w:t>the bladder fills to 50% of its capacity and then remains constant until 100%</w:t>
      </w:r>
      <w:r w:rsidR="009D0BAF">
        <w:rPr>
          <w:sz w:val="24"/>
          <w:szCs w:val="24"/>
        </w:rPr>
        <w:t xml:space="preserve"> [9, 11]</w:t>
      </w:r>
      <w:r w:rsidRPr="00274A06">
        <w:rPr>
          <w:sz w:val="24"/>
          <w:szCs w:val="24"/>
        </w:rPr>
        <w:t xml:space="preserve">. A bladder volume of 150-200 </w:t>
      </w:r>
      <w:proofErr w:type="spellStart"/>
      <w:r w:rsidRPr="00274A06">
        <w:rPr>
          <w:sz w:val="24"/>
          <w:szCs w:val="24"/>
        </w:rPr>
        <w:t>mls</w:t>
      </w:r>
      <w:proofErr w:type="spellEnd"/>
      <w:r w:rsidRPr="00274A06">
        <w:rPr>
          <w:sz w:val="24"/>
          <w:szCs w:val="24"/>
        </w:rPr>
        <w:t xml:space="preserve"> was consider</w:t>
      </w:r>
      <w:r w:rsidR="00754BD8">
        <w:rPr>
          <w:sz w:val="24"/>
          <w:szCs w:val="24"/>
        </w:rPr>
        <w:t xml:space="preserve">ed adequate for BWT measurement </w:t>
      </w:r>
      <w:r w:rsidR="00DA6FED">
        <w:rPr>
          <w:sz w:val="24"/>
          <w:szCs w:val="24"/>
        </w:rPr>
        <w:t>[11]</w:t>
      </w:r>
      <w:r w:rsidR="00754BD8">
        <w:rPr>
          <w:sz w:val="24"/>
          <w:szCs w:val="24"/>
        </w:rPr>
        <w:t>.</w:t>
      </w:r>
      <w:r w:rsidRPr="00274A06">
        <w:rPr>
          <w:sz w:val="24"/>
          <w:szCs w:val="24"/>
          <w:vertAlign w:val="superscript"/>
        </w:rPr>
        <w:t xml:space="preserve"> </w:t>
      </w:r>
      <w:r w:rsidRPr="00274A06">
        <w:rPr>
          <w:sz w:val="24"/>
          <w:szCs w:val="24"/>
        </w:rPr>
        <w:t xml:space="preserve"> Bladder volume was calculated by measuring </w:t>
      </w:r>
      <w:r w:rsidR="008659AA">
        <w:rPr>
          <w:sz w:val="24"/>
          <w:szCs w:val="24"/>
        </w:rPr>
        <w:t xml:space="preserve">the </w:t>
      </w:r>
      <w:r w:rsidR="00754BD8">
        <w:rPr>
          <w:sz w:val="24"/>
          <w:szCs w:val="24"/>
        </w:rPr>
        <w:t>intravesical</w:t>
      </w:r>
      <w:r w:rsidRPr="00274A06">
        <w:rPr>
          <w:sz w:val="24"/>
          <w:szCs w:val="24"/>
        </w:rPr>
        <w:t xml:space="preserve"> diameters of bladder</w:t>
      </w:r>
      <w:r w:rsidR="00894447">
        <w:rPr>
          <w:sz w:val="24"/>
          <w:szCs w:val="24"/>
        </w:rPr>
        <w:t xml:space="preserve"> height, depth, and width</w:t>
      </w:r>
      <w:r w:rsidR="008659AA">
        <w:rPr>
          <w:sz w:val="24"/>
          <w:szCs w:val="24"/>
        </w:rPr>
        <w:t>,</w:t>
      </w:r>
      <w:r w:rsidR="00894447">
        <w:rPr>
          <w:sz w:val="24"/>
          <w:szCs w:val="24"/>
        </w:rPr>
        <w:t xml:space="preserve"> a</w:t>
      </w:r>
      <w:r w:rsidR="008659AA">
        <w:rPr>
          <w:sz w:val="24"/>
          <w:szCs w:val="24"/>
        </w:rPr>
        <w:t>nd</w:t>
      </w:r>
      <w:r w:rsidRPr="00274A06">
        <w:rPr>
          <w:sz w:val="24"/>
          <w:szCs w:val="24"/>
        </w:rPr>
        <w:t xml:space="preserve"> </w:t>
      </w:r>
      <w:r w:rsidR="008659AA">
        <w:rPr>
          <w:sz w:val="24"/>
          <w:szCs w:val="24"/>
        </w:rPr>
        <w:t xml:space="preserve">was </w:t>
      </w:r>
      <w:r w:rsidRPr="00274A06">
        <w:rPr>
          <w:sz w:val="24"/>
          <w:szCs w:val="24"/>
        </w:rPr>
        <w:t xml:space="preserve">automatically calculated by the ultrasound machine. </w:t>
      </w:r>
    </w:p>
    <w:p w14:paraId="02F26A84" w14:textId="77777777" w:rsidR="00716F75" w:rsidRPr="00E1338C" w:rsidRDefault="00B52CB8" w:rsidP="00716F75">
      <w:pPr>
        <w:tabs>
          <w:tab w:val="left" w:pos="3510"/>
        </w:tabs>
        <w:spacing w:line="480" w:lineRule="auto"/>
        <w:jc w:val="both"/>
        <w:rPr>
          <w:sz w:val="24"/>
          <w:szCs w:val="24"/>
        </w:rPr>
      </w:pPr>
      <w:r w:rsidRPr="00274A06">
        <w:rPr>
          <w:sz w:val="24"/>
          <w:szCs w:val="24"/>
        </w:rPr>
        <w:t xml:space="preserve"> </w:t>
      </w:r>
      <w:r>
        <w:rPr>
          <w:sz w:val="24"/>
          <w:szCs w:val="24"/>
        </w:rPr>
        <w:t>Each subject was</w:t>
      </w:r>
      <w:r w:rsidRPr="00274A06">
        <w:rPr>
          <w:sz w:val="24"/>
          <w:szCs w:val="24"/>
        </w:rPr>
        <w:t xml:space="preserve"> comfortably positioned supine on the examination couch with arms above their heads. The abdomen was then exposed from the </w:t>
      </w:r>
      <w:proofErr w:type="spellStart"/>
      <w:r w:rsidRPr="00274A06">
        <w:rPr>
          <w:sz w:val="24"/>
          <w:szCs w:val="24"/>
        </w:rPr>
        <w:t>xiphisternum</w:t>
      </w:r>
      <w:proofErr w:type="spellEnd"/>
      <w:r w:rsidRPr="00274A06">
        <w:rPr>
          <w:sz w:val="24"/>
          <w:szCs w:val="24"/>
        </w:rPr>
        <w:t xml:space="preserve"> to the suprapubic area. Acoustic </w:t>
      </w:r>
      <w:r w:rsidRPr="00274A06">
        <w:rPr>
          <w:sz w:val="24"/>
          <w:szCs w:val="24"/>
        </w:rPr>
        <w:lastRenderedPageBreak/>
        <w:t xml:space="preserve">gel was applied to the abdomen to obliterate the air interface between the probe and the skin surface. </w:t>
      </w:r>
      <w:r w:rsidRPr="00716F75">
        <w:rPr>
          <w:sz w:val="24"/>
          <w:szCs w:val="24"/>
        </w:rPr>
        <w:t>B</w:t>
      </w:r>
      <w:r>
        <w:rPr>
          <w:sz w:val="24"/>
          <w:szCs w:val="24"/>
        </w:rPr>
        <w:t>ladder wall thickness</w:t>
      </w:r>
      <w:r w:rsidRPr="00716F75">
        <w:rPr>
          <w:sz w:val="24"/>
          <w:szCs w:val="24"/>
        </w:rPr>
        <w:t xml:space="preserve"> was measured at the anterior bladder wall, 1cm from the midline</w:t>
      </w:r>
      <w:r w:rsidR="008659AA">
        <w:rPr>
          <w:sz w:val="24"/>
          <w:szCs w:val="24"/>
        </w:rPr>
        <w:t>,</w:t>
      </w:r>
      <w:r w:rsidRPr="00716F75">
        <w:rPr>
          <w:sz w:val="24"/>
          <w:szCs w:val="24"/>
        </w:rPr>
        <w:t xml:space="preserve"> using a 3.5 – 5.0 </w:t>
      </w:r>
      <w:proofErr w:type="spellStart"/>
      <w:r w:rsidRPr="00716F75">
        <w:rPr>
          <w:sz w:val="24"/>
          <w:szCs w:val="24"/>
        </w:rPr>
        <w:t>mHz</w:t>
      </w:r>
      <w:proofErr w:type="spellEnd"/>
      <w:r w:rsidRPr="00716F75">
        <w:rPr>
          <w:sz w:val="24"/>
          <w:szCs w:val="24"/>
        </w:rPr>
        <w:t xml:space="preserve"> linear array probe</w:t>
      </w:r>
      <w:r w:rsidR="009D0BAF">
        <w:rPr>
          <w:sz w:val="24"/>
          <w:szCs w:val="24"/>
        </w:rPr>
        <w:t xml:space="preserve"> [11]</w:t>
      </w:r>
      <w:r w:rsidRPr="00716F75">
        <w:rPr>
          <w:sz w:val="24"/>
          <w:szCs w:val="24"/>
        </w:rPr>
        <w:t>.</w:t>
      </w:r>
      <w:r w:rsidRPr="00716F75">
        <w:rPr>
          <w:sz w:val="24"/>
          <w:szCs w:val="24"/>
          <w:vertAlign w:val="superscript"/>
        </w:rPr>
        <w:t xml:space="preserve"> </w:t>
      </w:r>
      <w:r w:rsidRPr="00716F75">
        <w:rPr>
          <w:sz w:val="24"/>
          <w:szCs w:val="24"/>
        </w:rPr>
        <w:t>With the assistance of magnification, the adventitia, detrusor, and mucosa were identified. Two sonographic measurements of the anterior bladder wall on a transverse scan were record</w:t>
      </w:r>
      <w:r w:rsidR="00E1338C">
        <w:rPr>
          <w:sz w:val="24"/>
          <w:szCs w:val="24"/>
        </w:rPr>
        <w:t xml:space="preserve">ed and averaged in </w:t>
      </w:r>
      <w:proofErr w:type="spellStart"/>
      <w:r w:rsidR="00E1338C">
        <w:rPr>
          <w:sz w:val="24"/>
          <w:szCs w:val="24"/>
        </w:rPr>
        <w:t>centimetres</w:t>
      </w:r>
      <w:proofErr w:type="spellEnd"/>
      <w:r w:rsidR="009D0BAF">
        <w:rPr>
          <w:sz w:val="24"/>
          <w:szCs w:val="24"/>
        </w:rPr>
        <w:t xml:space="preserve"> [9]</w:t>
      </w:r>
      <w:r w:rsidR="00E1338C">
        <w:rPr>
          <w:sz w:val="24"/>
          <w:szCs w:val="24"/>
        </w:rPr>
        <w:t>.</w:t>
      </w:r>
      <w:r w:rsidR="00754BD8">
        <w:rPr>
          <w:sz w:val="24"/>
          <w:szCs w:val="24"/>
        </w:rPr>
        <w:t xml:space="preserve"> </w:t>
      </w:r>
      <w:r w:rsidRPr="00716F75">
        <w:rPr>
          <w:sz w:val="24"/>
          <w:szCs w:val="24"/>
        </w:rPr>
        <w:t xml:space="preserve">With the probe parallel to just above the symphysis pubis of the patient, an image of the largest circumference of the prostate was captured on the screen. The prostate volume was estimated from diameters of the minor and major </w:t>
      </w:r>
      <w:r w:rsidR="008659AA">
        <w:rPr>
          <w:sz w:val="24"/>
          <w:szCs w:val="24"/>
        </w:rPr>
        <w:t>axes</w:t>
      </w:r>
      <w:r w:rsidRPr="00716F75">
        <w:rPr>
          <w:sz w:val="24"/>
          <w:szCs w:val="24"/>
        </w:rPr>
        <w:t xml:space="preserve"> using an elliptical 3-axis volume formula</w:t>
      </w:r>
      <w:r w:rsidR="009D0BAF">
        <w:rPr>
          <w:sz w:val="24"/>
          <w:szCs w:val="24"/>
        </w:rPr>
        <w:t xml:space="preserve"> [13]</w:t>
      </w:r>
      <w:r w:rsidRPr="00716F75">
        <w:rPr>
          <w:sz w:val="24"/>
          <w:szCs w:val="24"/>
        </w:rPr>
        <w:t>.</w:t>
      </w:r>
      <w:r w:rsidR="00754BD8">
        <w:rPr>
          <w:sz w:val="24"/>
          <w:szCs w:val="24"/>
          <w:vertAlign w:val="superscript"/>
        </w:rPr>
        <w:t xml:space="preserve"> </w:t>
      </w:r>
      <w:r>
        <w:rPr>
          <w:sz w:val="24"/>
          <w:szCs w:val="24"/>
        </w:rPr>
        <w:t>Post-void residual volume (PV</w:t>
      </w:r>
      <w:r w:rsidRPr="00716F75">
        <w:rPr>
          <w:sz w:val="24"/>
          <w:szCs w:val="24"/>
        </w:rPr>
        <w:t>R</w:t>
      </w:r>
      <w:r>
        <w:rPr>
          <w:sz w:val="24"/>
          <w:szCs w:val="24"/>
        </w:rPr>
        <w:t>)</w:t>
      </w:r>
      <w:r w:rsidRPr="00716F75">
        <w:rPr>
          <w:sz w:val="24"/>
          <w:szCs w:val="24"/>
        </w:rPr>
        <w:t xml:space="preserve"> was measured imme</w:t>
      </w:r>
      <w:r>
        <w:rPr>
          <w:sz w:val="24"/>
          <w:szCs w:val="24"/>
        </w:rPr>
        <w:t xml:space="preserve">diately after voiding and </w:t>
      </w:r>
      <w:r w:rsidRPr="00716F75">
        <w:rPr>
          <w:sz w:val="24"/>
          <w:szCs w:val="24"/>
        </w:rPr>
        <w:t>was considered significant when greater than 30mls</w:t>
      </w:r>
      <w:r w:rsidR="009D0BAF">
        <w:rPr>
          <w:sz w:val="24"/>
          <w:szCs w:val="24"/>
        </w:rPr>
        <w:t xml:space="preserve"> [13]</w:t>
      </w:r>
      <w:r w:rsidRPr="00716F75">
        <w:rPr>
          <w:sz w:val="24"/>
          <w:szCs w:val="24"/>
        </w:rPr>
        <w:t>.</w:t>
      </w:r>
      <w:r w:rsidR="00754BD8">
        <w:rPr>
          <w:sz w:val="24"/>
          <w:szCs w:val="24"/>
          <w:vertAlign w:val="superscript"/>
        </w:rPr>
        <w:t xml:space="preserve"> </w:t>
      </w:r>
    </w:p>
    <w:p w14:paraId="28ED090B" w14:textId="77777777" w:rsidR="00716F75" w:rsidRPr="00E1338C" w:rsidRDefault="00B52CB8" w:rsidP="00716F75">
      <w:pPr>
        <w:tabs>
          <w:tab w:val="left" w:pos="3510"/>
        </w:tabs>
        <w:spacing w:line="360" w:lineRule="auto"/>
        <w:jc w:val="both"/>
        <w:rPr>
          <w:b/>
          <w:sz w:val="24"/>
          <w:szCs w:val="24"/>
        </w:rPr>
      </w:pPr>
      <w:r w:rsidRPr="00E1338C">
        <w:rPr>
          <w:b/>
          <w:sz w:val="24"/>
          <w:szCs w:val="24"/>
        </w:rPr>
        <w:t>DATA ANALYSIS</w:t>
      </w:r>
    </w:p>
    <w:p w14:paraId="2880C297" w14:textId="77777777" w:rsidR="00721964" w:rsidRPr="00721964" w:rsidRDefault="00B52CB8" w:rsidP="00721964">
      <w:pPr>
        <w:pStyle w:val="NoSpacing"/>
        <w:spacing w:line="480" w:lineRule="auto"/>
        <w:jc w:val="both"/>
        <w:rPr>
          <w:rFonts w:cs="Tahoma"/>
          <w:sz w:val="24"/>
          <w:szCs w:val="24"/>
        </w:rPr>
      </w:pPr>
      <w:r w:rsidRPr="00721964">
        <w:rPr>
          <w:rFonts w:cs="Tahoma"/>
          <w:sz w:val="24"/>
          <w:szCs w:val="24"/>
        </w:rPr>
        <w:t>Statistical Package for the Social Sciences (SPSS) Version 18.0 for Windows software was used for analysis of the data and comparison using Chi-</w:t>
      </w:r>
      <w:r>
        <w:rPr>
          <w:rFonts w:cs="Tahoma"/>
          <w:sz w:val="24"/>
          <w:szCs w:val="24"/>
        </w:rPr>
        <w:t xml:space="preserve">square </w:t>
      </w:r>
      <w:r w:rsidRPr="00721964">
        <w:rPr>
          <w:rFonts w:cs="Tahoma"/>
          <w:sz w:val="24"/>
          <w:szCs w:val="24"/>
        </w:rPr>
        <w:t>to find any statistically significant differences between the variables. Correlation analysis for both continuous and categorical variables was do</w:t>
      </w:r>
      <w:r w:rsidR="008659AA">
        <w:rPr>
          <w:rFonts w:cs="Tahoma"/>
          <w:sz w:val="24"/>
          <w:szCs w:val="24"/>
        </w:rPr>
        <w:t xml:space="preserve">ne; p </w:t>
      </w:r>
      <w:r w:rsidRPr="00721964">
        <w:rPr>
          <w:rFonts w:cs="Tahoma"/>
          <w:sz w:val="24"/>
          <w:szCs w:val="24"/>
        </w:rPr>
        <w:t xml:space="preserve">&lt; 0.05 was considered statistically significant. The relationship of individual variables was examined using the multivariate </w:t>
      </w:r>
      <w:r>
        <w:rPr>
          <w:rFonts w:cs="Tahoma"/>
          <w:sz w:val="24"/>
          <w:szCs w:val="24"/>
        </w:rPr>
        <w:t xml:space="preserve">logistic </w:t>
      </w:r>
      <w:r w:rsidRPr="00721964">
        <w:rPr>
          <w:rFonts w:cs="Tahoma"/>
          <w:sz w:val="24"/>
          <w:szCs w:val="24"/>
        </w:rPr>
        <w:t>regression analysis.</w:t>
      </w:r>
    </w:p>
    <w:p w14:paraId="6EB5F24B" w14:textId="77777777" w:rsidR="00721964" w:rsidRPr="00721964" w:rsidRDefault="00B52CB8" w:rsidP="00721964">
      <w:pPr>
        <w:pStyle w:val="NoSpacing"/>
        <w:spacing w:line="480" w:lineRule="auto"/>
        <w:jc w:val="both"/>
        <w:rPr>
          <w:rFonts w:cs="Tahoma"/>
          <w:sz w:val="24"/>
          <w:szCs w:val="24"/>
        </w:rPr>
      </w:pPr>
      <w:r w:rsidRPr="00721964">
        <w:rPr>
          <w:rFonts w:cs="Tahoma"/>
          <w:sz w:val="24"/>
          <w:szCs w:val="24"/>
        </w:rPr>
        <w:t>Sensitivity, Specificity (SP), Negative predictive value (NPV)</w:t>
      </w:r>
      <w:r>
        <w:rPr>
          <w:rFonts w:cs="Tahoma"/>
          <w:sz w:val="24"/>
          <w:szCs w:val="24"/>
        </w:rPr>
        <w:t xml:space="preserve">, and the Positive </w:t>
      </w:r>
      <w:r w:rsidRPr="00721964">
        <w:rPr>
          <w:rFonts w:cs="Tahoma"/>
          <w:sz w:val="24"/>
          <w:szCs w:val="24"/>
        </w:rPr>
        <w:t>predictive value (PPV) for each parameter (</w:t>
      </w:r>
      <w:r>
        <w:rPr>
          <w:rFonts w:cs="Tahoma"/>
          <w:sz w:val="24"/>
          <w:szCs w:val="24"/>
        </w:rPr>
        <w:t>BWT, prostate volume, and post-</w:t>
      </w:r>
      <w:r w:rsidRPr="00721964">
        <w:rPr>
          <w:rFonts w:cs="Tahoma"/>
          <w:sz w:val="24"/>
          <w:szCs w:val="24"/>
        </w:rPr>
        <w:t>void urine) were done.</w:t>
      </w:r>
    </w:p>
    <w:p w14:paraId="551D2679" w14:textId="77777777" w:rsidR="00626E50" w:rsidRDefault="00044E43">
      <w:pPr>
        <w:rPr>
          <w:b/>
          <w:sz w:val="24"/>
          <w:szCs w:val="24"/>
          <w:lang w:val="en-GB"/>
        </w:rPr>
      </w:pPr>
      <w:r w:rsidRPr="00044E43">
        <w:rPr>
          <w:b/>
          <w:sz w:val="24"/>
          <w:szCs w:val="24"/>
          <w:lang w:val="en-GB"/>
        </w:rPr>
        <w:t>RESULTS</w:t>
      </w:r>
      <w:r w:rsidR="00B52CB8" w:rsidRPr="00044E43">
        <w:rPr>
          <w:b/>
          <w:sz w:val="24"/>
          <w:szCs w:val="24"/>
          <w:lang w:val="en-GB"/>
        </w:rPr>
        <w:t xml:space="preserve"> </w:t>
      </w:r>
    </w:p>
    <w:p w14:paraId="5A59DA47" w14:textId="77777777" w:rsidR="009D0BAF" w:rsidRDefault="00044E43" w:rsidP="00044E43">
      <w:pPr>
        <w:spacing w:line="480" w:lineRule="auto"/>
        <w:rPr>
          <w:b/>
          <w:sz w:val="24"/>
          <w:szCs w:val="24"/>
          <w:lang w:val="en-GB"/>
        </w:rPr>
      </w:pPr>
      <w:r>
        <w:rPr>
          <w:sz w:val="24"/>
          <w:szCs w:val="24"/>
          <w:lang w:val="en-GB"/>
        </w:rPr>
        <w:t>The most frequent age group was 60-69years [32], followed by 40-49years [27], then 60-69years [21]</w:t>
      </w:r>
      <w:r w:rsidR="008659AA">
        <w:rPr>
          <w:sz w:val="24"/>
          <w:szCs w:val="24"/>
          <w:lang w:val="en-GB"/>
        </w:rPr>
        <w:t>,</w:t>
      </w:r>
      <w:r>
        <w:rPr>
          <w:sz w:val="24"/>
          <w:szCs w:val="24"/>
          <w:lang w:val="en-GB"/>
        </w:rPr>
        <w:t xml:space="preserve"> and lastly 50-59years [20] for the BOO group. For the non-BOO group, the most frequent age group was 40-49 years [33</w:t>
      </w:r>
      <w:r w:rsidRPr="00044E43">
        <w:rPr>
          <w:b/>
          <w:sz w:val="24"/>
          <w:szCs w:val="24"/>
          <w:lang w:val="en-GB"/>
        </w:rPr>
        <w:t>]. Figure 1</w:t>
      </w:r>
      <w:r w:rsidR="009D0BAF">
        <w:rPr>
          <w:b/>
          <w:sz w:val="24"/>
          <w:szCs w:val="24"/>
          <w:lang w:val="en-GB"/>
        </w:rPr>
        <w:t xml:space="preserve"> </w:t>
      </w:r>
      <w:r>
        <w:rPr>
          <w:sz w:val="24"/>
          <w:szCs w:val="24"/>
          <w:lang w:val="en-GB"/>
        </w:rPr>
        <w:t xml:space="preserve">IPPS score distribution </w:t>
      </w:r>
      <w:r w:rsidR="008659AA">
        <w:rPr>
          <w:sz w:val="24"/>
          <w:szCs w:val="24"/>
          <w:lang w:val="en-GB"/>
        </w:rPr>
        <w:t>was</w:t>
      </w:r>
      <w:r>
        <w:rPr>
          <w:sz w:val="24"/>
          <w:szCs w:val="24"/>
          <w:lang w:val="en-GB"/>
        </w:rPr>
        <w:t xml:space="preserve"> as follows</w:t>
      </w:r>
      <w:r w:rsidR="008659AA">
        <w:rPr>
          <w:sz w:val="24"/>
          <w:szCs w:val="24"/>
          <w:lang w:val="en-GB"/>
        </w:rPr>
        <w:t>:</w:t>
      </w:r>
      <w:r>
        <w:rPr>
          <w:sz w:val="24"/>
          <w:szCs w:val="24"/>
          <w:lang w:val="en-GB"/>
        </w:rPr>
        <w:t xml:space="preserve"> 17, 78, </w:t>
      </w:r>
      <w:r>
        <w:rPr>
          <w:sz w:val="24"/>
          <w:szCs w:val="24"/>
          <w:lang w:val="en-GB"/>
        </w:rPr>
        <w:lastRenderedPageBreak/>
        <w:t>and 5 for mild, moderate, and severe for the study group.  All the participants in the control group were within the mild category</w:t>
      </w:r>
      <w:r w:rsidRPr="00D91C31">
        <w:rPr>
          <w:b/>
          <w:sz w:val="24"/>
          <w:szCs w:val="24"/>
          <w:lang w:val="en-GB"/>
        </w:rPr>
        <w:t>.</w:t>
      </w:r>
      <w:r w:rsidR="00D91C31" w:rsidRPr="00D91C31">
        <w:rPr>
          <w:b/>
          <w:sz w:val="24"/>
          <w:szCs w:val="24"/>
          <w:lang w:val="en-GB"/>
        </w:rPr>
        <w:t xml:space="preserve"> F</w:t>
      </w:r>
      <w:r w:rsidRPr="00D91C31">
        <w:rPr>
          <w:b/>
          <w:sz w:val="24"/>
          <w:szCs w:val="24"/>
          <w:lang w:val="en-GB"/>
        </w:rPr>
        <w:t>igure 2</w:t>
      </w:r>
    </w:p>
    <w:p w14:paraId="4417CC54" w14:textId="77777777" w:rsidR="00044E43" w:rsidRDefault="00D91C31" w:rsidP="00044E43">
      <w:pPr>
        <w:spacing w:line="480" w:lineRule="auto"/>
        <w:rPr>
          <w:b/>
          <w:sz w:val="24"/>
          <w:szCs w:val="24"/>
          <w:lang w:val="en-GB"/>
        </w:rPr>
      </w:pPr>
      <w:r>
        <w:rPr>
          <w:b/>
          <w:sz w:val="24"/>
          <w:szCs w:val="24"/>
          <w:lang w:val="en-GB"/>
        </w:rPr>
        <w:t xml:space="preserve"> </w:t>
      </w:r>
      <w:r>
        <w:rPr>
          <w:sz w:val="24"/>
          <w:szCs w:val="24"/>
          <w:lang w:val="en-GB"/>
        </w:rPr>
        <w:t>The mean age for the study group</w:t>
      </w:r>
      <w:r w:rsidR="00537592">
        <w:rPr>
          <w:sz w:val="24"/>
          <w:szCs w:val="24"/>
          <w:lang w:val="en-GB"/>
        </w:rPr>
        <w:t xml:space="preserve"> </w:t>
      </w:r>
      <w:r>
        <w:rPr>
          <w:sz w:val="24"/>
          <w:szCs w:val="24"/>
          <w:lang w:val="en-GB"/>
        </w:rPr>
        <w:t>was 62.6 years</w:t>
      </w:r>
      <w:r w:rsidR="00C83EBA">
        <w:rPr>
          <w:sz w:val="24"/>
          <w:szCs w:val="24"/>
          <w:lang w:val="en-GB"/>
        </w:rPr>
        <w:t>,</w:t>
      </w:r>
      <w:r>
        <w:rPr>
          <w:sz w:val="24"/>
          <w:szCs w:val="24"/>
          <w:lang w:val="en-GB"/>
        </w:rPr>
        <w:t xml:space="preserve"> while that for the control group was 63.6years. Mean prostate volume in the BOO group was 75.2cm</w:t>
      </w:r>
      <w:r>
        <w:rPr>
          <w:sz w:val="24"/>
          <w:szCs w:val="24"/>
          <w:vertAlign w:val="superscript"/>
          <w:lang w:val="en-GB"/>
        </w:rPr>
        <w:t>3</w:t>
      </w:r>
      <w:r>
        <w:rPr>
          <w:sz w:val="24"/>
          <w:szCs w:val="24"/>
          <w:lang w:val="en-GB"/>
        </w:rPr>
        <w:t xml:space="preserve"> while that for the non-BOO group was 21.4cm</w:t>
      </w:r>
      <w:r>
        <w:rPr>
          <w:sz w:val="24"/>
          <w:szCs w:val="24"/>
          <w:vertAlign w:val="superscript"/>
          <w:lang w:val="en-GB"/>
        </w:rPr>
        <w:t>3</w:t>
      </w:r>
      <w:r>
        <w:rPr>
          <w:sz w:val="24"/>
          <w:szCs w:val="24"/>
          <w:lang w:val="en-GB"/>
        </w:rPr>
        <w:t>.  The mean bladder wall thickness for the study group was 0.46cm</w:t>
      </w:r>
      <w:r w:rsidR="008659AA">
        <w:rPr>
          <w:sz w:val="24"/>
          <w:szCs w:val="24"/>
          <w:lang w:val="en-GB"/>
        </w:rPr>
        <w:t>,</w:t>
      </w:r>
      <w:r>
        <w:rPr>
          <w:sz w:val="24"/>
          <w:szCs w:val="24"/>
          <w:lang w:val="en-GB"/>
        </w:rPr>
        <w:t xml:space="preserve"> and that for the control group was 0.20cm. </w:t>
      </w:r>
      <w:r w:rsidR="008659AA">
        <w:rPr>
          <w:sz w:val="24"/>
          <w:szCs w:val="24"/>
          <w:lang w:val="en-GB"/>
        </w:rPr>
        <w:t>The mean</w:t>
      </w:r>
      <w:r>
        <w:rPr>
          <w:sz w:val="24"/>
          <w:szCs w:val="24"/>
          <w:lang w:val="en-GB"/>
        </w:rPr>
        <w:t xml:space="preserve"> IPPS in the BOO group was 10.35</w:t>
      </w:r>
      <w:r w:rsidR="008659AA">
        <w:rPr>
          <w:sz w:val="24"/>
          <w:szCs w:val="24"/>
          <w:lang w:val="en-GB"/>
        </w:rPr>
        <w:t>,</w:t>
      </w:r>
      <w:r>
        <w:rPr>
          <w:sz w:val="24"/>
          <w:szCs w:val="24"/>
          <w:lang w:val="en-GB"/>
        </w:rPr>
        <w:t xml:space="preserve"> and that for the non-BOO group was 0.34.  The PVR in the study group was 61.02cm</w:t>
      </w:r>
      <w:r>
        <w:rPr>
          <w:sz w:val="24"/>
          <w:szCs w:val="24"/>
          <w:vertAlign w:val="superscript"/>
          <w:lang w:val="en-GB"/>
        </w:rPr>
        <w:t>3</w:t>
      </w:r>
      <w:r w:rsidR="008659AA">
        <w:rPr>
          <w:sz w:val="24"/>
          <w:szCs w:val="24"/>
          <w:vertAlign w:val="superscript"/>
          <w:lang w:val="en-GB"/>
        </w:rPr>
        <w:t>,</w:t>
      </w:r>
      <w:r>
        <w:rPr>
          <w:sz w:val="24"/>
          <w:szCs w:val="24"/>
          <w:lang w:val="en-GB"/>
        </w:rPr>
        <w:t xml:space="preserve"> and that for the control was 16.23cm</w:t>
      </w:r>
      <w:r>
        <w:rPr>
          <w:sz w:val="24"/>
          <w:szCs w:val="24"/>
          <w:vertAlign w:val="superscript"/>
          <w:lang w:val="en-GB"/>
        </w:rPr>
        <w:t>3</w:t>
      </w:r>
      <w:r>
        <w:rPr>
          <w:sz w:val="24"/>
          <w:szCs w:val="24"/>
          <w:lang w:val="en-GB"/>
        </w:rPr>
        <w:t xml:space="preserve">. </w:t>
      </w:r>
      <w:r w:rsidRPr="00D91C31">
        <w:rPr>
          <w:b/>
          <w:sz w:val="24"/>
          <w:szCs w:val="24"/>
          <w:lang w:val="en-GB"/>
        </w:rPr>
        <w:t>Table 1</w:t>
      </w:r>
    </w:p>
    <w:p w14:paraId="600699FD" w14:textId="77777777" w:rsidR="00720CD2" w:rsidRDefault="00C83EBA" w:rsidP="00044E43">
      <w:pPr>
        <w:spacing w:line="480" w:lineRule="auto"/>
        <w:rPr>
          <w:b/>
          <w:sz w:val="24"/>
          <w:szCs w:val="24"/>
          <w:lang w:val="en-GB"/>
        </w:rPr>
      </w:pPr>
      <w:r>
        <w:rPr>
          <w:sz w:val="24"/>
          <w:szCs w:val="24"/>
          <w:lang w:val="en-GB"/>
        </w:rPr>
        <w:t>A</w:t>
      </w:r>
      <w:r w:rsidR="004D5BD4">
        <w:rPr>
          <w:sz w:val="24"/>
          <w:szCs w:val="24"/>
          <w:lang w:val="en-GB"/>
        </w:rPr>
        <w:t>ssociation</w:t>
      </w:r>
      <w:r w:rsidR="00720CD2">
        <w:rPr>
          <w:sz w:val="24"/>
          <w:szCs w:val="24"/>
          <w:lang w:val="en-GB"/>
        </w:rPr>
        <w:t xml:space="preserve"> between BWT</w:t>
      </w:r>
      <w:r w:rsidR="008C5B4F">
        <w:rPr>
          <w:sz w:val="24"/>
          <w:szCs w:val="24"/>
          <w:lang w:val="en-GB"/>
        </w:rPr>
        <w:t>, PVR</w:t>
      </w:r>
      <w:r w:rsidR="00720CD2">
        <w:rPr>
          <w:sz w:val="24"/>
          <w:szCs w:val="24"/>
          <w:lang w:val="en-GB"/>
        </w:rPr>
        <w:t xml:space="preserve">, and Prostate volume with </w:t>
      </w:r>
      <w:r w:rsidR="00D91C31">
        <w:rPr>
          <w:sz w:val="24"/>
          <w:szCs w:val="24"/>
          <w:lang w:val="en-GB"/>
        </w:rPr>
        <w:t xml:space="preserve">IPSS </w:t>
      </w:r>
      <w:r>
        <w:rPr>
          <w:sz w:val="24"/>
          <w:szCs w:val="24"/>
          <w:lang w:val="en-GB"/>
        </w:rPr>
        <w:t xml:space="preserve">showed </w:t>
      </w:r>
      <w:r w:rsidR="00D91C31">
        <w:rPr>
          <w:sz w:val="24"/>
          <w:szCs w:val="24"/>
          <w:lang w:val="en-GB"/>
        </w:rPr>
        <w:t xml:space="preserve">statistical significance </w:t>
      </w:r>
      <w:r w:rsidR="00720CD2">
        <w:rPr>
          <w:sz w:val="24"/>
          <w:szCs w:val="24"/>
          <w:lang w:val="en-GB"/>
        </w:rPr>
        <w:t xml:space="preserve">with p values of </w:t>
      </w:r>
      <w:r w:rsidR="00D91C31">
        <w:rPr>
          <w:sz w:val="24"/>
          <w:szCs w:val="24"/>
          <w:lang w:val="en-GB"/>
        </w:rPr>
        <w:t>0.006</w:t>
      </w:r>
      <w:r w:rsidR="00720CD2">
        <w:rPr>
          <w:sz w:val="24"/>
          <w:szCs w:val="24"/>
          <w:lang w:val="en-GB"/>
        </w:rPr>
        <w:t>, 0.000, and 0.006</w:t>
      </w:r>
      <w:r>
        <w:rPr>
          <w:sz w:val="24"/>
          <w:szCs w:val="24"/>
          <w:lang w:val="en-GB"/>
        </w:rPr>
        <w:t>,</w:t>
      </w:r>
      <w:r w:rsidR="00720CD2">
        <w:rPr>
          <w:sz w:val="24"/>
          <w:szCs w:val="24"/>
          <w:lang w:val="en-GB"/>
        </w:rPr>
        <w:t xml:space="preserve"> respectively</w:t>
      </w:r>
      <w:r w:rsidR="00D91C31">
        <w:rPr>
          <w:sz w:val="24"/>
          <w:szCs w:val="24"/>
          <w:lang w:val="en-GB"/>
        </w:rPr>
        <w:t xml:space="preserve">. </w:t>
      </w:r>
      <w:r w:rsidR="00420CFE">
        <w:rPr>
          <w:sz w:val="24"/>
          <w:szCs w:val="24"/>
          <w:lang w:val="en-GB"/>
        </w:rPr>
        <w:t xml:space="preserve"> </w:t>
      </w:r>
      <w:r w:rsidR="008C5B4F">
        <w:rPr>
          <w:b/>
          <w:sz w:val="24"/>
          <w:szCs w:val="24"/>
          <w:lang w:val="en-GB"/>
        </w:rPr>
        <w:t>Table 2</w:t>
      </w:r>
    </w:p>
    <w:p w14:paraId="784E7931" w14:textId="77777777" w:rsidR="00420CFE" w:rsidRPr="00726915" w:rsidRDefault="00726915" w:rsidP="00044E43">
      <w:pPr>
        <w:spacing w:line="480" w:lineRule="auto"/>
        <w:rPr>
          <w:b/>
          <w:sz w:val="24"/>
          <w:szCs w:val="24"/>
          <w:lang w:val="en-GB"/>
        </w:rPr>
      </w:pPr>
      <w:r>
        <w:rPr>
          <w:sz w:val="24"/>
          <w:szCs w:val="24"/>
          <w:lang w:val="en-GB"/>
        </w:rPr>
        <w:t xml:space="preserve">The relationship between the three </w:t>
      </w:r>
      <w:proofErr w:type="spellStart"/>
      <w:r>
        <w:rPr>
          <w:sz w:val="24"/>
          <w:szCs w:val="24"/>
          <w:lang w:val="en-GB"/>
        </w:rPr>
        <w:t>parametres</w:t>
      </w:r>
      <w:proofErr w:type="spellEnd"/>
      <w:r>
        <w:rPr>
          <w:sz w:val="24"/>
          <w:szCs w:val="24"/>
          <w:lang w:val="en-GB"/>
        </w:rPr>
        <w:t xml:space="preserve"> and IPPS in the study group showed a significance of 0.000. </w:t>
      </w:r>
      <w:r w:rsidR="008C5B4F">
        <w:rPr>
          <w:b/>
          <w:sz w:val="24"/>
          <w:szCs w:val="24"/>
          <w:lang w:val="en-GB"/>
        </w:rPr>
        <w:t>Table 3</w:t>
      </w:r>
    </w:p>
    <w:p w14:paraId="758C376C" w14:textId="77777777" w:rsidR="00720CD2" w:rsidRDefault="00726915" w:rsidP="00044E43">
      <w:pPr>
        <w:spacing w:line="480" w:lineRule="auto"/>
        <w:rPr>
          <w:b/>
          <w:sz w:val="24"/>
          <w:szCs w:val="24"/>
          <w:lang w:val="en-GB"/>
        </w:rPr>
      </w:pPr>
      <w:r>
        <w:rPr>
          <w:sz w:val="24"/>
          <w:szCs w:val="24"/>
          <w:lang w:val="en-GB"/>
        </w:rPr>
        <w:t xml:space="preserve">Pearson’s correlation showing the relationship between the variables and IPSS indicates that BWT and PVR, prostate volume and BWT, and prostate volume and PVR were the most significant. </w:t>
      </w:r>
      <w:r w:rsidR="00720CD2">
        <w:rPr>
          <w:b/>
          <w:sz w:val="24"/>
          <w:szCs w:val="24"/>
          <w:lang w:val="en-GB"/>
        </w:rPr>
        <w:t>Table 4</w:t>
      </w:r>
      <w:r w:rsidR="00E1338C">
        <w:rPr>
          <w:b/>
          <w:sz w:val="24"/>
          <w:szCs w:val="24"/>
          <w:lang w:val="en-GB"/>
        </w:rPr>
        <w:t xml:space="preserve"> </w:t>
      </w:r>
    </w:p>
    <w:p w14:paraId="1F37165C" w14:textId="77777777" w:rsidR="00720CD2" w:rsidRDefault="00726915" w:rsidP="00BA1F91">
      <w:pPr>
        <w:spacing w:line="480" w:lineRule="auto"/>
        <w:rPr>
          <w:b/>
          <w:sz w:val="24"/>
          <w:szCs w:val="24"/>
          <w:lang w:val="en-GB"/>
        </w:rPr>
      </w:pPr>
      <w:r>
        <w:rPr>
          <w:sz w:val="24"/>
          <w:szCs w:val="24"/>
          <w:lang w:val="en-GB"/>
        </w:rPr>
        <w:t>Multivariate logistic analysi</w:t>
      </w:r>
      <w:r w:rsidR="00C83EBA">
        <w:rPr>
          <w:sz w:val="24"/>
          <w:szCs w:val="24"/>
          <w:lang w:val="en-GB"/>
        </w:rPr>
        <w:t>s in</w:t>
      </w:r>
      <w:r>
        <w:rPr>
          <w:sz w:val="24"/>
          <w:szCs w:val="24"/>
          <w:lang w:val="en-GB"/>
        </w:rPr>
        <w:t xml:space="preserve"> mild IPPS showed that only BWT had a significance of 0.005. </w:t>
      </w:r>
      <w:r w:rsidR="00720CD2">
        <w:rPr>
          <w:b/>
          <w:sz w:val="24"/>
          <w:szCs w:val="24"/>
          <w:lang w:val="en-GB"/>
        </w:rPr>
        <w:t xml:space="preserve">Table 5 </w:t>
      </w:r>
      <w:r>
        <w:rPr>
          <w:sz w:val="24"/>
          <w:szCs w:val="24"/>
          <w:lang w:val="en-GB"/>
        </w:rPr>
        <w:t>Multivariate logist</w:t>
      </w:r>
      <w:r w:rsidR="00C83EBA">
        <w:rPr>
          <w:sz w:val="24"/>
          <w:szCs w:val="24"/>
          <w:lang w:val="en-GB"/>
        </w:rPr>
        <w:t xml:space="preserve">ic analysis in </w:t>
      </w:r>
      <w:r>
        <w:rPr>
          <w:sz w:val="24"/>
          <w:szCs w:val="24"/>
          <w:lang w:val="en-GB"/>
        </w:rPr>
        <w:t xml:space="preserve">moderate IPPS showed BWT with a significance of 0.00. </w:t>
      </w:r>
      <w:r w:rsidR="00720CD2">
        <w:rPr>
          <w:b/>
          <w:sz w:val="24"/>
          <w:szCs w:val="24"/>
          <w:lang w:val="en-GB"/>
        </w:rPr>
        <w:t>Table 6</w:t>
      </w:r>
    </w:p>
    <w:p w14:paraId="1F617F19" w14:textId="06A08C6C" w:rsidR="00E1338C" w:rsidRPr="0089307D" w:rsidRDefault="00BA1F91" w:rsidP="00BA1F91">
      <w:pPr>
        <w:spacing w:line="480" w:lineRule="auto"/>
        <w:rPr>
          <w:b/>
          <w:sz w:val="24"/>
          <w:szCs w:val="24"/>
          <w:lang w:val="en-GB"/>
        </w:rPr>
      </w:pPr>
      <w:r>
        <w:rPr>
          <w:sz w:val="24"/>
          <w:szCs w:val="24"/>
          <w:lang w:val="en-GB"/>
        </w:rPr>
        <w:t xml:space="preserve">PVR showed the highest sensitivity [68%] and the lowest specificity [42%]. BWT showed a sensitivity of 52% and a specificity of 48% while Prostate volume had a sensitivity of 59% and a </w:t>
      </w:r>
      <w:r>
        <w:rPr>
          <w:sz w:val="24"/>
          <w:szCs w:val="24"/>
          <w:lang w:val="en-GB"/>
        </w:rPr>
        <w:lastRenderedPageBreak/>
        <w:t xml:space="preserve">specificity of 44%. </w:t>
      </w:r>
      <w:r w:rsidR="00787660">
        <w:rPr>
          <w:b/>
          <w:sz w:val="24"/>
          <w:szCs w:val="24"/>
          <w:lang w:val="en-GB"/>
        </w:rPr>
        <w:t xml:space="preserve">Table </w:t>
      </w:r>
      <w:proofErr w:type="gramStart"/>
      <w:r w:rsidR="00485E7A">
        <w:rPr>
          <w:b/>
          <w:sz w:val="24"/>
          <w:szCs w:val="24"/>
          <w:lang w:val="en-GB"/>
        </w:rPr>
        <w:t>8</w:t>
      </w:r>
      <w:r w:rsidR="00E1338C">
        <w:rPr>
          <w:b/>
          <w:sz w:val="24"/>
          <w:szCs w:val="24"/>
          <w:lang w:val="en-GB"/>
        </w:rPr>
        <w:t xml:space="preserve"> </w:t>
      </w:r>
      <w:r w:rsidR="00C83EBA">
        <w:rPr>
          <w:b/>
          <w:sz w:val="24"/>
          <w:szCs w:val="24"/>
          <w:lang w:val="en-GB"/>
        </w:rPr>
        <w:t xml:space="preserve"> </w:t>
      </w:r>
      <w:r>
        <w:rPr>
          <w:sz w:val="24"/>
          <w:szCs w:val="24"/>
          <w:lang w:val="en-GB"/>
        </w:rPr>
        <w:t>Receiver</w:t>
      </w:r>
      <w:proofErr w:type="gramEnd"/>
      <w:r>
        <w:rPr>
          <w:sz w:val="24"/>
          <w:szCs w:val="24"/>
          <w:lang w:val="en-GB"/>
        </w:rPr>
        <w:t xml:space="preserve"> operating curve showed BWT</w:t>
      </w:r>
      <w:r w:rsidR="00C83EBA">
        <w:rPr>
          <w:sz w:val="24"/>
          <w:szCs w:val="24"/>
          <w:lang w:val="en-GB"/>
        </w:rPr>
        <w:t>, Prostate volume, and PVR with values of 0.314, 0.249, and</w:t>
      </w:r>
      <w:r>
        <w:rPr>
          <w:sz w:val="24"/>
          <w:szCs w:val="24"/>
          <w:lang w:val="en-GB"/>
        </w:rPr>
        <w:t xml:space="preserve"> 0.246. </w:t>
      </w:r>
      <w:r w:rsidRPr="00BA1F91">
        <w:rPr>
          <w:b/>
          <w:sz w:val="24"/>
          <w:szCs w:val="24"/>
          <w:lang w:val="en-GB"/>
        </w:rPr>
        <w:t>Figure 3</w:t>
      </w:r>
    </w:p>
    <w:p w14:paraId="7A5593FB" w14:textId="77777777" w:rsidR="00E615A9" w:rsidRDefault="00AB28D9">
      <w:pPr>
        <w:rPr>
          <w:sz w:val="24"/>
          <w:szCs w:val="24"/>
          <w:lang w:val="en-GB"/>
        </w:rPr>
      </w:pPr>
      <w:r>
        <w:rPr>
          <w:noProof/>
          <w:sz w:val="24"/>
          <w:szCs w:val="24"/>
        </w:rPr>
        <w:drawing>
          <wp:inline distT="0" distB="0" distL="0" distR="0" wp14:anchorId="5E4FAD3F" wp14:editId="31B64405">
            <wp:extent cx="5257165" cy="35140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165" cy="3514090"/>
                    </a:xfrm>
                    <a:prstGeom prst="rect">
                      <a:avLst/>
                    </a:prstGeom>
                    <a:noFill/>
                  </pic:spPr>
                </pic:pic>
              </a:graphicData>
            </a:graphic>
          </wp:inline>
        </w:drawing>
      </w:r>
    </w:p>
    <w:p w14:paraId="401B0356" w14:textId="77777777" w:rsidR="00E615A9" w:rsidRDefault="00AB28D9" w:rsidP="0089307D">
      <w:pPr>
        <w:spacing w:line="360" w:lineRule="auto"/>
        <w:jc w:val="both"/>
        <w:rPr>
          <w:noProof/>
          <w:sz w:val="28"/>
          <w:szCs w:val="28"/>
          <w:lang w:eastAsia="en-GB"/>
        </w:rPr>
      </w:pPr>
      <w:r>
        <w:rPr>
          <w:b/>
          <w:sz w:val="24"/>
          <w:szCs w:val="24"/>
        </w:rPr>
        <w:t>FIGURE 1</w:t>
      </w:r>
      <w:r w:rsidR="00B52CB8" w:rsidRPr="008E4487">
        <w:rPr>
          <w:b/>
          <w:sz w:val="24"/>
          <w:szCs w:val="24"/>
        </w:rPr>
        <w:t>:</w:t>
      </w:r>
      <w:r w:rsidR="00B52CB8" w:rsidRPr="008E4487">
        <w:rPr>
          <w:b/>
        </w:rPr>
        <w:t xml:space="preserve"> </w:t>
      </w:r>
      <w:r w:rsidRPr="00933EE8">
        <w:rPr>
          <w:noProof/>
          <w:sz w:val="28"/>
          <w:szCs w:val="28"/>
          <w:lang w:eastAsia="en-GB"/>
        </w:rPr>
        <w:t>H</w:t>
      </w:r>
      <w:r w:rsidR="00767D81">
        <w:rPr>
          <w:noProof/>
          <w:sz w:val="28"/>
          <w:szCs w:val="28"/>
          <w:lang w:eastAsia="en-GB"/>
        </w:rPr>
        <w:t xml:space="preserve">istogram representation of the age distribution of subjects. </w:t>
      </w:r>
    </w:p>
    <w:p w14:paraId="675BDD85" w14:textId="77777777" w:rsidR="004D5BD4" w:rsidRPr="00E615A9" w:rsidRDefault="004D5BD4" w:rsidP="0089307D">
      <w:pPr>
        <w:spacing w:line="360" w:lineRule="auto"/>
        <w:jc w:val="both"/>
        <w:rPr>
          <w:noProof/>
          <w:sz w:val="24"/>
          <w:szCs w:val="24"/>
          <w:lang w:eastAsia="en-GB"/>
        </w:rPr>
      </w:pPr>
    </w:p>
    <w:p w14:paraId="4A4E2B01" w14:textId="77777777" w:rsidR="00E615A9" w:rsidRDefault="00B52CB8">
      <w:pPr>
        <w:rPr>
          <w:sz w:val="28"/>
          <w:szCs w:val="28"/>
        </w:rPr>
      </w:pPr>
      <w:r>
        <w:rPr>
          <w:noProof/>
          <w:sz w:val="28"/>
          <w:szCs w:val="28"/>
        </w:rPr>
        <w:lastRenderedPageBreak/>
        <w:drawing>
          <wp:inline distT="0" distB="0" distL="0" distR="0" wp14:anchorId="385C5081" wp14:editId="488932CA">
            <wp:extent cx="5180965" cy="30187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0965" cy="3018790"/>
                    </a:xfrm>
                    <a:prstGeom prst="rect">
                      <a:avLst/>
                    </a:prstGeom>
                    <a:noFill/>
                  </pic:spPr>
                </pic:pic>
              </a:graphicData>
            </a:graphic>
          </wp:inline>
        </w:drawing>
      </w:r>
    </w:p>
    <w:p w14:paraId="33D4B096" w14:textId="77777777" w:rsidR="00FC7D95" w:rsidRDefault="00FC7D95">
      <w:pPr>
        <w:rPr>
          <w:b/>
          <w:sz w:val="24"/>
          <w:szCs w:val="24"/>
        </w:rPr>
      </w:pPr>
    </w:p>
    <w:p w14:paraId="01874190" w14:textId="77777777" w:rsidR="00BA1F91" w:rsidRPr="0089307D" w:rsidRDefault="00AB28D9">
      <w:pPr>
        <w:rPr>
          <w:sz w:val="24"/>
          <w:szCs w:val="24"/>
        </w:rPr>
      </w:pPr>
      <w:r>
        <w:rPr>
          <w:b/>
          <w:sz w:val="24"/>
          <w:szCs w:val="24"/>
        </w:rPr>
        <w:t>FIGURE 2</w:t>
      </w:r>
      <w:r w:rsidR="00B52CB8" w:rsidRPr="008E4487">
        <w:t>:</w:t>
      </w:r>
      <w:r w:rsidR="00B52CB8" w:rsidRPr="008E4487">
        <w:rPr>
          <w:sz w:val="24"/>
          <w:szCs w:val="24"/>
        </w:rPr>
        <w:t xml:space="preserve"> </w:t>
      </w:r>
      <w:r w:rsidR="00767D81">
        <w:rPr>
          <w:sz w:val="24"/>
          <w:szCs w:val="24"/>
        </w:rPr>
        <w:t>Bar chart showing IPPS scores of the participants.</w:t>
      </w:r>
    </w:p>
    <w:p w14:paraId="3CEAE756" w14:textId="77777777" w:rsidR="00E615A9" w:rsidRPr="00E615A9" w:rsidRDefault="00B52CB8" w:rsidP="00FC7D95">
      <w:pPr>
        <w:spacing w:line="480" w:lineRule="auto"/>
        <w:rPr>
          <w:sz w:val="24"/>
          <w:szCs w:val="24"/>
        </w:rPr>
      </w:pPr>
      <w:r w:rsidRPr="00E615A9">
        <w:rPr>
          <w:b/>
          <w:sz w:val="24"/>
          <w:szCs w:val="24"/>
        </w:rPr>
        <w:t xml:space="preserve">TABLE </w:t>
      </w:r>
      <w:r w:rsidR="0054780E">
        <w:rPr>
          <w:b/>
          <w:sz w:val="24"/>
          <w:szCs w:val="24"/>
        </w:rPr>
        <w:t>1</w:t>
      </w:r>
      <w:r w:rsidRPr="00933EE8">
        <w:rPr>
          <w:sz w:val="24"/>
          <w:szCs w:val="24"/>
        </w:rPr>
        <w:t>:</w:t>
      </w:r>
      <w:r w:rsidRPr="00933EE8">
        <w:rPr>
          <w:sz w:val="28"/>
          <w:szCs w:val="28"/>
        </w:rPr>
        <w:t xml:space="preserve"> </w:t>
      </w:r>
      <w:r w:rsidR="00767D81">
        <w:rPr>
          <w:sz w:val="24"/>
          <w:szCs w:val="24"/>
        </w:rPr>
        <w:t xml:space="preserve">Mean values for the </w:t>
      </w:r>
      <w:proofErr w:type="spellStart"/>
      <w:r w:rsidR="00767D81">
        <w:rPr>
          <w:sz w:val="24"/>
          <w:szCs w:val="24"/>
        </w:rPr>
        <w:t>clinico</w:t>
      </w:r>
      <w:proofErr w:type="spellEnd"/>
      <w:r w:rsidR="00767D81">
        <w:rPr>
          <w:sz w:val="24"/>
          <w:szCs w:val="24"/>
        </w:rPr>
        <w:t>-</w:t>
      </w:r>
      <w:r w:rsidR="00787660">
        <w:rPr>
          <w:sz w:val="24"/>
          <w:szCs w:val="24"/>
        </w:rPr>
        <w:t>radiological findings in BOO and control</w:t>
      </w:r>
      <w:r w:rsidR="00767D81">
        <w:rPr>
          <w:sz w:val="24"/>
          <w:szCs w:val="24"/>
        </w:rPr>
        <w:t xml:space="preserve"> subjects.</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439"/>
        <w:gridCol w:w="1000"/>
        <w:gridCol w:w="998"/>
        <w:gridCol w:w="641"/>
        <w:gridCol w:w="771"/>
        <w:gridCol w:w="129"/>
      </w:tblGrid>
      <w:tr w:rsidR="00325CF9" w14:paraId="6A657CB5" w14:textId="77777777" w:rsidTr="00D174AD">
        <w:trPr>
          <w:cantSplit/>
          <w:trHeight w:val="986"/>
          <w:tblHeader/>
        </w:trPr>
        <w:tc>
          <w:tcPr>
            <w:tcW w:w="2402"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1AB9A6A9" w14:textId="77777777" w:rsidR="00E615A9" w:rsidRDefault="00E615A9" w:rsidP="00E615A9">
            <w:pPr>
              <w:autoSpaceDE w:val="0"/>
              <w:autoSpaceDN w:val="0"/>
              <w:adjustRightInd w:val="0"/>
              <w:spacing w:after="0" w:line="360" w:lineRule="auto"/>
              <w:jc w:val="both"/>
              <w:rPr>
                <w:rFonts w:ascii="Calibri" w:eastAsia="Calibri" w:hAnsi="Calibri" w:cs="Times New Roman"/>
                <w:sz w:val="24"/>
                <w:szCs w:val="24"/>
              </w:rPr>
            </w:pPr>
          </w:p>
          <w:p w14:paraId="5F3B6D38" w14:textId="77777777" w:rsidR="00FC7D95" w:rsidRDefault="00FC7D95" w:rsidP="00E615A9">
            <w:pPr>
              <w:autoSpaceDE w:val="0"/>
              <w:autoSpaceDN w:val="0"/>
              <w:adjustRightInd w:val="0"/>
              <w:spacing w:after="0" w:line="360" w:lineRule="auto"/>
              <w:jc w:val="both"/>
              <w:rPr>
                <w:rFonts w:ascii="Calibri" w:eastAsia="Calibri" w:hAnsi="Calibri" w:cs="Times New Roman"/>
                <w:sz w:val="24"/>
                <w:szCs w:val="24"/>
              </w:rPr>
            </w:pPr>
          </w:p>
          <w:p w14:paraId="05D9F6A8" w14:textId="77777777" w:rsidR="00437244" w:rsidRPr="00E615A9" w:rsidRDefault="00B52CB8" w:rsidP="00E615A9">
            <w:pPr>
              <w:autoSpaceDE w:val="0"/>
              <w:autoSpaceDN w:val="0"/>
              <w:adjustRightInd w:val="0"/>
              <w:spacing w:after="0" w:line="360" w:lineRule="auto"/>
              <w:jc w:val="both"/>
              <w:rPr>
                <w:rFonts w:ascii="Calibri" w:eastAsia="Calibri" w:hAnsi="Calibri" w:cs="Times New Roman"/>
                <w:sz w:val="24"/>
                <w:szCs w:val="24"/>
              </w:rPr>
            </w:pPr>
            <w:r>
              <w:rPr>
                <w:rFonts w:ascii="Calibri" w:eastAsia="Calibri" w:hAnsi="Calibri" w:cs="Times New Roman"/>
                <w:sz w:val="24"/>
                <w:szCs w:val="24"/>
              </w:rPr>
              <w:t>Variables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5D8416F"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Groups</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452EDDB"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N</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C7BBCAF"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Mean</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2023C0C"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3AC67439"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r>
      <w:tr w:rsidR="00325CF9" w14:paraId="6671F06A"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526E08F7" w14:textId="77777777" w:rsidR="00437244"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 xml:space="preserve">Age </w:t>
            </w:r>
          </w:p>
          <w:p w14:paraId="625AC412"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w:t>
            </w:r>
            <w:proofErr w:type="spellStart"/>
            <w:r w:rsidRPr="00E615A9">
              <w:rPr>
                <w:rFonts w:ascii="Calibri" w:eastAsia="Calibri" w:hAnsi="Calibri" w:cs="Arial"/>
                <w:b/>
                <w:color w:val="000000"/>
                <w:sz w:val="24"/>
                <w:szCs w:val="24"/>
              </w:rPr>
              <w:t>yrs</w:t>
            </w:r>
            <w:proofErr w:type="spellEnd"/>
            <w:r w:rsidRPr="00E615A9">
              <w:rPr>
                <w:rFonts w:ascii="Calibri" w:eastAsia="Calibri" w:hAnsi="Calibri" w:cs="Arial"/>
                <w:b/>
                <w:color w:val="000000"/>
                <w:sz w:val="24"/>
                <w:szCs w:val="24"/>
              </w:rPr>
              <w:t>)</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F20C64C"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76430B2"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9ACE366"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62.60</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89C8584"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47BADB0A"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084C79F2"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3C20EDEC"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56544149"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9598374"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A14F598"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63.61</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11EBD2F"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34C7C61"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457645BD"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78EEF12F" w14:textId="77777777" w:rsidR="00787660"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Pr>
                <w:rFonts w:ascii="Calibri" w:eastAsia="Calibri" w:hAnsi="Calibri" w:cs="Arial"/>
                <w:b/>
                <w:color w:val="000000"/>
                <w:sz w:val="24"/>
                <w:szCs w:val="24"/>
              </w:rPr>
              <w:t>Duration of</w:t>
            </w:r>
          </w:p>
          <w:p w14:paraId="01A781BA"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Pr>
                <w:rFonts w:ascii="Calibri" w:eastAsia="Calibri" w:hAnsi="Calibri" w:cs="Arial"/>
                <w:b/>
                <w:color w:val="000000"/>
                <w:sz w:val="24"/>
                <w:szCs w:val="24"/>
              </w:rPr>
              <w:t>symptoms (wee</w:t>
            </w:r>
            <w:r w:rsidRPr="00E615A9">
              <w:rPr>
                <w:rFonts w:ascii="Calibri" w:eastAsia="Calibri" w:hAnsi="Calibri" w:cs="Arial"/>
                <w:b/>
                <w:color w:val="000000"/>
                <w:sz w:val="24"/>
                <w:szCs w:val="24"/>
              </w:rPr>
              <w:t>ks)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228748B"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50BC646"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FC23F3D"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7.88</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A00D425"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0CD794DB"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1BFC3988"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655E35A1"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A3C56C0"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7D8E7DB"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74389CF"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0.00</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50AAE75"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05D37355"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5C8D2488"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3637CBFB" w14:textId="77777777" w:rsidR="00437244"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 xml:space="preserve">Prostatic volume </w:t>
            </w:r>
          </w:p>
          <w:p w14:paraId="15993128"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(cm3)</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0FF7E42"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49B82B1"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CF19C89"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75.1539</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C0F249D"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3BFC63CB"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39909B65"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2DBF61AE"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21315BF"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1360971"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11511B7"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21.4090</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0554EE8"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23C0E151"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3E082148"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7BA649A7" w14:textId="77777777" w:rsidR="00787660"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Bladder wall</w:t>
            </w:r>
          </w:p>
          <w:p w14:paraId="35649550"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thickness (cm)</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EC0EB76"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A16000E"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90D1265"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0.4645</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5878987"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7BB3DBE7"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00FD4C0A"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58F1A471"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93E625C"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9503F0E"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69001E9"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0.2034</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DA60B02"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56010A84"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394FD2BE"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105AC632"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IPSS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572263D"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731A860"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7151B2B"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10.35</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FC009DE"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25473F30"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5DB90697"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46548AFE"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4650AD7"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Non-BOO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35DA868"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B127080"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0.34</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D72CCB8"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8249019"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7E28AC90"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1E3EC432" w14:textId="77777777" w:rsidR="00787660"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 xml:space="preserve">Post-void urine </w:t>
            </w:r>
          </w:p>
          <w:p w14:paraId="68F976DF"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volume (</w:t>
            </w:r>
            <w:proofErr w:type="spellStart"/>
            <w:r w:rsidRPr="00E615A9">
              <w:rPr>
                <w:rFonts w:ascii="Calibri" w:eastAsia="Calibri" w:hAnsi="Calibri" w:cs="Arial"/>
                <w:b/>
                <w:color w:val="000000"/>
                <w:sz w:val="24"/>
                <w:szCs w:val="24"/>
              </w:rPr>
              <w:t>mls</w:t>
            </w:r>
            <w:proofErr w:type="spellEnd"/>
            <w:r w:rsidRPr="00E615A9">
              <w:rPr>
                <w:rFonts w:ascii="Calibri" w:eastAsia="Calibri" w:hAnsi="Calibri" w:cs="Arial"/>
                <w:b/>
                <w:color w:val="000000"/>
                <w:sz w:val="24"/>
                <w:szCs w:val="24"/>
              </w:rPr>
              <w:t>)</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5523881"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E4E917D"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7306671"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61.0252</w:t>
            </w:r>
          </w:p>
        </w:tc>
        <w:tc>
          <w:tcPr>
            <w:tcW w:w="141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6D6C49C"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78415A0D"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5C05986F" w14:textId="77777777" w:rsidTr="00D174AD">
        <w:trPr>
          <w:cantSplit/>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79711CA6"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36514C1"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Non-BOO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7D9DABF"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BA9B8C9"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16.2300</w:t>
            </w:r>
          </w:p>
        </w:tc>
        <w:tc>
          <w:tcPr>
            <w:tcW w:w="141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922EA56"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B84AD9F"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bl>
    <w:p w14:paraId="5DB5B4E9" w14:textId="77777777" w:rsidR="00855D7A" w:rsidRDefault="00855D7A" w:rsidP="00437244">
      <w:pPr>
        <w:spacing w:line="360" w:lineRule="auto"/>
        <w:jc w:val="both"/>
        <w:rPr>
          <w:b/>
          <w:sz w:val="24"/>
          <w:szCs w:val="24"/>
        </w:rPr>
      </w:pPr>
    </w:p>
    <w:p w14:paraId="1EEA3FA4" w14:textId="77777777" w:rsidR="008C5B4F" w:rsidRDefault="00B52CB8" w:rsidP="00437244">
      <w:pPr>
        <w:spacing w:line="360" w:lineRule="auto"/>
        <w:jc w:val="both"/>
        <w:rPr>
          <w:sz w:val="24"/>
          <w:szCs w:val="24"/>
        </w:rPr>
      </w:pPr>
      <w:r w:rsidRPr="00437244">
        <w:rPr>
          <w:b/>
          <w:sz w:val="24"/>
          <w:szCs w:val="24"/>
        </w:rPr>
        <w:t>TABLE</w:t>
      </w:r>
      <w:r w:rsidR="00787660">
        <w:rPr>
          <w:b/>
          <w:sz w:val="24"/>
          <w:szCs w:val="24"/>
        </w:rPr>
        <w:t xml:space="preserve"> 2</w:t>
      </w:r>
      <w:r w:rsidRPr="00437244">
        <w:rPr>
          <w:b/>
          <w:sz w:val="24"/>
          <w:szCs w:val="24"/>
        </w:rPr>
        <w:t>:</w:t>
      </w:r>
      <w:r>
        <w:rPr>
          <w:b/>
          <w:sz w:val="28"/>
          <w:szCs w:val="28"/>
        </w:rPr>
        <w:t xml:space="preserve"> </w:t>
      </w:r>
      <w:r w:rsidR="0054780E">
        <w:rPr>
          <w:sz w:val="24"/>
          <w:szCs w:val="24"/>
        </w:rPr>
        <w:t>A</w:t>
      </w:r>
      <w:r w:rsidR="00787660">
        <w:rPr>
          <w:sz w:val="24"/>
          <w:szCs w:val="24"/>
        </w:rPr>
        <w:t xml:space="preserve">ssociation between IPPS and </w:t>
      </w:r>
      <w:r w:rsidR="008C5B4F">
        <w:rPr>
          <w:sz w:val="24"/>
          <w:szCs w:val="24"/>
        </w:rPr>
        <w:t xml:space="preserve">all three </w:t>
      </w:r>
      <w:proofErr w:type="spellStart"/>
      <w:r w:rsidR="008C5B4F">
        <w:rPr>
          <w:sz w:val="24"/>
          <w:szCs w:val="24"/>
        </w:rPr>
        <w:t>parametres</w:t>
      </w:r>
      <w:proofErr w:type="spellEnd"/>
      <w:r w:rsidR="008C5B4F">
        <w:rPr>
          <w:sz w:val="24"/>
          <w:szCs w:val="24"/>
        </w:rPr>
        <w:t xml:space="preserve"> </w:t>
      </w:r>
    </w:p>
    <w:tbl>
      <w:tblPr>
        <w:tblStyle w:val="TableGrid"/>
        <w:tblW w:w="0" w:type="auto"/>
        <w:tblLook w:val="04A0" w:firstRow="1" w:lastRow="0" w:firstColumn="1" w:lastColumn="0" w:noHBand="0" w:noVBand="1"/>
      </w:tblPr>
      <w:tblGrid>
        <w:gridCol w:w="3116"/>
        <w:gridCol w:w="690"/>
        <w:gridCol w:w="1440"/>
        <w:gridCol w:w="987"/>
        <w:gridCol w:w="3117"/>
      </w:tblGrid>
      <w:tr w:rsidR="008C5B4F" w14:paraId="016D34F5" w14:textId="77777777" w:rsidTr="008C5B4F">
        <w:tc>
          <w:tcPr>
            <w:tcW w:w="3116" w:type="dxa"/>
          </w:tcPr>
          <w:p w14:paraId="1B9826C2" w14:textId="77777777" w:rsidR="008C5B4F" w:rsidRPr="008C5B4F" w:rsidRDefault="008C5B4F" w:rsidP="00437244">
            <w:pPr>
              <w:spacing w:line="360" w:lineRule="auto"/>
              <w:jc w:val="both"/>
              <w:rPr>
                <w:b/>
                <w:sz w:val="24"/>
                <w:szCs w:val="24"/>
              </w:rPr>
            </w:pPr>
            <w:proofErr w:type="spellStart"/>
            <w:r w:rsidRPr="008C5B4F">
              <w:rPr>
                <w:b/>
                <w:sz w:val="24"/>
                <w:szCs w:val="24"/>
              </w:rPr>
              <w:t>Parametres</w:t>
            </w:r>
            <w:proofErr w:type="spellEnd"/>
            <w:r w:rsidRPr="008C5B4F">
              <w:rPr>
                <w:b/>
                <w:sz w:val="24"/>
                <w:szCs w:val="24"/>
              </w:rPr>
              <w:t xml:space="preserve"> </w:t>
            </w:r>
          </w:p>
        </w:tc>
        <w:tc>
          <w:tcPr>
            <w:tcW w:w="3117" w:type="dxa"/>
            <w:gridSpan w:val="3"/>
          </w:tcPr>
          <w:p w14:paraId="3713B273" w14:textId="77777777" w:rsidR="008C5B4F" w:rsidRPr="008C5B4F" w:rsidRDefault="008C5B4F" w:rsidP="00437244">
            <w:pPr>
              <w:spacing w:line="360" w:lineRule="auto"/>
              <w:jc w:val="both"/>
              <w:rPr>
                <w:b/>
                <w:sz w:val="24"/>
                <w:szCs w:val="24"/>
              </w:rPr>
            </w:pPr>
            <w:r w:rsidRPr="008C5B4F">
              <w:rPr>
                <w:b/>
                <w:sz w:val="24"/>
                <w:szCs w:val="24"/>
              </w:rPr>
              <w:t xml:space="preserve">IPPS </w:t>
            </w:r>
          </w:p>
        </w:tc>
        <w:tc>
          <w:tcPr>
            <w:tcW w:w="3117" w:type="dxa"/>
          </w:tcPr>
          <w:p w14:paraId="09B1B4AE" w14:textId="77777777" w:rsidR="008C5B4F" w:rsidRPr="008C5B4F" w:rsidRDefault="008C5B4F" w:rsidP="00437244">
            <w:pPr>
              <w:spacing w:line="360" w:lineRule="auto"/>
              <w:jc w:val="both"/>
              <w:rPr>
                <w:b/>
                <w:sz w:val="24"/>
                <w:szCs w:val="24"/>
              </w:rPr>
            </w:pPr>
            <w:r w:rsidRPr="008C5B4F">
              <w:rPr>
                <w:b/>
                <w:sz w:val="24"/>
                <w:szCs w:val="24"/>
              </w:rPr>
              <w:t>Chi square</w:t>
            </w:r>
          </w:p>
        </w:tc>
      </w:tr>
      <w:tr w:rsidR="008C5B4F" w14:paraId="4651F79E" w14:textId="77777777" w:rsidTr="008C5B4F">
        <w:tc>
          <w:tcPr>
            <w:tcW w:w="3116" w:type="dxa"/>
          </w:tcPr>
          <w:p w14:paraId="559541E4" w14:textId="77777777" w:rsidR="008C5B4F" w:rsidRPr="008C5B4F" w:rsidRDefault="008C5B4F" w:rsidP="00437244">
            <w:pPr>
              <w:spacing w:line="360" w:lineRule="auto"/>
              <w:jc w:val="both"/>
              <w:rPr>
                <w:b/>
                <w:sz w:val="24"/>
                <w:szCs w:val="24"/>
              </w:rPr>
            </w:pPr>
            <w:r w:rsidRPr="008C5B4F">
              <w:rPr>
                <w:b/>
                <w:sz w:val="24"/>
                <w:szCs w:val="24"/>
              </w:rPr>
              <w:t>BWT</w:t>
            </w:r>
          </w:p>
        </w:tc>
        <w:tc>
          <w:tcPr>
            <w:tcW w:w="690" w:type="dxa"/>
          </w:tcPr>
          <w:p w14:paraId="5A0DAC15" w14:textId="77777777" w:rsidR="008C5B4F" w:rsidRDefault="008C5B4F" w:rsidP="00437244">
            <w:pPr>
              <w:spacing w:line="360" w:lineRule="auto"/>
              <w:jc w:val="both"/>
              <w:rPr>
                <w:sz w:val="24"/>
                <w:szCs w:val="24"/>
              </w:rPr>
            </w:pPr>
            <w:r>
              <w:rPr>
                <w:sz w:val="24"/>
                <w:szCs w:val="24"/>
              </w:rPr>
              <w:t>Mild</w:t>
            </w:r>
          </w:p>
        </w:tc>
        <w:tc>
          <w:tcPr>
            <w:tcW w:w="1440" w:type="dxa"/>
          </w:tcPr>
          <w:p w14:paraId="598F8848" w14:textId="77777777" w:rsidR="008C5B4F" w:rsidRDefault="008C5B4F" w:rsidP="00437244">
            <w:pPr>
              <w:spacing w:line="360" w:lineRule="auto"/>
              <w:jc w:val="both"/>
              <w:rPr>
                <w:sz w:val="24"/>
                <w:szCs w:val="24"/>
              </w:rPr>
            </w:pPr>
            <w:r>
              <w:rPr>
                <w:sz w:val="24"/>
                <w:szCs w:val="24"/>
              </w:rPr>
              <w:t>Moderate</w:t>
            </w:r>
          </w:p>
        </w:tc>
        <w:tc>
          <w:tcPr>
            <w:tcW w:w="987" w:type="dxa"/>
          </w:tcPr>
          <w:p w14:paraId="726C0626" w14:textId="77777777" w:rsidR="008C5B4F" w:rsidRDefault="008C5B4F" w:rsidP="00437244">
            <w:pPr>
              <w:spacing w:line="360" w:lineRule="auto"/>
              <w:jc w:val="both"/>
              <w:rPr>
                <w:sz w:val="24"/>
                <w:szCs w:val="24"/>
              </w:rPr>
            </w:pPr>
            <w:r>
              <w:rPr>
                <w:sz w:val="24"/>
                <w:szCs w:val="24"/>
              </w:rPr>
              <w:t>Severe</w:t>
            </w:r>
          </w:p>
        </w:tc>
        <w:tc>
          <w:tcPr>
            <w:tcW w:w="3117" w:type="dxa"/>
          </w:tcPr>
          <w:p w14:paraId="3534D166" w14:textId="77777777" w:rsidR="008C5B4F" w:rsidRDefault="008C5B4F" w:rsidP="00437244">
            <w:pPr>
              <w:spacing w:line="360" w:lineRule="auto"/>
              <w:jc w:val="both"/>
              <w:rPr>
                <w:sz w:val="24"/>
                <w:szCs w:val="24"/>
              </w:rPr>
            </w:pPr>
            <w:r>
              <w:rPr>
                <w:sz w:val="24"/>
                <w:szCs w:val="24"/>
              </w:rPr>
              <w:t>0.006</w:t>
            </w:r>
            <w:r w:rsidR="00C83EBA">
              <w:rPr>
                <w:sz w:val="24"/>
                <w:szCs w:val="24"/>
              </w:rPr>
              <w:t>*</w:t>
            </w:r>
          </w:p>
        </w:tc>
      </w:tr>
      <w:tr w:rsidR="008C5B4F" w14:paraId="2E795370" w14:textId="77777777" w:rsidTr="008C5B4F">
        <w:tc>
          <w:tcPr>
            <w:tcW w:w="3116" w:type="dxa"/>
          </w:tcPr>
          <w:p w14:paraId="51953FC4" w14:textId="77777777" w:rsidR="008C5B4F" w:rsidRPr="008C5B4F" w:rsidRDefault="008C5B4F" w:rsidP="00437244">
            <w:pPr>
              <w:spacing w:line="360" w:lineRule="auto"/>
              <w:jc w:val="both"/>
              <w:rPr>
                <w:b/>
                <w:sz w:val="24"/>
                <w:szCs w:val="24"/>
              </w:rPr>
            </w:pPr>
            <w:r w:rsidRPr="008C5B4F">
              <w:rPr>
                <w:b/>
                <w:sz w:val="24"/>
                <w:szCs w:val="24"/>
              </w:rPr>
              <w:t>PVR</w:t>
            </w:r>
          </w:p>
        </w:tc>
        <w:tc>
          <w:tcPr>
            <w:tcW w:w="690" w:type="dxa"/>
          </w:tcPr>
          <w:p w14:paraId="65BC1419" w14:textId="77777777" w:rsidR="008C5B4F" w:rsidRDefault="008C5B4F" w:rsidP="00437244">
            <w:pPr>
              <w:spacing w:line="360" w:lineRule="auto"/>
              <w:jc w:val="both"/>
              <w:rPr>
                <w:sz w:val="24"/>
                <w:szCs w:val="24"/>
              </w:rPr>
            </w:pPr>
            <w:r>
              <w:rPr>
                <w:sz w:val="24"/>
                <w:szCs w:val="24"/>
              </w:rPr>
              <w:t>Mild</w:t>
            </w:r>
          </w:p>
        </w:tc>
        <w:tc>
          <w:tcPr>
            <w:tcW w:w="1440" w:type="dxa"/>
          </w:tcPr>
          <w:p w14:paraId="7B5BF160" w14:textId="77777777" w:rsidR="008C5B4F" w:rsidRDefault="008C5B4F" w:rsidP="00437244">
            <w:pPr>
              <w:spacing w:line="360" w:lineRule="auto"/>
              <w:jc w:val="both"/>
              <w:rPr>
                <w:sz w:val="24"/>
                <w:szCs w:val="24"/>
              </w:rPr>
            </w:pPr>
            <w:r>
              <w:rPr>
                <w:sz w:val="24"/>
                <w:szCs w:val="24"/>
              </w:rPr>
              <w:t>Moderate</w:t>
            </w:r>
          </w:p>
        </w:tc>
        <w:tc>
          <w:tcPr>
            <w:tcW w:w="987" w:type="dxa"/>
          </w:tcPr>
          <w:p w14:paraId="1147D81A" w14:textId="77777777" w:rsidR="008C5B4F" w:rsidRDefault="008C5B4F" w:rsidP="00437244">
            <w:pPr>
              <w:spacing w:line="360" w:lineRule="auto"/>
              <w:jc w:val="both"/>
              <w:rPr>
                <w:sz w:val="24"/>
                <w:szCs w:val="24"/>
              </w:rPr>
            </w:pPr>
            <w:r>
              <w:rPr>
                <w:sz w:val="24"/>
                <w:szCs w:val="24"/>
              </w:rPr>
              <w:t>Severe</w:t>
            </w:r>
          </w:p>
        </w:tc>
        <w:tc>
          <w:tcPr>
            <w:tcW w:w="3117" w:type="dxa"/>
          </w:tcPr>
          <w:p w14:paraId="0C3A2A66" w14:textId="77777777" w:rsidR="008C5B4F" w:rsidRDefault="008C5B4F" w:rsidP="00437244">
            <w:pPr>
              <w:spacing w:line="360" w:lineRule="auto"/>
              <w:jc w:val="both"/>
              <w:rPr>
                <w:sz w:val="24"/>
                <w:szCs w:val="24"/>
              </w:rPr>
            </w:pPr>
            <w:r>
              <w:rPr>
                <w:sz w:val="24"/>
                <w:szCs w:val="24"/>
              </w:rPr>
              <w:t>0.000</w:t>
            </w:r>
            <w:r w:rsidR="00C83EBA">
              <w:rPr>
                <w:sz w:val="24"/>
                <w:szCs w:val="24"/>
              </w:rPr>
              <w:t>*</w:t>
            </w:r>
          </w:p>
        </w:tc>
      </w:tr>
      <w:tr w:rsidR="008C5B4F" w14:paraId="38C3CE5D" w14:textId="77777777" w:rsidTr="008C5B4F">
        <w:tc>
          <w:tcPr>
            <w:tcW w:w="3116" w:type="dxa"/>
          </w:tcPr>
          <w:p w14:paraId="7F82B4FE" w14:textId="77777777" w:rsidR="008C5B4F" w:rsidRPr="008C5B4F" w:rsidRDefault="008C5B4F" w:rsidP="00437244">
            <w:pPr>
              <w:spacing w:line="360" w:lineRule="auto"/>
              <w:jc w:val="both"/>
              <w:rPr>
                <w:b/>
                <w:sz w:val="24"/>
                <w:szCs w:val="24"/>
              </w:rPr>
            </w:pPr>
            <w:r w:rsidRPr="008C5B4F">
              <w:rPr>
                <w:b/>
                <w:sz w:val="24"/>
                <w:szCs w:val="24"/>
              </w:rPr>
              <w:t>Prostate volume</w:t>
            </w:r>
          </w:p>
        </w:tc>
        <w:tc>
          <w:tcPr>
            <w:tcW w:w="690" w:type="dxa"/>
          </w:tcPr>
          <w:p w14:paraId="54667526" w14:textId="77777777" w:rsidR="008C5B4F" w:rsidRDefault="008C5B4F" w:rsidP="00437244">
            <w:pPr>
              <w:spacing w:line="360" w:lineRule="auto"/>
              <w:jc w:val="both"/>
              <w:rPr>
                <w:sz w:val="24"/>
                <w:szCs w:val="24"/>
              </w:rPr>
            </w:pPr>
            <w:r>
              <w:rPr>
                <w:sz w:val="24"/>
                <w:szCs w:val="24"/>
              </w:rPr>
              <w:t>Mild</w:t>
            </w:r>
          </w:p>
        </w:tc>
        <w:tc>
          <w:tcPr>
            <w:tcW w:w="1440" w:type="dxa"/>
          </w:tcPr>
          <w:p w14:paraId="79A91CD3" w14:textId="77777777" w:rsidR="008C5B4F" w:rsidRDefault="008C5B4F" w:rsidP="00437244">
            <w:pPr>
              <w:spacing w:line="360" w:lineRule="auto"/>
              <w:jc w:val="both"/>
              <w:rPr>
                <w:sz w:val="24"/>
                <w:szCs w:val="24"/>
              </w:rPr>
            </w:pPr>
            <w:r>
              <w:rPr>
                <w:sz w:val="24"/>
                <w:szCs w:val="24"/>
              </w:rPr>
              <w:t>Moderate</w:t>
            </w:r>
          </w:p>
        </w:tc>
        <w:tc>
          <w:tcPr>
            <w:tcW w:w="987" w:type="dxa"/>
          </w:tcPr>
          <w:p w14:paraId="67C3CBAD" w14:textId="77777777" w:rsidR="008C5B4F" w:rsidRDefault="008C5B4F" w:rsidP="00437244">
            <w:pPr>
              <w:spacing w:line="360" w:lineRule="auto"/>
              <w:jc w:val="both"/>
              <w:rPr>
                <w:sz w:val="24"/>
                <w:szCs w:val="24"/>
              </w:rPr>
            </w:pPr>
            <w:r>
              <w:rPr>
                <w:sz w:val="24"/>
                <w:szCs w:val="24"/>
              </w:rPr>
              <w:t>Severe</w:t>
            </w:r>
          </w:p>
        </w:tc>
        <w:tc>
          <w:tcPr>
            <w:tcW w:w="3117" w:type="dxa"/>
          </w:tcPr>
          <w:p w14:paraId="5D69A3F5" w14:textId="77777777" w:rsidR="008C5B4F" w:rsidRDefault="008C5B4F" w:rsidP="00437244">
            <w:pPr>
              <w:spacing w:line="360" w:lineRule="auto"/>
              <w:jc w:val="both"/>
              <w:rPr>
                <w:sz w:val="24"/>
                <w:szCs w:val="24"/>
              </w:rPr>
            </w:pPr>
            <w:r>
              <w:rPr>
                <w:sz w:val="24"/>
                <w:szCs w:val="24"/>
              </w:rPr>
              <w:t>0.006</w:t>
            </w:r>
            <w:r w:rsidR="00C83EBA">
              <w:rPr>
                <w:sz w:val="24"/>
                <w:szCs w:val="24"/>
              </w:rPr>
              <w:t>*</w:t>
            </w:r>
          </w:p>
        </w:tc>
      </w:tr>
    </w:tbl>
    <w:p w14:paraId="4AD08FE4" w14:textId="77777777" w:rsidR="00437244" w:rsidRDefault="00B52CB8" w:rsidP="00C83EBA">
      <w:pPr>
        <w:spacing w:line="480" w:lineRule="auto"/>
        <w:jc w:val="both"/>
        <w:rPr>
          <w:sz w:val="24"/>
          <w:szCs w:val="24"/>
        </w:rPr>
      </w:pPr>
      <w:r w:rsidRPr="00437244">
        <w:rPr>
          <w:sz w:val="24"/>
          <w:szCs w:val="24"/>
        </w:rPr>
        <w:t xml:space="preserve">  </w:t>
      </w:r>
      <w:r w:rsidR="00C83EBA">
        <w:rPr>
          <w:sz w:val="24"/>
          <w:szCs w:val="24"/>
        </w:rPr>
        <w:t xml:space="preserve"> *statistically significant p-values</w:t>
      </w:r>
    </w:p>
    <w:p w14:paraId="3E2CE9F5" w14:textId="77777777" w:rsidR="00720CD2" w:rsidRDefault="00720CD2" w:rsidP="00767D81">
      <w:pPr>
        <w:pStyle w:val="NoSpacing"/>
        <w:tabs>
          <w:tab w:val="left" w:pos="1275"/>
        </w:tabs>
        <w:spacing w:line="360" w:lineRule="auto"/>
        <w:jc w:val="both"/>
        <w:rPr>
          <w:rFonts w:asciiTheme="minorHAnsi" w:eastAsiaTheme="minorHAnsi" w:hAnsiTheme="minorHAnsi" w:cstheme="minorBidi"/>
          <w:sz w:val="24"/>
          <w:szCs w:val="24"/>
          <w:lang w:val="en-US"/>
        </w:rPr>
      </w:pPr>
    </w:p>
    <w:p w14:paraId="5C182475" w14:textId="77777777" w:rsidR="0054780E" w:rsidRPr="00767D81" w:rsidRDefault="00B52CB8" w:rsidP="00767D81">
      <w:pPr>
        <w:pStyle w:val="NoSpacing"/>
        <w:tabs>
          <w:tab w:val="left" w:pos="1275"/>
        </w:tabs>
        <w:spacing w:line="360" w:lineRule="auto"/>
        <w:jc w:val="both"/>
        <w:rPr>
          <w:sz w:val="28"/>
          <w:szCs w:val="28"/>
        </w:rPr>
      </w:pPr>
      <w:r w:rsidRPr="0054780E">
        <w:rPr>
          <w:b/>
          <w:sz w:val="24"/>
          <w:szCs w:val="24"/>
        </w:rPr>
        <w:t xml:space="preserve">TABLE </w:t>
      </w:r>
      <w:r w:rsidR="008C5B4F">
        <w:rPr>
          <w:b/>
          <w:sz w:val="24"/>
          <w:szCs w:val="24"/>
        </w:rPr>
        <w:t>3</w:t>
      </w:r>
      <w:r w:rsidRPr="0054780E">
        <w:rPr>
          <w:b/>
          <w:sz w:val="24"/>
          <w:szCs w:val="24"/>
        </w:rPr>
        <w:t>:</w:t>
      </w:r>
      <w:r w:rsidRPr="00933EE8">
        <w:rPr>
          <w:sz w:val="28"/>
          <w:szCs w:val="28"/>
        </w:rPr>
        <w:t xml:space="preserve"> </w:t>
      </w:r>
      <w:r w:rsidRPr="0054780E">
        <w:rPr>
          <w:sz w:val="24"/>
          <w:szCs w:val="24"/>
        </w:rPr>
        <w:t xml:space="preserve">ANOVA </w:t>
      </w:r>
      <w:r w:rsidR="00767D81">
        <w:rPr>
          <w:sz w:val="24"/>
          <w:szCs w:val="24"/>
        </w:rPr>
        <w:t xml:space="preserve">demonstrating the relationship between all 3 </w:t>
      </w:r>
      <w:proofErr w:type="spellStart"/>
      <w:r w:rsidR="00767D81">
        <w:rPr>
          <w:sz w:val="24"/>
          <w:szCs w:val="24"/>
        </w:rPr>
        <w:t>parametres</w:t>
      </w:r>
      <w:proofErr w:type="spellEnd"/>
      <w:r w:rsidR="00767D81">
        <w:rPr>
          <w:sz w:val="24"/>
          <w:szCs w:val="24"/>
        </w:rPr>
        <w:t xml:space="preserve"> and IPPS of BOO subjects.</w:t>
      </w:r>
      <w:r>
        <w:rPr>
          <w:b/>
          <w:sz w:val="28"/>
          <w:szCs w:val="28"/>
        </w:rPr>
        <w:t xml:space="preserve">   </w:t>
      </w:r>
    </w:p>
    <w:tbl>
      <w:tblPr>
        <w:tblW w:w="101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696"/>
        <w:gridCol w:w="800"/>
        <w:gridCol w:w="1607"/>
        <w:gridCol w:w="109"/>
        <w:gridCol w:w="1498"/>
        <w:gridCol w:w="218"/>
        <w:gridCol w:w="812"/>
        <w:gridCol w:w="1420"/>
        <w:gridCol w:w="100"/>
        <w:gridCol w:w="930"/>
        <w:gridCol w:w="100"/>
        <w:gridCol w:w="880"/>
      </w:tblGrid>
      <w:tr w:rsidR="00325CF9" w14:paraId="754A5A64" w14:textId="77777777" w:rsidTr="0054780E">
        <w:trPr>
          <w:cantSplit/>
          <w:trHeight w:val="1079"/>
        </w:trPr>
        <w:tc>
          <w:tcPr>
            <w:tcW w:w="1696" w:type="dxa"/>
            <w:tcBorders>
              <w:bottom w:val="single" w:sz="4" w:space="0" w:color="auto"/>
            </w:tcBorders>
            <w:shd w:val="clear" w:color="auto" w:fill="FFFFFF"/>
          </w:tcPr>
          <w:p w14:paraId="253B8F25" w14:textId="77777777" w:rsidR="0054780E" w:rsidRPr="00837846" w:rsidRDefault="0054780E" w:rsidP="00D174AD">
            <w:pPr>
              <w:autoSpaceDE w:val="0"/>
              <w:autoSpaceDN w:val="0"/>
              <w:adjustRightInd w:val="0"/>
              <w:spacing w:after="0" w:line="360" w:lineRule="auto"/>
              <w:ind w:left="60" w:right="60"/>
              <w:jc w:val="both"/>
              <w:rPr>
                <w:color w:val="000000"/>
                <w:sz w:val="24"/>
                <w:szCs w:val="24"/>
              </w:rPr>
            </w:pPr>
          </w:p>
        </w:tc>
        <w:tc>
          <w:tcPr>
            <w:tcW w:w="2407" w:type="dxa"/>
            <w:gridSpan w:val="2"/>
            <w:shd w:val="clear" w:color="auto" w:fill="FFFFFF"/>
          </w:tcPr>
          <w:p w14:paraId="78EF54D5" w14:textId="77777777" w:rsidR="0054780E" w:rsidRPr="00837846" w:rsidRDefault="0054780E" w:rsidP="00D174AD">
            <w:pPr>
              <w:autoSpaceDE w:val="0"/>
              <w:autoSpaceDN w:val="0"/>
              <w:adjustRightInd w:val="0"/>
              <w:spacing w:after="0" w:line="360" w:lineRule="auto"/>
              <w:ind w:left="60" w:right="60"/>
              <w:jc w:val="both"/>
              <w:rPr>
                <w:color w:val="000000"/>
                <w:sz w:val="24"/>
                <w:szCs w:val="24"/>
              </w:rPr>
            </w:pPr>
          </w:p>
        </w:tc>
        <w:tc>
          <w:tcPr>
            <w:tcW w:w="109" w:type="dxa"/>
            <w:shd w:val="clear" w:color="auto" w:fill="FFFFFF"/>
          </w:tcPr>
          <w:p w14:paraId="109659C8" w14:textId="77777777" w:rsidR="0054780E" w:rsidRPr="00837846" w:rsidRDefault="0054780E" w:rsidP="00D174AD">
            <w:pPr>
              <w:autoSpaceDE w:val="0"/>
              <w:autoSpaceDN w:val="0"/>
              <w:adjustRightInd w:val="0"/>
              <w:spacing w:after="0" w:line="360" w:lineRule="auto"/>
              <w:ind w:left="60" w:right="60"/>
              <w:jc w:val="both"/>
              <w:rPr>
                <w:color w:val="000000"/>
                <w:sz w:val="24"/>
                <w:szCs w:val="24"/>
              </w:rPr>
            </w:pPr>
          </w:p>
        </w:tc>
        <w:tc>
          <w:tcPr>
            <w:tcW w:w="1498" w:type="dxa"/>
            <w:shd w:val="clear" w:color="auto" w:fill="FFFFFF"/>
          </w:tcPr>
          <w:p w14:paraId="72FEFE6F" w14:textId="77777777" w:rsidR="0054780E" w:rsidRPr="00837846" w:rsidRDefault="00B52CB8" w:rsidP="00D174AD">
            <w:pPr>
              <w:autoSpaceDE w:val="0"/>
              <w:autoSpaceDN w:val="0"/>
              <w:adjustRightInd w:val="0"/>
              <w:spacing w:after="0" w:line="360" w:lineRule="auto"/>
              <w:ind w:left="60" w:right="60"/>
              <w:jc w:val="both"/>
              <w:rPr>
                <w:b/>
                <w:color w:val="000000"/>
                <w:sz w:val="24"/>
                <w:szCs w:val="24"/>
              </w:rPr>
            </w:pPr>
            <w:r w:rsidRPr="00837846">
              <w:rPr>
                <w:b/>
                <w:color w:val="000000"/>
                <w:sz w:val="24"/>
                <w:szCs w:val="24"/>
              </w:rPr>
              <w:t>Sum of Squares</w:t>
            </w:r>
          </w:p>
        </w:tc>
        <w:tc>
          <w:tcPr>
            <w:tcW w:w="218" w:type="dxa"/>
            <w:shd w:val="clear" w:color="auto" w:fill="FFFFFF"/>
          </w:tcPr>
          <w:p w14:paraId="3B73CBAE" w14:textId="77777777" w:rsidR="0054780E" w:rsidRPr="00837846" w:rsidRDefault="0054780E" w:rsidP="00D174AD">
            <w:pPr>
              <w:autoSpaceDE w:val="0"/>
              <w:autoSpaceDN w:val="0"/>
              <w:adjustRightInd w:val="0"/>
              <w:spacing w:after="0" w:line="360" w:lineRule="auto"/>
              <w:ind w:right="60"/>
              <w:jc w:val="both"/>
              <w:rPr>
                <w:b/>
                <w:color w:val="000000"/>
                <w:sz w:val="24"/>
                <w:szCs w:val="24"/>
              </w:rPr>
            </w:pPr>
          </w:p>
        </w:tc>
        <w:tc>
          <w:tcPr>
            <w:tcW w:w="812" w:type="dxa"/>
            <w:shd w:val="clear" w:color="auto" w:fill="FFFFFF"/>
          </w:tcPr>
          <w:p w14:paraId="6459A6A7" w14:textId="77777777" w:rsidR="0054780E" w:rsidRPr="00837846" w:rsidRDefault="00B52CB8" w:rsidP="00D174AD">
            <w:pPr>
              <w:autoSpaceDE w:val="0"/>
              <w:autoSpaceDN w:val="0"/>
              <w:adjustRightInd w:val="0"/>
              <w:spacing w:line="360" w:lineRule="auto"/>
              <w:ind w:right="60"/>
              <w:jc w:val="both"/>
              <w:rPr>
                <w:b/>
                <w:color w:val="000000"/>
                <w:sz w:val="24"/>
                <w:szCs w:val="24"/>
              </w:rPr>
            </w:pPr>
            <w:r>
              <w:rPr>
                <w:b/>
                <w:color w:val="000000"/>
                <w:sz w:val="24"/>
                <w:szCs w:val="24"/>
              </w:rPr>
              <w:t>D</w:t>
            </w:r>
            <w:r w:rsidRPr="00837846">
              <w:rPr>
                <w:b/>
                <w:color w:val="000000"/>
                <w:sz w:val="24"/>
                <w:szCs w:val="24"/>
              </w:rPr>
              <w:t>f</w:t>
            </w:r>
          </w:p>
        </w:tc>
        <w:tc>
          <w:tcPr>
            <w:tcW w:w="1420" w:type="dxa"/>
            <w:shd w:val="clear" w:color="auto" w:fill="FFFFFF"/>
          </w:tcPr>
          <w:p w14:paraId="5E5B49B4" w14:textId="77777777" w:rsidR="0054780E" w:rsidRPr="00837846" w:rsidRDefault="00B52CB8" w:rsidP="00D174AD">
            <w:pPr>
              <w:autoSpaceDE w:val="0"/>
              <w:autoSpaceDN w:val="0"/>
              <w:adjustRightInd w:val="0"/>
              <w:spacing w:after="0" w:line="360" w:lineRule="auto"/>
              <w:ind w:left="60" w:right="60"/>
              <w:jc w:val="both"/>
              <w:rPr>
                <w:b/>
                <w:color w:val="000000"/>
                <w:sz w:val="24"/>
                <w:szCs w:val="24"/>
              </w:rPr>
            </w:pPr>
            <w:r w:rsidRPr="00837846">
              <w:rPr>
                <w:b/>
                <w:color w:val="000000"/>
                <w:sz w:val="24"/>
                <w:szCs w:val="24"/>
              </w:rPr>
              <w:t>Mean Square</w:t>
            </w:r>
          </w:p>
        </w:tc>
        <w:tc>
          <w:tcPr>
            <w:tcW w:w="100" w:type="dxa"/>
            <w:shd w:val="clear" w:color="auto" w:fill="FFFFFF"/>
          </w:tcPr>
          <w:p w14:paraId="6F2773F3" w14:textId="77777777" w:rsidR="0054780E" w:rsidRPr="00837846" w:rsidRDefault="0054780E" w:rsidP="00D174AD">
            <w:pPr>
              <w:autoSpaceDE w:val="0"/>
              <w:autoSpaceDN w:val="0"/>
              <w:adjustRightInd w:val="0"/>
              <w:spacing w:after="0" w:line="360" w:lineRule="auto"/>
              <w:ind w:right="60"/>
              <w:jc w:val="both"/>
              <w:rPr>
                <w:b/>
                <w:color w:val="000000"/>
                <w:sz w:val="24"/>
                <w:szCs w:val="24"/>
              </w:rPr>
            </w:pPr>
          </w:p>
        </w:tc>
        <w:tc>
          <w:tcPr>
            <w:tcW w:w="930" w:type="dxa"/>
            <w:shd w:val="clear" w:color="auto" w:fill="FFFFFF"/>
          </w:tcPr>
          <w:p w14:paraId="57983141" w14:textId="77777777" w:rsidR="0054780E" w:rsidRPr="00837846" w:rsidRDefault="00B52CB8" w:rsidP="00D174AD">
            <w:pPr>
              <w:autoSpaceDE w:val="0"/>
              <w:autoSpaceDN w:val="0"/>
              <w:adjustRightInd w:val="0"/>
              <w:spacing w:line="360" w:lineRule="auto"/>
              <w:ind w:right="60"/>
              <w:jc w:val="both"/>
              <w:rPr>
                <w:b/>
                <w:color w:val="000000"/>
                <w:sz w:val="24"/>
                <w:szCs w:val="24"/>
              </w:rPr>
            </w:pPr>
            <w:r w:rsidRPr="00837846">
              <w:rPr>
                <w:b/>
                <w:color w:val="000000"/>
                <w:sz w:val="24"/>
                <w:szCs w:val="24"/>
              </w:rPr>
              <w:t>F</w:t>
            </w:r>
          </w:p>
        </w:tc>
        <w:tc>
          <w:tcPr>
            <w:tcW w:w="100" w:type="dxa"/>
            <w:shd w:val="clear" w:color="auto" w:fill="FFFFFF"/>
          </w:tcPr>
          <w:p w14:paraId="04A66DBF" w14:textId="77777777" w:rsidR="0054780E" w:rsidRPr="00837846" w:rsidRDefault="0054780E" w:rsidP="00D174AD">
            <w:pPr>
              <w:autoSpaceDE w:val="0"/>
              <w:autoSpaceDN w:val="0"/>
              <w:adjustRightInd w:val="0"/>
              <w:spacing w:after="0" w:line="360" w:lineRule="auto"/>
              <w:ind w:right="60"/>
              <w:jc w:val="both"/>
              <w:rPr>
                <w:b/>
                <w:color w:val="000000"/>
                <w:sz w:val="24"/>
                <w:szCs w:val="24"/>
              </w:rPr>
            </w:pPr>
          </w:p>
        </w:tc>
        <w:tc>
          <w:tcPr>
            <w:tcW w:w="880" w:type="dxa"/>
            <w:shd w:val="clear" w:color="auto" w:fill="FFFFFF"/>
          </w:tcPr>
          <w:p w14:paraId="7FCCF7C6" w14:textId="77777777" w:rsidR="0054780E" w:rsidRPr="00837846" w:rsidRDefault="00B52CB8" w:rsidP="00D174AD">
            <w:pPr>
              <w:autoSpaceDE w:val="0"/>
              <w:autoSpaceDN w:val="0"/>
              <w:adjustRightInd w:val="0"/>
              <w:spacing w:line="360" w:lineRule="auto"/>
              <w:ind w:right="60"/>
              <w:jc w:val="both"/>
              <w:rPr>
                <w:b/>
                <w:color w:val="000000"/>
                <w:sz w:val="24"/>
                <w:szCs w:val="24"/>
              </w:rPr>
            </w:pPr>
            <w:r w:rsidRPr="00837846">
              <w:rPr>
                <w:b/>
                <w:color w:val="000000"/>
                <w:sz w:val="24"/>
                <w:szCs w:val="24"/>
              </w:rPr>
              <w:t>Sig.</w:t>
            </w:r>
          </w:p>
        </w:tc>
      </w:tr>
      <w:tr w:rsidR="00325CF9" w14:paraId="7B7F49C0" w14:textId="77777777" w:rsidTr="0054780E">
        <w:trPr>
          <w:cantSplit/>
        </w:trPr>
        <w:tc>
          <w:tcPr>
            <w:tcW w:w="1696" w:type="dxa"/>
            <w:vMerge w:val="restart"/>
            <w:tcBorders>
              <w:right w:val="single" w:sz="4" w:space="0" w:color="auto"/>
            </w:tcBorders>
            <w:shd w:val="clear" w:color="auto" w:fill="FFFFFF"/>
            <w:vAlign w:val="center"/>
          </w:tcPr>
          <w:p w14:paraId="407AAB16" w14:textId="77777777" w:rsidR="0054780E" w:rsidRPr="00D112DB" w:rsidRDefault="00767D81" w:rsidP="00D174AD">
            <w:pPr>
              <w:autoSpaceDE w:val="0"/>
              <w:autoSpaceDN w:val="0"/>
              <w:adjustRightInd w:val="0"/>
              <w:spacing w:after="0" w:line="360" w:lineRule="auto"/>
              <w:ind w:left="60" w:right="60"/>
              <w:jc w:val="both"/>
              <w:rPr>
                <w:b/>
                <w:color w:val="000000"/>
                <w:sz w:val="24"/>
                <w:szCs w:val="24"/>
              </w:rPr>
            </w:pPr>
            <w:r>
              <w:rPr>
                <w:b/>
                <w:color w:val="000000"/>
                <w:sz w:val="24"/>
                <w:szCs w:val="24"/>
              </w:rPr>
              <w:t>Bladder</w:t>
            </w:r>
            <w:r w:rsidR="00E1338C">
              <w:rPr>
                <w:b/>
                <w:color w:val="000000"/>
                <w:sz w:val="24"/>
                <w:szCs w:val="24"/>
              </w:rPr>
              <w:t xml:space="preserve"> </w:t>
            </w:r>
            <w:r w:rsidR="00B52CB8" w:rsidRPr="00D112DB">
              <w:rPr>
                <w:b/>
                <w:color w:val="000000"/>
                <w:sz w:val="24"/>
                <w:szCs w:val="24"/>
              </w:rPr>
              <w:t>wall thickness (cm)</w:t>
            </w:r>
          </w:p>
        </w:tc>
        <w:tc>
          <w:tcPr>
            <w:tcW w:w="800" w:type="dxa"/>
            <w:vMerge w:val="restart"/>
            <w:tcBorders>
              <w:left w:val="single" w:sz="4" w:space="0" w:color="auto"/>
            </w:tcBorders>
            <w:shd w:val="clear" w:color="auto" w:fill="FFFFFF"/>
            <w:vAlign w:val="center"/>
          </w:tcPr>
          <w:p w14:paraId="3D022F1A" w14:textId="77777777" w:rsidR="0054780E" w:rsidRPr="00837846" w:rsidRDefault="0054780E" w:rsidP="00D174AD">
            <w:pPr>
              <w:spacing w:after="0" w:line="360" w:lineRule="auto"/>
              <w:jc w:val="both"/>
              <w:rPr>
                <w:color w:val="000000"/>
                <w:sz w:val="24"/>
                <w:szCs w:val="24"/>
              </w:rPr>
            </w:pPr>
          </w:p>
          <w:p w14:paraId="17D5D68F"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607" w:type="dxa"/>
            <w:shd w:val="clear" w:color="auto" w:fill="FFFFFF"/>
            <w:vAlign w:val="center"/>
          </w:tcPr>
          <w:p w14:paraId="0194E4D3"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Between Groups</w:t>
            </w:r>
          </w:p>
        </w:tc>
        <w:tc>
          <w:tcPr>
            <w:tcW w:w="109" w:type="dxa"/>
            <w:shd w:val="clear" w:color="auto" w:fill="FFFFFF"/>
            <w:vAlign w:val="center"/>
          </w:tcPr>
          <w:p w14:paraId="481B20F5" w14:textId="77777777" w:rsidR="0054780E" w:rsidRPr="00837846" w:rsidRDefault="0054780E" w:rsidP="00D174AD">
            <w:pPr>
              <w:spacing w:after="0" w:line="360" w:lineRule="auto"/>
              <w:jc w:val="both"/>
              <w:rPr>
                <w:color w:val="000000"/>
                <w:sz w:val="24"/>
                <w:szCs w:val="24"/>
              </w:rPr>
            </w:pPr>
          </w:p>
          <w:p w14:paraId="53CC3A95"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5CF05ACA"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1.033</w:t>
            </w:r>
          </w:p>
        </w:tc>
        <w:tc>
          <w:tcPr>
            <w:tcW w:w="218" w:type="dxa"/>
            <w:shd w:val="clear" w:color="auto" w:fill="FFFFFF"/>
            <w:vAlign w:val="center"/>
          </w:tcPr>
          <w:p w14:paraId="0BD7F078"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7630F372"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w:t>
            </w:r>
          </w:p>
        </w:tc>
        <w:tc>
          <w:tcPr>
            <w:tcW w:w="1420" w:type="dxa"/>
            <w:shd w:val="clear" w:color="auto" w:fill="FFFFFF"/>
            <w:vAlign w:val="center"/>
          </w:tcPr>
          <w:p w14:paraId="4EF86409"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0.517</w:t>
            </w:r>
          </w:p>
        </w:tc>
        <w:tc>
          <w:tcPr>
            <w:tcW w:w="100" w:type="dxa"/>
            <w:shd w:val="clear" w:color="auto" w:fill="FFFFFF"/>
            <w:vAlign w:val="center"/>
          </w:tcPr>
          <w:p w14:paraId="2A227E6B"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930" w:type="dxa"/>
            <w:shd w:val="clear" w:color="auto" w:fill="FFFFFF"/>
            <w:vAlign w:val="center"/>
          </w:tcPr>
          <w:p w14:paraId="08589DD9"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20.388</w:t>
            </w:r>
          </w:p>
        </w:tc>
        <w:tc>
          <w:tcPr>
            <w:tcW w:w="100" w:type="dxa"/>
            <w:shd w:val="clear" w:color="auto" w:fill="FFFFFF"/>
            <w:vAlign w:val="center"/>
          </w:tcPr>
          <w:p w14:paraId="4AAC528A"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80" w:type="dxa"/>
            <w:shd w:val="clear" w:color="auto" w:fill="FFFFFF"/>
            <w:vAlign w:val="center"/>
          </w:tcPr>
          <w:p w14:paraId="4FE767A0"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0.000</w:t>
            </w:r>
          </w:p>
        </w:tc>
      </w:tr>
      <w:tr w:rsidR="00325CF9" w14:paraId="3872AA73" w14:textId="77777777" w:rsidTr="0054780E">
        <w:trPr>
          <w:cantSplit/>
        </w:trPr>
        <w:tc>
          <w:tcPr>
            <w:tcW w:w="1696" w:type="dxa"/>
            <w:vMerge/>
            <w:tcBorders>
              <w:right w:val="single" w:sz="4" w:space="0" w:color="auto"/>
            </w:tcBorders>
            <w:shd w:val="clear" w:color="auto" w:fill="FFFFFF"/>
            <w:vAlign w:val="center"/>
          </w:tcPr>
          <w:p w14:paraId="5D3D48C7" w14:textId="77777777" w:rsidR="0054780E" w:rsidRPr="00D112DB" w:rsidRDefault="0054780E" w:rsidP="00D174AD">
            <w:pPr>
              <w:autoSpaceDE w:val="0"/>
              <w:autoSpaceDN w:val="0"/>
              <w:adjustRightInd w:val="0"/>
              <w:spacing w:after="0" w:line="360" w:lineRule="auto"/>
              <w:jc w:val="both"/>
              <w:rPr>
                <w:b/>
                <w:color w:val="000000"/>
                <w:sz w:val="24"/>
                <w:szCs w:val="24"/>
              </w:rPr>
            </w:pPr>
          </w:p>
        </w:tc>
        <w:tc>
          <w:tcPr>
            <w:tcW w:w="800" w:type="dxa"/>
            <w:vMerge/>
            <w:tcBorders>
              <w:left w:val="single" w:sz="4" w:space="0" w:color="auto"/>
            </w:tcBorders>
            <w:shd w:val="clear" w:color="auto" w:fill="FFFFFF"/>
            <w:vAlign w:val="center"/>
          </w:tcPr>
          <w:p w14:paraId="131DE837"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1607" w:type="dxa"/>
            <w:shd w:val="clear" w:color="auto" w:fill="FFFFFF"/>
            <w:vAlign w:val="center"/>
          </w:tcPr>
          <w:p w14:paraId="7D624B5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Within Groups</w:t>
            </w:r>
          </w:p>
        </w:tc>
        <w:tc>
          <w:tcPr>
            <w:tcW w:w="109" w:type="dxa"/>
            <w:shd w:val="clear" w:color="auto" w:fill="FFFFFF"/>
            <w:vAlign w:val="center"/>
          </w:tcPr>
          <w:p w14:paraId="3EF21044"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6766E6AE"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2.458</w:t>
            </w:r>
          </w:p>
        </w:tc>
        <w:tc>
          <w:tcPr>
            <w:tcW w:w="218" w:type="dxa"/>
            <w:shd w:val="clear" w:color="auto" w:fill="FFFFFF"/>
            <w:vAlign w:val="center"/>
          </w:tcPr>
          <w:p w14:paraId="71AC8337"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0232C54D"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97</w:t>
            </w:r>
          </w:p>
        </w:tc>
        <w:tc>
          <w:tcPr>
            <w:tcW w:w="1420" w:type="dxa"/>
            <w:shd w:val="clear" w:color="auto" w:fill="FFFFFF"/>
            <w:vAlign w:val="center"/>
          </w:tcPr>
          <w:p w14:paraId="70C7D93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0.025</w:t>
            </w:r>
          </w:p>
        </w:tc>
        <w:tc>
          <w:tcPr>
            <w:tcW w:w="100" w:type="dxa"/>
            <w:shd w:val="clear" w:color="auto" w:fill="FFFFFF"/>
          </w:tcPr>
          <w:p w14:paraId="3DE5D0D4"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34893380"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0E899137"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4E94AB0B"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4553DEA8" w14:textId="77777777" w:rsidTr="0054780E">
        <w:trPr>
          <w:cantSplit/>
        </w:trPr>
        <w:tc>
          <w:tcPr>
            <w:tcW w:w="1696" w:type="dxa"/>
            <w:vMerge/>
            <w:tcBorders>
              <w:right w:val="single" w:sz="4" w:space="0" w:color="auto"/>
            </w:tcBorders>
            <w:shd w:val="clear" w:color="auto" w:fill="FFFFFF"/>
            <w:vAlign w:val="center"/>
          </w:tcPr>
          <w:p w14:paraId="2201D55F" w14:textId="77777777" w:rsidR="0054780E" w:rsidRPr="00D112DB" w:rsidRDefault="0054780E" w:rsidP="00D174AD">
            <w:pPr>
              <w:autoSpaceDE w:val="0"/>
              <w:autoSpaceDN w:val="0"/>
              <w:adjustRightInd w:val="0"/>
              <w:spacing w:after="0" w:line="360" w:lineRule="auto"/>
              <w:jc w:val="both"/>
              <w:rPr>
                <w:b/>
                <w:sz w:val="24"/>
                <w:szCs w:val="24"/>
              </w:rPr>
            </w:pPr>
          </w:p>
        </w:tc>
        <w:tc>
          <w:tcPr>
            <w:tcW w:w="800" w:type="dxa"/>
            <w:vMerge/>
            <w:tcBorders>
              <w:left w:val="single" w:sz="4" w:space="0" w:color="auto"/>
            </w:tcBorders>
            <w:shd w:val="clear" w:color="auto" w:fill="FFFFFF"/>
            <w:vAlign w:val="center"/>
          </w:tcPr>
          <w:p w14:paraId="3B635DF3" w14:textId="77777777" w:rsidR="0054780E" w:rsidRPr="00837846" w:rsidRDefault="0054780E" w:rsidP="00D174AD">
            <w:pPr>
              <w:autoSpaceDE w:val="0"/>
              <w:autoSpaceDN w:val="0"/>
              <w:adjustRightInd w:val="0"/>
              <w:spacing w:after="0" w:line="360" w:lineRule="auto"/>
              <w:jc w:val="both"/>
              <w:rPr>
                <w:sz w:val="24"/>
                <w:szCs w:val="24"/>
              </w:rPr>
            </w:pPr>
          </w:p>
        </w:tc>
        <w:tc>
          <w:tcPr>
            <w:tcW w:w="1607" w:type="dxa"/>
            <w:shd w:val="clear" w:color="auto" w:fill="FFFFFF"/>
            <w:vAlign w:val="center"/>
          </w:tcPr>
          <w:p w14:paraId="6E181535"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Total</w:t>
            </w:r>
          </w:p>
        </w:tc>
        <w:tc>
          <w:tcPr>
            <w:tcW w:w="109" w:type="dxa"/>
            <w:shd w:val="clear" w:color="auto" w:fill="FFFFFF"/>
            <w:vAlign w:val="center"/>
          </w:tcPr>
          <w:p w14:paraId="2CF27B9B"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6D7CABC4"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3.491</w:t>
            </w:r>
          </w:p>
        </w:tc>
        <w:tc>
          <w:tcPr>
            <w:tcW w:w="218" w:type="dxa"/>
            <w:shd w:val="clear" w:color="auto" w:fill="FFFFFF"/>
            <w:vAlign w:val="center"/>
          </w:tcPr>
          <w:p w14:paraId="62D682D3"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5A65C5F9"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99</w:t>
            </w:r>
          </w:p>
        </w:tc>
        <w:tc>
          <w:tcPr>
            <w:tcW w:w="1420" w:type="dxa"/>
            <w:shd w:val="clear" w:color="auto" w:fill="FFFFFF"/>
          </w:tcPr>
          <w:p w14:paraId="0D68BBD3"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05FA4361"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6CF79CC7"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72467580"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1416AF68"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67EC6AFC" w14:textId="77777777" w:rsidTr="0054780E">
        <w:trPr>
          <w:cantSplit/>
        </w:trPr>
        <w:tc>
          <w:tcPr>
            <w:tcW w:w="1696" w:type="dxa"/>
            <w:vMerge w:val="restart"/>
            <w:tcBorders>
              <w:right w:val="single" w:sz="4" w:space="0" w:color="auto"/>
            </w:tcBorders>
            <w:shd w:val="clear" w:color="auto" w:fill="FFFFFF"/>
            <w:vAlign w:val="center"/>
          </w:tcPr>
          <w:p w14:paraId="3D919D83" w14:textId="77777777" w:rsidR="0054780E" w:rsidRPr="00D112DB" w:rsidRDefault="00B52CB8" w:rsidP="00D174AD">
            <w:pPr>
              <w:autoSpaceDE w:val="0"/>
              <w:autoSpaceDN w:val="0"/>
              <w:adjustRightInd w:val="0"/>
              <w:spacing w:after="0" w:line="360" w:lineRule="auto"/>
              <w:ind w:left="60" w:right="60"/>
              <w:jc w:val="both"/>
              <w:rPr>
                <w:b/>
                <w:color w:val="000000"/>
                <w:sz w:val="24"/>
                <w:szCs w:val="24"/>
              </w:rPr>
            </w:pPr>
            <w:r w:rsidRPr="00D112DB">
              <w:rPr>
                <w:b/>
                <w:color w:val="000000"/>
                <w:sz w:val="24"/>
                <w:szCs w:val="24"/>
              </w:rPr>
              <w:t>Prostatic volume (</w:t>
            </w:r>
            <w:proofErr w:type="spellStart"/>
            <w:r w:rsidRPr="00D112DB">
              <w:rPr>
                <w:b/>
                <w:color w:val="000000"/>
                <w:sz w:val="24"/>
                <w:szCs w:val="24"/>
              </w:rPr>
              <w:t>mls</w:t>
            </w:r>
            <w:proofErr w:type="spellEnd"/>
            <w:r w:rsidRPr="00D112DB">
              <w:rPr>
                <w:b/>
                <w:color w:val="000000"/>
                <w:sz w:val="24"/>
                <w:szCs w:val="24"/>
              </w:rPr>
              <w:t>)</w:t>
            </w:r>
          </w:p>
        </w:tc>
        <w:tc>
          <w:tcPr>
            <w:tcW w:w="800" w:type="dxa"/>
            <w:vMerge w:val="restart"/>
            <w:tcBorders>
              <w:left w:val="single" w:sz="4" w:space="0" w:color="auto"/>
            </w:tcBorders>
            <w:shd w:val="clear" w:color="auto" w:fill="FFFFFF"/>
            <w:vAlign w:val="center"/>
          </w:tcPr>
          <w:p w14:paraId="16547333"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607" w:type="dxa"/>
            <w:shd w:val="clear" w:color="auto" w:fill="FFFFFF"/>
            <w:vAlign w:val="center"/>
          </w:tcPr>
          <w:p w14:paraId="40D41F6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Between Groups</w:t>
            </w:r>
          </w:p>
        </w:tc>
        <w:tc>
          <w:tcPr>
            <w:tcW w:w="109" w:type="dxa"/>
            <w:shd w:val="clear" w:color="auto" w:fill="FFFFFF"/>
            <w:vAlign w:val="center"/>
          </w:tcPr>
          <w:p w14:paraId="24C49A64" w14:textId="77777777" w:rsidR="0054780E" w:rsidRPr="00837846" w:rsidRDefault="0054780E" w:rsidP="00D174AD">
            <w:pPr>
              <w:spacing w:after="0" w:line="360" w:lineRule="auto"/>
              <w:jc w:val="both"/>
              <w:rPr>
                <w:color w:val="000000"/>
                <w:sz w:val="24"/>
                <w:szCs w:val="24"/>
              </w:rPr>
            </w:pPr>
          </w:p>
          <w:p w14:paraId="2563B31D"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7CDB2FA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52136.893</w:t>
            </w:r>
          </w:p>
        </w:tc>
        <w:tc>
          <w:tcPr>
            <w:tcW w:w="218" w:type="dxa"/>
            <w:shd w:val="clear" w:color="auto" w:fill="FFFFFF"/>
            <w:vAlign w:val="center"/>
          </w:tcPr>
          <w:p w14:paraId="7FBF3A5B"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662EB376"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w:t>
            </w:r>
          </w:p>
        </w:tc>
        <w:tc>
          <w:tcPr>
            <w:tcW w:w="1420" w:type="dxa"/>
            <w:shd w:val="clear" w:color="auto" w:fill="FFFFFF"/>
            <w:vAlign w:val="center"/>
          </w:tcPr>
          <w:p w14:paraId="28A7A03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26068.447</w:t>
            </w:r>
          </w:p>
        </w:tc>
        <w:tc>
          <w:tcPr>
            <w:tcW w:w="100" w:type="dxa"/>
            <w:shd w:val="clear" w:color="auto" w:fill="FFFFFF"/>
            <w:vAlign w:val="center"/>
          </w:tcPr>
          <w:p w14:paraId="41B947F9"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930" w:type="dxa"/>
            <w:shd w:val="clear" w:color="auto" w:fill="FFFFFF"/>
            <w:vAlign w:val="center"/>
          </w:tcPr>
          <w:p w14:paraId="7C0B02EE"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25.849</w:t>
            </w:r>
          </w:p>
        </w:tc>
        <w:tc>
          <w:tcPr>
            <w:tcW w:w="100" w:type="dxa"/>
            <w:shd w:val="clear" w:color="auto" w:fill="FFFFFF"/>
            <w:vAlign w:val="center"/>
          </w:tcPr>
          <w:p w14:paraId="4D7C5EBE"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80" w:type="dxa"/>
            <w:shd w:val="clear" w:color="auto" w:fill="FFFFFF"/>
            <w:vAlign w:val="center"/>
          </w:tcPr>
          <w:p w14:paraId="374B89A6"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0.000</w:t>
            </w:r>
          </w:p>
        </w:tc>
      </w:tr>
      <w:tr w:rsidR="00325CF9" w14:paraId="01F5BB6A" w14:textId="77777777" w:rsidTr="0054780E">
        <w:trPr>
          <w:cantSplit/>
        </w:trPr>
        <w:tc>
          <w:tcPr>
            <w:tcW w:w="1696" w:type="dxa"/>
            <w:vMerge/>
            <w:tcBorders>
              <w:right w:val="single" w:sz="4" w:space="0" w:color="auto"/>
            </w:tcBorders>
            <w:shd w:val="clear" w:color="auto" w:fill="FFFFFF"/>
            <w:vAlign w:val="center"/>
          </w:tcPr>
          <w:p w14:paraId="73D142E6" w14:textId="77777777" w:rsidR="0054780E" w:rsidRPr="00D112DB" w:rsidRDefault="0054780E" w:rsidP="00D174AD">
            <w:pPr>
              <w:autoSpaceDE w:val="0"/>
              <w:autoSpaceDN w:val="0"/>
              <w:adjustRightInd w:val="0"/>
              <w:spacing w:after="0" w:line="360" w:lineRule="auto"/>
              <w:jc w:val="both"/>
              <w:rPr>
                <w:b/>
                <w:color w:val="000000"/>
                <w:sz w:val="24"/>
                <w:szCs w:val="24"/>
              </w:rPr>
            </w:pPr>
          </w:p>
        </w:tc>
        <w:tc>
          <w:tcPr>
            <w:tcW w:w="800" w:type="dxa"/>
            <w:vMerge/>
            <w:tcBorders>
              <w:left w:val="single" w:sz="4" w:space="0" w:color="auto"/>
            </w:tcBorders>
            <w:shd w:val="clear" w:color="auto" w:fill="FFFFFF"/>
            <w:vAlign w:val="center"/>
          </w:tcPr>
          <w:p w14:paraId="3E006D56"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1607" w:type="dxa"/>
            <w:shd w:val="clear" w:color="auto" w:fill="FFFFFF"/>
            <w:vAlign w:val="center"/>
          </w:tcPr>
          <w:p w14:paraId="316F58C8"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Within Groups</w:t>
            </w:r>
          </w:p>
        </w:tc>
        <w:tc>
          <w:tcPr>
            <w:tcW w:w="109" w:type="dxa"/>
            <w:shd w:val="clear" w:color="auto" w:fill="FFFFFF"/>
            <w:vAlign w:val="center"/>
          </w:tcPr>
          <w:p w14:paraId="17ADB0A6"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7D5E886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97824.760</w:t>
            </w:r>
          </w:p>
        </w:tc>
        <w:tc>
          <w:tcPr>
            <w:tcW w:w="218" w:type="dxa"/>
            <w:shd w:val="clear" w:color="auto" w:fill="FFFFFF"/>
            <w:vAlign w:val="center"/>
          </w:tcPr>
          <w:p w14:paraId="2EA49950"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7B9A521F"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97</w:t>
            </w:r>
          </w:p>
        </w:tc>
        <w:tc>
          <w:tcPr>
            <w:tcW w:w="1420" w:type="dxa"/>
            <w:shd w:val="clear" w:color="auto" w:fill="FFFFFF"/>
            <w:vAlign w:val="center"/>
          </w:tcPr>
          <w:p w14:paraId="6A4D7B13"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1008.503</w:t>
            </w:r>
          </w:p>
        </w:tc>
        <w:tc>
          <w:tcPr>
            <w:tcW w:w="100" w:type="dxa"/>
            <w:shd w:val="clear" w:color="auto" w:fill="FFFFFF"/>
          </w:tcPr>
          <w:p w14:paraId="39778602"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395CC91A"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379BC423"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6DC03673"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444004A1" w14:textId="77777777" w:rsidTr="0054780E">
        <w:trPr>
          <w:cantSplit/>
        </w:trPr>
        <w:tc>
          <w:tcPr>
            <w:tcW w:w="1696" w:type="dxa"/>
            <w:vMerge/>
            <w:tcBorders>
              <w:right w:val="single" w:sz="4" w:space="0" w:color="auto"/>
            </w:tcBorders>
            <w:shd w:val="clear" w:color="auto" w:fill="FFFFFF"/>
            <w:vAlign w:val="center"/>
          </w:tcPr>
          <w:p w14:paraId="4B2378B2" w14:textId="77777777" w:rsidR="0054780E" w:rsidRPr="00D112DB" w:rsidRDefault="0054780E" w:rsidP="00D174AD">
            <w:pPr>
              <w:autoSpaceDE w:val="0"/>
              <w:autoSpaceDN w:val="0"/>
              <w:adjustRightInd w:val="0"/>
              <w:spacing w:after="0" w:line="360" w:lineRule="auto"/>
              <w:jc w:val="both"/>
              <w:rPr>
                <w:b/>
                <w:sz w:val="24"/>
                <w:szCs w:val="24"/>
              </w:rPr>
            </w:pPr>
          </w:p>
        </w:tc>
        <w:tc>
          <w:tcPr>
            <w:tcW w:w="800" w:type="dxa"/>
            <w:vMerge/>
            <w:tcBorders>
              <w:left w:val="single" w:sz="4" w:space="0" w:color="auto"/>
            </w:tcBorders>
            <w:shd w:val="clear" w:color="auto" w:fill="FFFFFF"/>
            <w:vAlign w:val="center"/>
          </w:tcPr>
          <w:p w14:paraId="2ADA1E6F" w14:textId="77777777" w:rsidR="0054780E" w:rsidRPr="00837846" w:rsidRDefault="0054780E" w:rsidP="00D174AD">
            <w:pPr>
              <w:autoSpaceDE w:val="0"/>
              <w:autoSpaceDN w:val="0"/>
              <w:adjustRightInd w:val="0"/>
              <w:spacing w:after="0" w:line="360" w:lineRule="auto"/>
              <w:jc w:val="both"/>
              <w:rPr>
                <w:sz w:val="24"/>
                <w:szCs w:val="24"/>
              </w:rPr>
            </w:pPr>
          </w:p>
        </w:tc>
        <w:tc>
          <w:tcPr>
            <w:tcW w:w="1607" w:type="dxa"/>
            <w:shd w:val="clear" w:color="auto" w:fill="FFFFFF"/>
            <w:vAlign w:val="center"/>
          </w:tcPr>
          <w:p w14:paraId="0CCE43A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Total</w:t>
            </w:r>
          </w:p>
        </w:tc>
        <w:tc>
          <w:tcPr>
            <w:tcW w:w="109" w:type="dxa"/>
            <w:shd w:val="clear" w:color="auto" w:fill="FFFFFF"/>
            <w:vAlign w:val="center"/>
          </w:tcPr>
          <w:p w14:paraId="6006CB90"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7FBC4859"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149961.653</w:t>
            </w:r>
          </w:p>
        </w:tc>
        <w:tc>
          <w:tcPr>
            <w:tcW w:w="218" w:type="dxa"/>
            <w:shd w:val="clear" w:color="auto" w:fill="FFFFFF"/>
            <w:vAlign w:val="center"/>
          </w:tcPr>
          <w:p w14:paraId="753073E4"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5EDAF1E1"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99</w:t>
            </w:r>
          </w:p>
        </w:tc>
        <w:tc>
          <w:tcPr>
            <w:tcW w:w="1420" w:type="dxa"/>
            <w:shd w:val="clear" w:color="auto" w:fill="FFFFFF"/>
          </w:tcPr>
          <w:p w14:paraId="107E2EEA"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53DA893E"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01CFFF3F"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237FC0B2"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771037F7"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171AE187" w14:textId="77777777" w:rsidTr="0054780E">
        <w:trPr>
          <w:cantSplit/>
        </w:trPr>
        <w:tc>
          <w:tcPr>
            <w:tcW w:w="1696" w:type="dxa"/>
            <w:vMerge w:val="restart"/>
            <w:tcBorders>
              <w:right w:val="single" w:sz="4" w:space="0" w:color="auto"/>
            </w:tcBorders>
            <w:shd w:val="clear" w:color="auto" w:fill="FFFFFF"/>
            <w:vAlign w:val="center"/>
          </w:tcPr>
          <w:p w14:paraId="66FE5EBD" w14:textId="77777777" w:rsidR="0054780E" w:rsidRPr="00D112DB" w:rsidRDefault="00B52CB8" w:rsidP="00D174AD">
            <w:pPr>
              <w:autoSpaceDE w:val="0"/>
              <w:autoSpaceDN w:val="0"/>
              <w:adjustRightInd w:val="0"/>
              <w:spacing w:after="0" w:line="360" w:lineRule="auto"/>
              <w:ind w:left="60" w:right="60"/>
              <w:jc w:val="both"/>
              <w:rPr>
                <w:b/>
                <w:color w:val="000000"/>
                <w:sz w:val="24"/>
                <w:szCs w:val="24"/>
              </w:rPr>
            </w:pPr>
            <w:r>
              <w:rPr>
                <w:b/>
                <w:color w:val="000000"/>
                <w:sz w:val="24"/>
                <w:szCs w:val="24"/>
              </w:rPr>
              <w:t>Post-</w:t>
            </w:r>
            <w:r w:rsidRPr="00D112DB">
              <w:rPr>
                <w:b/>
                <w:color w:val="000000"/>
                <w:sz w:val="24"/>
                <w:szCs w:val="24"/>
              </w:rPr>
              <w:t>void</w:t>
            </w:r>
            <w:r>
              <w:rPr>
                <w:b/>
                <w:color w:val="000000"/>
                <w:sz w:val="24"/>
                <w:szCs w:val="24"/>
              </w:rPr>
              <w:t xml:space="preserve"> </w:t>
            </w:r>
            <w:r w:rsidRPr="00D112DB">
              <w:rPr>
                <w:b/>
                <w:color w:val="000000"/>
                <w:sz w:val="24"/>
                <w:szCs w:val="24"/>
              </w:rPr>
              <w:t>urine volume (</w:t>
            </w:r>
            <w:proofErr w:type="spellStart"/>
            <w:r w:rsidRPr="00D112DB">
              <w:rPr>
                <w:b/>
                <w:color w:val="000000"/>
                <w:sz w:val="24"/>
                <w:szCs w:val="24"/>
              </w:rPr>
              <w:t>mls</w:t>
            </w:r>
            <w:proofErr w:type="spellEnd"/>
            <w:r w:rsidRPr="00D112DB">
              <w:rPr>
                <w:b/>
                <w:color w:val="000000"/>
                <w:sz w:val="24"/>
                <w:szCs w:val="24"/>
              </w:rPr>
              <w:t>)</w:t>
            </w:r>
          </w:p>
        </w:tc>
        <w:tc>
          <w:tcPr>
            <w:tcW w:w="800" w:type="dxa"/>
            <w:vMerge w:val="restart"/>
            <w:tcBorders>
              <w:left w:val="single" w:sz="4" w:space="0" w:color="auto"/>
            </w:tcBorders>
            <w:shd w:val="clear" w:color="auto" w:fill="FFFFFF"/>
            <w:vAlign w:val="center"/>
          </w:tcPr>
          <w:p w14:paraId="47857916" w14:textId="77777777" w:rsidR="0054780E" w:rsidRPr="00837846" w:rsidRDefault="0054780E" w:rsidP="00D174AD">
            <w:pPr>
              <w:spacing w:after="0" w:line="360" w:lineRule="auto"/>
              <w:jc w:val="both"/>
              <w:rPr>
                <w:color w:val="000000"/>
                <w:sz w:val="24"/>
                <w:szCs w:val="24"/>
              </w:rPr>
            </w:pPr>
          </w:p>
          <w:p w14:paraId="66832791"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607" w:type="dxa"/>
            <w:shd w:val="clear" w:color="auto" w:fill="FFFFFF"/>
            <w:vAlign w:val="center"/>
          </w:tcPr>
          <w:p w14:paraId="5091D91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Between Groups</w:t>
            </w:r>
          </w:p>
        </w:tc>
        <w:tc>
          <w:tcPr>
            <w:tcW w:w="109" w:type="dxa"/>
            <w:shd w:val="clear" w:color="auto" w:fill="FFFFFF"/>
            <w:vAlign w:val="center"/>
          </w:tcPr>
          <w:p w14:paraId="06413087" w14:textId="77777777" w:rsidR="0054780E" w:rsidRPr="00837846" w:rsidRDefault="0054780E" w:rsidP="00D174AD">
            <w:pPr>
              <w:spacing w:after="0" w:line="360" w:lineRule="auto"/>
              <w:jc w:val="both"/>
              <w:rPr>
                <w:color w:val="000000"/>
                <w:sz w:val="24"/>
                <w:szCs w:val="24"/>
              </w:rPr>
            </w:pPr>
          </w:p>
          <w:p w14:paraId="0DEF6C3C"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3517EE53"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32937.728</w:t>
            </w:r>
          </w:p>
        </w:tc>
        <w:tc>
          <w:tcPr>
            <w:tcW w:w="218" w:type="dxa"/>
            <w:shd w:val="clear" w:color="auto" w:fill="FFFFFF"/>
            <w:vAlign w:val="center"/>
          </w:tcPr>
          <w:p w14:paraId="721EA64A"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1CDE514E"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w:t>
            </w:r>
          </w:p>
        </w:tc>
        <w:tc>
          <w:tcPr>
            <w:tcW w:w="1420" w:type="dxa"/>
            <w:shd w:val="clear" w:color="auto" w:fill="FFFFFF"/>
            <w:vAlign w:val="center"/>
          </w:tcPr>
          <w:p w14:paraId="17E1F0E2"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16468.864</w:t>
            </w:r>
          </w:p>
        </w:tc>
        <w:tc>
          <w:tcPr>
            <w:tcW w:w="100" w:type="dxa"/>
            <w:shd w:val="clear" w:color="auto" w:fill="FFFFFF"/>
            <w:vAlign w:val="center"/>
          </w:tcPr>
          <w:p w14:paraId="51E2D5E2"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930" w:type="dxa"/>
            <w:shd w:val="clear" w:color="auto" w:fill="FFFFFF"/>
            <w:vAlign w:val="center"/>
          </w:tcPr>
          <w:p w14:paraId="06341965"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17.077</w:t>
            </w:r>
          </w:p>
        </w:tc>
        <w:tc>
          <w:tcPr>
            <w:tcW w:w="100" w:type="dxa"/>
            <w:shd w:val="clear" w:color="auto" w:fill="FFFFFF"/>
            <w:vAlign w:val="center"/>
          </w:tcPr>
          <w:p w14:paraId="17BEE673"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80" w:type="dxa"/>
            <w:shd w:val="clear" w:color="auto" w:fill="FFFFFF"/>
            <w:vAlign w:val="center"/>
          </w:tcPr>
          <w:p w14:paraId="119B8A72"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0.000</w:t>
            </w:r>
          </w:p>
        </w:tc>
      </w:tr>
      <w:tr w:rsidR="00325CF9" w14:paraId="5EEE789E" w14:textId="77777777" w:rsidTr="0054780E">
        <w:trPr>
          <w:cantSplit/>
        </w:trPr>
        <w:tc>
          <w:tcPr>
            <w:tcW w:w="1696" w:type="dxa"/>
            <w:vMerge/>
            <w:tcBorders>
              <w:right w:val="single" w:sz="4" w:space="0" w:color="auto"/>
            </w:tcBorders>
            <w:shd w:val="clear" w:color="auto" w:fill="FFFFFF"/>
            <w:vAlign w:val="center"/>
          </w:tcPr>
          <w:p w14:paraId="7D4AAEAA"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800" w:type="dxa"/>
            <w:vMerge/>
            <w:tcBorders>
              <w:left w:val="single" w:sz="4" w:space="0" w:color="auto"/>
            </w:tcBorders>
            <w:shd w:val="clear" w:color="auto" w:fill="FFFFFF"/>
            <w:vAlign w:val="center"/>
          </w:tcPr>
          <w:p w14:paraId="351B998F"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1607" w:type="dxa"/>
            <w:shd w:val="clear" w:color="auto" w:fill="FFFFFF"/>
            <w:vAlign w:val="center"/>
          </w:tcPr>
          <w:p w14:paraId="7EDEC8B4"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Within Groups</w:t>
            </w:r>
          </w:p>
        </w:tc>
        <w:tc>
          <w:tcPr>
            <w:tcW w:w="109" w:type="dxa"/>
            <w:shd w:val="clear" w:color="auto" w:fill="FFFFFF"/>
            <w:vAlign w:val="center"/>
          </w:tcPr>
          <w:p w14:paraId="43C6A5B7"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36D02EEE"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93544.549</w:t>
            </w:r>
          </w:p>
        </w:tc>
        <w:tc>
          <w:tcPr>
            <w:tcW w:w="218" w:type="dxa"/>
            <w:shd w:val="clear" w:color="auto" w:fill="FFFFFF"/>
            <w:vAlign w:val="center"/>
          </w:tcPr>
          <w:p w14:paraId="6BA524F1"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39873281"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97</w:t>
            </w:r>
          </w:p>
        </w:tc>
        <w:tc>
          <w:tcPr>
            <w:tcW w:w="1420" w:type="dxa"/>
            <w:shd w:val="clear" w:color="auto" w:fill="FFFFFF"/>
            <w:vAlign w:val="center"/>
          </w:tcPr>
          <w:p w14:paraId="12A94992"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964.377</w:t>
            </w:r>
          </w:p>
        </w:tc>
        <w:tc>
          <w:tcPr>
            <w:tcW w:w="100" w:type="dxa"/>
            <w:shd w:val="clear" w:color="auto" w:fill="FFFFFF"/>
          </w:tcPr>
          <w:p w14:paraId="03781D31"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3204884A"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72ED4E27"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14DC351E"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1D12E7B7" w14:textId="77777777" w:rsidTr="0054780E">
        <w:trPr>
          <w:cantSplit/>
        </w:trPr>
        <w:tc>
          <w:tcPr>
            <w:tcW w:w="1696" w:type="dxa"/>
            <w:vMerge/>
            <w:tcBorders>
              <w:right w:val="single" w:sz="4" w:space="0" w:color="auto"/>
            </w:tcBorders>
            <w:shd w:val="clear" w:color="auto" w:fill="FFFFFF"/>
            <w:vAlign w:val="center"/>
          </w:tcPr>
          <w:p w14:paraId="7D96327E" w14:textId="77777777" w:rsidR="0054780E" w:rsidRPr="00837846" w:rsidRDefault="0054780E" w:rsidP="00D174AD">
            <w:pPr>
              <w:autoSpaceDE w:val="0"/>
              <w:autoSpaceDN w:val="0"/>
              <w:adjustRightInd w:val="0"/>
              <w:spacing w:after="0" w:line="360" w:lineRule="auto"/>
              <w:jc w:val="both"/>
              <w:rPr>
                <w:sz w:val="24"/>
                <w:szCs w:val="24"/>
              </w:rPr>
            </w:pPr>
          </w:p>
        </w:tc>
        <w:tc>
          <w:tcPr>
            <w:tcW w:w="800" w:type="dxa"/>
            <w:vMerge/>
            <w:tcBorders>
              <w:left w:val="single" w:sz="4" w:space="0" w:color="auto"/>
            </w:tcBorders>
            <w:shd w:val="clear" w:color="auto" w:fill="FFFFFF"/>
            <w:vAlign w:val="center"/>
          </w:tcPr>
          <w:p w14:paraId="061BF799" w14:textId="77777777" w:rsidR="0054780E" w:rsidRPr="00837846" w:rsidRDefault="0054780E" w:rsidP="00D174AD">
            <w:pPr>
              <w:autoSpaceDE w:val="0"/>
              <w:autoSpaceDN w:val="0"/>
              <w:adjustRightInd w:val="0"/>
              <w:spacing w:after="0" w:line="360" w:lineRule="auto"/>
              <w:jc w:val="both"/>
              <w:rPr>
                <w:sz w:val="24"/>
                <w:szCs w:val="24"/>
              </w:rPr>
            </w:pPr>
          </w:p>
        </w:tc>
        <w:tc>
          <w:tcPr>
            <w:tcW w:w="1607" w:type="dxa"/>
            <w:shd w:val="clear" w:color="auto" w:fill="FFFFFF"/>
            <w:vAlign w:val="center"/>
          </w:tcPr>
          <w:p w14:paraId="79F66ABE"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Total</w:t>
            </w:r>
          </w:p>
        </w:tc>
        <w:tc>
          <w:tcPr>
            <w:tcW w:w="109" w:type="dxa"/>
            <w:shd w:val="clear" w:color="auto" w:fill="FFFFFF"/>
            <w:vAlign w:val="center"/>
          </w:tcPr>
          <w:p w14:paraId="7D69E3C5"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6253FA5F"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126482.276</w:t>
            </w:r>
          </w:p>
        </w:tc>
        <w:tc>
          <w:tcPr>
            <w:tcW w:w="218" w:type="dxa"/>
            <w:shd w:val="clear" w:color="auto" w:fill="FFFFFF"/>
            <w:vAlign w:val="center"/>
          </w:tcPr>
          <w:p w14:paraId="4AB8E774"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329417EC"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99</w:t>
            </w:r>
          </w:p>
        </w:tc>
        <w:tc>
          <w:tcPr>
            <w:tcW w:w="1420" w:type="dxa"/>
            <w:shd w:val="clear" w:color="auto" w:fill="FFFFFF"/>
          </w:tcPr>
          <w:p w14:paraId="766676D9"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53EA52ED"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5F7C1DBF"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378E0573"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5E73D72E" w14:textId="77777777" w:rsidR="0054780E" w:rsidRPr="00837846" w:rsidRDefault="0054780E" w:rsidP="00D174AD">
            <w:pPr>
              <w:autoSpaceDE w:val="0"/>
              <w:autoSpaceDN w:val="0"/>
              <w:adjustRightInd w:val="0"/>
              <w:spacing w:after="0" w:line="360" w:lineRule="auto"/>
              <w:jc w:val="both"/>
              <w:rPr>
                <w:sz w:val="24"/>
                <w:szCs w:val="24"/>
              </w:rPr>
            </w:pPr>
          </w:p>
        </w:tc>
      </w:tr>
    </w:tbl>
    <w:p w14:paraId="79500F73" w14:textId="77777777" w:rsidR="00E1338C" w:rsidRDefault="00B52CB8" w:rsidP="0054780E">
      <w:pPr>
        <w:pStyle w:val="NoSpacing"/>
        <w:spacing w:line="360" w:lineRule="auto"/>
        <w:jc w:val="both"/>
        <w:rPr>
          <w:sz w:val="24"/>
          <w:szCs w:val="24"/>
        </w:rPr>
      </w:pPr>
      <w:r>
        <w:rPr>
          <w:sz w:val="24"/>
          <w:szCs w:val="24"/>
        </w:rPr>
        <w:t xml:space="preserve">Where; </w:t>
      </w:r>
      <w:r w:rsidRPr="00A0405C">
        <w:rPr>
          <w:sz w:val="28"/>
          <w:szCs w:val="28"/>
        </w:rPr>
        <w:t>df = degree of freedom</w:t>
      </w:r>
      <w:r>
        <w:rPr>
          <w:sz w:val="24"/>
          <w:szCs w:val="24"/>
        </w:rPr>
        <w:t xml:space="preserve">, </w:t>
      </w:r>
      <w:r w:rsidRPr="00A0405C">
        <w:rPr>
          <w:sz w:val="28"/>
          <w:szCs w:val="28"/>
        </w:rPr>
        <w:t>sig = significance</w:t>
      </w:r>
    </w:p>
    <w:p w14:paraId="0F6DA2EB" w14:textId="77777777" w:rsidR="009D0BAF" w:rsidRDefault="009D0BAF" w:rsidP="0054780E">
      <w:pPr>
        <w:pStyle w:val="NoSpacing"/>
        <w:spacing w:line="360" w:lineRule="auto"/>
        <w:jc w:val="both"/>
        <w:rPr>
          <w:b/>
          <w:sz w:val="24"/>
          <w:szCs w:val="24"/>
        </w:rPr>
      </w:pPr>
    </w:p>
    <w:p w14:paraId="7C0FD9D3" w14:textId="77777777" w:rsidR="0054780E" w:rsidRPr="00E1338C" w:rsidRDefault="00720CD2" w:rsidP="0054780E">
      <w:pPr>
        <w:pStyle w:val="NoSpacing"/>
        <w:spacing w:line="360" w:lineRule="auto"/>
        <w:jc w:val="both"/>
        <w:rPr>
          <w:sz w:val="24"/>
          <w:szCs w:val="24"/>
        </w:rPr>
      </w:pPr>
      <w:r>
        <w:rPr>
          <w:b/>
          <w:sz w:val="24"/>
          <w:szCs w:val="24"/>
        </w:rPr>
        <w:t>TABLE 4</w:t>
      </w:r>
      <w:r w:rsidR="00B52CB8" w:rsidRPr="0054780E">
        <w:rPr>
          <w:b/>
          <w:sz w:val="24"/>
          <w:szCs w:val="24"/>
        </w:rPr>
        <w:t>:</w:t>
      </w:r>
      <w:r w:rsidR="00B52CB8" w:rsidRPr="00933EE8">
        <w:rPr>
          <w:sz w:val="28"/>
          <w:szCs w:val="28"/>
        </w:rPr>
        <w:t xml:space="preserve"> </w:t>
      </w:r>
      <w:r w:rsidR="00B52CB8" w:rsidRPr="0054780E">
        <w:rPr>
          <w:sz w:val="24"/>
          <w:szCs w:val="24"/>
        </w:rPr>
        <w:t>PEARSON</w:t>
      </w:r>
      <w:r w:rsidR="00E1338C">
        <w:rPr>
          <w:sz w:val="24"/>
          <w:szCs w:val="24"/>
        </w:rPr>
        <w:t>’s</w:t>
      </w:r>
      <w:r w:rsidR="00B52CB8" w:rsidRPr="0054780E">
        <w:rPr>
          <w:sz w:val="24"/>
          <w:szCs w:val="24"/>
        </w:rPr>
        <w:t xml:space="preserve"> </w:t>
      </w:r>
      <w:r w:rsidR="00E1338C">
        <w:rPr>
          <w:sz w:val="24"/>
          <w:szCs w:val="24"/>
        </w:rPr>
        <w:t>correlation showing the correlation coefficient between the variables and IPPS.</w:t>
      </w:r>
      <w:r w:rsidR="00B52CB8">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849"/>
        <w:gridCol w:w="1849"/>
        <w:gridCol w:w="1849"/>
        <w:gridCol w:w="1849"/>
        <w:gridCol w:w="1849"/>
      </w:tblGrid>
      <w:tr w:rsidR="00325CF9" w14:paraId="75FE6B6C" w14:textId="77777777" w:rsidTr="00D174AD">
        <w:tc>
          <w:tcPr>
            <w:tcW w:w="1849" w:type="dxa"/>
            <w:tcBorders>
              <w:right w:val="single" w:sz="4" w:space="0" w:color="auto"/>
            </w:tcBorders>
            <w:vAlign w:val="center"/>
          </w:tcPr>
          <w:p w14:paraId="0724664C" w14:textId="77777777" w:rsidR="0054780E" w:rsidRPr="00837846" w:rsidRDefault="00B52CB8" w:rsidP="00D174AD">
            <w:pPr>
              <w:pStyle w:val="NoSpacing"/>
              <w:spacing w:line="360" w:lineRule="auto"/>
              <w:jc w:val="both"/>
              <w:rPr>
                <w:b/>
                <w:sz w:val="24"/>
                <w:szCs w:val="24"/>
              </w:rPr>
            </w:pPr>
            <w:r w:rsidRPr="00837846">
              <w:rPr>
                <w:b/>
                <w:sz w:val="24"/>
                <w:szCs w:val="24"/>
              </w:rPr>
              <w:t>VARIABLES</w:t>
            </w:r>
          </w:p>
        </w:tc>
        <w:tc>
          <w:tcPr>
            <w:tcW w:w="1849" w:type="dxa"/>
            <w:tcBorders>
              <w:left w:val="single" w:sz="4" w:space="0" w:color="auto"/>
            </w:tcBorders>
            <w:vAlign w:val="center"/>
          </w:tcPr>
          <w:p w14:paraId="1A7521CA" w14:textId="77777777" w:rsidR="0054780E" w:rsidRPr="00837846" w:rsidRDefault="00B52CB8" w:rsidP="00D174AD">
            <w:pPr>
              <w:pStyle w:val="NoSpacing"/>
              <w:spacing w:line="360" w:lineRule="auto"/>
              <w:jc w:val="both"/>
              <w:rPr>
                <w:b/>
                <w:sz w:val="24"/>
                <w:szCs w:val="24"/>
              </w:rPr>
            </w:pPr>
            <w:r w:rsidRPr="00837846">
              <w:rPr>
                <w:b/>
                <w:sz w:val="24"/>
                <w:szCs w:val="24"/>
              </w:rPr>
              <w:t>IPSS</w:t>
            </w:r>
          </w:p>
        </w:tc>
        <w:tc>
          <w:tcPr>
            <w:tcW w:w="1849" w:type="dxa"/>
            <w:vAlign w:val="center"/>
          </w:tcPr>
          <w:p w14:paraId="1A9E145B" w14:textId="77777777" w:rsidR="0054780E" w:rsidRPr="00837846" w:rsidRDefault="00B52CB8" w:rsidP="00D174AD">
            <w:pPr>
              <w:pStyle w:val="NoSpacing"/>
              <w:spacing w:line="360" w:lineRule="auto"/>
              <w:jc w:val="both"/>
              <w:rPr>
                <w:b/>
                <w:sz w:val="24"/>
                <w:szCs w:val="24"/>
              </w:rPr>
            </w:pPr>
            <w:r w:rsidRPr="00837846">
              <w:rPr>
                <w:b/>
                <w:sz w:val="24"/>
                <w:szCs w:val="24"/>
              </w:rPr>
              <w:t>BLADDER WALL THICKNESS (BWT)</w:t>
            </w:r>
          </w:p>
        </w:tc>
        <w:tc>
          <w:tcPr>
            <w:tcW w:w="1849" w:type="dxa"/>
            <w:vAlign w:val="center"/>
          </w:tcPr>
          <w:p w14:paraId="3D7FB5F5" w14:textId="77777777" w:rsidR="0054780E" w:rsidRPr="00837846" w:rsidRDefault="00B52CB8" w:rsidP="00D174AD">
            <w:pPr>
              <w:pStyle w:val="NoSpacing"/>
              <w:spacing w:line="360" w:lineRule="auto"/>
              <w:jc w:val="both"/>
              <w:rPr>
                <w:b/>
                <w:sz w:val="24"/>
                <w:szCs w:val="24"/>
              </w:rPr>
            </w:pPr>
            <w:r w:rsidRPr="00837846">
              <w:rPr>
                <w:b/>
                <w:sz w:val="24"/>
                <w:szCs w:val="24"/>
              </w:rPr>
              <w:t>PROSTATE VOLUME</w:t>
            </w:r>
          </w:p>
        </w:tc>
        <w:tc>
          <w:tcPr>
            <w:tcW w:w="1849" w:type="dxa"/>
            <w:vAlign w:val="center"/>
          </w:tcPr>
          <w:p w14:paraId="67745C1B" w14:textId="77777777" w:rsidR="0054780E" w:rsidRPr="00837846" w:rsidRDefault="00B52CB8" w:rsidP="00D174AD">
            <w:pPr>
              <w:pStyle w:val="NoSpacing"/>
              <w:spacing w:line="360" w:lineRule="auto"/>
              <w:jc w:val="both"/>
              <w:rPr>
                <w:b/>
                <w:sz w:val="24"/>
                <w:szCs w:val="24"/>
              </w:rPr>
            </w:pPr>
            <w:r w:rsidRPr="00837846">
              <w:rPr>
                <w:b/>
                <w:sz w:val="24"/>
                <w:szCs w:val="24"/>
              </w:rPr>
              <w:t>POST</w:t>
            </w:r>
            <w:r>
              <w:rPr>
                <w:b/>
                <w:sz w:val="24"/>
                <w:szCs w:val="24"/>
              </w:rPr>
              <w:t>-VO</w:t>
            </w:r>
            <w:r w:rsidRPr="00837846">
              <w:rPr>
                <w:b/>
                <w:sz w:val="24"/>
                <w:szCs w:val="24"/>
              </w:rPr>
              <w:t>ID</w:t>
            </w:r>
            <w:r>
              <w:rPr>
                <w:b/>
                <w:sz w:val="24"/>
                <w:szCs w:val="24"/>
              </w:rPr>
              <w:t>AL</w:t>
            </w:r>
            <w:r w:rsidRPr="00837846">
              <w:rPr>
                <w:b/>
                <w:sz w:val="24"/>
                <w:szCs w:val="24"/>
              </w:rPr>
              <w:t xml:space="preserve"> URINE (PVR)</w:t>
            </w:r>
          </w:p>
        </w:tc>
      </w:tr>
      <w:tr w:rsidR="00325CF9" w14:paraId="7861C553" w14:textId="77777777" w:rsidTr="00D174AD">
        <w:trPr>
          <w:trHeight w:val="379"/>
        </w:trPr>
        <w:tc>
          <w:tcPr>
            <w:tcW w:w="1849" w:type="dxa"/>
            <w:tcBorders>
              <w:right w:val="single" w:sz="4" w:space="0" w:color="auto"/>
            </w:tcBorders>
          </w:tcPr>
          <w:p w14:paraId="3C6BF27D" w14:textId="77777777" w:rsidR="0054780E" w:rsidRPr="00837846" w:rsidRDefault="00B52CB8" w:rsidP="00D174AD">
            <w:pPr>
              <w:pStyle w:val="NoSpacing"/>
              <w:spacing w:line="360" w:lineRule="auto"/>
              <w:jc w:val="both"/>
              <w:rPr>
                <w:b/>
                <w:sz w:val="24"/>
                <w:szCs w:val="24"/>
              </w:rPr>
            </w:pPr>
            <w:r w:rsidRPr="00837846">
              <w:rPr>
                <w:b/>
                <w:sz w:val="24"/>
                <w:szCs w:val="24"/>
              </w:rPr>
              <w:t>BLADDER WALL THICKNESS (BWT)</w:t>
            </w:r>
          </w:p>
        </w:tc>
        <w:tc>
          <w:tcPr>
            <w:tcW w:w="1849" w:type="dxa"/>
            <w:tcBorders>
              <w:left w:val="single" w:sz="4" w:space="0" w:color="auto"/>
            </w:tcBorders>
            <w:vAlign w:val="center"/>
          </w:tcPr>
          <w:p w14:paraId="144280C0" w14:textId="77777777" w:rsidR="0054780E" w:rsidRPr="00837846" w:rsidRDefault="00B52CB8" w:rsidP="00D174AD">
            <w:pPr>
              <w:pStyle w:val="NoSpacing"/>
              <w:spacing w:line="360" w:lineRule="auto"/>
              <w:jc w:val="both"/>
              <w:rPr>
                <w:b/>
              </w:rPr>
            </w:pPr>
            <w:r w:rsidRPr="00837846">
              <w:rPr>
                <w:b/>
              </w:rPr>
              <w:t>0.675**</w:t>
            </w:r>
          </w:p>
        </w:tc>
        <w:tc>
          <w:tcPr>
            <w:tcW w:w="1849" w:type="dxa"/>
            <w:vAlign w:val="center"/>
          </w:tcPr>
          <w:p w14:paraId="56520956" w14:textId="77777777" w:rsidR="0054780E" w:rsidRPr="00837846" w:rsidRDefault="00B52CB8" w:rsidP="00D174AD">
            <w:pPr>
              <w:pStyle w:val="NoSpacing"/>
              <w:spacing w:line="360" w:lineRule="auto"/>
              <w:jc w:val="both"/>
              <w:rPr>
                <w:b/>
              </w:rPr>
            </w:pPr>
            <w:r w:rsidRPr="00837846">
              <w:rPr>
                <w:b/>
              </w:rPr>
              <w:t>1</w:t>
            </w:r>
          </w:p>
        </w:tc>
        <w:tc>
          <w:tcPr>
            <w:tcW w:w="1849" w:type="dxa"/>
            <w:vAlign w:val="center"/>
          </w:tcPr>
          <w:p w14:paraId="243CFBF0" w14:textId="77777777" w:rsidR="0054780E" w:rsidRPr="00D15554" w:rsidRDefault="00B52CB8" w:rsidP="00D174AD">
            <w:pPr>
              <w:pStyle w:val="NoSpacing"/>
              <w:spacing w:line="360" w:lineRule="auto"/>
              <w:jc w:val="both"/>
              <w:rPr>
                <w:b/>
              </w:rPr>
            </w:pPr>
            <w:r w:rsidRPr="00837846">
              <w:rPr>
                <w:b/>
              </w:rPr>
              <w:t>0.787</w:t>
            </w:r>
            <w:r>
              <w:rPr>
                <w:b/>
              </w:rPr>
              <w:t>***</w:t>
            </w:r>
          </w:p>
        </w:tc>
        <w:tc>
          <w:tcPr>
            <w:tcW w:w="1849" w:type="dxa"/>
            <w:vAlign w:val="center"/>
          </w:tcPr>
          <w:p w14:paraId="5299FBE8" w14:textId="77777777" w:rsidR="0054780E" w:rsidRPr="00837846" w:rsidRDefault="00B52CB8" w:rsidP="00D174AD">
            <w:pPr>
              <w:pStyle w:val="NoSpacing"/>
              <w:spacing w:line="360" w:lineRule="auto"/>
              <w:jc w:val="both"/>
              <w:rPr>
                <w:b/>
              </w:rPr>
            </w:pPr>
            <w:r w:rsidRPr="00837846">
              <w:rPr>
                <w:b/>
              </w:rPr>
              <w:t>0.738</w:t>
            </w:r>
            <w:r>
              <w:rPr>
                <w:b/>
              </w:rPr>
              <w:t>***</w:t>
            </w:r>
          </w:p>
        </w:tc>
      </w:tr>
      <w:tr w:rsidR="00325CF9" w14:paraId="35F7DEF3" w14:textId="77777777" w:rsidTr="00D174AD">
        <w:tc>
          <w:tcPr>
            <w:tcW w:w="1849" w:type="dxa"/>
            <w:tcBorders>
              <w:right w:val="single" w:sz="4" w:space="0" w:color="auto"/>
            </w:tcBorders>
          </w:tcPr>
          <w:p w14:paraId="59DBFD62" w14:textId="77777777" w:rsidR="0054780E" w:rsidRPr="00837846" w:rsidRDefault="00B52CB8" w:rsidP="00D174AD">
            <w:pPr>
              <w:pStyle w:val="NoSpacing"/>
              <w:spacing w:line="360" w:lineRule="auto"/>
              <w:jc w:val="both"/>
              <w:rPr>
                <w:b/>
                <w:sz w:val="24"/>
                <w:szCs w:val="24"/>
              </w:rPr>
            </w:pPr>
            <w:r w:rsidRPr="00837846">
              <w:rPr>
                <w:b/>
                <w:sz w:val="24"/>
                <w:szCs w:val="24"/>
              </w:rPr>
              <w:t>PROSTATE VOLUME</w:t>
            </w:r>
          </w:p>
        </w:tc>
        <w:tc>
          <w:tcPr>
            <w:tcW w:w="1849" w:type="dxa"/>
            <w:tcBorders>
              <w:left w:val="single" w:sz="4" w:space="0" w:color="auto"/>
            </w:tcBorders>
            <w:vAlign w:val="center"/>
          </w:tcPr>
          <w:p w14:paraId="679478BC" w14:textId="77777777" w:rsidR="0054780E" w:rsidRPr="00837846" w:rsidRDefault="00B52CB8" w:rsidP="00D174AD">
            <w:pPr>
              <w:pStyle w:val="NoSpacing"/>
              <w:spacing w:line="360" w:lineRule="auto"/>
              <w:jc w:val="both"/>
              <w:rPr>
                <w:b/>
              </w:rPr>
            </w:pPr>
            <w:r w:rsidRPr="00837846">
              <w:rPr>
                <w:b/>
              </w:rPr>
              <w:t>0.657**</w:t>
            </w:r>
          </w:p>
        </w:tc>
        <w:tc>
          <w:tcPr>
            <w:tcW w:w="1849" w:type="dxa"/>
            <w:vAlign w:val="center"/>
          </w:tcPr>
          <w:p w14:paraId="45E89FDC" w14:textId="77777777" w:rsidR="0054780E" w:rsidRPr="00837846" w:rsidRDefault="00B52CB8" w:rsidP="00D174AD">
            <w:pPr>
              <w:pStyle w:val="NoSpacing"/>
              <w:spacing w:line="360" w:lineRule="auto"/>
              <w:jc w:val="both"/>
              <w:rPr>
                <w:b/>
              </w:rPr>
            </w:pPr>
            <w:r w:rsidRPr="00837846">
              <w:rPr>
                <w:b/>
              </w:rPr>
              <w:t>0.787</w:t>
            </w:r>
            <w:r>
              <w:rPr>
                <w:b/>
              </w:rPr>
              <w:t>***</w:t>
            </w:r>
          </w:p>
        </w:tc>
        <w:tc>
          <w:tcPr>
            <w:tcW w:w="1849" w:type="dxa"/>
            <w:vAlign w:val="center"/>
          </w:tcPr>
          <w:p w14:paraId="0849936A" w14:textId="77777777" w:rsidR="0054780E" w:rsidRPr="00837846" w:rsidRDefault="00B52CB8" w:rsidP="00D174AD">
            <w:pPr>
              <w:pStyle w:val="NoSpacing"/>
              <w:spacing w:line="360" w:lineRule="auto"/>
              <w:jc w:val="both"/>
              <w:rPr>
                <w:b/>
              </w:rPr>
            </w:pPr>
            <w:r w:rsidRPr="00837846">
              <w:rPr>
                <w:b/>
              </w:rPr>
              <w:t>1</w:t>
            </w:r>
          </w:p>
        </w:tc>
        <w:tc>
          <w:tcPr>
            <w:tcW w:w="1849" w:type="dxa"/>
            <w:vAlign w:val="center"/>
          </w:tcPr>
          <w:p w14:paraId="09A910D8" w14:textId="77777777" w:rsidR="0054780E" w:rsidRPr="00837846" w:rsidRDefault="00B52CB8" w:rsidP="00D174AD">
            <w:pPr>
              <w:pStyle w:val="NoSpacing"/>
              <w:spacing w:line="360" w:lineRule="auto"/>
              <w:jc w:val="both"/>
              <w:rPr>
                <w:b/>
              </w:rPr>
            </w:pPr>
            <w:r w:rsidRPr="00837846">
              <w:rPr>
                <w:b/>
              </w:rPr>
              <w:t>0.854</w:t>
            </w:r>
            <w:r>
              <w:rPr>
                <w:b/>
              </w:rPr>
              <w:t>***</w:t>
            </w:r>
          </w:p>
        </w:tc>
      </w:tr>
      <w:tr w:rsidR="00325CF9" w14:paraId="402DFBF9" w14:textId="77777777" w:rsidTr="00D174AD">
        <w:tc>
          <w:tcPr>
            <w:tcW w:w="1849" w:type="dxa"/>
            <w:tcBorders>
              <w:right w:val="single" w:sz="4" w:space="0" w:color="auto"/>
            </w:tcBorders>
          </w:tcPr>
          <w:p w14:paraId="0130D7C3" w14:textId="77777777" w:rsidR="0054780E" w:rsidRPr="00837846" w:rsidRDefault="00B52CB8" w:rsidP="00D174AD">
            <w:pPr>
              <w:pStyle w:val="NoSpacing"/>
              <w:spacing w:line="360" w:lineRule="auto"/>
              <w:jc w:val="both"/>
              <w:rPr>
                <w:b/>
                <w:sz w:val="24"/>
                <w:szCs w:val="24"/>
              </w:rPr>
            </w:pPr>
            <w:r>
              <w:rPr>
                <w:b/>
                <w:sz w:val="24"/>
                <w:szCs w:val="24"/>
              </w:rPr>
              <w:lastRenderedPageBreak/>
              <w:t>POST-</w:t>
            </w:r>
            <w:r w:rsidRPr="00837846">
              <w:rPr>
                <w:b/>
                <w:sz w:val="24"/>
                <w:szCs w:val="24"/>
              </w:rPr>
              <w:t>VOID</w:t>
            </w:r>
            <w:r>
              <w:rPr>
                <w:b/>
                <w:sz w:val="24"/>
                <w:szCs w:val="24"/>
              </w:rPr>
              <w:t>AL</w:t>
            </w:r>
            <w:r w:rsidRPr="00837846">
              <w:rPr>
                <w:b/>
                <w:sz w:val="24"/>
                <w:szCs w:val="24"/>
              </w:rPr>
              <w:t xml:space="preserve"> URINE (PVR)</w:t>
            </w:r>
          </w:p>
        </w:tc>
        <w:tc>
          <w:tcPr>
            <w:tcW w:w="1849" w:type="dxa"/>
            <w:tcBorders>
              <w:left w:val="single" w:sz="4" w:space="0" w:color="auto"/>
            </w:tcBorders>
            <w:vAlign w:val="center"/>
          </w:tcPr>
          <w:p w14:paraId="49D21241" w14:textId="77777777" w:rsidR="0054780E" w:rsidRPr="00837846" w:rsidRDefault="00B52CB8" w:rsidP="00D174AD">
            <w:pPr>
              <w:pStyle w:val="NoSpacing"/>
              <w:spacing w:line="360" w:lineRule="auto"/>
              <w:jc w:val="both"/>
              <w:rPr>
                <w:b/>
              </w:rPr>
            </w:pPr>
            <w:r w:rsidRPr="00837846">
              <w:rPr>
                <w:b/>
              </w:rPr>
              <w:t>0.533**</w:t>
            </w:r>
          </w:p>
        </w:tc>
        <w:tc>
          <w:tcPr>
            <w:tcW w:w="1849" w:type="dxa"/>
            <w:vAlign w:val="center"/>
          </w:tcPr>
          <w:p w14:paraId="1B132D38" w14:textId="77777777" w:rsidR="0054780E" w:rsidRPr="00837846" w:rsidRDefault="00B52CB8" w:rsidP="00D174AD">
            <w:pPr>
              <w:pStyle w:val="NoSpacing"/>
              <w:spacing w:line="360" w:lineRule="auto"/>
              <w:jc w:val="both"/>
              <w:rPr>
                <w:b/>
              </w:rPr>
            </w:pPr>
            <w:r w:rsidRPr="00837846">
              <w:rPr>
                <w:b/>
              </w:rPr>
              <w:t>0.738</w:t>
            </w:r>
            <w:r>
              <w:rPr>
                <w:b/>
              </w:rPr>
              <w:t>***</w:t>
            </w:r>
          </w:p>
        </w:tc>
        <w:tc>
          <w:tcPr>
            <w:tcW w:w="1849" w:type="dxa"/>
            <w:vAlign w:val="center"/>
          </w:tcPr>
          <w:p w14:paraId="49BA87F9" w14:textId="77777777" w:rsidR="0054780E" w:rsidRPr="00837846" w:rsidRDefault="00B52CB8" w:rsidP="00D174AD">
            <w:pPr>
              <w:pStyle w:val="NoSpacing"/>
              <w:spacing w:line="360" w:lineRule="auto"/>
              <w:jc w:val="both"/>
              <w:rPr>
                <w:b/>
              </w:rPr>
            </w:pPr>
            <w:r w:rsidRPr="00837846">
              <w:rPr>
                <w:b/>
              </w:rPr>
              <w:t>0.854</w:t>
            </w:r>
            <w:r>
              <w:rPr>
                <w:b/>
              </w:rPr>
              <w:t>***</w:t>
            </w:r>
          </w:p>
        </w:tc>
        <w:tc>
          <w:tcPr>
            <w:tcW w:w="1849" w:type="dxa"/>
            <w:vAlign w:val="center"/>
          </w:tcPr>
          <w:p w14:paraId="13FF3201" w14:textId="77777777" w:rsidR="0054780E" w:rsidRPr="00837846" w:rsidRDefault="00B52CB8" w:rsidP="00D174AD">
            <w:pPr>
              <w:pStyle w:val="NoSpacing"/>
              <w:spacing w:line="360" w:lineRule="auto"/>
              <w:jc w:val="both"/>
              <w:rPr>
                <w:b/>
              </w:rPr>
            </w:pPr>
            <w:r w:rsidRPr="00837846">
              <w:rPr>
                <w:b/>
              </w:rPr>
              <w:t>1</w:t>
            </w:r>
          </w:p>
        </w:tc>
      </w:tr>
    </w:tbl>
    <w:p w14:paraId="3F284E5B" w14:textId="77777777" w:rsidR="00613812" w:rsidRPr="00537592" w:rsidRDefault="00B52CB8" w:rsidP="00613812">
      <w:pPr>
        <w:pStyle w:val="NoSpacing"/>
        <w:spacing w:line="360" w:lineRule="auto"/>
        <w:jc w:val="both"/>
        <w:rPr>
          <w:sz w:val="24"/>
          <w:szCs w:val="24"/>
        </w:rPr>
      </w:pPr>
      <w:r w:rsidRPr="00CF6A80">
        <w:rPr>
          <w:b/>
          <w:sz w:val="24"/>
          <w:szCs w:val="24"/>
        </w:rPr>
        <w:t xml:space="preserve">** </w:t>
      </w:r>
      <w:r w:rsidRPr="00537592">
        <w:rPr>
          <w:sz w:val="24"/>
          <w:szCs w:val="24"/>
        </w:rPr>
        <w:t>Correlation is significant at the 0.01 level (2-tailed)</w:t>
      </w:r>
      <w:r w:rsidR="00E1338C">
        <w:rPr>
          <w:sz w:val="24"/>
          <w:szCs w:val="24"/>
        </w:rPr>
        <w:t xml:space="preserve">, </w:t>
      </w:r>
      <w:r w:rsidRPr="00537592">
        <w:rPr>
          <w:sz w:val="24"/>
          <w:szCs w:val="24"/>
        </w:rPr>
        <w:t>***Correlation is significant at the 0.001 level</w:t>
      </w:r>
      <w:r w:rsidR="00E1338C">
        <w:rPr>
          <w:sz w:val="24"/>
          <w:szCs w:val="24"/>
        </w:rPr>
        <w:t>.</w:t>
      </w:r>
      <w:r w:rsidRPr="00537592">
        <w:rPr>
          <w:sz w:val="24"/>
          <w:szCs w:val="24"/>
        </w:rPr>
        <w:t xml:space="preserve"> BWT showed a significant correlation with IPSS.</w:t>
      </w:r>
      <w:r w:rsidR="00FC7D95">
        <w:rPr>
          <w:sz w:val="24"/>
          <w:szCs w:val="24"/>
        </w:rPr>
        <w:t xml:space="preserve"> </w:t>
      </w:r>
      <w:r w:rsidRPr="00537592">
        <w:rPr>
          <w:sz w:val="24"/>
          <w:szCs w:val="24"/>
        </w:rPr>
        <w:t>PVR and Prostate volume showed the most significance amongst the parameters.</w:t>
      </w:r>
    </w:p>
    <w:p w14:paraId="0852DD2B" w14:textId="77777777" w:rsidR="008659AA" w:rsidRDefault="008659AA" w:rsidP="00613812">
      <w:pPr>
        <w:pStyle w:val="NoSpacing"/>
        <w:spacing w:line="360" w:lineRule="auto"/>
        <w:jc w:val="both"/>
        <w:rPr>
          <w:b/>
          <w:sz w:val="24"/>
          <w:szCs w:val="24"/>
        </w:rPr>
      </w:pPr>
    </w:p>
    <w:p w14:paraId="6DFB6182" w14:textId="77777777" w:rsidR="00613812" w:rsidRPr="00613812" w:rsidRDefault="00B52CB8" w:rsidP="00613812">
      <w:pPr>
        <w:pStyle w:val="NoSpacing"/>
        <w:spacing w:line="360" w:lineRule="auto"/>
        <w:jc w:val="both"/>
        <w:rPr>
          <w:sz w:val="24"/>
          <w:szCs w:val="24"/>
        </w:rPr>
      </w:pPr>
      <w:r w:rsidRPr="00613812">
        <w:rPr>
          <w:b/>
          <w:sz w:val="24"/>
          <w:szCs w:val="24"/>
        </w:rPr>
        <w:t xml:space="preserve">TABLE </w:t>
      </w:r>
      <w:r w:rsidR="00720CD2">
        <w:rPr>
          <w:b/>
          <w:sz w:val="24"/>
          <w:szCs w:val="24"/>
        </w:rPr>
        <w:t>5</w:t>
      </w:r>
      <w:r w:rsidRPr="00613812">
        <w:rPr>
          <w:sz w:val="24"/>
          <w:szCs w:val="24"/>
        </w:rPr>
        <w:t>: M</w:t>
      </w:r>
      <w:r w:rsidR="00E1338C">
        <w:rPr>
          <w:sz w:val="24"/>
          <w:szCs w:val="24"/>
        </w:rPr>
        <w:t>ultivariate logistic regression analysis of the relati</w:t>
      </w:r>
      <w:r w:rsidR="008659AA">
        <w:rPr>
          <w:sz w:val="24"/>
          <w:szCs w:val="24"/>
        </w:rPr>
        <w:t xml:space="preserve">onship between all 3 </w:t>
      </w:r>
      <w:proofErr w:type="spellStart"/>
      <w:r w:rsidR="008659AA">
        <w:rPr>
          <w:sz w:val="24"/>
          <w:szCs w:val="24"/>
        </w:rPr>
        <w:t>parametres</w:t>
      </w:r>
      <w:proofErr w:type="spellEnd"/>
      <w:r w:rsidR="008659AA">
        <w:rPr>
          <w:sz w:val="24"/>
          <w:szCs w:val="24"/>
        </w:rPr>
        <w:t xml:space="preserve"> </w:t>
      </w:r>
      <w:r w:rsidR="00E1338C">
        <w:rPr>
          <w:sz w:val="24"/>
          <w:szCs w:val="24"/>
        </w:rPr>
        <w:t>and subjects with mild IPSS subjects.</w:t>
      </w:r>
    </w:p>
    <w:p w14:paraId="5FD89C7B" w14:textId="77777777" w:rsidR="00613812" w:rsidRPr="00613812" w:rsidRDefault="00613812" w:rsidP="00613812">
      <w:pPr>
        <w:autoSpaceDE w:val="0"/>
        <w:autoSpaceDN w:val="0"/>
        <w:adjustRightInd w:val="0"/>
        <w:spacing w:after="0" w:line="360" w:lineRule="auto"/>
        <w:jc w:val="both"/>
        <w:rPr>
          <w:sz w:val="24"/>
          <w:szCs w:val="24"/>
        </w:rPr>
      </w:pPr>
    </w:p>
    <w:tbl>
      <w:tblPr>
        <w:tblW w:w="8505" w:type="dxa"/>
        <w:tblInd w:w="137" w:type="dxa"/>
        <w:tblBorders>
          <w:top w:val="single" w:sz="4" w:space="0" w:color="auto"/>
          <w:bottom w:val="single" w:sz="4" w:space="0" w:color="auto"/>
          <w:insideH w:val="single" w:sz="4" w:space="0" w:color="auto"/>
        </w:tblBorders>
        <w:tblLook w:val="04A0" w:firstRow="1" w:lastRow="0" w:firstColumn="1" w:lastColumn="0" w:noHBand="0" w:noVBand="1"/>
      </w:tblPr>
      <w:tblGrid>
        <w:gridCol w:w="2126"/>
        <w:gridCol w:w="2165"/>
        <w:gridCol w:w="1804"/>
        <w:gridCol w:w="2410"/>
      </w:tblGrid>
      <w:tr w:rsidR="00325CF9" w14:paraId="1975AD7B" w14:textId="77777777" w:rsidTr="00592251">
        <w:trPr>
          <w:trHeight w:val="1104"/>
        </w:trPr>
        <w:tc>
          <w:tcPr>
            <w:tcW w:w="2126" w:type="dxa"/>
            <w:vMerge w:val="restart"/>
            <w:tcBorders>
              <w:left w:val="single" w:sz="4" w:space="0" w:color="auto"/>
              <w:right w:val="single" w:sz="4" w:space="0" w:color="auto"/>
            </w:tcBorders>
            <w:vAlign w:val="center"/>
          </w:tcPr>
          <w:p w14:paraId="13F7F606" w14:textId="77777777" w:rsidR="00613812" w:rsidRPr="00837846" w:rsidRDefault="00B52CB8" w:rsidP="00D174AD">
            <w:pPr>
              <w:spacing w:line="360" w:lineRule="auto"/>
              <w:jc w:val="both"/>
              <w:rPr>
                <w:sz w:val="24"/>
                <w:szCs w:val="24"/>
              </w:rPr>
            </w:pPr>
            <w:r w:rsidRPr="00837846">
              <w:rPr>
                <w:sz w:val="24"/>
                <w:szCs w:val="24"/>
              </w:rPr>
              <w:t>PARAMETER</w:t>
            </w:r>
          </w:p>
        </w:tc>
        <w:tc>
          <w:tcPr>
            <w:tcW w:w="2165" w:type="dxa"/>
            <w:vMerge w:val="restart"/>
            <w:tcBorders>
              <w:left w:val="single" w:sz="4" w:space="0" w:color="auto"/>
              <w:right w:val="single" w:sz="4" w:space="0" w:color="auto"/>
            </w:tcBorders>
            <w:vAlign w:val="center"/>
          </w:tcPr>
          <w:p w14:paraId="2AA607C4" w14:textId="77777777" w:rsidR="00613812" w:rsidRPr="00837846" w:rsidRDefault="00B52CB8" w:rsidP="00D174AD">
            <w:pPr>
              <w:spacing w:line="360" w:lineRule="auto"/>
              <w:jc w:val="both"/>
              <w:rPr>
                <w:sz w:val="24"/>
                <w:szCs w:val="24"/>
              </w:rPr>
            </w:pPr>
            <w:r w:rsidRPr="00837846">
              <w:rPr>
                <w:sz w:val="24"/>
                <w:szCs w:val="24"/>
              </w:rPr>
              <w:t>B</w:t>
            </w:r>
          </w:p>
        </w:tc>
        <w:tc>
          <w:tcPr>
            <w:tcW w:w="1804" w:type="dxa"/>
            <w:vMerge w:val="restart"/>
            <w:tcBorders>
              <w:left w:val="single" w:sz="4" w:space="0" w:color="auto"/>
              <w:right w:val="single" w:sz="4" w:space="0" w:color="auto"/>
            </w:tcBorders>
            <w:vAlign w:val="center"/>
          </w:tcPr>
          <w:p w14:paraId="3E84BDE6" w14:textId="77777777" w:rsidR="00613812" w:rsidRPr="00837846" w:rsidRDefault="00B52CB8" w:rsidP="00D174AD">
            <w:pPr>
              <w:spacing w:line="360" w:lineRule="auto"/>
              <w:jc w:val="both"/>
              <w:rPr>
                <w:sz w:val="24"/>
                <w:szCs w:val="24"/>
              </w:rPr>
            </w:pPr>
            <w:r>
              <w:rPr>
                <w:sz w:val="24"/>
                <w:szCs w:val="24"/>
              </w:rPr>
              <w:t>Odd’s Ratio</w:t>
            </w:r>
          </w:p>
        </w:tc>
        <w:tc>
          <w:tcPr>
            <w:tcW w:w="2410" w:type="dxa"/>
            <w:vMerge w:val="restart"/>
            <w:tcBorders>
              <w:left w:val="single" w:sz="4" w:space="0" w:color="auto"/>
              <w:right w:val="single" w:sz="4" w:space="0" w:color="auto"/>
            </w:tcBorders>
            <w:vAlign w:val="center"/>
          </w:tcPr>
          <w:p w14:paraId="0575F647" w14:textId="77777777" w:rsidR="00613812" w:rsidRPr="00837846" w:rsidRDefault="00B52CB8" w:rsidP="00D174AD">
            <w:pPr>
              <w:spacing w:line="360" w:lineRule="auto"/>
              <w:jc w:val="both"/>
              <w:rPr>
                <w:b/>
                <w:sz w:val="24"/>
                <w:szCs w:val="24"/>
              </w:rPr>
            </w:pPr>
            <w:r>
              <w:rPr>
                <w:b/>
                <w:sz w:val="24"/>
                <w:szCs w:val="24"/>
              </w:rPr>
              <w:t>Sig</w:t>
            </w:r>
            <w:r w:rsidRPr="00837846">
              <w:rPr>
                <w:b/>
                <w:sz w:val="24"/>
                <w:szCs w:val="24"/>
              </w:rPr>
              <w:t>.</w:t>
            </w:r>
          </w:p>
        </w:tc>
      </w:tr>
      <w:tr w:rsidR="00325CF9" w14:paraId="30CE439D" w14:textId="77777777" w:rsidTr="009D0BAF">
        <w:trPr>
          <w:trHeight w:val="599"/>
        </w:trPr>
        <w:tc>
          <w:tcPr>
            <w:tcW w:w="2126" w:type="dxa"/>
            <w:vMerge/>
            <w:tcBorders>
              <w:left w:val="single" w:sz="4" w:space="0" w:color="auto"/>
              <w:right w:val="single" w:sz="4" w:space="0" w:color="auto"/>
            </w:tcBorders>
            <w:vAlign w:val="center"/>
          </w:tcPr>
          <w:p w14:paraId="528CF730" w14:textId="77777777" w:rsidR="00613812" w:rsidRPr="00837846" w:rsidRDefault="00613812" w:rsidP="00D174AD">
            <w:pPr>
              <w:spacing w:line="360" w:lineRule="auto"/>
              <w:jc w:val="both"/>
              <w:rPr>
                <w:sz w:val="24"/>
                <w:szCs w:val="24"/>
              </w:rPr>
            </w:pPr>
          </w:p>
        </w:tc>
        <w:tc>
          <w:tcPr>
            <w:tcW w:w="2165" w:type="dxa"/>
            <w:vMerge/>
            <w:tcBorders>
              <w:left w:val="single" w:sz="4" w:space="0" w:color="auto"/>
              <w:right w:val="single" w:sz="4" w:space="0" w:color="auto"/>
            </w:tcBorders>
            <w:vAlign w:val="center"/>
          </w:tcPr>
          <w:p w14:paraId="04F3CC6D" w14:textId="77777777" w:rsidR="00613812" w:rsidRPr="00837846" w:rsidRDefault="00613812" w:rsidP="00D174AD">
            <w:pPr>
              <w:spacing w:line="360" w:lineRule="auto"/>
              <w:jc w:val="both"/>
              <w:rPr>
                <w:sz w:val="24"/>
                <w:szCs w:val="24"/>
              </w:rPr>
            </w:pPr>
          </w:p>
        </w:tc>
        <w:tc>
          <w:tcPr>
            <w:tcW w:w="1804" w:type="dxa"/>
            <w:vMerge/>
            <w:tcBorders>
              <w:left w:val="single" w:sz="4" w:space="0" w:color="auto"/>
              <w:right w:val="single" w:sz="4" w:space="0" w:color="auto"/>
            </w:tcBorders>
            <w:vAlign w:val="center"/>
          </w:tcPr>
          <w:p w14:paraId="17F618DD" w14:textId="77777777" w:rsidR="00613812" w:rsidRPr="00837846" w:rsidRDefault="00613812" w:rsidP="00D174AD">
            <w:pPr>
              <w:spacing w:line="360" w:lineRule="auto"/>
              <w:jc w:val="both"/>
              <w:rPr>
                <w:sz w:val="24"/>
                <w:szCs w:val="24"/>
              </w:rPr>
            </w:pPr>
          </w:p>
        </w:tc>
        <w:tc>
          <w:tcPr>
            <w:tcW w:w="2410" w:type="dxa"/>
            <w:vMerge/>
            <w:tcBorders>
              <w:left w:val="single" w:sz="4" w:space="0" w:color="auto"/>
              <w:right w:val="single" w:sz="4" w:space="0" w:color="auto"/>
            </w:tcBorders>
            <w:vAlign w:val="center"/>
          </w:tcPr>
          <w:p w14:paraId="572490A7" w14:textId="77777777" w:rsidR="00613812" w:rsidRPr="00837846" w:rsidRDefault="00613812" w:rsidP="00D174AD">
            <w:pPr>
              <w:spacing w:line="360" w:lineRule="auto"/>
              <w:jc w:val="both"/>
              <w:rPr>
                <w:sz w:val="24"/>
                <w:szCs w:val="24"/>
              </w:rPr>
            </w:pPr>
          </w:p>
        </w:tc>
      </w:tr>
      <w:tr w:rsidR="00325CF9" w14:paraId="1019DA5F" w14:textId="77777777" w:rsidTr="00592251">
        <w:tc>
          <w:tcPr>
            <w:tcW w:w="2126" w:type="dxa"/>
            <w:tcBorders>
              <w:left w:val="single" w:sz="4" w:space="0" w:color="auto"/>
              <w:right w:val="single" w:sz="4" w:space="0" w:color="auto"/>
            </w:tcBorders>
          </w:tcPr>
          <w:p w14:paraId="7404BBEB" w14:textId="77777777" w:rsidR="00613812" w:rsidRPr="00837846" w:rsidRDefault="00B52CB8" w:rsidP="00D174AD">
            <w:pPr>
              <w:spacing w:line="360" w:lineRule="auto"/>
              <w:jc w:val="both"/>
              <w:rPr>
                <w:b/>
                <w:sz w:val="24"/>
                <w:szCs w:val="24"/>
              </w:rPr>
            </w:pPr>
            <w:r w:rsidRPr="00837846">
              <w:rPr>
                <w:b/>
                <w:sz w:val="24"/>
                <w:szCs w:val="24"/>
              </w:rPr>
              <w:t>BLADDER WALL THICKNESS</w:t>
            </w:r>
          </w:p>
        </w:tc>
        <w:tc>
          <w:tcPr>
            <w:tcW w:w="2165" w:type="dxa"/>
            <w:tcBorders>
              <w:left w:val="single" w:sz="4" w:space="0" w:color="auto"/>
              <w:right w:val="single" w:sz="4" w:space="0" w:color="auto"/>
            </w:tcBorders>
          </w:tcPr>
          <w:p w14:paraId="74AA170F" w14:textId="77777777" w:rsidR="00613812" w:rsidRPr="00837846" w:rsidRDefault="00B52CB8" w:rsidP="00D174AD">
            <w:pPr>
              <w:spacing w:line="360" w:lineRule="auto"/>
              <w:jc w:val="both"/>
              <w:rPr>
                <w:sz w:val="24"/>
                <w:szCs w:val="24"/>
              </w:rPr>
            </w:pPr>
            <w:r w:rsidRPr="00837846">
              <w:rPr>
                <w:sz w:val="24"/>
                <w:szCs w:val="24"/>
              </w:rPr>
              <w:t>8.371</w:t>
            </w:r>
          </w:p>
        </w:tc>
        <w:tc>
          <w:tcPr>
            <w:tcW w:w="1804" w:type="dxa"/>
            <w:tcBorders>
              <w:left w:val="single" w:sz="4" w:space="0" w:color="auto"/>
              <w:right w:val="single" w:sz="4" w:space="0" w:color="auto"/>
            </w:tcBorders>
          </w:tcPr>
          <w:p w14:paraId="3C43A1D8" w14:textId="77777777" w:rsidR="00613812" w:rsidRPr="00837846" w:rsidRDefault="00B52CB8" w:rsidP="00D174AD">
            <w:pPr>
              <w:spacing w:line="360" w:lineRule="auto"/>
              <w:jc w:val="both"/>
              <w:rPr>
                <w:sz w:val="24"/>
                <w:szCs w:val="24"/>
              </w:rPr>
            </w:pPr>
            <w:r w:rsidRPr="00837846">
              <w:rPr>
                <w:sz w:val="24"/>
                <w:szCs w:val="24"/>
              </w:rPr>
              <w:t>3.000</w:t>
            </w:r>
          </w:p>
        </w:tc>
        <w:tc>
          <w:tcPr>
            <w:tcW w:w="2410" w:type="dxa"/>
            <w:tcBorders>
              <w:left w:val="single" w:sz="4" w:space="0" w:color="auto"/>
              <w:right w:val="single" w:sz="4" w:space="0" w:color="auto"/>
            </w:tcBorders>
          </w:tcPr>
          <w:p w14:paraId="09A4BE01" w14:textId="77777777" w:rsidR="00613812" w:rsidRPr="00837846" w:rsidRDefault="00B52CB8" w:rsidP="00D174AD">
            <w:pPr>
              <w:spacing w:line="360" w:lineRule="auto"/>
              <w:jc w:val="both"/>
              <w:rPr>
                <w:sz w:val="24"/>
                <w:szCs w:val="24"/>
              </w:rPr>
            </w:pPr>
            <w:r w:rsidRPr="00837846">
              <w:rPr>
                <w:sz w:val="24"/>
                <w:szCs w:val="24"/>
              </w:rPr>
              <w:t>0.005</w:t>
            </w:r>
            <w:r>
              <w:rPr>
                <w:sz w:val="24"/>
                <w:szCs w:val="24"/>
              </w:rPr>
              <w:t>**</w:t>
            </w:r>
          </w:p>
        </w:tc>
      </w:tr>
      <w:tr w:rsidR="00325CF9" w14:paraId="5BAAFF07" w14:textId="77777777" w:rsidTr="00592251">
        <w:tc>
          <w:tcPr>
            <w:tcW w:w="2126" w:type="dxa"/>
            <w:tcBorders>
              <w:left w:val="single" w:sz="4" w:space="0" w:color="auto"/>
              <w:right w:val="single" w:sz="4" w:space="0" w:color="auto"/>
            </w:tcBorders>
          </w:tcPr>
          <w:p w14:paraId="4ADB3638" w14:textId="77777777" w:rsidR="00613812" w:rsidRPr="00837846" w:rsidRDefault="00B52CB8" w:rsidP="00D174AD">
            <w:pPr>
              <w:spacing w:line="360" w:lineRule="auto"/>
              <w:jc w:val="both"/>
              <w:rPr>
                <w:b/>
                <w:sz w:val="24"/>
                <w:szCs w:val="24"/>
              </w:rPr>
            </w:pPr>
            <w:r w:rsidRPr="00837846">
              <w:rPr>
                <w:b/>
                <w:sz w:val="24"/>
                <w:szCs w:val="24"/>
              </w:rPr>
              <w:t>PROSTATIC VOLUME</w:t>
            </w:r>
          </w:p>
        </w:tc>
        <w:tc>
          <w:tcPr>
            <w:tcW w:w="2165" w:type="dxa"/>
            <w:tcBorders>
              <w:left w:val="single" w:sz="4" w:space="0" w:color="auto"/>
              <w:right w:val="single" w:sz="4" w:space="0" w:color="auto"/>
            </w:tcBorders>
          </w:tcPr>
          <w:p w14:paraId="56BBD5AA" w14:textId="77777777" w:rsidR="00613812" w:rsidRPr="00837846" w:rsidRDefault="00B52CB8" w:rsidP="00D174AD">
            <w:pPr>
              <w:spacing w:line="360" w:lineRule="auto"/>
              <w:jc w:val="both"/>
              <w:rPr>
                <w:sz w:val="24"/>
                <w:szCs w:val="24"/>
              </w:rPr>
            </w:pPr>
            <w:r w:rsidRPr="00837846">
              <w:rPr>
                <w:sz w:val="24"/>
                <w:szCs w:val="24"/>
              </w:rPr>
              <w:t>2.27</w:t>
            </w:r>
          </w:p>
        </w:tc>
        <w:tc>
          <w:tcPr>
            <w:tcW w:w="1804" w:type="dxa"/>
            <w:tcBorders>
              <w:left w:val="single" w:sz="4" w:space="0" w:color="auto"/>
              <w:right w:val="single" w:sz="4" w:space="0" w:color="auto"/>
            </w:tcBorders>
          </w:tcPr>
          <w:p w14:paraId="7F00B3FE" w14:textId="77777777" w:rsidR="00613812" w:rsidRPr="00837846" w:rsidRDefault="00B52CB8" w:rsidP="00D174AD">
            <w:pPr>
              <w:spacing w:line="360" w:lineRule="auto"/>
              <w:jc w:val="both"/>
              <w:rPr>
                <w:sz w:val="24"/>
                <w:szCs w:val="24"/>
              </w:rPr>
            </w:pPr>
            <w:r w:rsidRPr="00837846">
              <w:rPr>
                <w:sz w:val="24"/>
                <w:szCs w:val="24"/>
              </w:rPr>
              <w:t>3.71</w:t>
            </w:r>
          </w:p>
        </w:tc>
        <w:tc>
          <w:tcPr>
            <w:tcW w:w="2410" w:type="dxa"/>
            <w:tcBorders>
              <w:left w:val="single" w:sz="4" w:space="0" w:color="auto"/>
              <w:right w:val="single" w:sz="4" w:space="0" w:color="auto"/>
            </w:tcBorders>
          </w:tcPr>
          <w:p w14:paraId="5906244A" w14:textId="77777777" w:rsidR="00613812" w:rsidRPr="00837846" w:rsidRDefault="00B52CB8" w:rsidP="00D174AD">
            <w:pPr>
              <w:spacing w:line="360" w:lineRule="auto"/>
              <w:jc w:val="both"/>
              <w:rPr>
                <w:sz w:val="24"/>
                <w:szCs w:val="24"/>
              </w:rPr>
            </w:pPr>
            <w:r w:rsidRPr="00837846">
              <w:rPr>
                <w:sz w:val="24"/>
                <w:szCs w:val="24"/>
              </w:rPr>
              <w:t>0.542</w:t>
            </w:r>
          </w:p>
        </w:tc>
      </w:tr>
      <w:tr w:rsidR="00325CF9" w14:paraId="02895364" w14:textId="77777777" w:rsidTr="00592251">
        <w:tc>
          <w:tcPr>
            <w:tcW w:w="2126" w:type="dxa"/>
            <w:tcBorders>
              <w:left w:val="single" w:sz="4" w:space="0" w:color="auto"/>
              <w:right w:val="single" w:sz="4" w:space="0" w:color="auto"/>
            </w:tcBorders>
          </w:tcPr>
          <w:p w14:paraId="4A0688B5" w14:textId="77777777" w:rsidR="00613812" w:rsidRPr="00837846" w:rsidRDefault="00B52CB8" w:rsidP="00D174AD">
            <w:pPr>
              <w:spacing w:line="360" w:lineRule="auto"/>
              <w:jc w:val="both"/>
              <w:rPr>
                <w:b/>
                <w:sz w:val="24"/>
                <w:szCs w:val="24"/>
              </w:rPr>
            </w:pPr>
            <w:r w:rsidRPr="00837846">
              <w:rPr>
                <w:b/>
                <w:sz w:val="24"/>
                <w:szCs w:val="24"/>
              </w:rPr>
              <w:t>POST</w:t>
            </w:r>
            <w:r>
              <w:rPr>
                <w:b/>
                <w:sz w:val="24"/>
                <w:szCs w:val="24"/>
              </w:rPr>
              <w:t>-</w:t>
            </w:r>
            <w:r w:rsidRPr="00837846">
              <w:rPr>
                <w:b/>
                <w:sz w:val="24"/>
                <w:szCs w:val="24"/>
              </w:rPr>
              <w:t>VOID</w:t>
            </w:r>
            <w:r w:rsidR="00592251">
              <w:rPr>
                <w:b/>
                <w:sz w:val="24"/>
                <w:szCs w:val="24"/>
              </w:rPr>
              <w:t xml:space="preserve"> URINE </w:t>
            </w:r>
            <w:r w:rsidRPr="00837846">
              <w:rPr>
                <w:b/>
                <w:sz w:val="24"/>
                <w:szCs w:val="24"/>
              </w:rPr>
              <w:t>VOLUME</w:t>
            </w:r>
          </w:p>
        </w:tc>
        <w:tc>
          <w:tcPr>
            <w:tcW w:w="2165" w:type="dxa"/>
            <w:tcBorders>
              <w:left w:val="single" w:sz="4" w:space="0" w:color="auto"/>
              <w:right w:val="single" w:sz="4" w:space="0" w:color="auto"/>
            </w:tcBorders>
          </w:tcPr>
          <w:p w14:paraId="77B7676F" w14:textId="77777777" w:rsidR="00613812" w:rsidRPr="00837846" w:rsidRDefault="00B52CB8" w:rsidP="00D174AD">
            <w:pPr>
              <w:spacing w:line="360" w:lineRule="auto"/>
              <w:jc w:val="both"/>
              <w:rPr>
                <w:sz w:val="24"/>
                <w:szCs w:val="24"/>
              </w:rPr>
            </w:pPr>
            <w:r w:rsidRPr="00837846">
              <w:rPr>
                <w:sz w:val="24"/>
                <w:szCs w:val="24"/>
              </w:rPr>
              <w:t>2.56</w:t>
            </w:r>
          </w:p>
        </w:tc>
        <w:tc>
          <w:tcPr>
            <w:tcW w:w="1804" w:type="dxa"/>
            <w:tcBorders>
              <w:left w:val="single" w:sz="4" w:space="0" w:color="auto"/>
              <w:right w:val="single" w:sz="4" w:space="0" w:color="auto"/>
            </w:tcBorders>
          </w:tcPr>
          <w:p w14:paraId="52080BCD" w14:textId="77777777" w:rsidR="00613812" w:rsidRPr="00837846" w:rsidRDefault="00B52CB8" w:rsidP="00D174AD">
            <w:pPr>
              <w:spacing w:line="360" w:lineRule="auto"/>
              <w:jc w:val="both"/>
              <w:rPr>
                <w:sz w:val="24"/>
                <w:szCs w:val="24"/>
              </w:rPr>
            </w:pPr>
            <w:r w:rsidRPr="00837846">
              <w:rPr>
                <w:sz w:val="24"/>
                <w:szCs w:val="24"/>
              </w:rPr>
              <w:t>11.54</w:t>
            </w:r>
          </w:p>
        </w:tc>
        <w:tc>
          <w:tcPr>
            <w:tcW w:w="2410" w:type="dxa"/>
            <w:tcBorders>
              <w:left w:val="single" w:sz="4" w:space="0" w:color="auto"/>
              <w:right w:val="single" w:sz="4" w:space="0" w:color="auto"/>
            </w:tcBorders>
          </w:tcPr>
          <w:p w14:paraId="19B9A8B1" w14:textId="77777777" w:rsidR="00613812" w:rsidRPr="00837846" w:rsidRDefault="00B52CB8" w:rsidP="00D174AD">
            <w:pPr>
              <w:spacing w:line="360" w:lineRule="auto"/>
              <w:jc w:val="both"/>
              <w:rPr>
                <w:sz w:val="24"/>
                <w:szCs w:val="24"/>
              </w:rPr>
            </w:pPr>
            <w:r w:rsidRPr="00837846">
              <w:rPr>
                <w:sz w:val="24"/>
                <w:szCs w:val="24"/>
              </w:rPr>
              <w:t>0.825</w:t>
            </w:r>
          </w:p>
        </w:tc>
      </w:tr>
    </w:tbl>
    <w:p w14:paraId="6950C292" w14:textId="77777777" w:rsidR="00613812" w:rsidRPr="00FC7D95" w:rsidRDefault="00B52CB8" w:rsidP="00FC7D95">
      <w:pPr>
        <w:autoSpaceDE w:val="0"/>
        <w:autoSpaceDN w:val="0"/>
        <w:adjustRightInd w:val="0"/>
        <w:spacing w:after="0" w:line="360" w:lineRule="auto"/>
        <w:ind w:right="60"/>
        <w:jc w:val="both"/>
        <w:rPr>
          <w:color w:val="000000"/>
          <w:sz w:val="24"/>
          <w:szCs w:val="24"/>
        </w:rPr>
      </w:pPr>
      <w:r w:rsidRPr="00837846">
        <w:rPr>
          <w:color w:val="000000"/>
          <w:sz w:val="24"/>
          <w:szCs w:val="24"/>
        </w:rPr>
        <w:t>**. Correlation is significant at the 0.01 level (2-tailed).</w:t>
      </w:r>
      <w:r w:rsidR="00FC7D95">
        <w:rPr>
          <w:color w:val="000000"/>
          <w:sz w:val="24"/>
          <w:szCs w:val="24"/>
        </w:rPr>
        <w:t xml:space="preserve"> </w:t>
      </w:r>
      <w:r w:rsidRPr="00D15554">
        <w:rPr>
          <w:sz w:val="24"/>
          <w:szCs w:val="24"/>
        </w:rPr>
        <w:t xml:space="preserve">BWT is shown to be significant. </w:t>
      </w:r>
    </w:p>
    <w:p w14:paraId="5A45516D" w14:textId="77777777" w:rsidR="00613812" w:rsidRDefault="00B52CB8" w:rsidP="00613812">
      <w:pPr>
        <w:pStyle w:val="NoSpacing"/>
        <w:spacing w:line="360" w:lineRule="auto"/>
        <w:jc w:val="both"/>
        <w:rPr>
          <w:sz w:val="24"/>
          <w:szCs w:val="24"/>
        </w:rPr>
      </w:pPr>
      <w:r>
        <w:rPr>
          <w:sz w:val="24"/>
          <w:szCs w:val="24"/>
        </w:rPr>
        <w:t xml:space="preserve">Where; B </w:t>
      </w:r>
      <w:r w:rsidRPr="00D15554">
        <w:rPr>
          <w:sz w:val="24"/>
          <w:szCs w:val="24"/>
        </w:rPr>
        <w:t>= rate of change</w:t>
      </w:r>
      <w:r>
        <w:rPr>
          <w:sz w:val="24"/>
          <w:szCs w:val="24"/>
        </w:rPr>
        <w:t>, Sig</w:t>
      </w:r>
      <w:r w:rsidRPr="00D15554">
        <w:rPr>
          <w:sz w:val="24"/>
          <w:szCs w:val="24"/>
        </w:rPr>
        <w:t xml:space="preserve"> = significance</w:t>
      </w:r>
    </w:p>
    <w:p w14:paraId="3051B324" w14:textId="77777777" w:rsidR="00720CD2" w:rsidRDefault="00720CD2" w:rsidP="00613812">
      <w:pPr>
        <w:pStyle w:val="NoSpacing"/>
        <w:spacing w:line="360" w:lineRule="auto"/>
        <w:jc w:val="both"/>
        <w:rPr>
          <w:b/>
          <w:sz w:val="24"/>
          <w:szCs w:val="24"/>
        </w:rPr>
      </w:pPr>
    </w:p>
    <w:p w14:paraId="49523F2C" w14:textId="77777777" w:rsidR="00720CD2" w:rsidRDefault="00720CD2" w:rsidP="00613812">
      <w:pPr>
        <w:pStyle w:val="NoSpacing"/>
        <w:spacing w:line="360" w:lineRule="auto"/>
        <w:jc w:val="both"/>
        <w:rPr>
          <w:b/>
          <w:sz w:val="24"/>
          <w:szCs w:val="24"/>
        </w:rPr>
      </w:pPr>
    </w:p>
    <w:p w14:paraId="734E65AE" w14:textId="77777777" w:rsidR="00720CD2" w:rsidRDefault="00720CD2" w:rsidP="00613812">
      <w:pPr>
        <w:pStyle w:val="NoSpacing"/>
        <w:spacing w:line="360" w:lineRule="auto"/>
        <w:jc w:val="both"/>
        <w:rPr>
          <w:b/>
          <w:sz w:val="24"/>
          <w:szCs w:val="24"/>
        </w:rPr>
      </w:pPr>
    </w:p>
    <w:p w14:paraId="219FB73A" w14:textId="77777777" w:rsidR="00720CD2" w:rsidRDefault="00720CD2" w:rsidP="00613812">
      <w:pPr>
        <w:pStyle w:val="NoSpacing"/>
        <w:spacing w:line="360" w:lineRule="auto"/>
        <w:jc w:val="both"/>
        <w:rPr>
          <w:b/>
          <w:sz w:val="24"/>
          <w:szCs w:val="24"/>
        </w:rPr>
      </w:pPr>
    </w:p>
    <w:p w14:paraId="0744FF05" w14:textId="77777777" w:rsidR="00720CD2" w:rsidRDefault="00720CD2" w:rsidP="00613812">
      <w:pPr>
        <w:pStyle w:val="NoSpacing"/>
        <w:spacing w:line="360" w:lineRule="auto"/>
        <w:jc w:val="both"/>
        <w:rPr>
          <w:b/>
          <w:sz w:val="24"/>
          <w:szCs w:val="24"/>
        </w:rPr>
      </w:pPr>
    </w:p>
    <w:p w14:paraId="7CF81936" w14:textId="77777777" w:rsidR="00613812" w:rsidRDefault="00720CD2" w:rsidP="00613812">
      <w:pPr>
        <w:pStyle w:val="NoSpacing"/>
        <w:spacing w:line="360" w:lineRule="auto"/>
        <w:jc w:val="both"/>
        <w:rPr>
          <w:sz w:val="24"/>
          <w:szCs w:val="24"/>
        </w:rPr>
      </w:pPr>
      <w:r>
        <w:rPr>
          <w:b/>
          <w:sz w:val="24"/>
          <w:szCs w:val="24"/>
        </w:rPr>
        <w:t>TABLE 6</w:t>
      </w:r>
      <w:r w:rsidR="00B52CB8" w:rsidRPr="00613812">
        <w:rPr>
          <w:b/>
          <w:sz w:val="24"/>
          <w:szCs w:val="24"/>
        </w:rPr>
        <w:t>:</w:t>
      </w:r>
      <w:r w:rsidR="00B52CB8">
        <w:rPr>
          <w:sz w:val="24"/>
          <w:szCs w:val="24"/>
        </w:rPr>
        <w:t xml:space="preserve"> </w:t>
      </w:r>
      <w:r w:rsidR="00B52CB8" w:rsidRPr="00613812">
        <w:rPr>
          <w:sz w:val="24"/>
          <w:szCs w:val="24"/>
        </w:rPr>
        <w:t>M</w:t>
      </w:r>
      <w:r w:rsidR="00924686">
        <w:rPr>
          <w:sz w:val="24"/>
          <w:szCs w:val="24"/>
        </w:rPr>
        <w:t xml:space="preserve">ultivariate logistic regression analysis of the relationship between all 3 </w:t>
      </w:r>
      <w:proofErr w:type="spellStart"/>
      <w:r w:rsidR="00924686">
        <w:rPr>
          <w:sz w:val="24"/>
          <w:szCs w:val="24"/>
        </w:rPr>
        <w:t>parametres</w:t>
      </w:r>
      <w:proofErr w:type="spellEnd"/>
      <w:r w:rsidR="00924686">
        <w:rPr>
          <w:sz w:val="24"/>
          <w:szCs w:val="24"/>
        </w:rPr>
        <w:t xml:space="preserve"> and subjects with moderate IPSS scores.</w:t>
      </w:r>
    </w:p>
    <w:tbl>
      <w:tblPr>
        <w:tblW w:w="7669"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140"/>
        <w:gridCol w:w="1701"/>
        <w:gridCol w:w="1985"/>
        <w:gridCol w:w="1843"/>
      </w:tblGrid>
      <w:tr w:rsidR="00325CF9" w14:paraId="7C4244FE" w14:textId="77777777" w:rsidTr="00924686">
        <w:trPr>
          <w:trHeight w:val="639"/>
        </w:trPr>
        <w:tc>
          <w:tcPr>
            <w:tcW w:w="2140" w:type="dxa"/>
            <w:vMerge w:val="restart"/>
            <w:tcBorders>
              <w:left w:val="single" w:sz="4" w:space="0" w:color="auto"/>
              <w:right w:val="single" w:sz="4" w:space="0" w:color="auto"/>
            </w:tcBorders>
            <w:vAlign w:val="center"/>
          </w:tcPr>
          <w:p w14:paraId="54EC27E0" w14:textId="77777777" w:rsidR="00613812" w:rsidRPr="00837846" w:rsidRDefault="00B52CB8" w:rsidP="00D174AD">
            <w:pPr>
              <w:spacing w:line="360" w:lineRule="auto"/>
              <w:jc w:val="both"/>
              <w:rPr>
                <w:sz w:val="24"/>
                <w:szCs w:val="24"/>
              </w:rPr>
            </w:pPr>
            <w:r w:rsidRPr="00837846">
              <w:rPr>
                <w:sz w:val="24"/>
                <w:szCs w:val="24"/>
              </w:rPr>
              <w:lastRenderedPageBreak/>
              <w:t>PARAMETER</w:t>
            </w:r>
          </w:p>
        </w:tc>
        <w:tc>
          <w:tcPr>
            <w:tcW w:w="1701" w:type="dxa"/>
            <w:vMerge w:val="restart"/>
            <w:tcBorders>
              <w:left w:val="single" w:sz="4" w:space="0" w:color="auto"/>
              <w:right w:val="single" w:sz="4" w:space="0" w:color="auto"/>
            </w:tcBorders>
            <w:vAlign w:val="center"/>
          </w:tcPr>
          <w:p w14:paraId="02C28E93" w14:textId="77777777" w:rsidR="00613812" w:rsidRPr="00837846" w:rsidRDefault="00B52CB8" w:rsidP="00D174AD">
            <w:pPr>
              <w:spacing w:line="360" w:lineRule="auto"/>
              <w:jc w:val="both"/>
              <w:rPr>
                <w:sz w:val="24"/>
                <w:szCs w:val="24"/>
              </w:rPr>
            </w:pPr>
            <w:r w:rsidRPr="00837846">
              <w:rPr>
                <w:sz w:val="24"/>
                <w:szCs w:val="24"/>
              </w:rPr>
              <w:t>B</w:t>
            </w:r>
          </w:p>
        </w:tc>
        <w:tc>
          <w:tcPr>
            <w:tcW w:w="1985" w:type="dxa"/>
            <w:vMerge w:val="restart"/>
            <w:tcBorders>
              <w:left w:val="single" w:sz="4" w:space="0" w:color="auto"/>
              <w:right w:val="single" w:sz="4" w:space="0" w:color="auto"/>
            </w:tcBorders>
            <w:vAlign w:val="center"/>
          </w:tcPr>
          <w:p w14:paraId="7CE45AD7" w14:textId="77777777" w:rsidR="00613812" w:rsidRPr="00837846" w:rsidRDefault="00B52CB8" w:rsidP="00D174AD">
            <w:pPr>
              <w:spacing w:line="360" w:lineRule="auto"/>
              <w:jc w:val="both"/>
              <w:rPr>
                <w:sz w:val="24"/>
                <w:szCs w:val="24"/>
              </w:rPr>
            </w:pPr>
            <w:r>
              <w:rPr>
                <w:sz w:val="24"/>
                <w:szCs w:val="24"/>
              </w:rPr>
              <w:t>ODD’s</w:t>
            </w:r>
            <w:r w:rsidRPr="00837846">
              <w:rPr>
                <w:sz w:val="24"/>
                <w:szCs w:val="24"/>
              </w:rPr>
              <w:t xml:space="preserve"> RATIO</w:t>
            </w:r>
          </w:p>
        </w:tc>
        <w:tc>
          <w:tcPr>
            <w:tcW w:w="1843" w:type="dxa"/>
            <w:vMerge w:val="restart"/>
            <w:tcBorders>
              <w:left w:val="single" w:sz="4" w:space="0" w:color="auto"/>
              <w:right w:val="single" w:sz="4" w:space="0" w:color="auto"/>
            </w:tcBorders>
            <w:vAlign w:val="center"/>
          </w:tcPr>
          <w:p w14:paraId="5F7DE836" w14:textId="77777777" w:rsidR="00613812" w:rsidRPr="00837846" w:rsidRDefault="00B52CB8" w:rsidP="00D174AD">
            <w:pPr>
              <w:spacing w:line="360" w:lineRule="auto"/>
              <w:jc w:val="both"/>
              <w:rPr>
                <w:sz w:val="24"/>
                <w:szCs w:val="24"/>
              </w:rPr>
            </w:pPr>
            <w:r>
              <w:rPr>
                <w:b/>
                <w:sz w:val="24"/>
                <w:szCs w:val="24"/>
              </w:rPr>
              <w:t>Sig</w:t>
            </w:r>
            <w:r w:rsidRPr="00837846">
              <w:rPr>
                <w:sz w:val="24"/>
                <w:szCs w:val="24"/>
              </w:rPr>
              <w:t>.</w:t>
            </w:r>
          </w:p>
        </w:tc>
      </w:tr>
      <w:tr w:rsidR="00325CF9" w14:paraId="58E751E9" w14:textId="77777777" w:rsidTr="00924686">
        <w:trPr>
          <w:trHeight w:val="639"/>
        </w:trPr>
        <w:tc>
          <w:tcPr>
            <w:tcW w:w="2140" w:type="dxa"/>
            <w:vMerge/>
            <w:tcBorders>
              <w:left w:val="single" w:sz="4" w:space="0" w:color="auto"/>
              <w:right w:val="single" w:sz="4" w:space="0" w:color="auto"/>
            </w:tcBorders>
            <w:vAlign w:val="center"/>
          </w:tcPr>
          <w:p w14:paraId="155DBB43" w14:textId="77777777" w:rsidR="00613812" w:rsidRPr="00837846" w:rsidRDefault="00613812" w:rsidP="00D174AD">
            <w:pPr>
              <w:spacing w:line="360" w:lineRule="auto"/>
              <w:jc w:val="both"/>
              <w:rPr>
                <w:sz w:val="24"/>
                <w:szCs w:val="24"/>
              </w:rPr>
            </w:pPr>
          </w:p>
        </w:tc>
        <w:tc>
          <w:tcPr>
            <w:tcW w:w="1701" w:type="dxa"/>
            <w:vMerge/>
            <w:tcBorders>
              <w:left w:val="single" w:sz="4" w:space="0" w:color="auto"/>
              <w:right w:val="single" w:sz="4" w:space="0" w:color="auto"/>
            </w:tcBorders>
            <w:vAlign w:val="center"/>
          </w:tcPr>
          <w:p w14:paraId="47E5BDE6" w14:textId="77777777" w:rsidR="00613812" w:rsidRPr="00837846" w:rsidRDefault="00613812" w:rsidP="00D174AD">
            <w:pPr>
              <w:spacing w:line="360" w:lineRule="auto"/>
              <w:jc w:val="both"/>
              <w:rPr>
                <w:sz w:val="24"/>
                <w:szCs w:val="24"/>
              </w:rPr>
            </w:pPr>
          </w:p>
        </w:tc>
        <w:tc>
          <w:tcPr>
            <w:tcW w:w="1985" w:type="dxa"/>
            <w:vMerge/>
            <w:tcBorders>
              <w:left w:val="single" w:sz="4" w:space="0" w:color="auto"/>
              <w:right w:val="single" w:sz="4" w:space="0" w:color="auto"/>
            </w:tcBorders>
            <w:vAlign w:val="center"/>
          </w:tcPr>
          <w:p w14:paraId="53B3021C" w14:textId="77777777" w:rsidR="00613812" w:rsidRPr="00837846" w:rsidRDefault="00613812" w:rsidP="00D174AD">
            <w:pPr>
              <w:spacing w:line="360" w:lineRule="auto"/>
              <w:jc w:val="both"/>
              <w:rPr>
                <w:sz w:val="24"/>
                <w:szCs w:val="24"/>
              </w:rPr>
            </w:pPr>
          </w:p>
        </w:tc>
        <w:tc>
          <w:tcPr>
            <w:tcW w:w="1843" w:type="dxa"/>
            <w:vMerge/>
            <w:tcBorders>
              <w:left w:val="single" w:sz="4" w:space="0" w:color="auto"/>
              <w:right w:val="single" w:sz="4" w:space="0" w:color="auto"/>
            </w:tcBorders>
            <w:vAlign w:val="center"/>
          </w:tcPr>
          <w:p w14:paraId="1564D90C" w14:textId="77777777" w:rsidR="00613812" w:rsidRPr="00837846" w:rsidRDefault="00613812" w:rsidP="00D174AD">
            <w:pPr>
              <w:spacing w:line="360" w:lineRule="auto"/>
              <w:jc w:val="both"/>
              <w:rPr>
                <w:sz w:val="24"/>
                <w:szCs w:val="24"/>
              </w:rPr>
            </w:pPr>
          </w:p>
        </w:tc>
      </w:tr>
      <w:tr w:rsidR="00325CF9" w14:paraId="05B275C6" w14:textId="77777777" w:rsidTr="00924686">
        <w:tc>
          <w:tcPr>
            <w:tcW w:w="2140" w:type="dxa"/>
            <w:tcBorders>
              <w:left w:val="single" w:sz="4" w:space="0" w:color="auto"/>
              <w:right w:val="single" w:sz="4" w:space="0" w:color="auto"/>
            </w:tcBorders>
          </w:tcPr>
          <w:p w14:paraId="3D3E4C75" w14:textId="77777777" w:rsidR="00613812" w:rsidRPr="00837846" w:rsidRDefault="00B52CB8" w:rsidP="00D174AD">
            <w:pPr>
              <w:spacing w:line="360" w:lineRule="auto"/>
              <w:jc w:val="both"/>
              <w:rPr>
                <w:b/>
                <w:sz w:val="24"/>
                <w:szCs w:val="24"/>
              </w:rPr>
            </w:pPr>
            <w:r>
              <w:rPr>
                <w:b/>
                <w:sz w:val="24"/>
                <w:szCs w:val="24"/>
              </w:rPr>
              <w:t xml:space="preserve">BLADDER </w:t>
            </w:r>
            <w:r w:rsidRPr="00837846">
              <w:rPr>
                <w:b/>
                <w:sz w:val="24"/>
                <w:szCs w:val="24"/>
              </w:rPr>
              <w:t>WALL THICKNESS</w:t>
            </w:r>
          </w:p>
        </w:tc>
        <w:tc>
          <w:tcPr>
            <w:tcW w:w="1701" w:type="dxa"/>
            <w:tcBorders>
              <w:left w:val="single" w:sz="4" w:space="0" w:color="auto"/>
              <w:right w:val="single" w:sz="4" w:space="0" w:color="auto"/>
            </w:tcBorders>
          </w:tcPr>
          <w:p w14:paraId="1A08052A" w14:textId="77777777" w:rsidR="00613812" w:rsidRPr="00837846" w:rsidRDefault="00B52CB8" w:rsidP="00D174AD">
            <w:pPr>
              <w:spacing w:line="360" w:lineRule="auto"/>
              <w:jc w:val="both"/>
              <w:rPr>
                <w:sz w:val="24"/>
                <w:szCs w:val="24"/>
              </w:rPr>
            </w:pPr>
            <w:r w:rsidRPr="00837846">
              <w:rPr>
                <w:sz w:val="24"/>
                <w:szCs w:val="24"/>
              </w:rPr>
              <w:t>-20.44</w:t>
            </w:r>
          </w:p>
        </w:tc>
        <w:tc>
          <w:tcPr>
            <w:tcW w:w="1985" w:type="dxa"/>
            <w:tcBorders>
              <w:left w:val="single" w:sz="4" w:space="0" w:color="auto"/>
              <w:right w:val="single" w:sz="4" w:space="0" w:color="auto"/>
            </w:tcBorders>
          </w:tcPr>
          <w:p w14:paraId="40BADBDF" w14:textId="77777777" w:rsidR="00613812" w:rsidRPr="00837846" w:rsidRDefault="00B52CB8" w:rsidP="00D174AD">
            <w:pPr>
              <w:spacing w:line="360" w:lineRule="auto"/>
              <w:jc w:val="both"/>
              <w:rPr>
                <w:sz w:val="24"/>
                <w:szCs w:val="24"/>
              </w:rPr>
            </w:pPr>
            <w:r w:rsidRPr="00837846">
              <w:rPr>
                <w:sz w:val="24"/>
                <w:szCs w:val="24"/>
              </w:rPr>
              <w:t>2.78</w:t>
            </w:r>
          </w:p>
        </w:tc>
        <w:tc>
          <w:tcPr>
            <w:tcW w:w="1843" w:type="dxa"/>
            <w:tcBorders>
              <w:left w:val="single" w:sz="4" w:space="0" w:color="auto"/>
              <w:right w:val="single" w:sz="4" w:space="0" w:color="auto"/>
            </w:tcBorders>
          </w:tcPr>
          <w:p w14:paraId="5B91DC04" w14:textId="77777777" w:rsidR="00613812" w:rsidRPr="00837846" w:rsidRDefault="00B52CB8" w:rsidP="00D174AD">
            <w:pPr>
              <w:spacing w:line="360" w:lineRule="auto"/>
              <w:jc w:val="both"/>
              <w:rPr>
                <w:sz w:val="24"/>
                <w:szCs w:val="24"/>
              </w:rPr>
            </w:pPr>
            <w:r w:rsidRPr="00837846">
              <w:rPr>
                <w:sz w:val="24"/>
                <w:szCs w:val="24"/>
              </w:rPr>
              <w:t>0.00</w:t>
            </w:r>
            <w:r>
              <w:rPr>
                <w:sz w:val="24"/>
                <w:szCs w:val="24"/>
              </w:rPr>
              <w:t>**</w:t>
            </w:r>
          </w:p>
        </w:tc>
      </w:tr>
      <w:tr w:rsidR="00325CF9" w14:paraId="4949A95F" w14:textId="77777777" w:rsidTr="00924686">
        <w:tc>
          <w:tcPr>
            <w:tcW w:w="2140" w:type="dxa"/>
            <w:tcBorders>
              <w:left w:val="single" w:sz="4" w:space="0" w:color="auto"/>
              <w:right w:val="single" w:sz="4" w:space="0" w:color="auto"/>
            </w:tcBorders>
          </w:tcPr>
          <w:p w14:paraId="2A5CEB1F" w14:textId="77777777" w:rsidR="00613812" w:rsidRPr="00837846" w:rsidRDefault="00B52CB8" w:rsidP="00D174AD">
            <w:pPr>
              <w:spacing w:line="360" w:lineRule="auto"/>
              <w:jc w:val="both"/>
              <w:rPr>
                <w:b/>
                <w:sz w:val="24"/>
                <w:szCs w:val="24"/>
              </w:rPr>
            </w:pPr>
            <w:r w:rsidRPr="00837846">
              <w:rPr>
                <w:b/>
                <w:sz w:val="24"/>
                <w:szCs w:val="24"/>
              </w:rPr>
              <w:t>PROSTATIC VOLUME</w:t>
            </w:r>
          </w:p>
        </w:tc>
        <w:tc>
          <w:tcPr>
            <w:tcW w:w="1701" w:type="dxa"/>
            <w:tcBorders>
              <w:left w:val="single" w:sz="4" w:space="0" w:color="auto"/>
              <w:right w:val="single" w:sz="4" w:space="0" w:color="auto"/>
            </w:tcBorders>
          </w:tcPr>
          <w:p w14:paraId="49B4D4F6" w14:textId="77777777" w:rsidR="00613812" w:rsidRPr="00837846" w:rsidRDefault="00B52CB8" w:rsidP="00D174AD">
            <w:pPr>
              <w:spacing w:line="360" w:lineRule="auto"/>
              <w:jc w:val="both"/>
              <w:rPr>
                <w:sz w:val="24"/>
                <w:szCs w:val="24"/>
              </w:rPr>
            </w:pPr>
            <w:r w:rsidRPr="00837846">
              <w:rPr>
                <w:sz w:val="24"/>
                <w:szCs w:val="24"/>
              </w:rPr>
              <w:t>0.67</w:t>
            </w:r>
          </w:p>
        </w:tc>
        <w:tc>
          <w:tcPr>
            <w:tcW w:w="1985" w:type="dxa"/>
            <w:tcBorders>
              <w:left w:val="single" w:sz="4" w:space="0" w:color="auto"/>
              <w:right w:val="single" w:sz="4" w:space="0" w:color="auto"/>
            </w:tcBorders>
          </w:tcPr>
          <w:p w14:paraId="395AACE5" w14:textId="77777777" w:rsidR="00613812" w:rsidRPr="00837846" w:rsidRDefault="00B52CB8" w:rsidP="00D174AD">
            <w:pPr>
              <w:spacing w:line="360" w:lineRule="auto"/>
              <w:jc w:val="both"/>
              <w:rPr>
                <w:sz w:val="24"/>
                <w:szCs w:val="24"/>
              </w:rPr>
            </w:pPr>
            <w:r w:rsidRPr="00837846">
              <w:rPr>
                <w:sz w:val="24"/>
                <w:szCs w:val="24"/>
              </w:rPr>
              <w:t>3.625</w:t>
            </w:r>
          </w:p>
        </w:tc>
        <w:tc>
          <w:tcPr>
            <w:tcW w:w="1843" w:type="dxa"/>
            <w:tcBorders>
              <w:left w:val="single" w:sz="4" w:space="0" w:color="auto"/>
              <w:right w:val="single" w:sz="4" w:space="0" w:color="auto"/>
            </w:tcBorders>
          </w:tcPr>
          <w:p w14:paraId="66A7AAA0" w14:textId="77777777" w:rsidR="00613812" w:rsidRPr="00837846" w:rsidRDefault="00B52CB8" w:rsidP="00D174AD">
            <w:pPr>
              <w:spacing w:line="360" w:lineRule="auto"/>
              <w:jc w:val="both"/>
              <w:rPr>
                <w:sz w:val="24"/>
                <w:szCs w:val="24"/>
              </w:rPr>
            </w:pPr>
            <w:r w:rsidRPr="00837846">
              <w:rPr>
                <w:sz w:val="24"/>
                <w:szCs w:val="24"/>
              </w:rPr>
              <w:t>0.852</w:t>
            </w:r>
          </w:p>
        </w:tc>
      </w:tr>
      <w:tr w:rsidR="00325CF9" w14:paraId="24F7BF50" w14:textId="77777777" w:rsidTr="00924686">
        <w:tc>
          <w:tcPr>
            <w:tcW w:w="2140" w:type="dxa"/>
            <w:tcBorders>
              <w:left w:val="single" w:sz="4" w:space="0" w:color="auto"/>
              <w:right w:val="single" w:sz="4" w:space="0" w:color="auto"/>
            </w:tcBorders>
          </w:tcPr>
          <w:p w14:paraId="29F374E9" w14:textId="77777777" w:rsidR="00613812" w:rsidRPr="00837846" w:rsidRDefault="00B52CB8" w:rsidP="00D174AD">
            <w:pPr>
              <w:spacing w:line="360" w:lineRule="auto"/>
              <w:jc w:val="both"/>
              <w:rPr>
                <w:b/>
                <w:sz w:val="24"/>
                <w:szCs w:val="24"/>
              </w:rPr>
            </w:pPr>
            <w:r>
              <w:rPr>
                <w:b/>
                <w:sz w:val="24"/>
                <w:szCs w:val="24"/>
              </w:rPr>
              <w:t>POST-</w:t>
            </w:r>
            <w:r w:rsidR="006A21F3">
              <w:rPr>
                <w:b/>
                <w:sz w:val="24"/>
                <w:szCs w:val="24"/>
              </w:rPr>
              <w:t>VOID</w:t>
            </w:r>
            <w:r w:rsidRPr="00837846">
              <w:rPr>
                <w:b/>
                <w:sz w:val="24"/>
                <w:szCs w:val="24"/>
              </w:rPr>
              <w:t xml:space="preserve"> </w:t>
            </w:r>
            <w:r w:rsidR="006A21F3">
              <w:rPr>
                <w:b/>
                <w:sz w:val="24"/>
                <w:szCs w:val="24"/>
              </w:rPr>
              <w:t xml:space="preserve">URINE </w:t>
            </w:r>
            <w:r w:rsidRPr="00837846">
              <w:rPr>
                <w:b/>
                <w:sz w:val="24"/>
                <w:szCs w:val="24"/>
              </w:rPr>
              <w:t>VOLUME</w:t>
            </w:r>
          </w:p>
        </w:tc>
        <w:tc>
          <w:tcPr>
            <w:tcW w:w="1701" w:type="dxa"/>
            <w:tcBorders>
              <w:left w:val="single" w:sz="4" w:space="0" w:color="auto"/>
              <w:right w:val="single" w:sz="4" w:space="0" w:color="auto"/>
            </w:tcBorders>
          </w:tcPr>
          <w:p w14:paraId="7BD8C87C" w14:textId="77777777" w:rsidR="00613812" w:rsidRPr="00837846" w:rsidRDefault="00B52CB8" w:rsidP="00D174AD">
            <w:pPr>
              <w:spacing w:line="360" w:lineRule="auto"/>
              <w:jc w:val="both"/>
              <w:rPr>
                <w:sz w:val="24"/>
                <w:szCs w:val="24"/>
              </w:rPr>
            </w:pPr>
            <w:r w:rsidRPr="00837846">
              <w:rPr>
                <w:sz w:val="24"/>
                <w:szCs w:val="24"/>
              </w:rPr>
              <w:t>-2.44</w:t>
            </w:r>
          </w:p>
        </w:tc>
        <w:tc>
          <w:tcPr>
            <w:tcW w:w="1985" w:type="dxa"/>
            <w:tcBorders>
              <w:left w:val="single" w:sz="4" w:space="0" w:color="auto"/>
              <w:right w:val="single" w:sz="4" w:space="0" w:color="auto"/>
            </w:tcBorders>
          </w:tcPr>
          <w:p w14:paraId="469045F1" w14:textId="77777777" w:rsidR="00613812" w:rsidRPr="00837846" w:rsidRDefault="00B52CB8" w:rsidP="00D174AD">
            <w:pPr>
              <w:spacing w:line="360" w:lineRule="auto"/>
              <w:jc w:val="both"/>
              <w:rPr>
                <w:sz w:val="24"/>
                <w:szCs w:val="24"/>
              </w:rPr>
            </w:pPr>
            <w:r w:rsidRPr="00837846">
              <w:rPr>
                <w:sz w:val="24"/>
                <w:szCs w:val="24"/>
              </w:rPr>
              <w:t>3.714</w:t>
            </w:r>
          </w:p>
        </w:tc>
        <w:tc>
          <w:tcPr>
            <w:tcW w:w="1843" w:type="dxa"/>
            <w:tcBorders>
              <w:left w:val="single" w:sz="4" w:space="0" w:color="auto"/>
              <w:right w:val="single" w:sz="4" w:space="0" w:color="auto"/>
            </w:tcBorders>
          </w:tcPr>
          <w:p w14:paraId="27D802FF" w14:textId="77777777" w:rsidR="00613812" w:rsidRPr="00837846" w:rsidRDefault="00B52CB8" w:rsidP="00D174AD">
            <w:pPr>
              <w:spacing w:line="360" w:lineRule="auto"/>
              <w:jc w:val="both"/>
              <w:rPr>
                <w:sz w:val="24"/>
                <w:szCs w:val="24"/>
              </w:rPr>
            </w:pPr>
            <w:r w:rsidRPr="00837846">
              <w:rPr>
                <w:sz w:val="24"/>
                <w:szCs w:val="24"/>
              </w:rPr>
              <w:t>0.510</w:t>
            </w:r>
          </w:p>
        </w:tc>
      </w:tr>
    </w:tbl>
    <w:p w14:paraId="4F732F43" w14:textId="77777777" w:rsidR="00613812" w:rsidRPr="00537592" w:rsidRDefault="00B52CB8" w:rsidP="00613812">
      <w:pPr>
        <w:pStyle w:val="NoSpacing"/>
        <w:spacing w:line="360" w:lineRule="auto"/>
        <w:jc w:val="both"/>
        <w:rPr>
          <w:sz w:val="24"/>
          <w:szCs w:val="24"/>
        </w:rPr>
      </w:pPr>
      <w:r w:rsidRPr="006B7FFE">
        <w:rPr>
          <w:b/>
          <w:sz w:val="24"/>
          <w:szCs w:val="24"/>
        </w:rPr>
        <w:t xml:space="preserve">** </w:t>
      </w:r>
      <w:r w:rsidRPr="00537592">
        <w:rPr>
          <w:sz w:val="24"/>
          <w:szCs w:val="24"/>
        </w:rPr>
        <w:t>Correlation is significant at the 0.01 level</w:t>
      </w:r>
      <w:proofErr w:type="gramStart"/>
      <w:r w:rsidRPr="00537592">
        <w:rPr>
          <w:sz w:val="24"/>
          <w:szCs w:val="24"/>
        </w:rPr>
        <w:t xml:space="preserve">   (</w:t>
      </w:r>
      <w:proofErr w:type="gramEnd"/>
      <w:r w:rsidRPr="00537592">
        <w:rPr>
          <w:sz w:val="24"/>
          <w:szCs w:val="24"/>
        </w:rPr>
        <w:t>2-tailed).</w:t>
      </w:r>
    </w:p>
    <w:p w14:paraId="10E8F6F5" w14:textId="77777777" w:rsidR="00720CD2" w:rsidRDefault="00720CD2" w:rsidP="00613812">
      <w:pPr>
        <w:pStyle w:val="NoSpacing"/>
        <w:spacing w:line="360" w:lineRule="auto"/>
        <w:jc w:val="both"/>
        <w:rPr>
          <w:b/>
          <w:sz w:val="24"/>
          <w:szCs w:val="24"/>
        </w:rPr>
      </w:pPr>
    </w:p>
    <w:p w14:paraId="5456D1C5" w14:textId="77777777" w:rsidR="00613812" w:rsidRDefault="00720CD2" w:rsidP="00613812">
      <w:pPr>
        <w:pStyle w:val="NoSpacing"/>
        <w:spacing w:line="360" w:lineRule="auto"/>
        <w:jc w:val="both"/>
        <w:rPr>
          <w:sz w:val="24"/>
          <w:szCs w:val="24"/>
        </w:rPr>
      </w:pPr>
      <w:r>
        <w:rPr>
          <w:b/>
          <w:sz w:val="24"/>
          <w:szCs w:val="24"/>
        </w:rPr>
        <w:t>TABLE 7</w:t>
      </w:r>
      <w:r w:rsidR="00B52CB8" w:rsidRPr="00B92666">
        <w:rPr>
          <w:b/>
          <w:sz w:val="24"/>
          <w:szCs w:val="24"/>
        </w:rPr>
        <w:t>:</w:t>
      </w:r>
      <w:r w:rsidR="00B52CB8" w:rsidRPr="00B92666">
        <w:rPr>
          <w:sz w:val="24"/>
          <w:szCs w:val="24"/>
        </w:rPr>
        <w:t xml:space="preserve"> C</w:t>
      </w:r>
      <w:r w:rsidR="00924686">
        <w:rPr>
          <w:sz w:val="24"/>
          <w:szCs w:val="24"/>
        </w:rPr>
        <w:t xml:space="preserve">alculation of sensitivity, specificity, PPV, and NPV using </w:t>
      </w:r>
      <w:proofErr w:type="spellStart"/>
      <w:r w:rsidR="00924686">
        <w:rPr>
          <w:sz w:val="24"/>
          <w:szCs w:val="24"/>
        </w:rPr>
        <w:t>Baye’s</w:t>
      </w:r>
      <w:proofErr w:type="spellEnd"/>
      <w:r w:rsidR="00924686">
        <w:rPr>
          <w:sz w:val="24"/>
          <w:szCs w:val="24"/>
        </w:rPr>
        <w:t xml:space="preserve"> theorem.</w:t>
      </w:r>
    </w:p>
    <w:p w14:paraId="21BA5852" w14:textId="77777777" w:rsidR="00720CD2" w:rsidRPr="00924686" w:rsidRDefault="00720CD2" w:rsidP="00613812">
      <w:pPr>
        <w:pStyle w:val="NoSpacing"/>
        <w:spacing w:line="360" w:lineRule="auto"/>
        <w:jc w:val="both"/>
        <w:rPr>
          <w:sz w:val="24"/>
          <w:szCs w:val="24"/>
        </w:rPr>
      </w:pPr>
    </w:p>
    <w:tbl>
      <w:tblPr>
        <w:tblW w:w="0" w:type="auto"/>
        <w:tblBorders>
          <w:insideH w:val="single" w:sz="4" w:space="0" w:color="auto"/>
        </w:tblBorders>
        <w:tblLook w:val="04A0" w:firstRow="1" w:lastRow="0" w:firstColumn="1" w:lastColumn="0" w:noHBand="0" w:noVBand="1"/>
      </w:tblPr>
      <w:tblGrid>
        <w:gridCol w:w="1849"/>
        <w:gridCol w:w="1849"/>
        <w:gridCol w:w="1849"/>
        <w:gridCol w:w="1849"/>
        <w:gridCol w:w="1849"/>
      </w:tblGrid>
      <w:tr w:rsidR="00325CF9" w:rsidRPr="00B92666" w14:paraId="590A16B3" w14:textId="77777777" w:rsidTr="006A21F3">
        <w:tc>
          <w:tcPr>
            <w:tcW w:w="1849" w:type="dxa"/>
            <w:tcBorders>
              <w:top w:val="single" w:sz="4" w:space="0" w:color="auto"/>
              <w:left w:val="single" w:sz="4" w:space="0" w:color="auto"/>
            </w:tcBorders>
          </w:tcPr>
          <w:p w14:paraId="04DB0EE5" w14:textId="77777777" w:rsidR="00613812" w:rsidRPr="00B92666" w:rsidRDefault="00B52CB8" w:rsidP="006A21F3">
            <w:pPr>
              <w:spacing w:line="360" w:lineRule="auto"/>
              <w:jc w:val="both"/>
              <w:rPr>
                <w:sz w:val="24"/>
                <w:szCs w:val="24"/>
              </w:rPr>
            </w:pPr>
            <w:r w:rsidRPr="00B92666">
              <w:rPr>
                <w:sz w:val="24"/>
                <w:szCs w:val="24"/>
              </w:rPr>
              <w:t>PARAMETRES</w:t>
            </w:r>
          </w:p>
        </w:tc>
        <w:tc>
          <w:tcPr>
            <w:tcW w:w="1849" w:type="dxa"/>
            <w:tcBorders>
              <w:top w:val="single" w:sz="4" w:space="0" w:color="auto"/>
            </w:tcBorders>
          </w:tcPr>
          <w:p w14:paraId="62D71725" w14:textId="77777777" w:rsidR="00613812" w:rsidRPr="00B92666" w:rsidRDefault="00B52CB8" w:rsidP="006A21F3">
            <w:pPr>
              <w:spacing w:line="360" w:lineRule="auto"/>
              <w:jc w:val="both"/>
              <w:rPr>
                <w:b/>
                <w:sz w:val="24"/>
                <w:szCs w:val="24"/>
              </w:rPr>
            </w:pPr>
            <w:r w:rsidRPr="00B92666">
              <w:rPr>
                <w:b/>
                <w:sz w:val="24"/>
                <w:szCs w:val="24"/>
              </w:rPr>
              <w:t>NPV</w:t>
            </w:r>
          </w:p>
        </w:tc>
        <w:tc>
          <w:tcPr>
            <w:tcW w:w="1849" w:type="dxa"/>
            <w:tcBorders>
              <w:top w:val="single" w:sz="4" w:space="0" w:color="auto"/>
            </w:tcBorders>
          </w:tcPr>
          <w:p w14:paraId="709FC9DE" w14:textId="77777777" w:rsidR="00613812" w:rsidRPr="00B92666" w:rsidRDefault="00B52CB8" w:rsidP="006A21F3">
            <w:pPr>
              <w:spacing w:line="360" w:lineRule="auto"/>
              <w:jc w:val="both"/>
              <w:rPr>
                <w:b/>
                <w:sz w:val="24"/>
                <w:szCs w:val="24"/>
              </w:rPr>
            </w:pPr>
            <w:r w:rsidRPr="00B92666">
              <w:rPr>
                <w:b/>
                <w:sz w:val="24"/>
                <w:szCs w:val="24"/>
              </w:rPr>
              <w:t>PPV</w:t>
            </w:r>
          </w:p>
        </w:tc>
        <w:tc>
          <w:tcPr>
            <w:tcW w:w="1849" w:type="dxa"/>
            <w:tcBorders>
              <w:top w:val="single" w:sz="4" w:space="0" w:color="auto"/>
            </w:tcBorders>
          </w:tcPr>
          <w:p w14:paraId="3D104B46" w14:textId="77777777" w:rsidR="00613812" w:rsidRPr="00B92666" w:rsidRDefault="00B52CB8" w:rsidP="006A21F3">
            <w:pPr>
              <w:spacing w:line="360" w:lineRule="auto"/>
              <w:jc w:val="both"/>
              <w:rPr>
                <w:b/>
                <w:sz w:val="24"/>
                <w:szCs w:val="24"/>
              </w:rPr>
            </w:pPr>
            <w:r w:rsidRPr="00B92666">
              <w:rPr>
                <w:b/>
                <w:sz w:val="24"/>
                <w:szCs w:val="24"/>
              </w:rPr>
              <w:t>SENSITIVITY</w:t>
            </w:r>
          </w:p>
        </w:tc>
        <w:tc>
          <w:tcPr>
            <w:tcW w:w="1849" w:type="dxa"/>
            <w:tcBorders>
              <w:top w:val="single" w:sz="4" w:space="0" w:color="auto"/>
              <w:right w:val="single" w:sz="4" w:space="0" w:color="auto"/>
            </w:tcBorders>
          </w:tcPr>
          <w:p w14:paraId="35249F90" w14:textId="77777777" w:rsidR="00613812" w:rsidRPr="00B92666" w:rsidRDefault="00B52CB8" w:rsidP="006A21F3">
            <w:pPr>
              <w:spacing w:line="360" w:lineRule="auto"/>
              <w:jc w:val="both"/>
              <w:rPr>
                <w:b/>
                <w:sz w:val="24"/>
                <w:szCs w:val="24"/>
              </w:rPr>
            </w:pPr>
            <w:r w:rsidRPr="00B92666">
              <w:rPr>
                <w:b/>
                <w:sz w:val="24"/>
                <w:szCs w:val="24"/>
              </w:rPr>
              <w:t>SPECIFICITY</w:t>
            </w:r>
          </w:p>
        </w:tc>
      </w:tr>
      <w:tr w:rsidR="00325CF9" w:rsidRPr="00B92666" w14:paraId="0B678E89" w14:textId="77777777" w:rsidTr="006A21F3">
        <w:tc>
          <w:tcPr>
            <w:tcW w:w="1849" w:type="dxa"/>
            <w:tcBorders>
              <w:top w:val="single" w:sz="4" w:space="0" w:color="auto"/>
              <w:left w:val="single" w:sz="4" w:space="0" w:color="auto"/>
            </w:tcBorders>
          </w:tcPr>
          <w:p w14:paraId="7315C47D" w14:textId="77777777" w:rsidR="00613812" w:rsidRPr="00B92666" w:rsidRDefault="00B52CB8" w:rsidP="006A21F3">
            <w:pPr>
              <w:spacing w:line="360" w:lineRule="auto"/>
              <w:jc w:val="both"/>
              <w:rPr>
                <w:b/>
                <w:sz w:val="24"/>
                <w:szCs w:val="24"/>
              </w:rPr>
            </w:pPr>
            <w:r w:rsidRPr="00B92666">
              <w:rPr>
                <w:b/>
                <w:sz w:val="24"/>
                <w:szCs w:val="24"/>
              </w:rPr>
              <w:t>BWT</w:t>
            </w:r>
          </w:p>
        </w:tc>
        <w:tc>
          <w:tcPr>
            <w:tcW w:w="1849" w:type="dxa"/>
            <w:tcBorders>
              <w:top w:val="single" w:sz="4" w:space="0" w:color="auto"/>
            </w:tcBorders>
          </w:tcPr>
          <w:p w14:paraId="251FEC18" w14:textId="77777777" w:rsidR="00613812" w:rsidRPr="00B92666" w:rsidRDefault="00B52CB8" w:rsidP="006A21F3">
            <w:pPr>
              <w:spacing w:line="360" w:lineRule="auto"/>
              <w:jc w:val="both"/>
              <w:rPr>
                <w:sz w:val="24"/>
                <w:szCs w:val="24"/>
              </w:rPr>
            </w:pPr>
            <w:r w:rsidRPr="00B92666">
              <w:rPr>
                <w:sz w:val="24"/>
                <w:szCs w:val="24"/>
              </w:rPr>
              <w:t>0.53</w:t>
            </w:r>
          </w:p>
        </w:tc>
        <w:tc>
          <w:tcPr>
            <w:tcW w:w="1849" w:type="dxa"/>
            <w:tcBorders>
              <w:top w:val="single" w:sz="4" w:space="0" w:color="auto"/>
            </w:tcBorders>
          </w:tcPr>
          <w:p w14:paraId="54B111C9" w14:textId="77777777" w:rsidR="00613812" w:rsidRPr="00B92666" w:rsidRDefault="00B52CB8" w:rsidP="006A21F3">
            <w:pPr>
              <w:spacing w:line="360" w:lineRule="auto"/>
              <w:jc w:val="both"/>
              <w:rPr>
                <w:sz w:val="24"/>
                <w:szCs w:val="24"/>
              </w:rPr>
            </w:pPr>
            <w:r w:rsidRPr="00B92666">
              <w:rPr>
                <w:sz w:val="24"/>
                <w:szCs w:val="24"/>
              </w:rPr>
              <w:t>0.51</w:t>
            </w:r>
          </w:p>
        </w:tc>
        <w:tc>
          <w:tcPr>
            <w:tcW w:w="1849" w:type="dxa"/>
            <w:tcBorders>
              <w:top w:val="single" w:sz="4" w:space="0" w:color="auto"/>
            </w:tcBorders>
          </w:tcPr>
          <w:p w14:paraId="28042749" w14:textId="77777777" w:rsidR="00613812" w:rsidRPr="00B92666" w:rsidRDefault="00B52CB8" w:rsidP="006A21F3">
            <w:pPr>
              <w:spacing w:line="360" w:lineRule="auto"/>
              <w:jc w:val="both"/>
              <w:rPr>
                <w:sz w:val="24"/>
                <w:szCs w:val="24"/>
              </w:rPr>
            </w:pPr>
            <w:r w:rsidRPr="00B92666">
              <w:rPr>
                <w:sz w:val="24"/>
                <w:szCs w:val="24"/>
              </w:rPr>
              <w:t>52%</w:t>
            </w:r>
          </w:p>
        </w:tc>
        <w:tc>
          <w:tcPr>
            <w:tcW w:w="1849" w:type="dxa"/>
            <w:tcBorders>
              <w:top w:val="single" w:sz="4" w:space="0" w:color="auto"/>
              <w:right w:val="single" w:sz="4" w:space="0" w:color="auto"/>
            </w:tcBorders>
          </w:tcPr>
          <w:p w14:paraId="4263D823" w14:textId="77777777" w:rsidR="00613812" w:rsidRPr="00B92666" w:rsidRDefault="00B52CB8" w:rsidP="006A21F3">
            <w:pPr>
              <w:spacing w:line="360" w:lineRule="auto"/>
              <w:jc w:val="both"/>
              <w:rPr>
                <w:sz w:val="24"/>
                <w:szCs w:val="24"/>
              </w:rPr>
            </w:pPr>
            <w:r w:rsidRPr="00B92666">
              <w:rPr>
                <w:sz w:val="24"/>
                <w:szCs w:val="24"/>
              </w:rPr>
              <w:t>48%</w:t>
            </w:r>
          </w:p>
        </w:tc>
      </w:tr>
      <w:tr w:rsidR="00325CF9" w:rsidRPr="00B92666" w14:paraId="34F941F2" w14:textId="77777777" w:rsidTr="006A21F3">
        <w:tc>
          <w:tcPr>
            <w:tcW w:w="1849" w:type="dxa"/>
            <w:tcBorders>
              <w:left w:val="single" w:sz="4" w:space="0" w:color="auto"/>
            </w:tcBorders>
          </w:tcPr>
          <w:p w14:paraId="1ED3CCC0" w14:textId="77777777" w:rsidR="00613812" w:rsidRPr="00B92666" w:rsidRDefault="00B52CB8" w:rsidP="006A21F3">
            <w:pPr>
              <w:spacing w:line="360" w:lineRule="auto"/>
              <w:jc w:val="both"/>
              <w:rPr>
                <w:b/>
                <w:sz w:val="24"/>
                <w:szCs w:val="24"/>
              </w:rPr>
            </w:pPr>
            <w:r w:rsidRPr="00B92666">
              <w:rPr>
                <w:b/>
                <w:sz w:val="24"/>
                <w:szCs w:val="24"/>
              </w:rPr>
              <w:t>PROSTATE VOLUME</w:t>
            </w:r>
          </w:p>
        </w:tc>
        <w:tc>
          <w:tcPr>
            <w:tcW w:w="1849" w:type="dxa"/>
          </w:tcPr>
          <w:p w14:paraId="3E62B752" w14:textId="77777777" w:rsidR="00613812" w:rsidRPr="00B92666" w:rsidRDefault="00B52CB8" w:rsidP="006A21F3">
            <w:pPr>
              <w:spacing w:line="360" w:lineRule="auto"/>
              <w:jc w:val="both"/>
              <w:rPr>
                <w:sz w:val="24"/>
                <w:szCs w:val="24"/>
              </w:rPr>
            </w:pPr>
            <w:r w:rsidRPr="00B92666">
              <w:rPr>
                <w:sz w:val="24"/>
                <w:szCs w:val="24"/>
              </w:rPr>
              <w:t>0.63</w:t>
            </w:r>
          </w:p>
        </w:tc>
        <w:tc>
          <w:tcPr>
            <w:tcW w:w="1849" w:type="dxa"/>
          </w:tcPr>
          <w:p w14:paraId="6C1F88E6" w14:textId="77777777" w:rsidR="00613812" w:rsidRPr="00B92666" w:rsidRDefault="00B52CB8" w:rsidP="006A21F3">
            <w:pPr>
              <w:spacing w:line="360" w:lineRule="auto"/>
              <w:jc w:val="both"/>
              <w:rPr>
                <w:sz w:val="24"/>
                <w:szCs w:val="24"/>
              </w:rPr>
            </w:pPr>
            <w:r w:rsidRPr="00B92666">
              <w:rPr>
                <w:sz w:val="24"/>
                <w:szCs w:val="24"/>
              </w:rPr>
              <w:t>0.56</w:t>
            </w:r>
          </w:p>
        </w:tc>
        <w:tc>
          <w:tcPr>
            <w:tcW w:w="1849" w:type="dxa"/>
          </w:tcPr>
          <w:p w14:paraId="10D3BDAB" w14:textId="77777777" w:rsidR="00613812" w:rsidRPr="00B92666" w:rsidRDefault="00B52CB8" w:rsidP="006A21F3">
            <w:pPr>
              <w:spacing w:line="360" w:lineRule="auto"/>
              <w:jc w:val="both"/>
              <w:rPr>
                <w:sz w:val="24"/>
                <w:szCs w:val="24"/>
              </w:rPr>
            </w:pPr>
            <w:r w:rsidRPr="00B92666">
              <w:rPr>
                <w:sz w:val="24"/>
                <w:szCs w:val="24"/>
              </w:rPr>
              <w:t>59%</w:t>
            </w:r>
          </w:p>
        </w:tc>
        <w:tc>
          <w:tcPr>
            <w:tcW w:w="1849" w:type="dxa"/>
            <w:tcBorders>
              <w:right w:val="single" w:sz="4" w:space="0" w:color="auto"/>
            </w:tcBorders>
          </w:tcPr>
          <w:p w14:paraId="262001FE" w14:textId="77777777" w:rsidR="00613812" w:rsidRPr="00B92666" w:rsidRDefault="00B52CB8" w:rsidP="006A21F3">
            <w:pPr>
              <w:spacing w:line="360" w:lineRule="auto"/>
              <w:jc w:val="both"/>
              <w:rPr>
                <w:sz w:val="24"/>
                <w:szCs w:val="24"/>
              </w:rPr>
            </w:pPr>
            <w:r w:rsidRPr="00B92666">
              <w:rPr>
                <w:sz w:val="24"/>
                <w:szCs w:val="24"/>
              </w:rPr>
              <w:t>44%</w:t>
            </w:r>
          </w:p>
        </w:tc>
      </w:tr>
      <w:tr w:rsidR="00325CF9" w:rsidRPr="00B92666" w14:paraId="436BBF6C" w14:textId="77777777" w:rsidTr="006A21F3">
        <w:tc>
          <w:tcPr>
            <w:tcW w:w="1849" w:type="dxa"/>
            <w:tcBorders>
              <w:left w:val="single" w:sz="4" w:space="0" w:color="auto"/>
            </w:tcBorders>
          </w:tcPr>
          <w:p w14:paraId="59639E21" w14:textId="77777777" w:rsidR="00613812" w:rsidRPr="00B92666" w:rsidRDefault="00B52CB8" w:rsidP="006A21F3">
            <w:pPr>
              <w:spacing w:line="360" w:lineRule="auto"/>
              <w:jc w:val="both"/>
              <w:rPr>
                <w:b/>
                <w:sz w:val="24"/>
                <w:szCs w:val="24"/>
              </w:rPr>
            </w:pPr>
            <w:r w:rsidRPr="00B92666">
              <w:rPr>
                <w:b/>
                <w:sz w:val="24"/>
                <w:szCs w:val="24"/>
              </w:rPr>
              <w:t>PVR</w:t>
            </w:r>
          </w:p>
        </w:tc>
        <w:tc>
          <w:tcPr>
            <w:tcW w:w="1849" w:type="dxa"/>
          </w:tcPr>
          <w:p w14:paraId="5DB64130" w14:textId="77777777" w:rsidR="00613812" w:rsidRPr="00B92666" w:rsidRDefault="00B52CB8" w:rsidP="006A21F3">
            <w:pPr>
              <w:spacing w:line="360" w:lineRule="auto"/>
              <w:jc w:val="both"/>
              <w:rPr>
                <w:sz w:val="24"/>
                <w:szCs w:val="24"/>
              </w:rPr>
            </w:pPr>
            <w:r w:rsidRPr="00B92666">
              <w:rPr>
                <w:sz w:val="24"/>
                <w:szCs w:val="24"/>
              </w:rPr>
              <w:t>0.62</w:t>
            </w:r>
          </w:p>
        </w:tc>
        <w:tc>
          <w:tcPr>
            <w:tcW w:w="1849" w:type="dxa"/>
          </w:tcPr>
          <w:p w14:paraId="33EFA92D" w14:textId="77777777" w:rsidR="00613812" w:rsidRPr="00B92666" w:rsidRDefault="00B52CB8" w:rsidP="006A21F3">
            <w:pPr>
              <w:spacing w:line="360" w:lineRule="auto"/>
              <w:jc w:val="both"/>
              <w:rPr>
                <w:sz w:val="24"/>
                <w:szCs w:val="24"/>
              </w:rPr>
            </w:pPr>
            <w:r w:rsidRPr="00B92666">
              <w:rPr>
                <w:sz w:val="24"/>
                <w:szCs w:val="24"/>
              </w:rPr>
              <w:t>0.59</w:t>
            </w:r>
          </w:p>
        </w:tc>
        <w:tc>
          <w:tcPr>
            <w:tcW w:w="1849" w:type="dxa"/>
          </w:tcPr>
          <w:p w14:paraId="0C39FBEB" w14:textId="77777777" w:rsidR="00613812" w:rsidRPr="00B92666" w:rsidRDefault="00B52CB8" w:rsidP="006A21F3">
            <w:pPr>
              <w:spacing w:line="360" w:lineRule="auto"/>
              <w:jc w:val="both"/>
              <w:rPr>
                <w:sz w:val="24"/>
                <w:szCs w:val="24"/>
              </w:rPr>
            </w:pPr>
            <w:r w:rsidRPr="00B92666">
              <w:rPr>
                <w:sz w:val="24"/>
                <w:szCs w:val="24"/>
              </w:rPr>
              <w:t>68%</w:t>
            </w:r>
          </w:p>
        </w:tc>
        <w:tc>
          <w:tcPr>
            <w:tcW w:w="1849" w:type="dxa"/>
            <w:tcBorders>
              <w:right w:val="single" w:sz="4" w:space="0" w:color="auto"/>
            </w:tcBorders>
          </w:tcPr>
          <w:p w14:paraId="27820E4F" w14:textId="77777777" w:rsidR="00613812" w:rsidRPr="00B92666" w:rsidRDefault="00B52CB8" w:rsidP="006A21F3">
            <w:pPr>
              <w:spacing w:line="360" w:lineRule="auto"/>
              <w:jc w:val="both"/>
              <w:rPr>
                <w:sz w:val="24"/>
                <w:szCs w:val="24"/>
              </w:rPr>
            </w:pPr>
            <w:r w:rsidRPr="00B92666">
              <w:rPr>
                <w:sz w:val="24"/>
                <w:szCs w:val="24"/>
              </w:rPr>
              <w:t>42%</w:t>
            </w:r>
          </w:p>
        </w:tc>
      </w:tr>
      <w:tr w:rsidR="00325CF9" w14:paraId="3DDC059D" w14:textId="77777777" w:rsidTr="006A21F3">
        <w:tblPrEx>
          <w:tblBorders>
            <w:top w:val="single" w:sz="4" w:space="0" w:color="auto"/>
            <w:insideH w:val="none" w:sz="0" w:space="0" w:color="auto"/>
          </w:tblBorders>
          <w:tblLook w:val="0000" w:firstRow="0" w:lastRow="0" w:firstColumn="0" w:lastColumn="0" w:noHBand="0" w:noVBand="0"/>
        </w:tblPrEx>
        <w:trPr>
          <w:trHeight w:val="100"/>
        </w:trPr>
        <w:tc>
          <w:tcPr>
            <w:tcW w:w="9245" w:type="dxa"/>
            <w:gridSpan w:val="5"/>
          </w:tcPr>
          <w:p w14:paraId="179B5A18" w14:textId="77777777" w:rsidR="006A21F3" w:rsidRDefault="006A21F3" w:rsidP="00924686">
            <w:pPr>
              <w:spacing w:line="240" w:lineRule="auto"/>
              <w:jc w:val="both"/>
              <w:rPr>
                <w:sz w:val="24"/>
                <w:szCs w:val="24"/>
              </w:rPr>
            </w:pPr>
          </w:p>
        </w:tc>
      </w:tr>
    </w:tbl>
    <w:p w14:paraId="3CD02908" w14:textId="77777777" w:rsidR="00613812" w:rsidRPr="00FC7D95" w:rsidRDefault="00B52CB8" w:rsidP="00720CD2">
      <w:pPr>
        <w:spacing w:line="240" w:lineRule="auto"/>
        <w:jc w:val="both"/>
        <w:rPr>
          <w:sz w:val="24"/>
          <w:szCs w:val="24"/>
        </w:rPr>
      </w:pPr>
      <w:r w:rsidRPr="00FC7D95">
        <w:rPr>
          <w:sz w:val="24"/>
          <w:szCs w:val="24"/>
        </w:rPr>
        <w:t>NPV =</w:t>
      </w:r>
      <w:r w:rsidRPr="00FC7D95">
        <w:rPr>
          <w:b/>
          <w:sz w:val="24"/>
          <w:szCs w:val="24"/>
        </w:rPr>
        <w:t xml:space="preserve"> </w:t>
      </w:r>
      <w:r w:rsidRPr="00FC7D95">
        <w:rPr>
          <w:sz w:val="24"/>
          <w:szCs w:val="24"/>
        </w:rPr>
        <w:t>NEGATIVE Predictive value, PPV = Positive Predictive value.</w:t>
      </w:r>
    </w:p>
    <w:p w14:paraId="18C2FF4F" w14:textId="77777777" w:rsidR="00613812" w:rsidRDefault="00B52CB8" w:rsidP="00613812">
      <w:pPr>
        <w:pStyle w:val="NoSpacing"/>
        <w:spacing w:line="360" w:lineRule="auto"/>
        <w:jc w:val="both"/>
        <w:rPr>
          <w:sz w:val="24"/>
          <w:szCs w:val="24"/>
        </w:rPr>
      </w:pPr>
      <w:r>
        <w:rPr>
          <w:noProof/>
          <w:sz w:val="24"/>
          <w:szCs w:val="24"/>
          <w:lang w:val="en-US"/>
        </w:rPr>
        <w:lastRenderedPageBreak/>
        <w:drawing>
          <wp:inline distT="0" distB="0" distL="0" distR="0" wp14:anchorId="526E45A0" wp14:editId="6B71E796">
            <wp:extent cx="5448300" cy="3983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63268" cy="3994078"/>
                    </a:xfrm>
                    <a:prstGeom prst="rect">
                      <a:avLst/>
                    </a:prstGeom>
                    <a:noFill/>
                  </pic:spPr>
                </pic:pic>
              </a:graphicData>
            </a:graphic>
          </wp:inline>
        </w:drawing>
      </w:r>
    </w:p>
    <w:p w14:paraId="0BC946A7" w14:textId="77777777" w:rsidR="006A21F3" w:rsidRPr="00613812" w:rsidRDefault="006A21F3" w:rsidP="00613812">
      <w:pPr>
        <w:pStyle w:val="NoSpacing"/>
        <w:spacing w:line="360" w:lineRule="auto"/>
        <w:jc w:val="both"/>
        <w:rPr>
          <w:sz w:val="24"/>
          <w:szCs w:val="24"/>
        </w:rPr>
      </w:pPr>
    </w:p>
    <w:p w14:paraId="43A83D0C" w14:textId="77777777" w:rsidR="006A21F3" w:rsidRPr="006A21F3" w:rsidRDefault="00B52CB8" w:rsidP="006A21F3">
      <w:pPr>
        <w:spacing w:line="360" w:lineRule="auto"/>
        <w:jc w:val="both"/>
        <w:rPr>
          <w:sz w:val="24"/>
          <w:szCs w:val="24"/>
        </w:rPr>
      </w:pPr>
      <w:r>
        <w:rPr>
          <w:b/>
          <w:sz w:val="24"/>
          <w:szCs w:val="24"/>
        </w:rPr>
        <w:t>FIGURE 3</w:t>
      </w:r>
      <w:r w:rsidRPr="006A21F3">
        <w:rPr>
          <w:b/>
          <w:sz w:val="24"/>
          <w:szCs w:val="24"/>
        </w:rPr>
        <w:t xml:space="preserve">: </w:t>
      </w:r>
      <w:r w:rsidRPr="006A21F3">
        <w:rPr>
          <w:sz w:val="24"/>
          <w:szCs w:val="24"/>
        </w:rPr>
        <w:t>C</w:t>
      </w:r>
      <w:r w:rsidR="00924686">
        <w:rPr>
          <w:sz w:val="24"/>
          <w:szCs w:val="24"/>
        </w:rPr>
        <w:t xml:space="preserve">ombined ROC curves for all 3 </w:t>
      </w:r>
      <w:proofErr w:type="spellStart"/>
      <w:r w:rsidR="00924686">
        <w:rPr>
          <w:sz w:val="24"/>
          <w:szCs w:val="24"/>
        </w:rPr>
        <w:t>parametres</w:t>
      </w:r>
      <w:proofErr w:type="spellEnd"/>
      <w:r w:rsidR="00924686">
        <w:rPr>
          <w:sz w:val="24"/>
          <w:szCs w:val="24"/>
        </w:rPr>
        <w:t xml:space="preserve"> in comparison with the Gold standard (IPPS). </w:t>
      </w:r>
      <w:r>
        <w:rPr>
          <w:b/>
          <w:sz w:val="24"/>
          <w:szCs w:val="24"/>
        </w:rPr>
        <w:t xml:space="preserve"> </w:t>
      </w:r>
    </w:p>
    <w:tbl>
      <w:tblPr>
        <w:tblW w:w="34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0"/>
        <w:gridCol w:w="1000"/>
      </w:tblGrid>
      <w:tr w:rsidR="00325CF9" w14:paraId="727D54E4" w14:textId="77777777" w:rsidTr="00D174AD">
        <w:trPr>
          <w:cantSplit/>
          <w:tblHeader/>
        </w:trPr>
        <w:tc>
          <w:tcPr>
            <w:tcW w:w="3400" w:type="dxa"/>
            <w:gridSpan w:val="2"/>
            <w:tcBorders>
              <w:top w:val="nil"/>
              <w:left w:val="nil"/>
              <w:bottom w:val="nil"/>
              <w:right w:val="nil"/>
            </w:tcBorders>
            <w:shd w:val="clear" w:color="auto" w:fill="FFFFFF"/>
            <w:tcMar>
              <w:top w:w="30" w:type="dxa"/>
              <w:left w:w="30" w:type="dxa"/>
              <w:bottom w:w="30" w:type="dxa"/>
              <w:right w:w="30" w:type="dxa"/>
            </w:tcMar>
            <w:vAlign w:val="center"/>
          </w:tcPr>
          <w:p w14:paraId="283AE108" w14:textId="77777777" w:rsidR="006A21F3" w:rsidRPr="00837846" w:rsidRDefault="006A21F3" w:rsidP="00D174AD">
            <w:pPr>
              <w:autoSpaceDE w:val="0"/>
              <w:autoSpaceDN w:val="0"/>
              <w:adjustRightInd w:val="0"/>
              <w:spacing w:after="0" w:line="360" w:lineRule="auto"/>
              <w:jc w:val="both"/>
              <w:rPr>
                <w:rFonts w:cs="Arial"/>
                <w:b/>
                <w:bCs/>
                <w:color w:val="000000"/>
                <w:sz w:val="18"/>
                <w:szCs w:val="18"/>
              </w:rPr>
            </w:pPr>
          </w:p>
          <w:p w14:paraId="75D7CA6B" w14:textId="143DF0E8" w:rsidR="006A21F3" w:rsidRPr="00837846" w:rsidRDefault="008668A7" w:rsidP="00D174AD">
            <w:pPr>
              <w:autoSpaceDE w:val="0"/>
              <w:autoSpaceDN w:val="0"/>
              <w:adjustRightInd w:val="0"/>
              <w:spacing w:after="0" w:line="360" w:lineRule="auto"/>
              <w:jc w:val="both"/>
              <w:rPr>
                <w:rFonts w:cs="Arial"/>
                <w:color w:val="000000"/>
                <w:sz w:val="18"/>
                <w:szCs w:val="18"/>
              </w:rPr>
            </w:pPr>
            <w:r>
              <w:rPr>
                <w:rFonts w:cs="Arial"/>
                <w:b/>
                <w:bCs/>
                <w:color w:val="000000"/>
                <w:sz w:val="18"/>
                <w:szCs w:val="18"/>
              </w:rPr>
              <w:t>List 1-</w:t>
            </w:r>
            <w:r w:rsidR="00B52CB8" w:rsidRPr="00837846">
              <w:rPr>
                <w:rFonts w:cs="Arial"/>
                <w:b/>
                <w:bCs/>
                <w:color w:val="000000"/>
                <w:sz w:val="18"/>
                <w:szCs w:val="18"/>
              </w:rPr>
              <w:t>Area Under the Curve</w:t>
            </w:r>
          </w:p>
        </w:tc>
      </w:tr>
      <w:tr w:rsidR="00325CF9" w14:paraId="50FCB8B7" w14:textId="77777777" w:rsidTr="00D174AD">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2EAFEE"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Test Result Variable(s)</w:t>
            </w:r>
          </w:p>
        </w:tc>
        <w:tc>
          <w:tcPr>
            <w:tcW w:w="10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20161B"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Area</w:t>
            </w:r>
          </w:p>
        </w:tc>
      </w:tr>
      <w:tr w:rsidR="00325CF9" w14:paraId="04F9D9A9" w14:textId="77777777" w:rsidTr="00D174AD">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A471315"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Prostatic volume (cm3)</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B3D4DC"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0.249</w:t>
            </w:r>
          </w:p>
        </w:tc>
      </w:tr>
      <w:tr w:rsidR="00325CF9" w14:paraId="1D480AF5" w14:textId="77777777" w:rsidTr="00D174AD">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01FE4CA"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Bladder wall thickness (cm)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98DC4B"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0.314</w:t>
            </w:r>
          </w:p>
        </w:tc>
      </w:tr>
      <w:tr w:rsidR="00325CF9" w14:paraId="4D3CCB7A" w14:textId="77777777" w:rsidTr="00D174AD">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D91578"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Post-void urine volume (m/s)</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6198CD5"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0.246</w:t>
            </w:r>
          </w:p>
        </w:tc>
      </w:tr>
    </w:tbl>
    <w:p w14:paraId="3056EA27" w14:textId="77777777" w:rsidR="006A21F3" w:rsidRPr="00701FBF" w:rsidRDefault="006A21F3" w:rsidP="006A21F3">
      <w:pPr>
        <w:spacing w:line="360" w:lineRule="auto"/>
        <w:jc w:val="both"/>
        <w:rPr>
          <w:b/>
          <w:sz w:val="24"/>
          <w:szCs w:val="24"/>
        </w:rPr>
      </w:pPr>
    </w:p>
    <w:p w14:paraId="1161A40D" w14:textId="77777777" w:rsidR="00592251" w:rsidRPr="00592251" w:rsidRDefault="00B52CB8">
      <w:pPr>
        <w:rPr>
          <w:b/>
          <w:sz w:val="24"/>
          <w:szCs w:val="24"/>
          <w:lang w:val="en-GB"/>
        </w:rPr>
      </w:pPr>
      <w:r w:rsidRPr="00592251">
        <w:rPr>
          <w:b/>
          <w:sz w:val="24"/>
          <w:szCs w:val="24"/>
          <w:lang w:val="en-GB"/>
        </w:rPr>
        <w:t>DISCUSSION</w:t>
      </w:r>
    </w:p>
    <w:p w14:paraId="69DF3DF1" w14:textId="77777777" w:rsidR="00FC7D95" w:rsidRPr="00FC7D95" w:rsidRDefault="00FC7D95" w:rsidP="004415AC">
      <w:pPr>
        <w:pStyle w:val="NoSpacing"/>
        <w:tabs>
          <w:tab w:val="left" w:pos="5954"/>
        </w:tabs>
        <w:spacing w:line="480" w:lineRule="auto"/>
        <w:jc w:val="both"/>
        <w:rPr>
          <w:sz w:val="24"/>
          <w:szCs w:val="24"/>
        </w:rPr>
      </w:pPr>
      <w:r>
        <w:rPr>
          <w:sz w:val="24"/>
          <w:szCs w:val="24"/>
        </w:rPr>
        <w:t>The mean age for the study group in our study was</w:t>
      </w:r>
      <w:r w:rsidR="008E2EE0">
        <w:rPr>
          <w:sz w:val="24"/>
          <w:szCs w:val="24"/>
        </w:rPr>
        <w:t xml:space="preserve"> 62.6 years</w:t>
      </w:r>
      <w:r w:rsidR="007B1188">
        <w:rPr>
          <w:sz w:val="24"/>
          <w:szCs w:val="24"/>
        </w:rPr>
        <w:t>,</w:t>
      </w:r>
      <w:r w:rsidR="008E2EE0">
        <w:rPr>
          <w:sz w:val="24"/>
          <w:szCs w:val="24"/>
        </w:rPr>
        <w:t xml:space="preserve"> </w:t>
      </w:r>
      <w:r>
        <w:rPr>
          <w:sz w:val="24"/>
          <w:szCs w:val="24"/>
        </w:rPr>
        <w:t xml:space="preserve">which is comparable to that reported by </w:t>
      </w:r>
      <w:proofErr w:type="spellStart"/>
      <w:r>
        <w:rPr>
          <w:sz w:val="24"/>
          <w:szCs w:val="24"/>
        </w:rPr>
        <w:t>Ahuizechukwu</w:t>
      </w:r>
      <w:proofErr w:type="spellEnd"/>
      <w:r>
        <w:rPr>
          <w:sz w:val="24"/>
          <w:szCs w:val="24"/>
        </w:rPr>
        <w:t xml:space="preserve"> et al [</w:t>
      </w:r>
      <w:r w:rsidR="007B1188">
        <w:rPr>
          <w:sz w:val="24"/>
          <w:szCs w:val="24"/>
        </w:rPr>
        <w:t>14</w:t>
      </w:r>
      <w:r>
        <w:rPr>
          <w:sz w:val="24"/>
          <w:szCs w:val="24"/>
        </w:rPr>
        <w:t xml:space="preserve">], </w:t>
      </w:r>
      <w:proofErr w:type="spellStart"/>
      <w:r>
        <w:rPr>
          <w:sz w:val="24"/>
          <w:szCs w:val="24"/>
        </w:rPr>
        <w:t>Apata</w:t>
      </w:r>
      <w:proofErr w:type="spellEnd"/>
      <w:r>
        <w:rPr>
          <w:sz w:val="24"/>
          <w:szCs w:val="24"/>
        </w:rPr>
        <w:t xml:space="preserve"> et al [</w:t>
      </w:r>
      <w:r w:rsidR="007B1188">
        <w:rPr>
          <w:sz w:val="24"/>
          <w:szCs w:val="24"/>
        </w:rPr>
        <w:t>15</w:t>
      </w:r>
      <w:r>
        <w:rPr>
          <w:sz w:val="24"/>
          <w:szCs w:val="24"/>
        </w:rPr>
        <w:t>], and Bhattarai et al [</w:t>
      </w:r>
      <w:r w:rsidR="007B1188">
        <w:rPr>
          <w:sz w:val="24"/>
          <w:szCs w:val="24"/>
        </w:rPr>
        <w:t>16</w:t>
      </w:r>
      <w:r>
        <w:rPr>
          <w:sz w:val="24"/>
          <w:szCs w:val="24"/>
        </w:rPr>
        <w:t xml:space="preserve">]. </w:t>
      </w:r>
    </w:p>
    <w:p w14:paraId="345841BC" w14:textId="77777777" w:rsidR="00D46BD0" w:rsidRPr="001D05FF" w:rsidRDefault="00D46BD0" w:rsidP="004415AC">
      <w:pPr>
        <w:pStyle w:val="NoSpacing"/>
        <w:tabs>
          <w:tab w:val="left" w:pos="5954"/>
        </w:tabs>
        <w:spacing w:line="480" w:lineRule="auto"/>
        <w:jc w:val="both"/>
        <w:rPr>
          <w:sz w:val="24"/>
          <w:szCs w:val="24"/>
          <w:u w:val="single"/>
        </w:rPr>
      </w:pPr>
      <w:r w:rsidRPr="001D05FF">
        <w:rPr>
          <w:sz w:val="24"/>
          <w:szCs w:val="24"/>
          <w:u w:val="single"/>
        </w:rPr>
        <w:t>Bladder wall thickness</w:t>
      </w:r>
    </w:p>
    <w:p w14:paraId="38DE9473" w14:textId="77777777" w:rsidR="004415AC" w:rsidRDefault="004415AC" w:rsidP="004415AC">
      <w:pPr>
        <w:pStyle w:val="NoSpacing"/>
        <w:tabs>
          <w:tab w:val="left" w:pos="5954"/>
        </w:tabs>
        <w:spacing w:line="480" w:lineRule="auto"/>
        <w:jc w:val="both"/>
        <w:rPr>
          <w:sz w:val="24"/>
          <w:szCs w:val="24"/>
        </w:rPr>
      </w:pPr>
      <w:r w:rsidRPr="004763D2">
        <w:rPr>
          <w:sz w:val="24"/>
          <w:szCs w:val="24"/>
        </w:rPr>
        <w:lastRenderedPageBreak/>
        <w:t>The</w:t>
      </w:r>
      <w:r w:rsidR="002A2E13">
        <w:rPr>
          <w:sz w:val="24"/>
          <w:szCs w:val="24"/>
        </w:rPr>
        <w:t xml:space="preserve"> mean BWT in this study was 0.5cm</w:t>
      </w:r>
      <w:r w:rsidR="007B1188">
        <w:rPr>
          <w:sz w:val="24"/>
          <w:szCs w:val="24"/>
        </w:rPr>
        <w:t>, which is similar</w:t>
      </w:r>
      <w:r w:rsidR="002A2E13">
        <w:rPr>
          <w:sz w:val="24"/>
          <w:szCs w:val="24"/>
        </w:rPr>
        <w:t xml:space="preserve"> to that reported by </w:t>
      </w:r>
      <w:proofErr w:type="spellStart"/>
      <w:r w:rsidR="002A2E13">
        <w:rPr>
          <w:sz w:val="24"/>
          <w:szCs w:val="24"/>
        </w:rPr>
        <w:t>Ahuizechukwu</w:t>
      </w:r>
      <w:proofErr w:type="spellEnd"/>
      <w:r w:rsidR="002A2E13">
        <w:rPr>
          <w:sz w:val="24"/>
          <w:szCs w:val="24"/>
        </w:rPr>
        <w:t xml:space="preserve"> et al [</w:t>
      </w:r>
      <w:r w:rsidR="007B1188">
        <w:rPr>
          <w:sz w:val="24"/>
          <w:szCs w:val="24"/>
        </w:rPr>
        <w:t>14</w:t>
      </w:r>
      <w:r w:rsidR="002A2E13">
        <w:rPr>
          <w:sz w:val="24"/>
          <w:szCs w:val="24"/>
        </w:rPr>
        <w:t>]</w:t>
      </w:r>
      <w:r w:rsidR="001D05FF">
        <w:rPr>
          <w:sz w:val="24"/>
          <w:szCs w:val="24"/>
        </w:rPr>
        <w:t xml:space="preserve">, </w:t>
      </w:r>
      <w:proofErr w:type="spellStart"/>
      <w:r w:rsidR="001D05FF">
        <w:rPr>
          <w:sz w:val="24"/>
          <w:szCs w:val="24"/>
        </w:rPr>
        <w:t>Apata</w:t>
      </w:r>
      <w:proofErr w:type="spellEnd"/>
      <w:r w:rsidR="001D05FF">
        <w:rPr>
          <w:sz w:val="24"/>
          <w:szCs w:val="24"/>
        </w:rPr>
        <w:t xml:space="preserve"> al [</w:t>
      </w:r>
      <w:r w:rsidR="007B1188">
        <w:rPr>
          <w:sz w:val="24"/>
          <w:szCs w:val="24"/>
        </w:rPr>
        <w:t>15</w:t>
      </w:r>
      <w:r w:rsidR="001D05FF">
        <w:rPr>
          <w:sz w:val="24"/>
          <w:szCs w:val="24"/>
        </w:rPr>
        <w:t>],</w:t>
      </w:r>
      <w:r w:rsidR="002A2E13">
        <w:rPr>
          <w:sz w:val="24"/>
          <w:szCs w:val="24"/>
        </w:rPr>
        <w:t xml:space="preserve"> and Park et al [</w:t>
      </w:r>
      <w:r w:rsidR="007B1188">
        <w:rPr>
          <w:sz w:val="24"/>
          <w:szCs w:val="24"/>
        </w:rPr>
        <w:t>17</w:t>
      </w:r>
      <w:r w:rsidR="002A2E13">
        <w:rPr>
          <w:sz w:val="24"/>
          <w:szCs w:val="24"/>
        </w:rPr>
        <w:t xml:space="preserve">]. The </w:t>
      </w:r>
      <w:r w:rsidRPr="004763D2">
        <w:rPr>
          <w:sz w:val="24"/>
          <w:szCs w:val="24"/>
        </w:rPr>
        <w:t>thickening of the detrusor muscle results from increased workload against an outlet obstruction</w:t>
      </w:r>
      <w:r>
        <w:rPr>
          <w:sz w:val="24"/>
          <w:szCs w:val="24"/>
        </w:rPr>
        <w:t>. T</w:t>
      </w:r>
      <w:r w:rsidRPr="004763D2">
        <w:rPr>
          <w:sz w:val="24"/>
          <w:szCs w:val="24"/>
        </w:rPr>
        <w:t>he present study, BWT distinguished between two grades of BOO.</w:t>
      </w:r>
      <w:r>
        <w:rPr>
          <w:i/>
          <w:sz w:val="24"/>
          <w:szCs w:val="24"/>
        </w:rPr>
        <w:t xml:space="preserve">  </w:t>
      </w:r>
      <w:r w:rsidR="007B1188">
        <w:rPr>
          <w:sz w:val="24"/>
          <w:szCs w:val="24"/>
        </w:rPr>
        <w:t>The thickness</w:t>
      </w:r>
      <w:r w:rsidR="00B52CB8" w:rsidRPr="004763D2">
        <w:rPr>
          <w:sz w:val="24"/>
          <w:szCs w:val="24"/>
        </w:rPr>
        <w:t xml:space="preserve"> of </w:t>
      </w:r>
      <w:r w:rsidR="007B1188">
        <w:rPr>
          <w:sz w:val="24"/>
          <w:szCs w:val="24"/>
        </w:rPr>
        <w:t xml:space="preserve">the </w:t>
      </w:r>
      <w:r w:rsidR="00B52CB8" w:rsidRPr="004763D2">
        <w:rPr>
          <w:sz w:val="24"/>
          <w:szCs w:val="24"/>
        </w:rPr>
        <w:t>mucosa and adventitia may be affected</w:t>
      </w:r>
      <w:r>
        <w:rPr>
          <w:sz w:val="24"/>
          <w:szCs w:val="24"/>
        </w:rPr>
        <w:t xml:space="preserve"> </w:t>
      </w:r>
      <w:r w:rsidR="007B1188">
        <w:rPr>
          <w:sz w:val="24"/>
          <w:szCs w:val="24"/>
        </w:rPr>
        <w:t xml:space="preserve">by infection or cancer and </w:t>
      </w:r>
      <w:r w:rsidR="00B52CB8" w:rsidRPr="004763D2">
        <w:rPr>
          <w:sz w:val="24"/>
          <w:szCs w:val="24"/>
        </w:rPr>
        <w:t>may account for the inability to differentiate betw</w:t>
      </w:r>
      <w:r>
        <w:rPr>
          <w:sz w:val="24"/>
          <w:szCs w:val="24"/>
        </w:rPr>
        <w:t xml:space="preserve">een the three grades of BOO. </w:t>
      </w:r>
      <w:r w:rsidR="00D46BD0">
        <w:rPr>
          <w:sz w:val="24"/>
          <w:szCs w:val="24"/>
        </w:rPr>
        <w:t xml:space="preserve"> Bladder wall thickness sensitivity in this study was higher than that reported by Park et al [</w:t>
      </w:r>
      <w:r w:rsidR="007B1188">
        <w:rPr>
          <w:sz w:val="24"/>
          <w:szCs w:val="24"/>
        </w:rPr>
        <w:t>17</w:t>
      </w:r>
      <w:r w:rsidR="00DA6FED">
        <w:rPr>
          <w:sz w:val="24"/>
          <w:szCs w:val="24"/>
        </w:rPr>
        <w:t>]</w:t>
      </w:r>
      <w:r w:rsidR="007B1188">
        <w:rPr>
          <w:sz w:val="24"/>
          <w:szCs w:val="24"/>
        </w:rPr>
        <w:t>,</w:t>
      </w:r>
      <w:r w:rsidR="00DA6FED">
        <w:rPr>
          <w:sz w:val="24"/>
          <w:szCs w:val="24"/>
        </w:rPr>
        <w:t xml:space="preserve"> and</w:t>
      </w:r>
      <w:r w:rsidR="00D46BD0">
        <w:rPr>
          <w:sz w:val="24"/>
          <w:szCs w:val="24"/>
        </w:rPr>
        <w:t xml:space="preserve"> t</w:t>
      </w:r>
      <w:r w:rsidR="007B1188">
        <w:rPr>
          <w:sz w:val="24"/>
          <w:szCs w:val="24"/>
        </w:rPr>
        <w:t xml:space="preserve">he specificity was lower. With a </w:t>
      </w:r>
      <w:r w:rsidR="007B1188" w:rsidRPr="004763D2">
        <w:rPr>
          <w:sz w:val="24"/>
          <w:szCs w:val="24"/>
        </w:rPr>
        <w:t>progressive increase in obstruction, the bladder compensates with hype</w:t>
      </w:r>
      <w:r w:rsidR="007B1188">
        <w:rPr>
          <w:sz w:val="24"/>
          <w:szCs w:val="24"/>
        </w:rPr>
        <w:t>rtrophy of smooth muscle. T</w:t>
      </w:r>
      <w:r w:rsidR="007B1188" w:rsidRPr="004763D2">
        <w:rPr>
          <w:sz w:val="24"/>
          <w:szCs w:val="24"/>
        </w:rPr>
        <w:t>here is maintenance of muscle contractility and bladder emptying</w:t>
      </w:r>
      <w:r w:rsidR="007B1188">
        <w:rPr>
          <w:sz w:val="24"/>
          <w:szCs w:val="24"/>
        </w:rPr>
        <w:t xml:space="preserve"> initially</w:t>
      </w:r>
      <w:r w:rsidR="00754BD8">
        <w:rPr>
          <w:sz w:val="24"/>
          <w:szCs w:val="24"/>
        </w:rPr>
        <w:t>;</w:t>
      </w:r>
      <w:r w:rsidR="007B1188" w:rsidRPr="004763D2">
        <w:rPr>
          <w:sz w:val="24"/>
          <w:szCs w:val="24"/>
        </w:rPr>
        <w:t xml:space="preserve"> however, if the obstruction is not relieved, the bladder</w:t>
      </w:r>
      <w:r w:rsidR="007B1188" w:rsidRPr="00563933">
        <w:rPr>
          <w:i/>
          <w:sz w:val="28"/>
          <w:szCs w:val="28"/>
        </w:rPr>
        <w:t xml:space="preserve"> </w:t>
      </w:r>
      <w:r w:rsidR="007B1188" w:rsidRPr="004763D2">
        <w:rPr>
          <w:sz w:val="24"/>
          <w:szCs w:val="24"/>
        </w:rPr>
        <w:t>decompensates with subsequent risk of complications</w:t>
      </w:r>
      <w:r w:rsidR="007B1188">
        <w:rPr>
          <w:sz w:val="24"/>
          <w:szCs w:val="24"/>
        </w:rPr>
        <w:t xml:space="preserve"> [18, 19].</w:t>
      </w:r>
    </w:p>
    <w:p w14:paraId="4DF1E0BC" w14:textId="77777777" w:rsidR="001D05FF" w:rsidRPr="001D05FF" w:rsidRDefault="001D05FF" w:rsidP="004415AC">
      <w:pPr>
        <w:pStyle w:val="NoSpacing"/>
        <w:tabs>
          <w:tab w:val="left" w:pos="5954"/>
        </w:tabs>
        <w:spacing w:line="480" w:lineRule="auto"/>
        <w:jc w:val="both"/>
        <w:rPr>
          <w:sz w:val="24"/>
          <w:szCs w:val="24"/>
          <w:u w:val="single"/>
        </w:rPr>
      </w:pPr>
      <w:r w:rsidRPr="001D05FF">
        <w:rPr>
          <w:sz w:val="24"/>
          <w:szCs w:val="24"/>
          <w:u w:val="single"/>
        </w:rPr>
        <w:t>ROC Curve analysis</w:t>
      </w:r>
    </w:p>
    <w:p w14:paraId="534767C9" w14:textId="77777777" w:rsidR="00D46BD0" w:rsidRPr="004D1D6E" w:rsidRDefault="00B52CB8" w:rsidP="004415AC">
      <w:pPr>
        <w:pStyle w:val="NoSpacing"/>
        <w:tabs>
          <w:tab w:val="left" w:pos="5954"/>
        </w:tabs>
        <w:spacing w:line="480" w:lineRule="auto"/>
        <w:jc w:val="both"/>
        <w:rPr>
          <w:sz w:val="24"/>
          <w:szCs w:val="24"/>
        </w:rPr>
      </w:pPr>
      <w:r w:rsidRPr="004763D2">
        <w:rPr>
          <w:sz w:val="24"/>
          <w:szCs w:val="24"/>
        </w:rPr>
        <w:t xml:space="preserve">The area under the curve (AUC) of the Receiver operating characteristic (ROC) curve analysis varied between 0.246 and 0.314.  Those </w:t>
      </w:r>
      <w:r w:rsidR="008F16D2">
        <w:rPr>
          <w:sz w:val="24"/>
          <w:szCs w:val="24"/>
        </w:rPr>
        <w:t>by</w:t>
      </w:r>
      <w:r w:rsidRPr="004763D2">
        <w:rPr>
          <w:sz w:val="24"/>
          <w:szCs w:val="24"/>
        </w:rPr>
        <w:t xml:space="preserve"> </w:t>
      </w:r>
      <w:proofErr w:type="spellStart"/>
      <w:r w:rsidRPr="004763D2">
        <w:rPr>
          <w:sz w:val="24"/>
          <w:szCs w:val="24"/>
        </w:rPr>
        <w:t>Oelke</w:t>
      </w:r>
      <w:proofErr w:type="spellEnd"/>
      <w:r w:rsidRPr="004763D2">
        <w:rPr>
          <w:sz w:val="24"/>
          <w:szCs w:val="24"/>
        </w:rPr>
        <w:t xml:space="preserve"> </w:t>
      </w:r>
      <w:r w:rsidR="00DA6FED">
        <w:rPr>
          <w:rStyle w:val="Emphasis"/>
          <w:i w:val="0"/>
          <w:sz w:val="24"/>
          <w:szCs w:val="24"/>
        </w:rPr>
        <w:t>et a</w:t>
      </w:r>
      <w:r w:rsidR="007B1188">
        <w:rPr>
          <w:rStyle w:val="Emphasis"/>
          <w:i w:val="0"/>
          <w:sz w:val="24"/>
          <w:szCs w:val="24"/>
        </w:rPr>
        <w:t>l</w:t>
      </w:r>
      <w:r w:rsidRPr="004763D2">
        <w:rPr>
          <w:sz w:val="24"/>
          <w:szCs w:val="24"/>
        </w:rPr>
        <w:t xml:space="preserve"> </w:t>
      </w:r>
      <w:r w:rsidR="00DA6FED">
        <w:rPr>
          <w:sz w:val="24"/>
          <w:szCs w:val="24"/>
        </w:rPr>
        <w:t>[18]</w:t>
      </w:r>
      <w:r w:rsidRPr="004763D2">
        <w:rPr>
          <w:sz w:val="24"/>
          <w:szCs w:val="24"/>
          <w:vertAlign w:val="superscript"/>
        </w:rPr>
        <w:t xml:space="preserve"> </w:t>
      </w:r>
      <w:r w:rsidRPr="004763D2">
        <w:rPr>
          <w:sz w:val="24"/>
          <w:szCs w:val="24"/>
        </w:rPr>
        <w:t xml:space="preserve">and Kessler </w:t>
      </w:r>
      <w:r w:rsidRPr="00DA6FED">
        <w:rPr>
          <w:rStyle w:val="Emphasis"/>
          <w:i w:val="0"/>
          <w:sz w:val="24"/>
          <w:szCs w:val="24"/>
        </w:rPr>
        <w:t>et al</w:t>
      </w:r>
      <w:r w:rsidR="007B1188">
        <w:rPr>
          <w:rStyle w:val="Emphasis"/>
          <w:i w:val="0"/>
          <w:sz w:val="24"/>
          <w:szCs w:val="24"/>
        </w:rPr>
        <w:t xml:space="preserve"> </w:t>
      </w:r>
      <w:r w:rsidR="00DA6FED">
        <w:rPr>
          <w:rStyle w:val="Emphasis"/>
          <w:i w:val="0"/>
          <w:sz w:val="24"/>
          <w:szCs w:val="24"/>
        </w:rPr>
        <w:t>[19]</w:t>
      </w:r>
      <w:r w:rsidRPr="004763D2">
        <w:rPr>
          <w:sz w:val="24"/>
          <w:szCs w:val="24"/>
          <w:vertAlign w:val="superscript"/>
        </w:rPr>
        <w:t xml:space="preserve">   </w:t>
      </w:r>
      <w:r w:rsidRPr="004763D2">
        <w:rPr>
          <w:sz w:val="24"/>
          <w:szCs w:val="24"/>
        </w:rPr>
        <w:t>showed AUC varying between 0.88 and 0.93.  The other two indices (PVR and prostate volume) used to diagnose BOO non-invasively were less accurate in detecting BOO</w:t>
      </w:r>
      <w:r w:rsidR="007B1188">
        <w:rPr>
          <w:sz w:val="24"/>
          <w:szCs w:val="24"/>
        </w:rPr>
        <w:t>,</w:t>
      </w:r>
      <w:r w:rsidRPr="004763D2">
        <w:rPr>
          <w:sz w:val="24"/>
          <w:szCs w:val="24"/>
        </w:rPr>
        <w:t xml:space="preserve"> and this is </w:t>
      </w:r>
      <w:r w:rsidR="007B1188">
        <w:rPr>
          <w:sz w:val="24"/>
          <w:szCs w:val="24"/>
        </w:rPr>
        <w:t>in keeping</w:t>
      </w:r>
      <w:r w:rsidRPr="004763D2">
        <w:rPr>
          <w:sz w:val="24"/>
          <w:szCs w:val="24"/>
        </w:rPr>
        <w:t xml:space="preserve"> with the </w:t>
      </w:r>
      <w:r w:rsidR="008F16D2">
        <w:rPr>
          <w:sz w:val="24"/>
          <w:szCs w:val="24"/>
        </w:rPr>
        <w:t>findings by</w:t>
      </w:r>
      <w:r w:rsidRPr="004763D2">
        <w:rPr>
          <w:sz w:val="24"/>
          <w:szCs w:val="24"/>
        </w:rPr>
        <w:t xml:space="preserve"> </w:t>
      </w:r>
      <w:proofErr w:type="spellStart"/>
      <w:r w:rsidRPr="004763D2">
        <w:rPr>
          <w:sz w:val="24"/>
          <w:szCs w:val="24"/>
        </w:rPr>
        <w:t>Oelke</w:t>
      </w:r>
      <w:proofErr w:type="spellEnd"/>
      <w:r w:rsidRPr="004763D2">
        <w:rPr>
          <w:sz w:val="24"/>
          <w:szCs w:val="24"/>
        </w:rPr>
        <w:t xml:space="preserve"> </w:t>
      </w:r>
      <w:r w:rsidRPr="00DA6FED">
        <w:rPr>
          <w:rStyle w:val="Emphasis"/>
          <w:i w:val="0"/>
          <w:sz w:val="24"/>
          <w:szCs w:val="24"/>
        </w:rPr>
        <w:t>et al</w:t>
      </w:r>
      <w:r w:rsidRPr="004763D2">
        <w:rPr>
          <w:sz w:val="24"/>
          <w:szCs w:val="24"/>
        </w:rPr>
        <w:t xml:space="preserve"> </w:t>
      </w:r>
      <w:r w:rsidR="00DA6FED">
        <w:rPr>
          <w:sz w:val="24"/>
          <w:szCs w:val="24"/>
        </w:rPr>
        <w:t>[18]</w:t>
      </w:r>
      <w:r w:rsidRPr="004763D2">
        <w:rPr>
          <w:sz w:val="24"/>
          <w:szCs w:val="24"/>
        </w:rPr>
        <w:t xml:space="preserve"> and Kessler </w:t>
      </w:r>
      <w:r w:rsidRPr="00DA6FED">
        <w:rPr>
          <w:rStyle w:val="Emphasis"/>
          <w:i w:val="0"/>
          <w:sz w:val="24"/>
          <w:szCs w:val="24"/>
        </w:rPr>
        <w:t>et al</w:t>
      </w:r>
      <w:r w:rsidRPr="004763D2">
        <w:rPr>
          <w:sz w:val="24"/>
          <w:szCs w:val="24"/>
        </w:rPr>
        <w:t xml:space="preserve"> [</w:t>
      </w:r>
      <w:r w:rsidR="007B1188">
        <w:rPr>
          <w:sz w:val="24"/>
          <w:szCs w:val="24"/>
        </w:rPr>
        <w:t>19]</w:t>
      </w:r>
      <w:r w:rsidRPr="004763D2">
        <w:rPr>
          <w:sz w:val="24"/>
          <w:szCs w:val="24"/>
        </w:rPr>
        <w:t>, who obtained less accurate results as well.</w:t>
      </w:r>
    </w:p>
    <w:p w14:paraId="75655B8A" w14:textId="77777777" w:rsidR="00553BE3" w:rsidRPr="00553BE3" w:rsidRDefault="00553BE3" w:rsidP="004415AC">
      <w:pPr>
        <w:pStyle w:val="NoSpacing"/>
        <w:tabs>
          <w:tab w:val="left" w:pos="5954"/>
        </w:tabs>
        <w:spacing w:line="480" w:lineRule="auto"/>
        <w:jc w:val="both"/>
        <w:rPr>
          <w:sz w:val="24"/>
          <w:szCs w:val="24"/>
          <w:u w:val="single"/>
        </w:rPr>
      </w:pPr>
      <w:r w:rsidRPr="00553BE3">
        <w:rPr>
          <w:sz w:val="24"/>
          <w:szCs w:val="24"/>
          <w:u w:val="single"/>
        </w:rPr>
        <w:t>Post-void residual volume</w:t>
      </w:r>
    </w:p>
    <w:p w14:paraId="4C75AEF3" w14:textId="77777777" w:rsidR="00592251" w:rsidRPr="00924686" w:rsidRDefault="00D46BD0" w:rsidP="004415AC">
      <w:pPr>
        <w:pStyle w:val="NoSpacing"/>
        <w:tabs>
          <w:tab w:val="left" w:pos="5954"/>
        </w:tabs>
        <w:spacing w:line="480" w:lineRule="auto"/>
        <w:jc w:val="both"/>
        <w:rPr>
          <w:sz w:val="24"/>
          <w:szCs w:val="24"/>
        </w:rPr>
      </w:pPr>
      <w:r>
        <w:rPr>
          <w:sz w:val="24"/>
          <w:szCs w:val="24"/>
        </w:rPr>
        <w:t>The present study showed that</w:t>
      </w:r>
      <w:r w:rsidR="00B52CB8" w:rsidRPr="004763D2">
        <w:rPr>
          <w:sz w:val="24"/>
          <w:szCs w:val="24"/>
        </w:rPr>
        <w:t xml:space="preserve"> po</w:t>
      </w:r>
      <w:r>
        <w:rPr>
          <w:sz w:val="24"/>
          <w:szCs w:val="24"/>
        </w:rPr>
        <w:t>st-void urine had</w:t>
      </w:r>
      <w:r w:rsidR="00B52CB8" w:rsidRPr="004763D2">
        <w:rPr>
          <w:sz w:val="24"/>
          <w:szCs w:val="24"/>
        </w:rPr>
        <w:t xml:space="preserve"> the highest sensitivity (68%) of the three indices but had the lowest specificity (42%). The low specificity may be because of the varying causes of </w:t>
      </w:r>
      <w:r w:rsidR="00553BE3">
        <w:rPr>
          <w:sz w:val="24"/>
          <w:szCs w:val="24"/>
        </w:rPr>
        <w:t xml:space="preserve">an </w:t>
      </w:r>
      <w:r w:rsidR="00B52CB8" w:rsidRPr="004763D2">
        <w:rPr>
          <w:sz w:val="24"/>
          <w:szCs w:val="24"/>
        </w:rPr>
        <w:t>increase in PVR</w:t>
      </w:r>
      <w:r w:rsidR="00553BE3">
        <w:rPr>
          <w:sz w:val="24"/>
          <w:szCs w:val="24"/>
        </w:rPr>
        <w:t>,</w:t>
      </w:r>
      <w:r w:rsidR="00B52CB8" w:rsidRPr="004763D2">
        <w:rPr>
          <w:sz w:val="24"/>
          <w:szCs w:val="24"/>
        </w:rPr>
        <w:t xml:space="preserve"> s</w:t>
      </w:r>
      <w:r w:rsidR="00553BE3">
        <w:rPr>
          <w:sz w:val="24"/>
          <w:szCs w:val="24"/>
        </w:rPr>
        <w:t>uch as BOO, detrusor under-/over-activity,</w:t>
      </w:r>
      <w:r w:rsidR="00B52CB8" w:rsidRPr="004763D2">
        <w:rPr>
          <w:sz w:val="24"/>
          <w:szCs w:val="24"/>
        </w:rPr>
        <w:t xml:space="preserve"> or a combination of the </w:t>
      </w:r>
      <w:proofErr w:type="gramStart"/>
      <w:r w:rsidR="00B52CB8" w:rsidRPr="004763D2">
        <w:rPr>
          <w:sz w:val="24"/>
          <w:szCs w:val="24"/>
        </w:rPr>
        <w:t>two.</w:t>
      </w:r>
      <w:r w:rsidR="00DA6FED">
        <w:rPr>
          <w:sz w:val="24"/>
          <w:szCs w:val="24"/>
        </w:rPr>
        <w:t>[</w:t>
      </w:r>
      <w:proofErr w:type="gramEnd"/>
      <w:r w:rsidR="00DA6FED">
        <w:rPr>
          <w:sz w:val="24"/>
          <w:szCs w:val="24"/>
        </w:rPr>
        <w:t>19]</w:t>
      </w:r>
      <w:r w:rsidR="00B52CB8" w:rsidRPr="004763D2">
        <w:rPr>
          <w:sz w:val="24"/>
          <w:szCs w:val="24"/>
        </w:rPr>
        <w:t xml:space="preserve"> </w:t>
      </w:r>
      <w:r w:rsidR="00B52CB8" w:rsidRPr="004763D2">
        <w:rPr>
          <w:sz w:val="24"/>
          <w:szCs w:val="24"/>
          <w:vertAlign w:val="superscript"/>
        </w:rPr>
        <w:t xml:space="preserve"> </w:t>
      </w:r>
      <w:r w:rsidR="00B52CB8" w:rsidRPr="004763D2">
        <w:rPr>
          <w:sz w:val="24"/>
          <w:szCs w:val="24"/>
        </w:rPr>
        <w:t xml:space="preserve">There was also a significant association between IPSS score and PVR, which is in keeping with that reported by </w:t>
      </w:r>
      <w:proofErr w:type="spellStart"/>
      <w:r w:rsidR="00B52CB8" w:rsidRPr="004763D2">
        <w:rPr>
          <w:sz w:val="24"/>
          <w:szCs w:val="24"/>
        </w:rPr>
        <w:t>Oelke</w:t>
      </w:r>
      <w:proofErr w:type="spellEnd"/>
      <w:r w:rsidR="00B52CB8" w:rsidRPr="004763D2">
        <w:rPr>
          <w:sz w:val="24"/>
          <w:szCs w:val="24"/>
        </w:rPr>
        <w:t xml:space="preserve"> </w:t>
      </w:r>
      <w:r w:rsidR="00B52CB8" w:rsidRPr="00DA6FED">
        <w:rPr>
          <w:rStyle w:val="Emphasis"/>
          <w:i w:val="0"/>
          <w:sz w:val="24"/>
          <w:szCs w:val="24"/>
        </w:rPr>
        <w:t>et al</w:t>
      </w:r>
      <w:r w:rsidR="00553BE3">
        <w:rPr>
          <w:rStyle w:val="Emphasis"/>
          <w:i w:val="0"/>
          <w:sz w:val="24"/>
          <w:szCs w:val="24"/>
        </w:rPr>
        <w:t xml:space="preserve"> </w:t>
      </w:r>
      <w:r w:rsidR="00DA6FED">
        <w:rPr>
          <w:rStyle w:val="Emphasis"/>
          <w:i w:val="0"/>
          <w:sz w:val="24"/>
          <w:szCs w:val="24"/>
        </w:rPr>
        <w:t>[5]</w:t>
      </w:r>
      <w:r w:rsidR="00DA6FED">
        <w:rPr>
          <w:sz w:val="24"/>
          <w:szCs w:val="24"/>
        </w:rPr>
        <w:t>.   Levin et al [20] and Anderson et al [21]</w:t>
      </w:r>
      <w:r w:rsidR="004D1D6E">
        <w:rPr>
          <w:sz w:val="24"/>
          <w:szCs w:val="24"/>
        </w:rPr>
        <w:t xml:space="preserve"> </w:t>
      </w:r>
      <w:r w:rsidR="00B52CB8" w:rsidRPr="004763D2">
        <w:rPr>
          <w:sz w:val="24"/>
          <w:szCs w:val="24"/>
        </w:rPr>
        <w:t xml:space="preserve">have shown that </w:t>
      </w:r>
      <w:r w:rsidR="00B52CB8" w:rsidRPr="004763D2">
        <w:rPr>
          <w:sz w:val="24"/>
          <w:szCs w:val="24"/>
        </w:rPr>
        <w:lastRenderedPageBreak/>
        <w:t>PVR can detect voiding dysfunction without indicating BOO</w:t>
      </w:r>
      <w:r w:rsidR="004D1D6E">
        <w:rPr>
          <w:sz w:val="24"/>
          <w:szCs w:val="24"/>
        </w:rPr>
        <w:t>.</w:t>
      </w:r>
      <w:r w:rsidR="004D1D6E">
        <w:rPr>
          <w:sz w:val="24"/>
          <w:szCs w:val="24"/>
          <w:vertAlign w:val="superscript"/>
        </w:rPr>
        <w:t xml:space="preserve"> </w:t>
      </w:r>
      <w:r w:rsidR="00B52CB8" w:rsidRPr="004763D2">
        <w:rPr>
          <w:i/>
          <w:sz w:val="24"/>
          <w:szCs w:val="24"/>
        </w:rPr>
        <w:t xml:space="preserve"> </w:t>
      </w:r>
      <w:r w:rsidR="00B52CB8" w:rsidRPr="004763D2">
        <w:rPr>
          <w:sz w:val="24"/>
          <w:szCs w:val="24"/>
        </w:rPr>
        <w:t>High residual urine indicates an abnormality of bladder function rather than the result of urethral obstruction</w:t>
      </w:r>
      <w:r w:rsidR="008E2EE0">
        <w:rPr>
          <w:sz w:val="24"/>
          <w:szCs w:val="24"/>
          <w:vertAlign w:val="superscript"/>
        </w:rPr>
        <w:t xml:space="preserve"> </w:t>
      </w:r>
      <w:r w:rsidR="004D1D6E">
        <w:rPr>
          <w:sz w:val="24"/>
          <w:szCs w:val="24"/>
        </w:rPr>
        <w:t>[11, 19,</w:t>
      </w:r>
      <w:r w:rsidR="00553BE3">
        <w:rPr>
          <w:sz w:val="24"/>
          <w:szCs w:val="24"/>
        </w:rPr>
        <w:t xml:space="preserve"> </w:t>
      </w:r>
      <w:r w:rsidR="004D1D6E">
        <w:rPr>
          <w:sz w:val="24"/>
          <w:szCs w:val="24"/>
        </w:rPr>
        <w:t>20].</w:t>
      </w:r>
      <w:r w:rsidR="00553BE3">
        <w:rPr>
          <w:sz w:val="24"/>
          <w:szCs w:val="24"/>
        </w:rPr>
        <w:t xml:space="preserve"> </w:t>
      </w:r>
      <w:r w:rsidR="00553BE3" w:rsidRPr="004763D2">
        <w:rPr>
          <w:sz w:val="24"/>
          <w:szCs w:val="24"/>
        </w:rPr>
        <w:t>Due to impaired contractility, the decompensated bladder can no longer empty, and the residual urine volume is increased, resulting in urinary tract infections, bladder stones, acute and chronic retention, and renal failure</w:t>
      </w:r>
      <w:r w:rsidR="00553BE3">
        <w:rPr>
          <w:sz w:val="24"/>
          <w:szCs w:val="24"/>
          <w:vertAlign w:val="superscript"/>
        </w:rPr>
        <w:t xml:space="preserve"> </w:t>
      </w:r>
      <w:r w:rsidR="00553BE3">
        <w:rPr>
          <w:sz w:val="24"/>
          <w:szCs w:val="24"/>
        </w:rPr>
        <w:t>[20, 21].</w:t>
      </w:r>
    </w:p>
    <w:p w14:paraId="59C576D1" w14:textId="77777777" w:rsidR="001D05FF" w:rsidRPr="001D05FF" w:rsidRDefault="001D05FF" w:rsidP="004415AC">
      <w:pPr>
        <w:pStyle w:val="NoSpacing"/>
        <w:tabs>
          <w:tab w:val="left" w:pos="5954"/>
        </w:tabs>
        <w:spacing w:line="480" w:lineRule="auto"/>
        <w:jc w:val="both"/>
        <w:rPr>
          <w:sz w:val="24"/>
          <w:szCs w:val="24"/>
          <w:u w:val="single"/>
        </w:rPr>
      </w:pPr>
      <w:r w:rsidRPr="001D05FF">
        <w:rPr>
          <w:sz w:val="24"/>
          <w:szCs w:val="24"/>
          <w:u w:val="single"/>
        </w:rPr>
        <w:t>IPPS</w:t>
      </w:r>
    </w:p>
    <w:p w14:paraId="076C2844" w14:textId="77777777" w:rsidR="00D46BD0" w:rsidRDefault="001D05FF" w:rsidP="004415AC">
      <w:pPr>
        <w:pStyle w:val="NoSpacing"/>
        <w:tabs>
          <w:tab w:val="left" w:pos="5954"/>
        </w:tabs>
        <w:spacing w:line="480" w:lineRule="auto"/>
        <w:jc w:val="both"/>
        <w:rPr>
          <w:sz w:val="24"/>
          <w:szCs w:val="24"/>
          <w:vertAlign w:val="superscript"/>
        </w:rPr>
      </w:pPr>
      <w:r>
        <w:rPr>
          <w:sz w:val="24"/>
          <w:szCs w:val="24"/>
        </w:rPr>
        <w:t>Our study showed a mean IPPS of 10.35</w:t>
      </w:r>
      <w:r w:rsidR="00553BE3">
        <w:rPr>
          <w:sz w:val="24"/>
          <w:szCs w:val="24"/>
        </w:rPr>
        <w:t>,</w:t>
      </w:r>
      <w:r>
        <w:rPr>
          <w:sz w:val="24"/>
          <w:szCs w:val="24"/>
        </w:rPr>
        <w:t xml:space="preserve"> which </w:t>
      </w:r>
      <w:r w:rsidR="00553BE3">
        <w:rPr>
          <w:sz w:val="24"/>
          <w:szCs w:val="24"/>
        </w:rPr>
        <w:t xml:space="preserve">is </w:t>
      </w:r>
      <w:r>
        <w:rPr>
          <w:sz w:val="24"/>
          <w:szCs w:val="24"/>
        </w:rPr>
        <w:t>similar to that reported by Bhattarai et al [</w:t>
      </w:r>
      <w:r w:rsidR="00553BE3">
        <w:rPr>
          <w:sz w:val="24"/>
          <w:szCs w:val="24"/>
        </w:rPr>
        <w:t xml:space="preserve">16] </w:t>
      </w:r>
      <w:r>
        <w:rPr>
          <w:sz w:val="24"/>
          <w:szCs w:val="24"/>
        </w:rPr>
        <w:t xml:space="preserve">and contrary to that demonstrated by </w:t>
      </w:r>
      <w:proofErr w:type="spellStart"/>
      <w:r>
        <w:rPr>
          <w:sz w:val="24"/>
          <w:szCs w:val="24"/>
        </w:rPr>
        <w:t>Apata</w:t>
      </w:r>
      <w:proofErr w:type="spellEnd"/>
      <w:r>
        <w:rPr>
          <w:sz w:val="24"/>
          <w:szCs w:val="24"/>
        </w:rPr>
        <w:t xml:space="preserve"> et al [</w:t>
      </w:r>
      <w:r w:rsidR="00553BE3">
        <w:rPr>
          <w:sz w:val="24"/>
          <w:szCs w:val="24"/>
        </w:rPr>
        <w:t>15]</w:t>
      </w:r>
      <w:r>
        <w:rPr>
          <w:sz w:val="24"/>
          <w:szCs w:val="24"/>
        </w:rPr>
        <w:t>. This present study showed</w:t>
      </w:r>
      <w:r w:rsidR="00B52CB8" w:rsidRPr="004763D2">
        <w:rPr>
          <w:sz w:val="24"/>
          <w:szCs w:val="24"/>
        </w:rPr>
        <w:t xml:space="preserve"> a significant correlation between IPSS results and BWT, PVR, and prostate vol</w:t>
      </w:r>
      <w:r w:rsidR="004415AC">
        <w:rPr>
          <w:sz w:val="24"/>
          <w:szCs w:val="24"/>
        </w:rPr>
        <w:t xml:space="preserve">ume.  </w:t>
      </w:r>
      <w:r>
        <w:rPr>
          <w:sz w:val="24"/>
          <w:szCs w:val="24"/>
        </w:rPr>
        <w:t xml:space="preserve">This is contrary to that reported by </w:t>
      </w:r>
      <w:proofErr w:type="spellStart"/>
      <w:r>
        <w:rPr>
          <w:sz w:val="24"/>
          <w:szCs w:val="24"/>
        </w:rPr>
        <w:t>Apata</w:t>
      </w:r>
      <w:proofErr w:type="spellEnd"/>
      <w:r>
        <w:rPr>
          <w:sz w:val="24"/>
          <w:szCs w:val="24"/>
        </w:rPr>
        <w:t xml:space="preserve"> et al [</w:t>
      </w:r>
      <w:r w:rsidR="00553BE3">
        <w:rPr>
          <w:sz w:val="24"/>
          <w:szCs w:val="24"/>
        </w:rPr>
        <w:t>15]</w:t>
      </w:r>
      <w:r>
        <w:rPr>
          <w:sz w:val="24"/>
          <w:szCs w:val="24"/>
        </w:rPr>
        <w:t xml:space="preserve"> and Yilmaz et al [</w:t>
      </w:r>
      <w:r w:rsidR="00553BE3">
        <w:rPr>
          <w:sz w:val="24"/>
          <w:szCs w:val="24"/>
        </w:rPr>
        <w:t>22],</w:t>
      </w:r>
      <w:r>
        <w:rPr>
          <w:sz w:val="24"/>
          <w:szCs w:val="24"/>
        </w:rPr>
        <w:t xml:space="preserve"> who demonstrated </w:t>
      </w:r>
      <w:r w:rsidR="00553BE3">
        <w:rPr>
          <w:sz w:val="24"/>
          <w:szCs w:val="24"/>
        </w:rPr>
        <w:t xml:space="preserve">a </w:t>
      </w:r>
      <w:r>
        <w:rPr>
          <w:sz w:val="24"/>
          <w:szCs w:val="24"/>
        </w:rPr>
        <w:t xml:space="preserve">weak correlation between the </w:t>
      </w:r>
      <w:proofErr w:type="spellStart"/>
      <w:r>
        <w:rPr>
          <w:sz w:val="24"/>
          <w:szCs w:val="24"/>
        </w:rPr>
        <w:t>parametres</w:t>
      </w:r>
      <w:proofErr w:type="spellEnd"/>
      <w:r>
        <w:rPr>
          <w:sz w:val="24"/>
          <w:szCs w:val="24"/>
        </w:rPr>
        <w:t xml:space="preserve"> and IPPS. </w:t>
      </w:r>
      <w:r w:rsidR="004415AC">
        <w:rPr>
          <w:sz w:val="24"/>
          <w:szCs w:val="24"/>
        </w:rPr>
        <w:t>Post-void urine s</w:t>
      </w:r>
      <w:r>
        <w:rPr>
          <w:sz w:val="24"/>
          <w:szCs w:val="24"/>
        </w:rPr>
        <w:t>howed the</w:t>
      </w:r>
      <w:r w:rsidR="004415AC">
        <w:rPr>
          <w:sz w:val="24"/>
          <w:szCs w:val="24"/>
        </w:rPr>
        <w:t xml:space="preserve"> strong</w:t>
      </w:r>
      <w:r>
        <w:rPr>
          <w:sz w:val="24"/>
          <w:szCs w:val="24"/>
        </w:rPr>
        <w:t>est</w:t>
      </w:r>
      <w:r w:rsidR="004415AC">
        <w:rPr>
          <w:sz w:val="24"/>
          <w:szCs w:val="24"/>
        </w:rPr>
        <w:t xml:space="preserve"> associa</w:t>
      </w:r>
      <w:r>
        <w:rPr>
          <w:sz w:val="24"/>
          <w:szCs w:val="24"/>
        </w:rPr>
        <w:t>tion with</w:t>
      </w:r>
      <w:r w:rsidR="00D46BD0">
        <w:rPr>
          <w:sz w:val="24"/>
          <w:szCs w:val="24"/>
        </w:rPr>
        <w:t xml:space="preserve"> 0.000</w:t>
      </w:r>
      <w:r w:rsidR="00553BE3">
        <w:rPr>
          <w:sz w:val="24"/>
          <w:szCs w:val="24"/>
        </w:rPr>
        <w:t>,</w:t>
      </w:r>
      <w:r w:rsidR="00D46BD0">
        <w:rPr>
          <w:sz w:val="24"/>
          <w:szCs w:val="24"/>
        </w:rPr>
        <w:t xml:space="preserve"> </w:t>
      </w:r>
      <w:r w:rsidR="004415AC">
        <w:rPr>
          <w:sz w:val="24"/>
          <w:szCs w:val="24"/>
        </w:rPr>
        <w:t>which was comparable to that</w:t>
      </w:r>
      <w:r w:rsidR="00B52CB8" w:rsidRPr="004763D2">
        <w:rPr>
          <w:sz w:val="24"/>
          <w:szCs w:val="24"/>
        </w:rPr>
        <w:t xml:space="preserve"> reported by </w:t>
      </w:r>
      <w:proofErr w:type="spellStart"/>
      <w:r w:rsidR="00B52CB8" w:rsidRPr="004763D2">
        <w:rPr>
          <w:sz w:val="24"/>
          <w:szCs w:val="24"/>
        </w:rPr>
        <w:t>Ozlem</w:t>
      </w:r>
      <w:proofErr w:type="spellEnd"/>
      <w:r w:rsidR="00B52CB8" w:rsidRPr="004763D2">
        <w:rPr>
          <w:sz w:val="24"/>
          <w:szCs w:val="24"/>
        </w:rPr>
        <w:t xml:space="preserve"> </w:t>
      </w:r>
      <w:r w:rsidR="00B52CB8" w:rsidRPr="004763D2">
        <w:rPr>
          <w:rStyle w:val="Emphasis"/>
          <w:i w:val="0"/>
          <w:sz w:val="24"/>
          <w:szCs w:val="24"/>
        </w:rPr>
        <w:t>et</w:t>
      </w:r>
      <w:r w:rsidR="00B52CB8" w:rsidRPr="004763D2">
        <w:rPr>
          <w:rStyle w:val="Emphasis"/>
          <w:sz w:val="24"/>
          <w:szCs w:val="24"/>
        </w:rPr>
        <w:t xml:space="preserve"> </w:t>
      </w:r>
      <w:r w:rsidR="00B52CB8" w:rsidRPr="004763D2">
        <w:rPr>
          <w:rStyle w:val="Emphasis"/>
          <w:i w:val="0"/>
          <w:sz w:val="24"/>
          <w:szCs w:val="24"/>
        </w:rPr>
        <w:t>al</w:t>
      </w:r>
      <w:r w:rsidR="004D1D6E">
        <w:rPr>
          <w:sz w:val="24"/>
          <w:szCs w:val="24"/>
          <w:vertAlign w:val="superscript"/>
        </w:rPr>
        <w:t xml:space="preserve"> </w:t>
      </w:r>
      <w:r w:rsidR="004D1D6E">
        <w:rPr>
          <w:sz w:val="24"/>
          <w:szCs w:val="24"/>
        </w:rPr>
        <w:t>[9].</w:t>
      </w:r>
      <w:r w:rsidR="00B52CB8" w:rsidRPr="004763D2">
        <w:rPr>
          <w:sz w:val="24"/>
          <w:szCs w:val="24"/>
          <w:vertAlign w:val="superscript"/>
        </w:rPr>
        <w:t xml:space="preserve">  </w:t>
      </w:r>
    </w:p>
    <w:p w14:paraId="5B51613D" w14:textId="77777777" w:rsidR="00D46BD0" w:rsidRPr="001D05FF" w:rsidRDefault="00D46BD0" w:rsidP="004415AC">
      <w:pPr>
        <w:pStyle w:val="NoSpacing"/>
        <w:tabs>
          <w:tab w:val="left" w:pos="5954"/>
        </w:tabs>
        <w:spacing w:line="480" w:lineRule="auto"/>
        <w:jc w:val="both"/>
        <w:rPr>
          <w:sz w:val="24"/>
          <w:szCs w:val="24"/>
          <w:u w:val="single"/>
        </w:rPr>
      </w:pPr>
      <w:r w:rsidRPr="001D05FF">
        <w:rPr>
          <w:sz w:val="24"/>
          <w:szCs w:val="24"/>
          <w:u w:val="single"/>
        </w:rPr>
        <w:t>Prostate volume</w:t>
      </w:r>
    </w:p>
    <w:p w14:paraId="5C0C4543" w14:textId="77777777" w:rsidR="00105DAC" w:rsidRPr="004763D2" w:rsidRDefault="00D46BD0" w:rsidP="004415AC">
      <w:pPr>
        <w:pStyle w:val="NoSpacing"/>
        <w:tabs>
          <w:tab w:val="left" w:pos="5954"/>
        </w:tabs>
        <w:spacing w:line="480" w:lineRule="auto"/>
        <w:jc w:val="both"/>
        <w:rPr>
          <w:sz w:val="24"/>
          <w:szCs w:val="24"/>
          <w:vertAlign w:val="superscript"/>
        </w:rPr>
      </w:pPr>
      <w:r>
        <w:rPr>
          <w:sz w:val="24"/>
          <w:szCs w:val="24"/>
        </w:rPr>
        <w:t>The mean prostate volume in our study was 75.2cm</w:t>
      </w:r>
      <w:r>
        <w:rPr>
          <w:sz w:val="24"/>
          <w:szCs w:val="24"/>
          <w:vertAlign w:val="superscript"/>
        </w:rPr>
        <w:t>3</w:t>
      </w:r>
      <w:r w:rsidR="004D1D6E">
        <w:rPr>
          <w:sz w:val="24"/>
          <w:szCs w:val="24"/>
          <w:vertAlign w:val="superscript"/>
        </w:rPr>
        <w:t>,</w:t>
      </w:r>
      <w:r>
        <w:rPr>
          <w:sz w:val="24"/>
          <w:szCs w:val="24"/>
          <w:vertAlign w:val="superscript"/>
        </w:rPr>
        <w:t xml:space="preserve"> </w:t>
      </w:r>
      <w:r>
        <w:rPr>
          <w:sz w:val="24"/>
          <w:szCs w:val="24"/>
        </w:rPr>
        <w:t>which is comparable to th</w:t>
      </w:r>
      <w:r w:rsidR="001D05FF">
        <w:rPr>
          <w:sz w:val="24"/>
          <w:szCs w:val="24"/>
        </w:rPr>
        <w:t xml:space="preserve">at reported by </w:t>
      </w:r>
      <w:proofErr w:type="spellStart"/>
      <w:r w:rsidR="001D05FF">
        <w:rPr>
          <w:sz w:val="24"/>
          <w:szCs w:val="24"/>
        </w:rPr>
        <w:t>Apata</w:t>
      </w:r>
      <w:proofErr w:type="spellEnd"/>
      <w:r w:rsidR="001D05FF">
        <w:rPr>
          <w:sz w:val="24"/>
          <w:szCs w:val="24"/>
        </w:rPr>
        <w:t xml:space="preserve"> et al [</w:t>
      </w:r>
      <w:r w:rsidR="00553BE3">
        <w:rPr>
          <w:sz w:val="24"/>
          <w:szCs w:val="24"/>
        </w:rPr>
        <w:t>15]</w:t>
      </w:r>
      <w:r w:rsidR="001D05FF">
        <w:rPr>
          <w:sz w:val="24"/>
          <w:szCs w:val="24"/>
        </w:rPr>
        <w:t xml:space="preserve"> and lower than that demonstrat</w:t>
      </w:r>
      <w:r w:rsidR="00B92666">
        <w:rPr>
          <w:sz w:val="24"/>
          <w:szCs w:val="24"/>
        </w:rPr>
        <w:t xml:space="preserve">ed by </w:t>
      </w:r>
      <w:proofErr w:type="spellStart"/>
      <w:r w:rsidR="00B92666">
        <w:rPr>
          <w:sz w:val="24"/>
          <w:szCs w:val="24"/>
        </w:rPr>
        <w:t>Ahuizechukwu</w:t>
      </w:r>
      <w:proofErr w:type="spellEnd"/>
      <w:r w:rsidR="00B92666">
        <w:rPr>
          <w:sz w:val="24"/>
          <w:szCs w:val="24"/>
        </w:rPr>
        <w:t xml:space="preserve"> et al [</w:t>
      </w:r>
      <w:r w:rsidR="00553BE3">
        <w:rPr>
          <w:sz w:val="24"/>
          <w:szCs w:val="24"/>
        </w:rPr>
        <w:t>14]</w:t>
      </w:r>
      <w:r w:rsidR="00B92666">
        <w:rPr>
          <w:sz w:val="24"/>
          <w:szCs w:val="24"/>
        </w:rPr>
        <w:t>. T</w:t>
      </w:r>
      <w:r w:rsidR="001D05FF">
        <w:rPr>
          <w:sz w:val="24"/>
          <w:szCs w:val="24"/>
        </w:rPr>
        <w:t xml:space="preserve">he differences in the mean values may be a result of differences in </w:t>
      </w:r>
      <w:r w:rsidR="00B92666">
        <w:rPr>
          <w:sz w:val="24"/>
          <w:szCs w:val="24"/>
        </w:rPr>
        <w:t>methodology.</w:t>
      </w:r>
      <w:r w:rsidR="00B52CB8" w:rsidRPr="004763D2">
        <w:rPr>
          <w:sz w:val="24"/>
          <w:szCs w:val="24"/>
        </w:rPr>
        <w:t xml:space="preserve">  </w:t>
      </w:r>
    </w:p>
    <w:p w14:paraId="5DCA0EF4" w14:textId="77777777" w:rsidR="00B92666" w:rsidRPr="00B92666" w:rsidRDefault="00B92666" w:rsidP="004415AC">
      <w:pPr>
        <w:pStyle w:val="NoSpacing"/>
        <w:tabs>
          <w:tab w:val="left" w:pos="5954"/>
        </w:tabs>
        <w:spacing w:line="480" w:lineRule="auto"/>
        <w:jc w:val="both"/>
        <w:rPr>
          <w:sz w:val="24"/>
          <w:szCs w:val="24"/>
          <w:u w:val="single"/>
        </w:rPr>
      </w:pPr>
      <w:r w:rsidRPr="00B92666">
        <w:rPr>
          <w:sz w:val="24"/>
          <w:szCs w:val="24"/>
          <w:u w:val="single"/>
        </w:rPr>
        <w:t>Correlation analysis</w:t>
      </w:r>
    </w:p>
    <w:p w14:paraId="2BAC8AE5" w14:textId="77777777" w:rsidR="00105DAC" w:rsidRPr="007B1188" w:rsidRDefault="00B52CB8" w:rsidP="007B1188">
      <w:pPr>
        <w:pStyle w:val="NoSpacing"/>
        <w:tabs>
          <w:tab w:val="left" w:pos="5954"/>
        </w:tabs>
        <w:spacing w:line="480" w:lineRule="auto"/>
        <w:jc w:val="both"/>
        <w:rPr>
          <w:sz w:val="24"/>
          <w:szCs w:val="24"/>
        </w:rPr>
      </w:pPr>
      <w:r w:rsidRPr="004763D2">
        <w:rPr>
          <w:sz w:val="24"/>
          <w:szCs w:val="24"/>
        </w:rPr>
        <w:t xml:space="preserve">The present study noted a correlation coefficient of 0.533, 0.637, and 0.675 for PVR, prostate volume, and BWT. </w:t>
      </w:r>
      <w:proofErr w:type="spellStart"/>
      <w:r w:rsidRPr="004763D2">
        <w:rPr>
          <w:sz w:val="24"/>
          <w:szCs w:val="24"/>
        </w:rPr>
        <w:t>Oelke</w:t>
      </w:r>
      <w:proofErr w:type="spellEnd"/>
      <w:r w:rsidRPr="004763D2">
        <w:rPr>
          <w:i/>
          <w:sz w:val="24"/>
          <w:szCs w:val="24"/>
        </w:rPr>
        <w:t xml:space="preserve"> </w:t>
      </w:r>
      <w:r w:rsidRPr="004763D2">
        <w:rPr>
          <w:rStyle w:val="Emphasis"/>
          <w:i w:val="0"/>
          <w:sz w:val="24"/>
          <w:szCs w:val="24"/>
        </w:rPr>
        <w:t>et al</w:t>
      </w:r>
      <w:r w:rsidR="004D1D6E">
        <w:rPr>
          <w:rStyle w:val="Emphasis"/>
          <w:i w:val="0"/>
          <w:sz w:val="24"/>
          <w:szCs w:val="24"/>
        </w:rPr>
        <w:t xml:space="preserve"> [23]</w:t>
      </w:r>
      <w:r w:rsidRPr="004763D2">
        <w:rPr>
          <w:i/>
          <w:sz w:val="24"/>
          <w:szCs w:val="24"/>
        </w:rPr>
        <w:t xml:space="preserve"> </w:t>
      </w:r>
      <w:r w:rsidRPr="004763D2">
        <w:rPr>
          <w:sz w:val="24"/>
          <w:szCs w:val="24"/>
        </w:rPr>
        <w:t>reported 0.432, 0.463, and 0.623 for PVR, prostate volume, and B</w:t>
      </w:r>
      <w:r w:rsidR="00E95173">
        <w:rPr>
          <w:sz w:val="24"/>
          <w:szCs w:val="24"/>
        </w:rPr>
        <w:t>WT, which is slightly lower</w:t>
      </w:r>
      <w:r w:rsidRPr="004763D2">
        <w:rPr>
          <w:sz w:val="24"/>
          <w:szCs w:val="24"/>
        </w:rPr>
        <w:t>. It is well known that intravesical obstruction is followed by compensatory hypertrophy of the bladder detrusor in men.</w:t>
      </w:r>
      <w:r w:rsidR="004D1D6E">
        <w:rPr>
          <w:sz w:val="24"/>
          <w:szCs w:val="24"/>
        </w:rPr>
        <w:t xml:space="preserve"> </w:t>
      </w:r>
      <w:r w:rsidR="002A2E13">
        <w:rPr>
          <w:sz w:val="24"/>
          <w:szCs w:val="24"/>
        </w:rPr>
        <w:t>M</w:t>
      </w:r>
      <w:r w:rsidRPr="004763D2">
        <w:rPr>
          <w:sz w:val="24"/>
          <w:szCs w:val="24"/>
        </w:rPr>
        <w:t xml:space="preserve">ultivariate logistic regression analysis, BWT was significant in both the mild and moderate IPSS categories with 0.005 and 0.00.  </w:t>
      </w:r>
      <w:r w:rsidRPr="004763D2">
        <w:rPr>
          <w:sz w:val="24"/>
          <w:szCs w:val="24"/>
        </w:rPr>
        <w:lastRenderedPageBreak/>
        <w:t xml:space="preserve">It also noted that the rate of change of BWT in subjects with mild IPSS was positive, while that of subjects with moderate IPSS was negative. This implies that as IPSS increases, BWT will increase for subjects in the mild category. While the rate of change of BWT in subjects with moderate IPSS was negative, it implies that as IPSS increases, BWT </w:t>
      </w:r>
      <w:r w:rsidR="002015E8">
        <w:rPr>
          <w:sz w:val="24"/>
          <w:szCs w:val="24"/>
        </w:rPr>
        <w:t>does not increase exponentially</w:t>
      </w:r>
      <w:r w:rsidR="004D1D6E">
        <w:rPr>
          <w:sz w:val="24"/>
          <w:szCs w:val="24"/>
        </w:rPr>
        <w:t>,</w:t>
      </w:r>
      <w:r w:rsidR="002015E8">
        <w:rPr>
          <w:sz w:val="24"/>
          <w:szCs w:val="24"/>
        </w:rPr>
        <w:t xml:space="preserve"> and it is similar to that reported by</w:t>
      </w:r>
      <w:r w:rsidRPr="004763D2">
        <w:rPr>
          <w:sz w:val="24"/>
          <w:szCs w:val="24"/>
        </w:rPr>
        <w:t xml:space="preserve"> </w:t>
      </w:r>
      <w:proofErr w:type="spellStart"/>
      <w:r w:rsidRPr="004763D2">
        <w:rPr>
          <w:sz w:val="24"/>
          <w:szCs w:val="24"/>
        </w:rPr>
        <w:t>Hakenberg</w:t>
      </w:r>
      <w:proofErr w:type="spellEnd"/>
      <w:r w:rsidRPr="004763D2">
        <w:rPr>
          <w:sz w:val="24"/>
          <w:szCs w:val="24"/>
        </w:rPr>
        <w:t xml:space="preserve"> </w:t>
      </w:r>
      <w:r w:rsidRPr="004763D2">
        <w:rPr>
          <w:rStyle w:val="Emphasis"/>
          <w:i w:val="0"/>
          <w:sz w:val="24"/>
          <w:szCs w:val="24"/>
        </w:rPr>
        <w:t xml:space="preserve">et al </w:t>
      </w:r>
      <w:r w:rsidR="00E95173">
        <w:rPr>
          <w:sz w:val="24"/>
          <w:szCs w:val="24"/>
        </w:rPr>
        <w:t>[24]</w:t>
      </w:r>
      <w:r w:rsidR="002015E8">
        <w:rPr>
          <w:sz w:val="24"/>
          <w:szCs w:val="24"/>
        </w:rPr>
        <w:t>.</w:t>
      </w:r>
      <w:r w:rsidRPr="004763D2">
        <w:rPr>
          <w:sz w:val="24"/>
          <w:szCs w:val="24"/>
          <w:vertAlign w:val="superscript"/>
        </w:rPr>
        <w:t xml:space="preserve"> </w:t>
      </w:r>
    </w:p>
    <w:p w14:paraId="15594E62" w14:textId="77777777" w:rsidR="00105DAC" w:rsidRPr="004763D2" w:rsidRDefault="00E95173" w:rsidP="004763D2">
      <w:pPr>
        <w:pStyle w:val="NoSpacing"/>
        <w:tabs>
          <w:tab w:val="left" w:pos="5954"/>
        </w:tabs>
        <w:spacing w:line="480" w:lineRule="auto"/>
        <w:jc w:val="both"/>
        <w:rPr>
          <w:sz w:val="24"/>
          <w:szCs w:val="24"/>
        </w:rPr>
      </w:pPr>
      <w:r>
        <w:rPr>
          <w:sz w:val="24"/>
          <w:szCs w:val="24"/>
        </w:rPr>
        <w:t xml:space="preserve">Findings in the present study show that </w:t>
      </w:r>
      <w:r w:rsidR="00B605BA" w:rsidRPr="004763D2">
        <w:rPr>
          <w:sz w:val="24"/>
          <w:szCs w:val="24"/>
        </w:rPr>
        <w:t>post-void urine had the highest sensitivity</w:t>
      </w:r>
      <w:r w:rsidR="00553BE3">
        <w:rPr>
          <w:sz w:val="24"/>
          <w:szCs w:val="24"/>
        </w:rPr>
        <w:t>,</w:t>
      </w:r>
      <w:r w:rsidR="00B605BA" w:rsidRPr="004763D2">
        <w:rPr>
          <w:sz w:val="24"/>
          <w:szCs w:val="24"/>
        </w:rPr>
        <w:t xml:space="preserve"> while BWT had the highest specificity in BOO ass</w:t>
      </w:r>
      <w:r w:rsidR="00B605BA">
        <w:rPr>
          <w:sz w:val="24"/>
          <w:szCs w:val="24"/>
        </w:rPr>
        <w:t xml:space="preserve">essment. </w:t>
      </w:r>
      <w:r w:rsidR="00B52CB8" w:rsidRPr="004763D2">
        <w:rPr>
          <w:sz w:val="24"/>
          <w:szCs w:val="24"/>
        </w:rPr>
        <w:t>Ultrasound measurement of BWT, PVR, and prostate vo</w:t>
      </w:r>
      <w:r>
        <w:rPr>
          <w:sz w:val="24"/>
          <w:szCs w:val="24"/>
        </w:rPr>
        <w:t xml:space="preserve">lume measurements are </w:t>
      </w:r>
      <w:r w:rsidR="00B52CB8" w:rsidRPr="004763D2">
        <w:rPr>
          <w:sz w:val="24"/>
          <w:szCs w:val="24"/>
        </w:rPr>
        <w:t xml:space="preserve">non-invasive </w:t>
      </w:r>
      <w:r>
        <w:rPr>
          <w:sz w:val="24"/>
          <w:szCs w:val="24"/>
        </w:rPr>
        <w:t xml:space="preserve">diagnostic </w:t>
      </w:r>
      <w:r w:rsidR="00B52CB8" w:rsidRPr="004763D2">
        <w:rPr>
          <w:sz w:val="24"/>
          <w:szCs w:val="24"/>
        </w:rPr>
        <w:t>tools i</w:t>
      </w:r>
      <w:r w:rsidR="00B605BA">
        <w:rPr>
          <w:sz w:val="24"/>
          <w:szCs w:val="24"/>
        </w:rPr>
        <w:t xml:space="preserve">n the diagnosis of BOO and can </w:t>
      </w:r>
      <w:r w:rsidR="00B52CB8" w:rsidRPr="004763D2">
        <w:rPr>
          <w:sz w:val="24"/>
          <w:szCs w:val="24"/>
        </w:rPr>
        <w:t>be used to assess the progression of</w:t>
      </w:r>
      <w:r w:rsidR="00B605BA">
        <w:rPr>
          <w:sz w:val="24"/>
          <w:szCs w:val="24"/>
        </w:rPr>
        <w:t xml:space="preserve"> symptoms.</w:t>
      </w:r>
      <w:r>
        <w:rPr>
          <w:sz w:val="24"/>
          <w:szCs w:val="24"/>
        </w:rPr>
        <w:t xml:space="preserve"> </w:t>
      </w:r>
      <w:r w:rsidRPr="004763D2">
        <w:rPr>
          <w:sz w:val="24"/>
          <w:szCs w:val="24"/>
        </w:rPr>
        <w:t>Ultrasound could be used to assess the effects of treatment on the progression of bladder wall hypertrophy</w:t>
      </w:r>
      <w:r>
        <w:rPr>
          <w:sz w:val="24"/>
          <w:szCs w:val="24"/>
          <w:vertAlign w:val="superscript"/>
        </w:rPr>
        <w:t xml:space="preserve"> </w:t>
      </w:r>
      <w:r>
        <w:rPr>
          <w:sz w:val="24"/>
          <w:szCs w:val="24"/>
        </w:rPr>
        <w:t>[25].</w:t>
      </w:r>
    </w:p>
    <w:p w14:paraId="1E20BB41" w14:textId="77777777" w:rsidR="00105DAC" w:rsidRPr="00105DAC" w:rsidRDefault="00B52CB8" w:rsidP="004763D2">
      <w:pPr>
        <w:pStyle w:val="NoSpacing"/>
        <w:tabs>
          <w:tab w:val="left" w:pos="5954"/>
        </w:tabs>
        <w:spacing w:line="480" w:lineRule="auto"/>
        <w:jc w:val="both"/>
        <w:rPr>
          <w:b/>
          <w:sz w:val="24"/>
          <w:szCs w:val="24"/>
        </w:rPr>
      </w:pPr>
      <w:r w:rsidRPr="00105DAC">
        <w:rPr>
          <w:b/>
          <w:sz w:val="24"/>
          <w:szCs w:val="24"/>
        </w:rPr>
        <w:t>C</w:t>
      </w:r>
      <w:r w:rsidR="00592251" w:rsidRPr="00105DAC">
        <w:rPr>
          <w:b/>
          <w:sz w:val="24"/>
          <w:szCs w:val="24"/>
        </w:rPr>
        <w:t>ONCLUSION</w:t>
      </w:r>
    </w:p>
    <w:p w14:paraId="68BC622F" w14:textId="77777777" w:rsidR="00B92666" w:rsidRPr="004763D2" w:rsidRDefault="00B52CB8" w:rsidP="00B92666">
      <w:pPr>
        <w:pStyle w:val="NoSpacing"/>
        <w:tabs>
          <w:tab w:val="left" w:pos="5954"/>
        </w:tabs>
        <w:spacing w:line="480" w:lineRule="auto"/>
        <w:jc w:val="both"/>
        <w:rPr>
          <w:sz w:val="24"/>
          <w:szCs w:val="24"/>
        </w:rPr>
      </w:pPr>
      <w:r w:rsidRPr="004763D2">
        <w:rPr>
          <w:sz w:val="24"/>
          <w:szCs w:val="24"/>
        </w:rPr>
        <w:t xml:space="preserve">Bladder wall thickness showed an overall highest accuracy for BOO when compared with prostate volume and </w:t>
      </w:r>
      <w:r w:rsidR="00E95173">
        <w:rPr>
          <w:sz w:val="24"/>
          <w:szCs w:val="24"/>
        </w:rPr>
        <w:t>post-void</w:t>
      </w:r>
      <w:r w:rsidRPr="004763D2">
        <w:rPr>
          <w:sz w:val="24"/>
          <w:szCs w:val="24"/>
        </w:rPr>
        <w:t xml:space="preserve"> residual</w:t>
      </w:r>
      <w:r w:rsidR="004763D2" w:rsidRPr="004763D2">
        <w:rPr>
          <w:sz w:val="24"/>
          <w:szCs w:val="24"/>
        </w:rPr>
        <w:t xml:space="preserve"> urine</w:t>
      </w:r>
      <w:r w:rsidR="00E95173">
        <w:rPr>
          <w:sz w:val="24"/>
          <w:szCs w:val="24"/>
        </w:rPr>
        <w:t>,</w:t>
      </w:r>
      <w:r w:rsidR="004763D2" w:rsidRPr="004763D2">
        <w:rPr>
          <w:sz w:val="24"/>
          <w:szCs w:val="24"/>
        </w:rPr>
        <w:t xml:space="preserve"> and it</w:t>
      </w:r>
      <w:r w:rsidRPr="004763D2">
        <w:rPr>
          <w:sz w:val="24"/>
          <w:szCs w:val="24"/>
        </w:rPr>
        <w:t xml:space="preserve"> can differentiate between moderate and severe grades of BOO.  </w:t>
      </w:r>
      <w:r w:rsidR="004763D2" w:rsidRPr="004763D2">
        <w:rPr>
          <w:sz w:val="24"/>
          <w:szCs w:val="24"/>
        </w:rPr>
        <w:t xml:space="preserve">Even </w:t>
      </w:r>
      <w:r w:rsidRPr="004763D2">
        <w:rPr>
          <w:sz w:val="24"/>
          <w:szCs w:val="24"/>
        </w:rPr>
        <w:t>though prostate volume and PVR could not distinguish betwee</w:t>
      </w:r>
      <w:r w:rsidR="002329ED">
        <w:rPr>
          <w:sz w:val="24"/>
          <w:szCs w:val="24"/>
        </w:rPr>
        <w:t xml:space="preserve">n the grades of BOO, they </w:t>
      </w:r>
      <w:r w:rsidRPr="004763D2">
        <w:rPr>
          <w:sz w:val="24"/>
          <w:szCs w:val="24"/>
        </w:rPr>
        <w:t>assist in its assessment</w:t>
      </w:r>
      <w:r w:rsidRPr="00105DAC">
        <w:rPr>
          <w:sz w:val="28"/>
          <w:szCs w:val="28"/>
        </w:rPr>
        <w:t>.</w:t>
      </w:r>
      <w:r w:rsidR="00B92666" w:rsidRPr="00B92666">
        <w:rPr>
          <w:sz w:val="24"/>
          <w:szCs w:val="24"/>
        </w:rPr>
        <w:t xml:space="preserve"> </w:t>
      </w:r>
      <w:r w:rsidR="00B92666" w:rsidRPr="004763D2">
        <w:rPr>
          <w:sz w:val="24"/>
          <w:szCs w:val="24"/>
        </w:rPr>
        <w:t>The combined use of BWT and PVR may be useful in screening, monitoring symptoms, and post-therapy.</w:t>
      </w:r>
    </w:p>
    <w:p w14:paraId="1E0FA069" w14:textId="77777777" w:rsidR="00E95173" w:rsidRDefault="00B52CB8" w:rsidP="000E42AE">
      <w:pPr>
        <w:pStyle w:val="NoSpacing"/>
        <w:tabs>
          <w:tab w:val="left" w:pos="5954"/>
        </w:tabs>
        <w:spacing w:line="480" w:lineRule="auto"/>
        <w:jc w:val="both"/>
        <w:rPr>
          <w:b/>
          <w:sz w:val="24"/>
          <w:szCs w:val="24"/>
        </w:rPr>
      </w:pPr>
      <w:r>
        <w:rPr>
          <w:sz w:val="24"/>
          <w:szCs w:val="24"/>
        </w:rPr>
        <w:t xml:space="preserve"> </w:t>
      </w:r>
      <w:r w:rsidRPr="004763D2">
        <w:rPr>
          <w:b/>
          <w:sz w:val="24"/>
          <w:szCs w:val="24"/>
        </w:rPr>
        <w:t>R</w:t>
      </w:r>
      <w:r w:rsidR="00592251" w:rsidRPr="004763D2">
        <w:rPr>
          <w:b/>
          <w:sz w:val="24"/>
          <w:szCs w:val="24"/>
        </w:rPr>
        <w:t>ECOMMENDATION</w:t>
      </w:r>
      <w:r w:rsidR="000E42AE">
        <w:rPr>
          <w:b/>
          <w:sz w:val="24"/>
          <w:szCs w:val="24"/>
        </w:rPr>
        <w:t xml:space="preserve">: </w:t>
      </w:r>
    </w:p>
    <w:p w14:paraId="58898EDF" w14:textId="77777777" w:rsidR="004763D2" w:rsidRPr="000E42AE" w:rsidRDefault="00B52CB8" w:rsidP="000E42AE">
      <w:pPr>
        <w:pStyle w:val="NoSpacing"/>
        <w:tabs>
          <w:tab w:val="left" w:pos="5954"/>
        </w:tabs>
        <w:spacing w:line="480" w:lineRule="auto"/>
        <w:jc w:val="both"/>
        <w:rPr>
          <w:sz w:val="28"/>
          <w:szCs w:val="28"/>
        </w:rPr>
      </w:pPr>
      <w:r w:rsidRPr="004763D2">
        <w:rPr>
          <w:sz w:val="24"/>
          <w:szCs w:val="24"/>
        </w:rPr>
        <w:t>Bladder wall thickness and PVR are two parameters that can be useful in screening and diagnosing bladder outlet obstruction. A combination of these two parameters is recommended in assessing the therapeutic response of patients.</w:t>
      </w:r>
    </w:p>
    <w:p w14:paraId="0E474101" w14:textId="77777777" w:rsidR="00230CBC" w:rsidRDefault="00230CBC" w:rsidP="004763D2">
      <w:pPr>
        <w:spacing w:line="480" w:lineRule="auto"/>
        <w:rPr>
          <w:sz w:val="24"/>
          <w:szCs w:val="24"/>
          <w:lang w:val="en-GB"/>
        </w:rPr>
      </w:pPr>
    </w:p>
    <w:p w14:paraId="273F04CE" w14:textId="77777777" w:rsidR="00230CBC" w:rsidRDefault="00230CBC" w:rsidP="004763D2">
      <w:pPr>
        <w:spacing w:line="480" w:lineRule="auto"/>
        <w:rPr>
          <w:b/>
          <w:sz w:val="24"/>
          <w:szCs w:val="24"/>
          <w:lang w:val="en-GB"/>
        </w:rPr>
      </w:pPr>
    </w:p>
    <w:p w14:paraId="69625C71" w14:textId="5E957890" w:rsidR="00B92666" w:rsidRDefault="00B92666" w:rsidP="004763D2">
      <w:pPr>
        <w:spacing w:line="480" w:lineRule="auto"/>
        <w:rPr>
          <w:b/>
          <w:sz w:val="24"/>
          <w:szCs w:val="24"/>
          <w:lang w:val="en-GB"/>
        </w:rPr>
      </w:pPr>
      <w:r w:rsidRPr="00B92666">
        <w:rPr>
          <w:b/>
          <w:sz w:val="24"/>
          <w:szCs w:val="24"/>
          <w:lang w:val="en-GB"/>
        </w:rPr>
        <w:lastRenderedPageBreak/>
        <w:t>REFERENCES</w:t>
      </w:r>
    </w:p>
    <w:p w14:paraId="7D8158DA" w14:textId="77777777" w:rsidR="000E42AE" w:rsidRPr="000E42AE" w:rsidRDefault="001B7E72" w:rsidP="000E42AE">
      <w:pPr>
        <w:pStyle w:val="NoSpacing"/>
        <w:numPr>
          <w:ilvl w:val="0"/>
          <w:numId w:val="4"/>
        </w:numPr>
        <w:spacing w:line="360" w:lineRule="auto"/>
        <w:jc w:val="both"/>
        <w:rPr>
          <w:rFonts w:cs="Tahoma"/>
          <w:sz w:val="24"/>
          <w:szCs w:val="24"/>
        </w:rPr>
      </w:pPr>
      <w:r>
        <w:rPr>
          <w:rFonts w:cs="Tahoma"/>
          <w:sz w:val="24"/>
          <w:szCs w:val="24"/>
        </w:rPr>
        <w:t>Le</w:t>
      </w:r>
      <w:r w:rsidR="000E42AE" w:rsidRPr="000E42AE">
        <w:rPr>
          <w:rFonts w:cs="Tahoma"/>
          <w:sz w:val="24"/>
          <w:szCs w:val="24"/>
        </w:rPr>
        <w:t xml:space="preserve">vin RM, </w:t>
      </w:r>
      <w:proofErr w:type="spellStart"/>
      <w:r w:rsidR="000E42AE" w:rsidRPr="000E42AE">
        <w:rPr>
          <w:rFonts w:cs="Tahoma"/>
          <w:sz w:val="24"/>
          <w:szCs w:val="24"/>
        </w:rPr>
        <w:t>Haugaard</w:t>
      </w:r>
      <w:proofErr w:type="spellEnd"/>
      <w:r w:rsidR="000E42AE" w:rsidRPr="000E42AE">
        <w:rPr>
          <w:rFonts w:cs="Tahoma"/>
          <w:sz w:val="24"/>
          <w:szCs w:val="24"/>
        </w:rPr>
        <w:t xml:space="preserve"> N, O’Connor L, et al.  Obstructive response of human bladder to BPH vs rabbit bladder response to partial outlet obstruction: a direct comparison. </w:t>
      </w:r>
      <w:proofErr w:type="spellStart"/>
      <w:r w:rsidR="000E42AE" w:rsidRPr="000E42AE">
        <w:rPr>
          <w:rFonts w:cs="Tahoma"/>
          <w:sz w:val="24"/>
          <w:szCs w:val="24"/>
        </w:rPr>
        <w:t>Neurourol</w:t>
      </w:r>
      <w:proofErr w:type="spellEnd"/>
      <w:r w:rsidR="000E42AE" w:rsidRPr="000E42AE">
        <w:rPr>
          <w:rFonts w:cs="Tahoma"/>
          <w:sz w:val="24"/>
          <w:szCs w:val="24"/>
        </w:rPr>
        <w:t xml:space="preserve">.  </w:t>
      </w:r>
      <w:proofErr w:type="spellStart"/>
      <w:r w:rsidR="000E42AE" w:rsidRPr="000E42AE">
        <w:rPr>
          <w:rFonts w:cs="Tahoma"/>
          <w:sz w:val="24"/>
          <w:szCs w:val="24"/>
        </w:rPr>
        <w:t>Urodyn</w:t>
      </w:r>
      <w:proofErr w:type="spellEnd"/>
      <w:r w:rsidR="000E42AE" w:rsidRPr="000E42AE">
        <w:rPr>
          <w:rFonts w:cs="Tahoma"/>
          <w:sz w:val="24"/>
          <w:szCs w:val="24"/>
        </w:rPr>
        <w:t>. 2000; 19: 609-629.</w:t>
      </w:r>
      <w:r>
        <w:rPr>
          <w:rFonts w:cs="Tahoma"/>
          <w:sz w:val="24"/>
          <w:szCs w:val="24"/>
        </w:rPr>
        <w:t xml:space="preserve"> </w:t>
      </w:r>
      <w:proofErr w:type="spellStart"/>
      <w:r>
        <w:rPr>
          <w:rFonts w:cs="Tahoma"/>
          <w:sz w:val="24"/>
          <w:szCs w:val="24"/>
        </w:rPr>
        <w:t>doi</w:t>
      </w:r>
      <w:proofErr w:type="spellEnd"/>
      <w:r>
        <w:rPr>
          <w:rFonts w:cs="Tahoma"/>
          <w:sz w:val="24"/>
          <w:szCs w:val="24"/>
        </w:rPr>
        <w:t>: 10.1002</w:t>
      </w:r>
      <w:r w:rsidR="00855D7A">
        <w:rPr>
          <w:rFonts w:cs="Tahoma"/>
          <w:sz w:val="24"/>
          <w:szCs w:val="24"/>
        </w:rPr>
        <w:t>/1520-6777(2000)19:5&lt;</w:t>
      </w:r>
      <w:proofErr w:type="gramStart"/>
      <w:r w:rsidR="00855D7A">
        <w:rPr>
          <w:rFonts w:cs="Tahoma"/>
          <w:sz w:val="24"/>
          <w:szCs w:val="24"/>
        </w:rPr>
        <w:t>609::</w:t>
      </w:r>
      <w:proofErr w:type="gramEnd"/>
      <w:r w:rsidR="00855D7A">
        <w:rPr>
          <w:rFonts w:cs="Tahoma"/>
          <w:sz w:val="24"/>
          <w:szCs w:val="24"/>
        </w:rPr>
        <w:t xml:space="preserve">aid-nau7&gt;3.0.co;2-h.    PMID: 11002303. </w:t>
      </w:r>
      <w:r>
        <w:rPr>
          <w:rFonts w:cs="Tahoma"/>
          <w:sz w:val="24"/>
          <w:szCs w:val="24"/>
        </w:rPr>
        <w:t xml:space="preserve"> </w:t>
      </w:r>
    </w:p>
    <w:p w14:paraId="663AA26C" w14:textId="77777777" w:rsidR="000E42AE" w:rsidRPr="000E42AE" w:rsidRDefault="000E42AE" w:rsidP="000E42AE">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r w:rsidRPr="000E42AE">
        <w:rPr>
          <w:rFonts w:ascii="Times New Roman" w:eastAsia="Calibri" w:hAnsi="Times New Roman" w:cs="Times New Roman"/>
          <w:color w:val="000000"/>
          <w:sz w:val="24"/>
          <w:szCs w:val="24"/>
          <w:shd w:val="clear" w:color="auto" w:fill="FFFFFF"/>
        </w:rPr>
        <w:t>McGuire EJ. Detrusor response to outlet obstruction. World J Urol. 1984; 2: 208-10.</w:t>
      </w:r>
    </w:p>
    <w:p w14:paraId="7275F38E" w14:textId="77777777" w:rsidR="00FE240D" w:rsidRDefault="000E42AE" w:rsidP="00FE240D">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proofErr w:type="spellStart"/>
      <w:r w:rsidRPr="000E42AE">
        <w:rPr>
          <w:rFonts w:ascii="Times New Roman" w:eastAsia="Calibri" w:hAnsi="Times New Roman" w:cs="Times New Roman"/>
          <w:color w:val="000000"/>
          <w:sz w:val="24"/>
          <w:szCs w:val="24"/>
          <w:shd w:val="clear" w:color="auto" w:fill="FFFFFF"/>
        </w:rPr>
        <w:t>Housani</w:t>
      </w:r>
      <w:proofErr w:type="spellEnd"/>
      <w:r w:rsidRPr="000E42AE">
        <w:rPr>
          <w:rFonts w:ascii="Times New Roman" w:eastAsia="Calibri" w:hAnsi="Times New Roman" w:cs="Times New Roman"/>
          <w:color w:val="000000"/>
          <w:sz w:val="24"/>
          <w:szCs w:val="24"/>
          <w:shd w:val="clear" w:color="auto" w:fill="FFFFFF"/>
        </w:rPr>
        <w:t xml:space="preserve"> F, Drake M, Adams P. The use of ultrasound estimated bladder weight in diagnosing bladder outlet obstruction and detrusor overactivity in men with lower urinar</w:t>
      </w:r>
      <w:r w:rsidR="00E95173">
        <w:rPr>
          <w:rFonts w:ascii="Times New Roman" w:eastAsia="Calibri" w:hAnsi="Times New Roman" w:cs="Times New Roman"/>
          <w:color w:val="000000"/>
          <w:sz w:val="24"/>
          <w:szCs w:val="24"/>
          <w:shd w:val="clear" w:color="auto" w:fill="FFFFFF"/>
        </w:rPr>
        <w:t xml:space="preserve">y tract symptoms. Indian J Urol. </w:t>
      </w:r>
      <w:r w:rsidRPr="000E42AE">
        <w:rPr>
          <w:rFonts w:ascii="Times New Roman" w:eastAsia="Calibri" w:hAnsi="Times New Roman" w:cs="Times New Roman"/>
          <w:color w:val="000000"/>
          <w:sz w:val="24"/>
          <w:szCs w:val="24"/>
          <w:shd w:val="clear" w:color="auto" w:fill="FFFFFF"/>
        </w:rPr>
        <w:t>2009; 25: 105-</w:t>
      </w:r>
      <w:proofErr w:type="gramStart"/>
      <w:r w:rsidRPr="000E42AE">
        <w:rPr>
          <w:rFonts w:ascii="Times New Roman" w:eastAsia="Calibri" w:hAnsi="Times New Roman" w:cs="Times New Roman"/>
          <w:color w:val="000000"/>
          <w:sz w:val="24"/>
          <w:szCs w:val="24"/>
          <w:shd w:val="clear" w:color="auto" w:fill="FFFFFF"/>
        </w:rPr>
        <w:t>9.PM</w:t>
      </w:r>
      <w:r w:rsidR="00FE240D">
        <w:rPr>
          <w:rFonts w:ascii="Times New Roman" w:eastAsia="Calibri" w:hAnsi="Times New Roman" w:cs="Times New Roman"/>
          <w:color w:val="000000"/>
          <w:sz w:val="24"/>
          <w:szCs w:val="24"/>
          <w:shd w:val="clear" w:color="auto" w:fill="FFFFFF"/>
        </w:rPr>
        <w:t>CID</w:t>
      </w:r>
      <w:proofErr w:type="gramEnd"/>
      <w:r w:rsidR="00FE240D">
        <w:rPr>
          <w:rFonts w:ascii="Times New Roman" w:eastAsia="Calibri" w:hAnsi="Times New Roman" w:cs="Times New Roman"/>
          <w:color w:val="000000"/>
          <w:sz w:val="24"/>
          <w:szCs w:val="24"/>
          <w:shd w:val="clear" w:color="auto" w:fill="FFFFFF"/>
        </w:rPr>
        <w:t>: PMC2684305  PMID: 19468439</w:t>
      </w:r>
    </w:p>
    <w:p w14:paraId="320D8520" w14:textId="77777777" w:rsidR="00FE240D" w:rsidRPr="00FE240D" w:rsidRDefault="000E42AE" w:rsidP="00FE240D">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r w:rsidRPr="00FE240D">
        <w:rPr>
          <w:rFonts w:ascii="Times New Roman" w:eastAsia="Times New Roman" w:hAnsi="Times New Roman" w:cs="Times New Roman"/>
          <w:color w:val="212121"/>
          <w:sz w:val="24"/>
          <w:szCs w:val="24"/>
        </w:rPr>
        <w:t xml:space="preserve">O'Leary MP.  Lower urinary tract symptoms/benign prostatic hyperplasia: maintaining symptom control and reducing complications. Urology. 2003; 62 (3 Suppl 1): 15‐23.  </w:t>
      </w:r>
      <w:hyperlink r:id="rId10" w:history="1">
        <w:r w:rsidRPr="00FE240D">
          <w:rPr>
            <w:rStyle w:val="Hyperlink"/>
            <w:rFonts w:ascii="Times New Roman" w:eastAsia="Times New Roman" w:hAnsi="Times New Roman" w:cs="Times New Roman"/>
            <w:sz w:val="24"/>
            <w:szCs w:val="24"/>
          </w:rPr>
          <w:t>https://doi.org/10.1016/s0090-4285(3)00480-1</w:t>
        </w:r>
      </w:hyperlink>
      <w:r w:rsidRPr="00FE240D">
        <w:rPr>
          <w:rFonts w:ascii="Times New Roman" w:eastAsia="Times New Roman" w:hAnsi="Times New Roman" w:cs="Times New Roman"/>
          <w:color w:val="212121"/>
          <w:sz w:val="24"/>
          <w:szCs w:val="24"/>
        </w:rPr>
        <w:t xml:space="preserve">    PMID: 12957196.</w:t>
      </w:r>
      <w:r w:rsidR="00FE240D" w:rsidRPr="00FE240D">
        <w:rPr>
          <w:rFonts w:cs="Tahoma"/>
          <w:sz w:val="28"/>
          <w:szCs w:val="28"/>
        </w:rPr>
        <w:t xml:space="preserve"> </w:t>
      </w:r>
    </w:p>
    <w:p w14:paraId="4BB8DDE3" w14:textId="77777777" w:rsidR="00FE240D" w:rsidRPr="00FE240D" w:rsidRDefault="00FE240D" w:rsidP="00FE240D">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proofErr w:type="spellStart"/>
      <w:r w:rsidRPr="00FE240D">
        <w:rPr>
          <w:rFonts w:cs="Tahoma"/>
          <w:sz w:val="24"/>
          <w:szCs w:val="24"/>
        </w:rPr>
        <w:t>Oelke</w:t>
      </w:r>
      <w:proofErr w:type="spellEnd"/>
      <w:r w:rsidRPr="00FE240D">
        <w:rPr>
          <w:rFonts w:cs="Tahoma"/>
          <w:sz w:val="24"/>
          <w:szCs w:val="24"/>
        </w:rPr>
        <w:t xml:space="preserve"> M, </w:t>
      </w:r>
      <w:proofErr w:type="spellStart"/>
      <w:r w:rsidRPr="00FE240D">
        <w:rPr>
          <w:rFonts w:cs="Tahoma"/>
          <w:sz w:val="24"/>
          <w:szCs w:val="24"/>
        </w:rPr>
        <w:t>Hofner</w:t>
      </w:r>
      <w:proofErr w:type="spellEnd"/>
      <w:r w:rsidRPr="00FE240D">
        <w:rPr>
          <w:rFonts w:cs="Tahoma"/>
          <w:sz w:val="24"/>
          <w:szCs w:val="24"/>
        </w:rPr>
        <w:t xml:space="preserve"> R, Jonas U, </w:t>
      </w:r>
      <w:r w:rsidR="001B7E72">
        <w:rPr>
          <w:rFonts w:cs="Tahoma"/>
          <w:sz w:val="24"/>
          <w:szCs w:val="24"/>
        </w:rPr>
        <w:t xml:space="preserve">de la Rosette JJ, </w:t>
      </w:r>
      <w:proofErr w:type="spellStart"/>
      <w:r w:rsidR="001B7E72">
        <w:rPr>
          <w:rFonts w:cs="Tahoma"/>
          <w:sz w:val="24"/>
          <w:szCs w:val="24"/>
        </w:rPr>
        <w:t>Ubbink</w:t>
      </w:r>
      <w:proofErr w:type="spellEnd"/>
      <w:r w:rsidR="001B7E72">
        <w:rPr>
          <w:rFonts w:cs="Tahoma"/>
          <w:sz w:val="24"/>
          <w:szCs w:val="24"/>
        </w:rPr>
        <w:t xml:space="preserve"> DT, </w:t>
      </w:r>
      <w:proofErr w:type="spellStart"/>
      <w:r w:rsidR="001B7E72">
        <w:rPr>
          <w:rFonts w:cs="Tahoma"/>
          <w:sz w:val="24"/>
          <w:szCs w:val="24"/>
        </w:rPr>
        <w:t>Wijkstra</w:t>
      </w:r>
      <w:proofErr w:type="spellEnd"/>
      <w:r w:rsidR="001B7E72">
        <w:rPr>
          <w:rFonts w:cs="Tahoma"/>
          <w:sz w:val="24"/>
          <w:szCs w:val="24"/>
        </w:rPr>
        <w:t xml:space="preserve"> H</w:t>
      </w:r>
      <w:r w:rsidRPr="00FE240D">
        <w:rPr>
          <w:rFonts w:cs="Tahoma"/>
          <w:sz w:val="24"/>
          <w:szCs w:val="24"/>
        </w:rPr>
        <w:t xml:space="preserve">. </w:t>
      </w:r>
      <w:r w:rsidR="001B7E72">
        <w:rPr>
          <w:rFonts w:cs="Tahoma"/>
          <w:sz w:val="24"/>
          <w:szCs w:val="24"/>
        </w:rPr>
        <w:t>Diagnostic accuracy of non</w:t>
      </w:r>
      <w:r w:rsidRPr="00FE240D">
        <w:rPr>
          <w:rFonts w:cs="Tahoma"/>
          <w:sz w:val="24"/>
          <w:szCs w:val="24"/>
        </w:rPr>
        <w:t>invasive tests to evaluate bladder outlet obstruction in</w:t>
      </w:r>
      <w:r w:rsidR="001B7E72">
        <w:rPr>
          <w:rFonts w:cs="Tahoma"/>
          <w:sz w:val="24"/>
          <w:szCs w:val="24"/>
        </w:rPr>
        <w:t xml:space="preserve"> men: Detrusor wall thickness, uroflowmetry, post</w:t>
      </w:r>
      <w:r w:rsidRPr="00FE240D">
        <w:rPr>
          <w:rFonts w:cs="Tahoma"/>
          <w:sz w:val="24"/>
          <w:szCs w:val="24"/>
        </w:rPr>
        <w:t xml:space="preserve">void residual urine, and prostate volume. Eur.  Urol.  </w:t>
      </w:r>
      <w:r w:rsidR="001B7E72">
        <w:rPr>
          <w:rFonts w:cs="Tahoma"/>
          <w:sz w:val="24"/>
          <w:szCs w:val="24"/>
        </w:rPr>
        <w:t>2007; 52: 827-834</w:t>
      </w:r>
      <w:r w:rsidRPr="00FE240D">
        <w:rPr>
          <w:rFonts w:cs="Tahoma"/>
          <w:sz w:val="24"/>
          <w:szCs w:val="24"/>
        </w:rPr>
        <w:t>.</w:t>
      </w:r>
      <w:r w:rsidR="001B7E72">
        <w:rPr>
          <w:rFonts w:cs="Tahoma"/>
          <w:sz w:val="24"/>
          <w:szCs w:val="24"/>
        </w:rPr>
        <w:t xml:space="preserve">  </w:t>
      </w:r>
      <w:proofErr w:type="spellStart"/>
      <w:r w:rsidR="001B7E72">
        <w:rPr>
          <w:rFonts w:cs="Tahoma"/>
          <w:sz w:val="24"/>
          <w:szCs w:val="24"/>
        </w:rPr>
        <w:t>doi</w:t>
      </w:r>
      <w:proofErr w:type="spellEnd"/>
      <w:r w:rsidR="001B7E72">
        <w:rPr>
          <w:rFonts w:cs="Tahoma"/>
          <w:sz w:val="24"/>
          <w:szCs w:val="24"/>
        </w:rPr>
        <w:t xml:space="preserve">: 10.1016/j.eururo.2006.12.023.   </w:t>
      </w:r>
      <w:proofErr w:type="spellStart"/>
      <w:r w:rsidR="001B7E72">
        <w:rPr>
          <w:rFonts w:cs="Tahoma"/>
          <w:sz w:val="24"/>
          <w:szCs w:val="24"/>
        </w:rPr>
        <w:t>Epub</w:t>
      </w:r>
      <w:proofErr w:type="spellEnd"/>
      <w:r w:rsidR="001B7E72">
        <w:rPr>
          <w:rFonts w:cs="Tahoma"/>
          <w:sz w:val="24"/>
          <w:szCs w:val="24"/>
        </w:rPr>
        <w:t xml:space="preserve"> 2006 Dec 22.   PMID: 17207910.</w:t>
      </w:r>
      <w:r w:rsidRPr="00FE240D">
        <w:rPr>
          <w:rFonts w:cs="Tahoma"/>
          <w:sz w:val="24"/>
          <w:szCs w:val="24"/>
        </w:rPr>
        <w:t xml:space="preserve"> </w:t>
      </w:r>
    </w:p>
    <w:p w14:paraId="0E252F53" w14:textId="77777777" w:rsidR="00FE240D" w:rsidRPr="00BD7B82"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color w:val="212121"/>
          <w:sz w:val="24"/>
          <w:szCs w:val="24"/>
        </w:rPr>
        <w:t xml:space="preserve"> </w:t>
      </w:r>
      <w:proofErr w:type="spellStart"/>
      <w:r w:rsidRPr="003A675C">
        <w:rPr>
          <w:rFonts w:ascii="Calibri" w:eastAsia="Calibri" w:hAnsi="Calibri" w:cs="Tahoma"/>
          <w:sz w:val="24"/>
          <w:szCs w:val="24"/>
          <w:lang w:val="en-GB"/>
        </w:rPr>
        <w:t>Peed</w:t>
      </w:r>
      <w:r>
        <w:rPr>
          <w:rFonts w:ascii="Calibri" w:eastAsia="Calibri" w:hAnsi="Calibri" w:cs="Tahoma"/>
          <w:sz w:val="24"/>
          <w:szCs w:val="24"/>
          <w:lang w:val="en-GB"/>
        </w:rPr>
        <w:t>ikayil</w:t>
      </w:r>
      <w:proofErr w:type="spellEnd"/>
      <w:r>
        <w:rPr>
          <w:rFonts w:ascii="Calibri" w:eastAsia="Calibri" w:hAnsi="Calibri" w:cs="Tahoma"/>
          <w:sz w:val="24"/>
          <w:szCs w:val="24"/>
          <w:lang w:val="en-GB"/>
        </w:rPr>
        <w:t xml:space="preserve"> AV, </w:t>
      </w:r>
      <w:proofErr w:type="spellStart"/>
      <w:r>
        <w:rPr>
          <w:rFonts w:ascii="Calibri" w:eastAsia="Calibri" w:hAnsi="Calibri" w:cs="Tahoma"/>
          <w:sz w:val="24"/>
          <w:szCs w:val="24"/>
          <w:lang w:val="en-GB"/>
        </w:rPr>
        <w:t>Shyamkumar</w:t>
      </w:r>
      <w:proofErr w:type="spellEnd"/>
      <w:r w:rsidRPr="003A675C">
        <w:rPr>
          <w:rFonts w:ascii="Calibri" w:eastAsia="Calibri" w:hAnsi="Calibri" w:cs="Tahoma"/>
          <w:sz w:val="24"/>
          <w:szCs w:val="24"/>
          <w:lang w:val="en-GB"/>
        </w:rPr>
        <w:t xml:space="preserve"> NK, </w:t>
      </w:r>
      <w:proofErr w:type="spellStart"/>
      <w:r w:rsidRPr="003A675C">
        <w:rPr>
          <w:rFonts w:ascii="Calibri" w:eastAsia="Calibri" w:hAnsi="Calibri" w:cs="Tahoma"/>
          <w:sz w:val="24"/>
          <w:szCs w:val="24"/>
          <w:lang w:val="en-GB"/>
        </w:rPr>
        <w:t>Kekre</w:t>
      </w:r>
      <w:proofErr w:type="spellEnd"/>
      <w:r w:rsidRPr="003A675C">
        <w:rPr>
          <w:rFonts w:ascii="Calibri" w:eastAsia="Calibri" w:hAnsi="Calibri" w:cs="Tahoma"/>
          <w:sz w:val="24"/>
          <w:szCs w:val="24"/>
          <w:lang w:val="en-GB"/>
        </w:rPr>
        <w:t xml:space="preserve"> N. </w:t>
      </w:r>
      <w:r>
        <w:rPr>
          <w:rFonts w:ascii="Calibri" w:eastAsia="Calibri" w:hAnsi="Calibri" w:cs="Tahoma"/>
          <w:sz w:val="24"/>
          <w:szCs w:val="24"/>
          <w:lang w:val="en-GB"/>
        </w:rPr>
        <w:t xml:space="preserve">(2004) </w:t>
      </w:r>
      <w:r w:rsidRPr="003A675C">
        <w:rPr>
          <w:rFonts w:ascii="Calibri" w:eastAsia="Calibri" w:hAnsi="Calibri" w:cs="Tahoma"/>
          <w:sz w:val="24"/>
          <w:szCs w:val="24"/>
          <w:lang w:val="en-GB"/>
        </w:rPr>
        <w:t xml:space="preserve">Diagnosing bladder outlet obstruction can we do away with pressure flow studies? Indian J.  Urol.  2004; 20: 36 - 41. </w:t>
      </w:r>
      <w:hyperlink r:id="rId11" w:history="1">
        <w:r w:rsidRPr="009D0C7F">
          <w:rPr>
            <w:rStyle w:val="Hyperlink"/>
            <w:rFonts w:ascii="Calibri" w:eastAsia="Calibri" w:hAnsi="Calibri" w:cs="Tahoma"/>
            <w:sz w:val="24"/>
            <w:szCs w:val="24"/>
            <w:lang w:val="en-GB"/>
          </w:rPr>
          <w:t>https://journals.iww.com</w:t>
        </w:r>
      </w:hyperlink>
      <w:r>
        <w:rPr>
          <w:rFonts w:ascii="Calibri" w:eastAsia="Calibri" w:hAnsi="Calibri" w:cs="Tahoma"/>
          <w:sz w:val="24"/>
          <w:szCs w:val="24"/>
          <w:lang w:val="en-GB"/>
        </w:rPr>
        <w:t xml:space="preserve"> </w:t>
      </w:r>
    </w:p>
    <w:p w14:paraId="43953F2C" w14:textId="77777777" w:rsidR="00FE240D" w:rsidRPr="00AF7919"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sidRPr="00A24764">
        <w:rPr>
          <w:rFonts w:ascii="Times New Roman" w:eastAsia="Calibri" w:hAnsi="Times New Roman" w:cs="Times New Roman"/>
          <w:sz w:val="24"/>
          <w:szCs w:val="24"/>
          <w14:ligatures w14:val="standardContextual"/>
        </w:rPr>
        <w:t>Lepor</w:t>
      </w:r>
      <w:proofErr w:type="spellEnd"/>
      <w:r w:rsidRPr="00A24764">
        <w:rPr>
          <w:rFonts w:ascii="Times New Roman" w:eastAsia="Calibri" w:hAnsi="Times New Roman" w:cs="Times New Roman"/>
          <w:sz w:val="24"/>
          <w:szCs w:val="24"/>
          <w14:ligatures w14:val="standardContextual"/>
        </w:rPr>
        <w:t xml:space="preserve"> H.</w:t>
      </w:r>
      <w:r>
        <w:rPr>
          <w:rFonts w:ascii="Times New Roman" w:eastAsia="Calibri" w:hAnsi="Times New Roman" w:cs="Times New Roman"/>
          <w:sz w:val="24"/>
          <w:szCs w:val="24"/>
          <w14:ligatures w14:val="standardContextual"/>
        </w:rPr>
        <w:t xml:space="preserve"> (2005)</w:t>
      </w:r>
      <w:r w:rsidRPr="00A24764">
        <w:rPr>
          <w:rFonts w:ascii="Times New Roman" w:eastAsia="Calibri" w:hAnsi="Times New Roman" w:cs="Times New Roman"/>
          <w:sz w:val="24"/>
          <w:szCs w:val="24"/>
          <w14:ligatures w14:val="standardContextual"/>
        </w:rPr>
        <w:t xml:space="preserve"> Pathophysiology of Lower Urinary Tract Symptoms in the Aging Male Population.</w:t>
      </w:r>
      <w:r w:rsidRPr="00A24764">
        <w:rPr>
          <w:rFonts w:ascii="Arial Narrow" w:eastAsia="Times New Roman" w:hAnsi="Arial Narrow" w:cs="Times New Roman"/>
          <w:color w:val="000000"/>
          <w:sz w:val="24"/>
          <w:szCs w:val="24"/>
          <w14:ligatures w14:val="standardContextual"/>
        </w:rPr>
        <w:t xml:space="preserve"> </w:t>
      </w:r>
      <w:r w:rsidRPr="00A24764">
        <w:rPr>
          <w:rFonts w:ascii="Times New Roman" w:eastAsia="Times New Roman" w:hAnsi="Times New Roman" w:cs="Times New Roman"/>
          <w:color w:val="000000"/>
          <w:sz w:val="24"/>
          <w:szCs w:val="24"/>
          <w14:ligatures w14:val="standardContextual"/>
        </w:rPr>
        <w:t>Rev Urol. 2005; 7</w:t>
      </w:r>
      <w:r>
        <w:rPr>
          <w:rFonts w:ascii="Times New Roman" w:eastAsia="Times New Roman" w:hAnsi="Times New Roman" w:cs="Times New Roman"/>
          <w:color w:val="000000"/>
          <w:sz w:val="24"/>
          <w:szCs w:val="24"/>
          <w14:ligatures w14:val="standardContextual"/>
        </w:rPr>
        <w:t xml:space="preserve"> Suppl 7 </w:t>
      </w:r>
      <w:r w:rsidRPr="00A24764">
        <w:rPr>
          <w:rFonts w:ascii="Times New Roman" w:eastAsia="Times New Roman" w:hAnsi="Times New Roman" w:cs="Times New Roman"/>
          <w:color w:val="000000"/>
          <w:sz w:val="24"/>
          <w:szCs w:val="24"/>
          <w14:ligatures w14:val="standardContextual"/>
        </w:rPr>
        <w:t>(Suppl 7): S3-S11</w:t>
      </w:r>
      <w:r>
        <w:rPr>
          <w:rFonts w:ascii="Times New Roman" w:eastAsia="Times New Roman" w:hAnsi="Times New Roman" w:cs="Times New Roman"/>
          <w:color w:val="000000"/>
          <w:sz w:val="24"/>
          <w:szCs w:val="24"/>
          <w14:ligatures w14:val="standardContextual"/>
        </w:rPr>
        <w:t>.</w:t>
      </w:r>
      <w:r w:rsidRPr="00A24764">
        <w:rPr>
          <w:rFonts w:ascii="Times New Roman" w:eastAsia="Times New Roman" w:hAnsi="Times New Roman" w:cs="Times New Roman"/>
          <w:color w:val="000000"/>
          <w:sz w:val="24"/>
          <w:szCs w:val="24"/>
          <w14:ligatures w14:val="standardContextual"/>
        </w:rPr>
        <w:t xml:space="preserve"> </w:t>
      </w:r>
      <w:r>
        <w:rPr>
          <w:rFonts w:ascii="Times New Roman" w:eastAsia="Times New Roman" w:hAnsi="Times New Roman" w:cs="Times New Roman"/>
          <w:color w:val="000000"/>
          <w:sz w:val="24"/>
          <w:szCs w:val="24"/>
          <w14:ligatures w14:val="standardContextual"/>
        </w:rPr>
        <w:t>PMID: 16986059; PMCID: PMC1477625.</w:t>
      </w:r>
    </w:p>
    <w:p w14:paraId="4FA5416B" w14:textId="77777777" w:rsidR="00FE240D" w:rsidRDefault="00FE240D" w:rsidP="00FE240D">
      <w:pPr>
        <w:pStyle w:val="NoSpacing"/>
        <w:numPr>
          <w:ilvl w:val="0"/>
          <w:numId w:val="4"/>
        </w:numPr>
        <w:spacing w:line="360" w:lineRule="auto"/>
        <w:jc w:val="both"/>
        <w:rPr>
          <w:rFonts w:cs="Tahoma"/>
          <w:sz w:val="24"/>
          <w:szCs w:val="24"/>
        </w:rPr>
      </w:pPr>
      <w:r w:rsidRPr="00FE240D">
        <w:rPr>
          <w:rFonts w:cs="Tahoma"/>
          <w:sz w:val="24"/>
          <w:szCs w:val="24"/>
        </w:rPr>
        <w:lastRenderedPageBreak/>
        <w:t xml:space="preserve">Abrams P, Cardozo L, Fall M, Griffiths D, Rosier P, </w:t>
      </w:r>
      <w:proofErr w:type="spellStart"/>
      <w:r w:rsidRPr="00FE240D">
        <w:rPr>
          <w:rFonts w:cs="Tahoma"/>
          <w:sz w:val="24"/>
          <w:szCs w:val="24"/>
        </w:rPr>
        <w:t>Ulmsten</w:t>
      </w:r>
      <w:proofErr w:type="spellEnd"/>
      <w:r w:rsidRPr="00FE240D">
        <w:rPr>
          <w:rFonts w:cs="Tahoma"/>
          <w:sz w:val="24"/>
          <w:szCs w:val="24"/>
        </w:rPr>
        <w:t xml:space="preserve"> U, et al. The standardisation of terminology in lower urinary tract function report from the standardisation sub-committee of the International C</w:t>
      </w:r>
      <w:r w:rsidR="0087411B">
        <w:rPr>
          <w:rFonts w:cs="Tahoma"/>
          <w:sz w:val="24"/>
          <w:szCs w:val="24"/>
        </w:rPr>
        <w:t xml:space="preserve">ontinence Society. </w:t>
      </w:r>
      <w:r w:rsidRPr="00FE240D">
        <w:rPr>
          <w:rFonts w:cs="Tahoma"/>
          <w:sz w:val="24"/>
          <w:szCs w:val="24"/>
        </w:rPr>
        <w:t>Urol</w:t>
      </w:r>
      <w:r w:rsidR="0087411B">
        <w:rPr>
          <w:rFonts w:cs="Tahoma"/>
          <w:sz w:val="24"/>
          <w:szCs w:val="24"/>
        </w:rPr>
        <w:t>ogy</w:t>
      </w:r>
      <w:r w:rsidRPr="00FE240D">
        <w:rPr>
          <w:rFonts w:cs="Tahoma"/>
          <w:sz w:val="24"/>
          <w:szCs w:val="24"/>
        </w:rPr>
        <w:t>. 2003: 61:37</w:t>
      </w:r>
      <w:r w:rsidR="0087411B">
        <w:rPr>
          <w:rFonts w:cs="Tahoma"/>
          <w:sz w:val="24"/>
          <w:szCs w:val="24"/>
        </w:rPr>
        <w:t>-49</w:t>
      </w:r>
      <w:r w:rsidRPr="00FE240D">
        <w:rPr>
          <w:rFonts w:cs="Tahoma"/>
          <w:sz w:val="24"/>
          <w:szCs w:val="24"/>
        </w:rPr>
        <w:t>.</w:t>
      </w:r>
      <w:r w:rsidR="0087411B">
        <w:rPr>
          <w:rFonts w:cs="Tahoma"/>
          <w:sz w:val="24"/>
          <w:szCs w:val="24"/>
        </w:rPr>
        <w:t xml:space="preserve"> </w:t>
      </w:r>
      <w:proofErr w:type="spellStart"/>
      <w:r w:rsidR="0087411B">
        <w:rPr>
          <w:rFonts w:cs="Tahoma"/>
          <w:sz w:val="24"/>
          <w:szCs w:val="24"/>
        </w:rPr>
        <w:t>doi</w:t>
      </w:r>
      <w:proofErr w:type="spellEnd"/>
      <w:r w:rsidR="0087411B">
        <w:rPr>
          <w:rFonts w:cs="Tahoma"/>
          <w:sz w:val="24"/>
          <w:szCs w:val="24"/>
        </w:rPr>
        <w:t>:</w:t>
      </w:r>
      <w:r w:rsidR="00855D7A">
        <w:rPr>
          <w:rFonts w:cs="Tahoma"/>
          <w:sz w:val="24"/>
          <w:szCs w:val="24"/>
        </w:rPr>
        <w:t xml:space="preserve"> </w:t>
      </w:r>
      <w:r w:rsidR="0087411B">
        <w:rPr>
          <w:rFonts w:cs="Tahoma"/>
          <w:sz w:val="24"/>
          <w:szCs w:val="24"/>
        </w:rPr>
        <w:t xml:space="preserve">10.1016/s0090-4295(02)02243-4.    PMID: 12559262. </w:t>
      </w:r>
    </w:p>
    <w:p w14:paraId="11CB75D3" w14:textId="77777777" w:rsidR="0087411B" w:rsidRPr="00FE240D" w:rsidRDefault="0087411B" w:rsidP="0087411B">
      <w:pPr>
        <w:pStyle w:val="NoSpacing"/>
        <w:spacing w:line="360" w:lineRule="auto"/>
        <w:ind w:left="360"/>
        <w:jc w:val="both"/>
        <w:rPr>
          <w:rFonts w:cs="Tahoma"/>
          <w:sz w:val="24"/>
          <w:szCs w:val="24"/>
        </w:rPr>
      </w:pPr>
    </w:p>
    <w:p w14:paraId="4573CBDC" w14:textId="77777777" w:rsidR="00FE240D" w:rsidRDefault="00FE240D" w:rsidP="00FE240D">
      <w:pPr>
        <w:pStyle w:val="NoSpacing"/>
        <w:numPr>
          <w:ilvl w:val="0"/>
          <w:numId w:val="4"/>
        </w:numPr>
        <w:spacing w:line="360" w:lineRule="auto"/>
        <w:jc w:val="both"/>
        <w:rPr>
          <w:rFonts w:cs="Tahoma"/>
          <w:sz w:val="24"/>
          <w:szCs w:val="24"/>
        </w:rPr>
      </w:pPr>
      <w:proofErr w:type="spellStart"/>
      <w:r w:rsidRPr="00FE240D">
        <w:rPr>
          <w:rFonts w:cs="Tahoma"/>
          <w:sz w:val="24"/>
          <w:szCs w:val="24"/>
        </w:rPr>
        <w:t>Ozlem</w:t>
      </w:r>
      <w:proofErr w:type="spellEnd"/>
      <w:r w:rsidRPr="00FE240D">
        <w:rPr>
          <w:rFonts w:cs="Tahoma"/>
          <w:sz w:val="24"/>
          <w:szCs w:val="24"/>
        </w:rPr>
        <w:t xml:space="preserve"> T, </w:t>
      </w:r>
      <w:proofErr w:type="spellStart"/>
      <w:r w:rsidRPr="00FE240D">
        <w:rPr>
          <w:rFonts w:cs="Tahoma"/>
          <w:sz w:val="24"/>
          <w:szCs w:val="24"/>
        </w:rPr>
        <w:t>Husnu</w:t>
      </w:r>
      <w:proofErr w:type="spellEnd"/>
      <w:r w:rsidRPr="00FE240D">
        <w:rPr>
          <w:rFonts w:cs="Tahoma"/>
          <w:sz w:val="24"/>
          <w:szCs w:val="24"/>
        </w:rPr>
        <w:t xml:space="preserve"> T, </w:t>
      </w:r>
      <w:proofErr w:type="spellStart"/>
      <w:r w:rsidRPr="00FE240D">
        <w:rPr>
          <w:rFonts w:cs="Tahoma"/>
          <w:sz w:val="24"/>
          <w:szCs w:val="24"/>
        </w:rPr>
        <w:t>Ilker</w:t>
      </w:r>
      <w:proofErr w:type="spellEnd"/>
      <w:r w:rsidRPr="00FE240D">
        <w:rPr>
          <w:rFonts w:cs="Tahoma"/>
          <w:sz w:val="24"/>
          <w:szCs w:val="24"/>
        </w:rPr>
        <w:t xml:space="preserve"> U, </w:t>
      </w:r>
      <w:proofErr w:type="spellStart"/>
      <w:r w:rsidRPr="00FE240D">
        <w:rPr>
          <w:rFonts w:cs="Tahoma"/>
          <w:sz w:val="24"/>
          <w:szCs w:val="24"/>
        </w:rPr>
        <w:t>Umut</w:t>
      </w:r>
      <w:proofErr w:type="spellEnd"/>
      <w:r w:rsidRPr="00FE240D">
        <w:rPr>
          <w:rFonts w:cs="Tahoma"/>
          <w:sz w:val="24"/>
          <w:szCs w:val="24"/>
        </w:rPr>
        <w:t xml:space="preserve"> D, </w:t>
      </w:r>
      <w:proofErr w:type="spellStart"/>
      <w:r w:rsidRPr="00FE240D">
        <w:rPr>
          <w:rFonts w:cs="Tahoma"/>
          <w:sz w:val="24"/>
          <w:szCs w:val="24"/>
        </w:rPr>
        <w:t>Sema</w:t>
      </w:r>
      <w:proofErr w:type="spellEnd"/>
      <w:r w:rsidRPr="00FE240D">
        <w:rPr>
          <w:rFonts w:cs="Tahoma"/>
          <w:sz w:val="24"/>
          <w:szCs w:val="24"/>
        </w:rPr>
        <w:t xml:space="preserve"> Y, et al.  Diagnostic values of detrusor wall thickness, </w:t>
      </w:r>
      <w:r w:rsidR="00E95173">
        <w:rPr>
          <w:rFonts w:cs="Tahoma"/>
          <w:sz w:val="24"/>
          <w:szCs w:val="24"/>
        </w:rPr>
        <w:t>post-void</w:t>
      </w:r>
      <w:r w:rsidRPr="00FE240D">
        <w:rPr>
          <w:rFonts w:cs="Tahoma"/>
          <w:sz w:val="24"/>
          <w:szCs w:val="24"/>
        </w:rPr>
        <w:t xml:space="preserve"> residual urine, and prostate volume to evaluate lower urinary tract symptoms in men. </w:t>
      </w:r>
      <w:r w:rsidR="00012A96">
        <w:rPr>
          <w:rFonts w:cs="Tahoma"/>
          <w:sz w:val="24"/>
          <w:szCs w:val="24"/>
        </w:rPr>
        <w:t xml:space="preserve">Diagn </w:t>
      </w:r>
      <w:proofErr w:type="spellStart"/>
      <w:r w:rsidR="00012A96">
        <w:rPr>
          <w:rFonts w:cs="Tahoma"/>
          <w:sz w:val="24"/>
          <w:szCs w:val="24"/>
        </w:rPr>
        <w:t>Interv</w:t>
      </w:r>
      <w:proofErr w:type="spellEnd"/>
      <w:r w:rsidR="00012A96">
        <w:rPr>
          <w:rFonts w:cs="Tahoma"/>
          <w:sz w:val="24"/>
          <w:szCs w:val="24"/>
        </w:rPr>
        <w:t xml:space="preserve"> </w:t>
      </w:r>
      <w:proofErr w:type="spellStart"/>
      <w:r w:rsidRPr="00FE240D">
        <w:rPr>
          <w:rFonts w:cs="Tahoma"/>
          <w:sz w:val="24"/>
          <w:szCs w:val="24"/>
        </w:rPr>
        <w:t>Radiol</w:t>
      </w:r>
      <w:proofErr w:type="spellEnd"/>
      <w:r w:rsidRPr="00FE240D">
        <w:rPr>
          <w:rFonts w:cs="Tahoma"/>
          <w:sz w:val="24"/>
          <w:szCs w:val="24"/>
        </w:rPr>
        <w:t>. 2012; 18: 277-281.</w:t>
      </w:r>
      <w:r w:rsidR="0087411B">
        <w:rPr>
          <w:rFonts w:cs="Tahoma"/>
          <w:sz w:val="24"/>
          <w:szCs w:val="24"/>
        </w:rPr>
        <w:t xml:space="preserve"> </w:t>
      </w:r>
      <w:proofErr w:type="spellStart"/>
      <w:r w:rsidR="0087411B">
        <w:rPr>
          <w:rFonts w:cs="Tahoma"/>
          <w:sz w:val="24"/>
          <w:szCs w:val="24"/>
        </w:rPr>
        <w:t>d</w:t>
      </w:r>
      <w:r w:rsidR="00012A96">
        <w:rPr>
          <w:rFonts w:cs="Tahoma"/>
          <w:sz w:val="24"/>
          <w:szCs w:val="24"/>
        </w:rPr>
        <w:t>oi</w:t>
      </w:r>
      <w:proofErr w:type="spellEnd"/>
      <w:r w:rsidR="0087411B">
        <w:rPr>
          <w:rFonts w:cs="Tahoma"/>
          <w:sz w:val="24"/>
          <w:szCs w:val="24"/>
        </w:rPr>
        <w:t xml:space="preserve">: 10.4261/1305-3825.DIR.4847-11.1.  </w:t>
      </w:r>
      <w:proofErr w:type="spellStart"/>
      <w:r w:rsidR="0087411B">
        <w:rPr>
          <w:rFonts w:cs="Tahoma"/>
          <w:sz w:val="24"/>
          <w:szCs w:val="24"/>
        </w:rPr>
        <w:t>Epub</w:t>
      </w:r>
      <w:proofErr w:type="spellEnd"/>
      <w:r w:rsidR="0087411B">
        <w:rPr>
          <w:rFonts w:cs="Tahoma"/>
          <w:sz w:val="24"/>
          <w:szCs w:val="24"/>
        </w:rPr>
        <w:t xml:space="preserve"> 2011 Dec 19.  PMID: 22183877. </w:t>
      </w:r>
    </w:p>
    <w:p w14:paraId="06609735" w14:textId="77777777" w:rsidR="0087411B" w:rsidRPr="00FE240D" w:rsidRDefault="0087411B" w:rsidP="00E95173">
      <w:pPr>
        <w:pStyle w:val="NoSpacing"/>
        <w:spacing w:line="360" w:lineRule="auto"/>
        <w:jc w:val="both"/>
        <w:rPr>
          <w:rFonts w:cs="Tahoma"/>
          <w:sz w:val="24"/>
          <w:szCs w:val="24"/>
        </w:rPr>
      </w:pPr>
    </w:p>
    <w:p w14:paraId="42958F64" w14:textId="77777777" w:rsidR="00FE240D"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Kirkwood BR. Essentials of Medical Statistics. Blackwell Scientific Publications; 1</w:t>
      </w:r>
      <w:r w:rsidRPr="00AF7919">
        <w:rPr>
          <w:rFonts w:ascii="Times New Roman" w:eastAsia="Calibri" w:hAnsi="Times New Roman" w:cs="Times New Roman"/>
          <w:color w:val="000000"/>
          <w:sz w:val="24"/>
          <w:szCs w:val="24"/>
          <w:shd w:val="clear" w:color="auto" w:fill="FFFFFF"/>
          <w:vertAlign w:val="superscript"/>
        </w:rPr>
        <w:t>st</w:t>
      </w:r>
      <w:r>
        <w:rPr>
          <w:rFonts w:ascii="Times New Roman" w:eastAsia="Calibri" w:hAnsi="Times New Roman" w:cs="Times New Roman"/>
          <w:color w:val="000000"/>
          <w:sz w:val="24"/>
          <w:szCs w:val="24"/>
          <w:shd w:val="clear" w:color="auto" w:fill="FFFFFF"/>
        </w:rPr>
        <w:t xml:space="preserve"> Ed.   London. 1988:196-7.</w:t>
      </w:r>
    </w:p>
    <w:p w14:paraId="7EAABF93" w14:textId="77777777" w:rsidR="00FE240D" w:rsidRPr="00D24236"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24236">
        <w:rPr>
          <w:rFonts w:cs="Tahoma"/>
          <w:sz w:val="24"/>
          <w:szCs w:val="24"/>
        </w:rPr>
        <w:t xml:space="preserve">Blatt AH, </w:t>
      </w:r>
      <w:proofErr w:type="spellStart"/>
      <w:r w:rsidRPr="00D24236">
        <w:rPr>
          <w:rFonts w:cs="Tahoma"/>
          <w:sz w:val="24"/>
          <w:szCs w:val="24"/>
        </w:rPr>
        <w:t>Jehan</w:t>
      </w:r>
      <w:proofErr w:type="spellEnd"/>
      <w:r w:rsidRPr="00D24236">
        <w:rPr>
          <w:rFonts w:cs="Tahoma"/>
          <w:sz w:val="24"/>
          <w:szCs w:val="24"/>
        </w:rPr>
        <w:t xml:space="preserve"> T, Chan </w:t>
      </w:r>
      <w:r>
        <w:rPr>
          <w:rFonts w:cs="Tahoma"/>
          <w:sz w:val="24"/>
          <w:szCs w:val="24"/>
        </w:rPr>
        <w:t>L. (2008) Ultrasound measurement of bladder wall thickness</w:t>
      </w:r>
      <w:r w:rsidRPr="00D24236">
        <w:rPr>
          <w:rFonts w:cs="Tahoma"/>
          <w:sz w:val="24"/>
          <w:szCs w:val="24"/>
        </w:rPr>
        <w:t xml:space="preserve"> in assess</w:t>
      </w:r>
      <w:r>
        <w:rPr>
          <w:rFonts w:cs="Tahoma"/>
          <w:sz w:val="24"/>
          <w:szCs w:val="24"/>
        </w:rPr>
        <w:t xml:space="preserve">ment of voiding dysfunction. J Urol. 2008; 179: 2275-8; discussion 2278-9. </w:t>
      </w:r>
      <w:hyperlink r:id="rId12" w:history="1">
        <w:r w:rsidR="00855D7A" w:rsidRPr="00FD6391">
          <w:rPr>
            <w:rStyle w:val="Hyperlink"/>
            <w:rFonts w:cs="Tahoma"/>
            <w:sz w:val="24"/>
            <w:szCs w:val="24"/>
          </w:rPr>
          <w:t>https://doi.org/10.1016/j.juro.2008.01.118</w:t>
        </w:r>
      </w:hyperlink>
      <w:r>
        <w:rPr>
          <w:rFonts w:cs="Tahoma"/>
          <w:sz w:val="24"/>
          <w:szCs w:val="24"/>
        </w:rPr>
        <w:t xml:space="preserve">    PMID: 184223703.</w:t>
      </w:r>
      <w:r w:rsidRPr="00D24236">
        <w:rPr>
          <w:rFonts w:cs="Tahoma"/>
          <w:sz w:val="24"/>
          <w:szCs w:val="24"/>
        </w:rPr>
        <w:t xml:space="preserve"> </w:t>
      </w:r>
    </w:p>
    <w:p w14:paraId="778458D8" w14:textId="77777777" w:rsidR="00FE240D" w:rsidRDefault="00FE240D" w:rsidP="00FE240D">
      <w:pPr>
        <w:pStyle w:val="NoSpacing"/>
        <w:numPr>
          <w:ilvl w:val="0"/>
          <w:numId w:val="4"/>
        </w:numPr>
        <w:spacing w:line="360" w:lineRule="auto"/>
        <w:jc w:val="both"/>
        <w:rPr>
          <w:rFonts w:cs="Tahoma"/>
          <w:sz w:val="24"/>
          <w:szCs w:val="24"/>
        </w:rPr>
      </w:pPr>
      <w:r>
        <w:rPr>
          <w:rFonts w:cs="Tahoma"/>
          <w:sz w:val="28"/>
          <w:szCs w:val="28"/>
        </w:rPr>
        <w:t xml:space="preserve"> </w:t>
      </w:r>
      <w:r w:rsidRPr="00FE240D">
        <w:rPr>
          <w:rFonts w:cs="Tahoma"/>
          <w:sz w:val="24"/>
          <w:szCs w:val="24"/>
        </w:rPr>
        <w:t>Barry MJ. Evaluation of symptoms and quality of life in men with benign prostatic hyperplasia. Urology. 2001; 58: 25-</w:t>
      </w:r>
      <w:proofErr w:type="gramStart"/>
      <w:r w:rsidRPr="00FE240D">
        <w:rPr>
          <w:rFonts w:cs="Tahoma"/>
          <w:sz w:val="24"/>
          <w:szCs w:val="24"/>
        </w:rPr>
        <w:t>32.</w:t>
      </w:r>
      <w:r w:rsidR="00012A96">
        <w:rPr>
          <w:rFonts w:cs="Tahoma"/>
          <w:sz w:val="24"/>
          <w:szCs w:val="24"/>
        </w:rPr>
        <w:t>discussion</w:t>
      </w:r>
      <w:proofErr w:type="gramEnd"/>
      <w:r w:rsidR="00012A96">
        <w:rPr>
          <w:rFonts w:cs="Tahoma"/>
          <w:sz w:val="24"/>
          <w:szCs w:val="24"/>
        </w:rPr>
        <w:t xml:space="preserve"> 32. </w:t>
      </w:r>
      <w:proofErr w:type="spellStart"/>
      <w:r w:rsidR="0087411B">
        <w:rPr>
          <w:rFonts w:cs="Tahoma"/>
          <w:sz w:val="24"/>
          <w:szCs w:val="24"/>
        </w:rPr>
        <w:t>d</w:t>
      </w:r>
      <w:r w:rsidR="00012A96">
        <w:rPr>
          <w:rFonts w:cs="Tahoma"/>
          <w:sz w:val="24"/>
          <w:szCs w:val="24"/>
        </w:rPr>
        <w:t>oi</w:t>
      </w:r>
      <w:proofErr w:type="spellEnd"/>
      <w:r w:rsidR="00012A96">
        <w:rPr>
          <w:rFonts w:cs="Tahoma"/>
          <w:sz w:val="24"/>
          <w:szCs w:val="24"/>
        </w:rPr>
        <w:t>: 10.1016/s0090-4295(01)01300-0.   PMID: 11750246.</w:t>
      </w:r>
    </w:p>
    <w:p w14:paraId="2B514CC8" w14:textId="77777777" w:rsidR="00E95173" w:rsidRPr="00FE240D" w:rsidRDefault="00E95173" w:rsidP="00E95173">
      <w:pPr>
        <w:pStyle w:val="NoSpacing"/>
        <w:spacing w:line="360" w:lineRule="auto"/>
        <w:ind w:left="360"/>
        <w:jc w:val="both"/>
        <w:rPr>
          <w:rFonts w:cs="Tahoma"/>
          <w:sz w:val="24"/>
          <w:szCs w:val="24"/>
        </w:rPr>
      </w:pPr>
    </w:p>
    <w:p w14:paraId="68FB674D" w14:textId="77777777" w:rsidR="00FE240D"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sidRPr="00CE0F50">
        <w:rPr>
          <w:rFonts w:ascii="Times New Roman" w:eastAsia="Calibri" w:hAnsi="Times New Roman" w:cs="Times New Roman"/>
          <w:color w:val="000000"/>
          <w:sz w:val="24"/>
          <w:szCs w:val="24"/>
          <w:shd w:val="clear" w:color="auto" w:fill="FFFFFF"/>
        </w:rPr>
        <w:t>Isikay</w:t>
      </w:r>
      <w:proofErr w:type="spellEnd"/>
      <w:r w:rsidRPr="00CE0F50">
        <w:rPr>
          <w:rFonts w:ascii="Times New Roman" w:eastAsia="Calibri" w:hAnsi="Times New Roman" w:cs="Times New Roman"/>
          <w:color w:val="000000"/>
          <w:sz w:val="24"/>
          <w:szCs w:val="24"/>
          <w:shd w:val="clear" w:color="auto" w:fill="FFFFFF"/>
        </w:rPr>
        <w:t xml:space="preserve"> L, </w:t>
      </w:r>
      <w:proofErr w:type="spellStart"/>
      <w:r w:rsidRPr="00CE0F50">
        <w:rPr>
          <w:rFonts w:ascii="Times New Roman" w:eastAsia="Calibri" w:hAnsi="Times New Roman" w:cs="Times New Roman"/>
          <w:color w:val="000000"/>
          <w:sz w:val="24"/>
          <w:szCs w:val="24"/>
          <w:shd w:val="clear" w:color="auto" w:fill="FFFFFF"/>
        </w:rPr>
        <w:t>Turgay</w:t>
      </w:r>
      <w:proofErr w:type="spellEnd"/>
      <w:r w:rsidRPr="00CE0F50">
        <w:rPr>
          <w:rFonts w:ascii="Times New Roman" w:eastAsia="Calibri" w:hAnsi="Times New Roman" w:cs="Times New Roman"/>
          <w:color w:val="000000"/>
          <w:sz w:val="24"/>
          <w:szCs w:val="24"/>
          <w:shd w:val="clear" w:color="auto" w:fill="FFFFFF"/>
        </w:rPr>
        <w:t xml:space="preserve"> AK, </w:t>
      </w:r>
      <w:proofErr w:type="spellStart"/>
      <w:r w:rsidRPr="00CE0F50">
        <w:rPr>
          <w:rFonts w:ascii="Times New Roman" w:eastAsia="Calibri" w:hAnsi="Times New Roman" w:cs="Times New Roman"/>
          <w:color w:val="000000"/>
          <w:sz w:val="24"/>
          <w:szCs w:val="24"/>
          <w:shd w:val="clear" w:color="auto" w:fill="FFFFFF"/>
        </w:rPr>
        <w:t>Nuhoglu</w:t>
      </w:r>
      <w:proofErr w:type="spellEnd"/>
      <w:r w:rsidRPr="00CE0F50">
        <w:rPr>
          <w:rFonts w:ascii="Times New Roman" w:eastAsia="Calibri" w:hAnsi="Times New Roman" w:cs="Times New Roman"/>
          <w:color w:val="000000"/>
          <w:sz w:val="24"/>
          <w:szCs w:val="24"/>
          <w:shd w:val="clear" w:color="auto" w:fill="FFFFFF"/>
        </w:rPr>
        <w:t xml:space="preserve"> B, </w:t>
      </w:r>
      <w:proofErr w:type="spellStart"/>
      <w:r>
        <w:rPr>
          <w:rFonts w:ascii="Times New Roman" w:eastAsia="Calibri" w:hAnsi="Times New Roman" w:cs="Times New Roman"/>
          <w:color w:val="000000"/>
          <w:sz w:val="24"/>
          <w:szCs w:val="24"/>
          <w:shd w:val="clear" w:color="auto" w:fill="FFFFFF"/>
        </w:rPr>
        <w:t>Ozdwmir</w:t>
      </w:r>
      <w:proofErr w:type="spellEnd"/>
      <w:r>
        <w:rPr>
          <w:rFonts w:ascii="Times New Roman" w:eastAsia="Calibri" w:hAnsi="Times New Roman" w:cs="Times New Roman"/>
          <w:color w:val="000000"/>
          <w:sz w:val="24"/>
          <w:szCs w:val="24"/>
          <w:shd w:val="clear" w:color="auto" w:fill="FFFFFF"/>
        </w:rPr>
        <w:t xml:space="preserve"> G, </w:t>
      </w:r>
      <w:proofErr w:type="spellStart"/>
      <w:r>
        <w:rPr>
          <w:rFonts w:ascii="Times New Roman" w:eastAsia="Calibri" w:hAnsi="Times New Roman" w:cs="Times New Roman"/>
          <w:color w:val="000000"/>
          <w:sz w:val="24"/>
          <w:szCs w:val="24"/>
          <w:shd w:val="clear" w:color="auto" w:fill="FFFFFF"/>
        </w:rPr>
        <w:t>Ayyildiz</w:t>
      </w:r>
      <w:proofErr w:type="spellEnd"/>
      <w:r>
        <w:rPr>
          <w:rFonts w:ascii="Times New Roman" w:eastAsia="Calibri" w:hAnsi="Times New Roman" w:cs="Times New Roman"/>
          <w:color w:val="000000"/>
          <w:sz w:val="24"/>
          <w:szCs w:val="24"/>
          <w:shd w:val="clear" w:color="auto" w:fill="FFFFFF"/>
        </w:rPr>
        <w:t xml:space="preserve"> A, </w:t>
      </w:r>
      <w:proofErr w:type="spellStart"/>
      <w:r>
        <w:rPr>
          <w:rFonts w:ascii="Times New Roman" w:eastAsia="Calibri" w:hAnsi="Times New Roman" w:cs="Times New Roman"/>
          <w:color w:val="000000"/>
          <w:sz w:val="24"/>
          <w:szCs w:val="24"/>
          <w:shd w:val="clear" w:color="auto" w:fill="FFFFFF"/>
        </w:rPr>
        <w:t>Cavumirza</w:t>
      </w:r>
      <w:proofErr w:type="spellEnd"/>
      <w:r>
        <w:rPr>
          <w:rFonts w:ascii="Times New Roman" w:eastAsia="Calibri" w:hAnsi="Times New Roman" w:cs="Times New Roman"/>
          <w:color w:val="000000"/>
          <w:sz w:val="24"/>
          <w:szCs w:val="24"/>
          <w:shd w:val="clear" w:color="auto" w:fill="FFFFFF"/>
        </w:rPr>
        <w:t xml:space="preserve"> T, </w:t>
      </w:r>
      <w:r w:rsidRPr="00CE0F50">
        <w:rPr>
          <w:rFonts w:ascii="Times New Roman" w:eastAsia="Calibri" w:hAnsi="Times New Roman" w:cs="Times New Roman"/>
          <w:color w:val="000000"/>
          <w:sz w:val="24"/>
          <w:szCs w:val="24"/>
          <w:shd w:val="clear" w:color="auto" w:fill="FFFFFF"/>
        </w:rPr>
        <w:t>et al.</w:t>
      </w:r>
      <w:r>
        <w:rPr>
          <w:rFonts w:ascii="Times New Roman" w:eastAsia="Calibri" w:hAnsi="Times New Roman" w:cs="Times New Roman"/>
          <w:color w:val="000000"/>
          <w:sz w:val="24"/>
          <w:szCs w:val="24"/>
          <w:shd w:val="clear" w:color="auto" w:fill="FFFFFF"/>
        </w:rPr>
        <w:t xml:space="preserve"> (2007) Lower urinary tract symptoms, prostate volume, </w:t>
      </w:r>
      <w:proofErr w:type="spellStart"/>
      <w:r>
        <w:rPr>
          <w:rFonts w:ascii="Times New Roman" w:eastAsia="Calibri" w:hAnsi="Times New Roman" w:cs="Times New Roman"/>
          <w:color w:val="000000"/>
          <w:sz w:val="24"/>
          <w:szCs w:val="24"/>
          <w:shd w:val="clear" w:color="auto" w:fill="FFFFFF"/>
        </w:rPr>
        <w:t>uroflometry</w:t>
      </w:r>
      <w:proofErr w:type="spellEnd"/>
      <w:r>
        <w:rPr>
          <w:rFonts w:ascii="Times New Roman" w:eastAsia="Calibri" w:hAnsi="Times New Roman" w:cs="Times New Roman"/>
          <w:color w:val="000000"/>
          <w:sz w:val="24"/>
          <w:szCs w:val="24"/>
          <w:shd w:val="clear" w:color="auto" w:fill="FFFFFF"/>
        </w:rPr>
        <w:t>, r</w:t>
      </w:r>
      <w:r w:rsidRPr="00CE0F50">
        <w:rPr>
          <w:rFonts w:ascii="Times New Roman" w:eastAsia="Calibri" w:hAnsi="Times New Roman" w:cs="Times New Roman"/>
          <w:color w:val="000000"/>
          <w:sz w:val="24"/>
          <w:szCs w:val="24"/>
          <w:shd w:val="clear" w:color="auto" w:fill="FFFFFF"/>
        </w:rPr>
        <w:t xml:space="preserve">esidual urine volume, and bladder wall thickness in Turkish men: a comparative analysis. </w:t>
      </w:r>
      <w:proofErr w:type="spellStart"/>
      <w:r w:rsidRPr="00CE0F50">
        <w:rPr>
          <w:rFonts w:ascii="Times New Roman" w:eastAsia="Calibri" w:hAnsi="Times New Roman" w:cs="Times New Roman"/>
          <w:color w:val="000000"/>
          <w:sz w:val="24"/>
          <w:szCs w:val="24"/>
          <w:shd w:val="clear" w:color="auto" w:fill="FFFFFF"/>
        </w:rPr>
        <w:t>Int.Urol</w:t>
      </w:r>
      <w:proofErr w:type="spellEnd"/>
      <w:r w:rsidRPr="00CE0F50">
        <w:rPr>
          <w:rFonts w:ascii="Times New Roman" w:eastAsia="Calibri" w:hAnsi="Times New Roman" w:cs="Times New Roman"/>
          <w:color w:val="000000"/>
          <w:sz w:val="24"/>
          <w:szCs w:val="24"/>
          <w:shd w:val="clear" w:color="auto" w:fill="FFFFFF"/>
        </w:rPr>
        <w:t xml:space="preserve">. </w:t>
      </w:r>
      <w:proofErr w:type="spellStart"/>
      <w:r w:rsidRPr="00CE0F50">
        <w:rPr>
          <w:rFonts w:ascii="Times New Roman" w:eastAsia="Calibri" w:hAnsi="Times New Roman" w:cs="Times New Roman"/>
          <w:color w:val="000000"/>
          <w:sz w:val="24"/>
          <w:szCs w:val="24"/>
          <w:shd w:val="clear" w:color="auto" w:fill="FFFFFF"/>
        </w:rPr>
        <w:t>Nephrol</w:t>
      </w:r>
      <w:proofErr w:type="spellEnd"/>
      <w:r w:rsidRPr="00CE0F50">
        <w:rPr>
          <w:rFonts w:ascii="Times New Roman" w:eastAsia="Calibri" w:hAnsi="Times New Roman" w:cs="Times New Roman"/>
          <w:color w:val="000000"/>
          <w:sz w:val="24"/>
          <w:szCs w:val="24"/>
          <w:shd w:val="clear" w:color="auto" w:fill="FFFFFF"/>
        </w:rPr>
        <w:t xml:space="preserve">. 2007; 39: 1131-35. </w:t>
      </w:r>
      <w:r>
        <w:rPr>
          <w:rFonts w:ascii="Times New Roman" w:eastAsia="Calibri" w:hAnsi="Times New Roman" w:cs="Times New Roman"/>
          <w:color w:val="000000"/>
          <w:sz w:val="24"/>
          <w:szCs w:val="24"/>
          <w:shd w:val="clear" w:color="auto" w:fill="FFFFFF"/>
        </w:rPr>
        <w:t xml:space="preserve"> </w:t>
      </w:r>
      <w:hyperlink r:id="rId13" w:history="1">
        <w:r w:rsidRPr="009D0C7F">
          <w:rPr>
            <w:rStyle w:val="Hyperlink"/>
            <w:rFonts w:ascii="Times New Roman" w:eastAsia="Calibri" w:hAnsi="Times New Roman" w:cs="Times New Roman"/>
            <w:sz w:val="24"/>
            <w:szCs w:val="24"/>
            <w:shd w:val="clear" w:color="auto" w:fill="FFFFFF"/>
          </w:rPr>
          <w:t>https://doi.org/10.1007/s11255-006-9161-y</w:t>
        </w:r>
      </w:hyperlink>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Epub</w:t>
      </w:r>
      <w:proofErr w:type="spellEnd"/>
      <w:r>
        <w:rPr>
          <w:rFonts w:ascii="Times New Roman" w:eastAsia="Calibri" w:hAnsi="Times New Roman" w:cs="Times New Roman"/>
          <w:color w:val="000000"/>
          <w:sz w:val="24"/>
          <w:szCs w:val="24"/>
          <w:shd w:val="clear" w:color="auto" w:fill="FFFFFF"/>
        </w:rPr>
        <w:t xml:space="preserve"> 2007 Mae 2. PMID: 17333519.</w:t>
      </w:r>
    </w:p>
    <w:p w14:paraId="0FB6DC3A" w14:textId="77777777" w:rsidR="00E95173" w:rsidRPr="00E95173" w:rsidRDefault="00E95173" w:rsidP="00E95173">
      <w:pPr>
        <w:pStyle w:val="ListParagraph"/>
        <w:rPr>
          <w:rFonts w:ascii="Times New Roman" w:eastAsia="Calibri" w:hAnsi="Times New Roman" w:cs="Times New Roman"/>
          <w:color w:val="000000"/>
          <w:sz w:val="24"/>
          <w:szCs w:val="24"/>
          <w:shd w:val="clear" w:color="auto" w:fill="FFFFFF"/>
        </w:rPr>
      </w:pPr>
    </w:p>
    <w:p w14:paraId="752B5C15" w14:textId="77777777" w:rsidR="00E95173" w:rsidRPr="00CE0F50" w:rsidRDefault="00E95173" w:rsidP="00E95173">
      <w:pPr>
        <w:pStyle w:val="ListParagraph"/>
        <w:spacing w:line="480" w:lineRule="auto"/>
        <w:ind w:left="360"/>
        <w:rPr>
          <w:rFonts w:ascii="Times New Roman" w:eastAsia="Calibri" w:hAnsi="Times New Roman" w:cs="Times New Roman"/>
          <w:color w:val="000000"/>
          <w:sz w:val="24"/>
          <w:szCs w:val="24"/>
          <w:shd w:val="clear" w:color="auto" w:fill="FFFFFF"/>
        </w:rPr>
      </w:pPr>
    </w:p>
    <w:p w14:paraId="1B78889E" w14:textId="77777777" w:rsidR="00712BC2" w:rsidRDefault="00712BC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lastRenderedPageBreak/>
        <w:t xml:space="preserve"> </w:t>
      </w:r>
      <w:proofErr w:type="spellStart"/>
      <w:r>
        <w:rPr>
          <w:rFonts w:ascii="Times New Roman" w:eastAsia="Calibri" w:hAnsi="Times New Roman" w:cs="Times New Roman"/>
          <w:color w:val="000000"/>
          <w:sz w:val="24"/>
          <w:szCs w:val="24"/>
          <w:shd w:val="clear" w:color="auto" w:fill="FFFFFF"/>
        </w:rPr>
        <w:t>Ahuizechukwu</w:t>
      </w:r>
      <w:proofErr w:type="spellEnd"/>
      <w:r>
        <w:rPr>
          <w:rFonts w:ascii="Times New Roman" w:eastAsia="Calibri" w:hAnsi="Times New Roman" w:cs="Times New Roman"/>
          <w:color w:val="000000"/>
          <w:sz w:val="24"/>
          <w:szCs w:val="24"/>
          <w:shd w:val="clear" w:color="auto" w:fill="FFFFFF"/>
        </w:rPr>
        <w:t xml:space="preserve"> OE, </w:t>
      </w:r>
      <w:proofErr w:type="spellStart"/>
      <w:r>
        <w:rPr>
          <w:rFonts w:ascii="Times New Roman" w:eastAsia="Calibri" w:hAnsi="Times New Roman" w:cs="Times New Roman"/>
          <w:color w:val="000000"/>
          <w:sz w:val="24"/>
          <w:szCs w:val="24"/>
          <w:shd w:val="clear" w:color="auto" w:fill="FFFFFF"/>
        </w:rPr>
        <w:t>Ekwunife</w:t>
      </w:r>
      <w:proofErr w:type="spellEnd"/>
      <w:r>
        <w:rPr>
          <w:rFonts w:ascii="Times New Roman" w:eastAsia="Calibri" w:hAnsi="Times New Roman" w:cs="Times New Roman"/>
          <w:color w:val="000000"/>
          <w:sz w:val="24"/>
          <w:szCs w:val="24"/>
          <w:shd w:val="clear" w:color="auto" w:fill="FFFFFF"/>
        </w:rPr>
        <w:t xml:space="preserve"> NA, Kingsley OC,</w:t>
      </w:r>
      <w:r w:rsidR="00E95173">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Obiora</w:t>
      </w:r>
      <w:proofErr w:type="spellEnd"/>
      <w:r>
        <w:rPr>
          <w:rFonts w:ascii="Times New Roman" w:eastAsia="Calibri" w:hAnsi="Times New Roman" w:cs="Times New Roman"/>
          <w:color w:val="000000"/>
          <w:sz w:val="24"/>
          <w:szCs w:val="24"/>
          <w:shd w:val="clear" w:color="auto" w:fill="FFFFFF"/>
        </w:rPr>
        <w:t xml:space="preserve"> MO. Correlation between prostate volume measurement by ultrasound and detrusor wall thickness in men with benign prostatic hypertrophy. J West </w:t>
      </w:r>
      <w:proofErr w:type="spellStart"/>
      <w:r>
        <w:rPr>
          <w:rFonts w:ascii="Times New Roman" w:eastAsia="Calibri" w:hAnsi="Times New Roman" w:cs="Times New Roman"/>
          <w:color w:val="000000"/>
          <w:sz w:val="24"/>
          <w:szCs w:val="24"/>
          <w:shd w:val="clear" w:color="auto" w:fill="FFFFFF"/>
        </w:rPr>
        <w:t>Afr</w:t>
      </w:r>
      <w:proofErr w:type="spellEnd"/>
      <w:r>
        <w:rPr>
          <w:rFonts w:ascii="Times New Roman" w:eastAsia="Calibri" w:hAnsi="Times New Roman" w:cs="Times New Roman"/>
          <w:color w:val="000000"/>
          <w:sz w:val="24"/>
          <w:szCs w:val="24"/>
          <w:shd w:val="clear" w:color="auto" w:fill="FFFFFF"/>
        </w:rPr>
        <w:t xml:space="preserve"> Coll Surg, 2020; 10: 1-5.  </w:t>
      </w:r>
      <w:proofErr w:type="spellStart"/>
      <w:r w:rsidRPr="00712BC2">
        <w:rPr>
          <w:rFonts w:ascii="Times New Roman" w:eastAsia="Calibri" w:hAnsi="Times New Roman" w:cs="Times New Roman"/>
          <w:color w:val="000000"/>
          <w:sz w:val="24"/>
          <w:szCs w:val="24"/>
          <w:shd w:val="clear" w:color="auto" w:fill="FFFFFF"/>
        </w:rPr>
        <w:t>doi</w:t>
      </w:r>
      <w:proofErr w:type="spellEnd"/>
      <w:r w:rsidRPr="00712BC2">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10.4103/jwas_19_22</w:t>
      </w:r>
    </w:p>
    <w:p w14:paraId="7A1DD9F4" w14:textId="77777777" w:rsidR="00E95173" w:rsidRDefault="00E95173" w:rsidP="00E95173">
      <w:pPr>
        <w:pStyle w:val="ListParagraph"/>
        <w:spacing w:line="480" w:lineRule="auto"/>
        <w:ind w:left="360"/>
        <w:rPr>
          <w:rFonts w:ascii="Times New Roman" w:eastAsia="Calibri" w:hAnsi="Times New Roman" w:cs="Times New Roman"/>
          <w:color w:val="000000"/>
          <w:sz w:val="24"/>
          <w:szCs w:val="24"/>
          <w:shd w:val="clear" w:color="auto" w:fill="FFFFFF"/>
        </w:rPr>
      </w:pPr>
    </w:p>
    <w:p w14:paraId="663F6D8F" w14:textId="77777777" w:rsidR="00712BC2" w:rsidRDefault="00712BC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Pr>
          <w:rFonts w:ascii="Times New Roman" w:eastAsia="Calibri" w:hAnsi="Times New Roman" w:cs="Times New Roman"/>
          <w:color w:val="000000"/>
          <w:sz w:val="24"/>
          <w:szCs w:val="24"/>
          <w:shd w:val="clear" w:color="auto" w:fill="FFFFFF"/>
        </w:rPr>
        <w:t>Apata</w:t>
      </w:r>
      <w:proofErr w:type="spellEnd"/>
      <w:r>
        <w:rPr>
          <w:rFonts w:ascii="Times New Roman" w:eastAsia="Calibri" w:hAnsi="Times New Roman" w:cs="Times New Roman"/>
          <w:color w:val="000000"/>
          <w:sz w:val="24"/>
          <w:szCs w:val="24"/>
          <w:shd w:val="clear" w:color="auto" w:fill="FFFFFF"/>
        </w:rPr>
        <w:t xml:space="preserve"> KO, </w:t>
      </w:r>
      <w:proofErr w:type="spellStart"/>
      <w:r>
        <w:rPr>
          <w:rFonts w:ascii="Times New Roman" w:eastAsia="Calibri" w:hAnsi="Times New Roman" w:cs="Times New Roman"/>
          <w:color w:val="000000"/>
          <w:sz w:val="24"/>
          <w:szCs w:val="24"/>
          <w:shd w:val="clear" w:color="auto" w:fill="FFFFFF"/>
        </w:rPr>
        <w:t>Jeje</w:t>
      </w:r>
      <w:proofErr w:type="spellEnd"/>
      <w:r>
        <w:rPr>
          <w:rFonts w:ascii="Times New Roman" w:eastAsia="Calibri" w:hAnsi="Times New Roman" w:cs="Times New Roman"/>
          <w:color w:val="000000"/>
          <w:sz w:val="24"/>
          <w:szCs w:val="24"/>
          <w:shd w:val="clear" w:color="auto" w:fill="FFFFFF"/>
        </w:rPr>
        <w:t xml:space="preserve"> </w:t>
      </w:r>
      <w:proofErr w:type="spellStart"/>
      <w:proofErr w:type="gramStart"/>
      <w:r>
        <w:rPr>
          <w:rFonts w:ascii="Times New Roman" w:eastAsia="Calibri" w:hAnsi="Times New Roman" w:cs="Times New Roman"/>
          <w:color w:val="000000"/>
          <w:sz w:val="24"/>
          <w:szCs w:val="24"/>
          <w:shd w:val="clear" w:color="auto" w:fill="FFFFFF"/>
        </w:rPr>
        <w:t>EA,Tijani</w:t>
      </w:r>
      <w:proofErr w:type="spellEnd"/>
      <w:proofErr w:type="gramEnd"/>
      <w:r>
        <w:rPr>
          <w:rFonts w:ascii="Times New Roman" w:eastAsia="Calibri" w:hAnsi="Times New Roman" w:cs="Times New Roman"/>
          <w:color w:val="000000"/>
          <w:sz w:val="24"/>
          <w:szCs w:val="24"/>
          <w:shd w:val="clear" w:color="auto" w:fill="FFFFFF"/>
        </w:rPr>
        <w:t xml:space="preserve"> KH, </w:t>
      </w:r>
      <w:proofErr w:type="spellStart"/>
      <w:r>
        <w:rPr>
          <w:rFonts w:ascii="Times New Roman" w:eastAsia="Calibri" w:hAnsi="Times New Roman" w:cs="Times New Roman"/>
          <w:color w:val="000000"/>
          <w:sz w:val="24"/>
          <w:szCs w:val="24"/>
          <w:shd w:val="clear" w:color="auto" w:fill="FFFFFF"/>
        </w:rPr>
        <w:t>Ogunjimi</w:t>
      </w:r>
      <w:proofErr w:type="spellEnd"/>
      <w:r>
        <w:rPr>
          <w:rFonts w:ascii="Times New Roman" w:eastAsia="Calibri" w:hAnsi="Times New Roman" w:cs="Times New Roman"/>
          <w:color w:val="000000"/>
          <w:sz w:val="24"/>
          <w:szCs w:val="24"/>
          <w:shd w:val="clear" w:color="auto" w:fill="FFFFFF"/>
        </w:rPr>
        <w:t xml:space="preserve"> am, </w:t>
      </w:r>
      <w:proofErr w:type="spellStart"/>
      <w:r>
        <w:rPr>
          <w:rFonts w:ascii="Times New Roman" w:eastAsia="Calibri" w:hAnsi="Times New Roman" w:cs="Times New Roman"/>
          <w:color w:val="000000"/>
          <w:sz w:val="24"/>
          <w:szCs w:val="24"/>
          <w:shd w:val="clear" w:color="auto" w:fill="FFFFFF"/>
        </w:rPr>
        <w:t>Ojewole</w:t>
      </w:r>
      <w:proofErr w:type="spellEnd"/>
      <w:r>
        <w:rPr>
          <w:rFonts w:ascii="Times New Roman" w:eastAsia="Calibri" w:hAnsi="Times New Roman" w:cs="Times New Roman"/>
          <w:color w:val="000000"/>
          <w:sz w:val="24"/>
          <w:szCs w:val="24"/>
          <w:shd w:val="clear" w:color="auto" w:fill="FFFFFF"/>
        </w:rPr>
        <w:t xml:space="preserve"> RW, </w:t>
      </w:r>
      <w:proofErr w:type="spellStart"/>
      <w:r>
        <w:rPr>
          <w:rFonts w:ascii="Times New Roman" w:eastAsia="Calibri" w:hAnsi="Times New Roman" w:cs="Times New Roman"/>
          <w:color w:val="000000"/>
          <w:sz w:val="24"/>
          <w:szCs w:val="24"/>
          <w:shd w:val="clear" w:color="auto" w:fill="FFFFFF"/>
        </w:rPr>
        <w:t>Adeyomoye</w:t>
      </w:r>
      <w:proofErr w:type="spellEnd"/>
      <w:r>
        <w:rPr>
          <w:rFonts w:ascii="Times New Roman" w:eastAsia="Calibri" w:hAnsi="Times New Roman" w:cs="Times New Roman"/>
          <w:color w:val="000000"/>
          <w:sz w:val="24"/>
          <w:szCs w:val="24"/>
          <w:shd w:val="clear" w:color="auto" w:fill="FFFFFF"/>
        </w:rPr>
        <w:t xml:space="preserve"> AA. Correlation between the international Prostate System Score and sonographic </w:t>
      </w:r>
      <w:proofErr w:type="spellStart"/>
      <w:r>
        <w:rPr>
          <w:rFonts w:ascii="Times New Roman" w:eastAsia="Calibri" w:hAnsi="Times New Roman" w:cs="Times New Roman"/>
          <w:color w:val="000000"/>
          <w:sz w:val="24"/>
          <w:szCs w:val="24"/>
          <w:shd w:val="clear" w:color="auto" w:fill="FFFFFF"/>
        </w:rPr>
        <w:t>parametres</w:t>
      </w:r>
      <w:proofErr w:type="spellEnd"/>
      <w:r>
        <w:rPr>
          <w:rFonts w:ascii="Times New Roman" w:eastAsia="Calibri" w:hAnsi="Times New Roman" w:cs="Times New Roman"/>
          <w:color w:val="000000"/>
          <w:sz w:val="24"/>
          <w:szCs w:val="24"/>
          <w:shd w:val="clear" w:color="auto" w:fill="FFFFFF"/>
        </w:rPr>
        <w:t xml:space="preserve"> in patients with symptomatic benign prostatic enlargement. J Clin Sci. 2023; 20: 1-7. doi:10.4103/jcls_21_22 </w:t>
      </w:r>
    </w:p>
    <w:p w14:paraId="2A5AF3F9" w14:textId="77777777" w:rsidR="00891A12" w:rsidRPr="00891A12" w:rsidRDefault="00891A1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CE0F50">
        <w:rPr>
          <w:rFonts w:ascii="Times New Roman" w:eastAsia="Times New Roman" w:hAnsi="Times New Roman" w:cs="Times New Roman"/>
          <w:color w:val="000000"/>
          <w:sz w:val="24"/>
          <w:szCs w:val="24"/>
          <w:lang w:eastAsia="en-GB"/>
        </w:rPr>
        <w:t xml:space="preserve">Bhattarai K, Khadka H, Thapa BR, </w:t>
      </w:r>
      <w:proofErr w:type="spellStart"/>
      <w:r w:rsidRPr="00CE0F50">
        <w:rPr>
          <w:rFonts w:ascii="Times New Roman" w:eastAsia="Times New Roman" w:hAnsi="Times New Roman" w:cs="Times New Roman"/>
          <w:color w:val="000000"/>
          <w:sz w:val="24"/>
          <w:szCs w:val="24"/>
          <w:lang w:eastAsia="en-GB"/>
        </w:rPr>
        <w:t>Katwal</w:t>
      </w:r>
      <w:proofErr w:type="spellEnd"/>
      <w:r w:rsidRPr="00CE0F50">
        <w:rPr>
          <w:rFonts w:ascii="Times New Roman" w:eastAsia="Times New Roman" w:hAnsi="Times New Roman" w:cs="Times New Roman"/>
          <w:color w:val="000000"/>
          <w:sz w:val="24"/>
          <w:szCs w:val="24"/>
          <w:lang w:eastAsia="en-GB"/>
        </w:rPr>
        <w:t xml:space="preserve"> S. </w:t>
      </w:r>
      <w:r>
        <w:rPr>
          <w:rFonts w:ascii="Times New Roman" w:eastAsia="Times New Roman" w:hAnsi="Times New Roman" w:cs="Times New Roman"/>
          <w:color w:val="000000"/>
          <w:sz w:val="24"/>
          <w:szCs w:val="24"/>
          <w:lang w:eastAsia="en-GB"/>
        </w:rPr>
        <w:t xml:space="preserve">(2024) </w:t>
      </w:r>
      <w:r w:rsidRPr="00CE0F50">
        <w:rPr>
          <w:rFonts w:ascii="Times New Roman" w:eastAsia="Times New Roman" w:hAnsi="Times New Roman" w:cs="Times New Roman"/>
          <w:color w:val="000000"/>
          <w:sz w:val="24"/>
          <w:szCs w:val="24"/>
          <w:lang w:eastAsia="en-GB"/>
        </w:rPr>
        <w:t xml:space="preserve">Association of detrusor wall thickness (DWT) with lower urinary tract symptom severity in benign prostatic hyperplasia: a cross-sectional study. Annals of Medicine and Surgery. 2024 Apr 17; 86(6):3249–54.  </w:t>
      </w:r>
      <w:hyperlink r:id="rId14" w:history="1">
        <w:r w:rsidRPr="00CE0F50">
          <w:rPr>
            <w:rFonts w:ascii="Times New Roman" w:eastAsia="Times New Roman" w:hAnsi="Times New Roman" w:cs="Times New Roman"/>
            <w:color w:val="0563C1"/>
            <w:sz w:val="24"/>
            <w:szCs w:val="24"/>
            <w:u w:val="single"/>
            <w:lang w:eastAsia="en-GB"/>
          </w:rPr>
          <w:t>https://doi.org/10.1097/ms9.0000000000002062</w:t>
        </w:r>
      </w:hyperlink>
      <w:r w:rsidRPr="00CE0F50">
        <w:rPr>
          <w:rFonts w:ascii="Times New Roman" w:eastAsia="Times New Roman" w:hAnsi="Times New Roman" w:cs="Times New Roman"/>
          <w:color w:val="0563C1"/>
          <w:sz w:val="24"/>
          <w:szCs w:val="24"/>
          <w:u w:val="single"/>
          <w:lang w:eastAsia="en-GB"/>
        </w:rPr>
        <w:t xml:space="preserve"> </w:t>
      </w:r>
    </w:p>
    <w:p w14:paraId="7E4E55F2" w14:textId="77777777" w:rsidR="00891A12" w:rsidRPr="00891A12" w:rsidRDefault="00891A1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Park J, Suh J, </w:t>
      </w:r>
      <w:proofErr w:type="spellStart"/>
      <w:r>
        <w:rPr>
          <w:rFonts w:ascii="Times New Roman" w:eastAsia="Calibri" w:hAnsi="Times New Roman" w:cs="Times New Roman"/>
          <w:color w:val="000000" w:themeColor="text1"/>
          <w:sz w:val="24"/>
          <w:szCs w:val="24"/>
          <w:shd w:val="clear" w:color="auto" w:fill="FFFFFF"/>
        </w:rPr>
        <w:t>Yoo</w:t>
      </w:r>
      <w:proofErr w:type="spellEnd"/>
      <w:r>
        <w:rPr>
          <w:rFonts w:ascii="Times New Roman" w:eastAsia="Calibri" w:hAnsi="Times New Roman" w:cs="Times New Roman"/>
          <w:color w:val="000000" w:themeColor="text1"/>
          <w:sz w:val="24"/>
          <w:szCs w:val="24"/>
          <w:shd w:val="clear" w:color="auto" w:fill="FFFFFF"/>
        </w:rPr>
        <w:t xml:space="preserve"> S, Chu MC, Son H. Bladder wall thickness and detrusor wall thickness can help to predict the bladder outlet obstruction in men over the age of 70years with symptomatic benign prostatic hyperplasia. </w:t>
      </w:r>
      <w:proofErr w:type="spellStart"/>
      <w:r w:rsidR="00E95173">
        <w:rPr>
          <w:rFonts w:ascii="Times New Roman" w:eastAsia="Calibri" w:hAnsi="Times New Roman" w:cs="Times New Roman"/>
          <w:color w:val="000000" w:themeColor="text1"/>
          <w:sz w:val="24"/>
          <w:szCs w:val="24"/>
          <w:shd w:val="clear" w:color="auto" w:fill="FFFFFF"/>
        </w:rPr>
        <w:t>Investig</w:t>
      </w:r>
      <w:proofErr w:type="spellEnd"/>
      <w:r>
        <w:rPr>
          <w:rFonts w:ascii="Times New Roman" w:eastAsia="Calibri" w:hAnsi="Times New Roman" w:cs="Times New Roman"/>
          <w:color w:val="000000" w:themeColor="text1"/>
          <w:sz w:val="24"/>
          <w:szCs w:val="24"/>
          <w:shd w:val="clear" w:color="auto" w:fill="FFFFFF"/>
        </w:rPr>
        <w:t xml:space="preserve"> Clin Urol. 2020; 61: 491-497. </w:t>
      </w:r>
      <w:hyperlink r:id="rId15" w:history="1">
        <w:r w:rsidR="00855D7A" w:rsidRPr="00FD6391">
          <w:rPr>
            <w:rStyle w:val="Hyperlink"/>
            <w:rFonts w:ascii="Times New Roman" w:eastAsia="Calibri" w:hAnsi="Times New Roman" w:cs="Times New Roman"/>
            <w:sz w:val="24"/>
            <w:szCs w:val="24"/>
            <w:shd w:val="clear" w:color="auto" w:fill="FFFFFF"/>
          </w:rPr>
          <w:t>https://doi.org/10.4111/icu.20190376</w:t>
        </w:r>
      </w:hyperlink>
      <w:r>
        <w:rPr>
          <w:rFonts w:ascii="Times New Roman" w:eastAsia="Calibri" w:hAnsi="Times New Roman" w:cs="Times New Roman"/>
          <w:color w:val="000000" w:themeColor="text1"/>
          <w:sz w:val="24"/>
          <w:szCs w:val="24"/>
          <w:shd w:val="clear" w:color="auto" w:fill="FFFFFF"/>
        </w:rPr>
        <w:t xml:space="preserve"> </w:t>
      </w:r>
    </w:p>
    <w:p w14:paraId="1E44117D" w14:textId="77777777" w:rsidR="00891A12" w:rsidRPr="00D24236" w:rsidRDefault="00891A12"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Pr>
          <w:rFonts w:cs="Tahoma"/>
          <w:sz w:val="24"/>
          <w:szCs w:val="24"/>
        </w:rPr>
        <w:t>Oelke</w:t>
      </w:r>
      <w:proofErr w:type="spellEnd"/>
      <w:r>
        <w:rPr>
          <w:rFonts w:cs="Tahoma"/>
          <w:sz w:val="24"/>
          <w:szCs w:val="24"/>
        </w:rPr>
        <w:t xml:space="preserve"> M, </w:t>
      </w:r>
      <w:proofErr w:type="spellStart"/>
      <w:r>
        <w:rPr>
          <w:rFonts w:cs="Tahoma"/>
          <w:sz w:val="24"/>
          <w:szCs w:val="24"/>
        </w:rPr>
        <w:t>Hofner</w:t>
      </w:r>
      <w:proofErr w:type="spellEnd"/>
      <w:r>
        <w:rPr>
          <w:rFonts w:cs="Tahoma"/>
          <w:sz w:val="24"/>
          <w:szCs w:val="24"/>
        </w:rPr>
        <w:t xml:space="preserve"> K, Wiese B, Grunewald V, Jonas U</w:t>
      </w:r>
      <w:r w:rsidRPr="00D24236">
        <w:rPr>
          <w:rFonts w:cs="Tahoma"/>
          <w:sz w:val="24"/>
          <w:szCs w:val="24"/>
        </w:rPr>
        <w:t xml:space="preserve">.  </w:t>
      </w:r>
      <w:r>
        <w:rPr>
          <w:rFonts w:cs="Tahoma"/>
          <w:sz w:val="24"/>
          <w:szCs w:val="24"/>
        </w:rPr>
        <w:t xml:space="preserve">(2002) </w:t>
      </w:r>
      <w:r w:rsidRPr="00D24236">
        <w:rPr>
          <w:rFonts w:cs="Tahoma"/>
          <w:sz w:val="24"/>
          <w:szCs w:val="24"/>
        </w:rPr>
        <w:t>Increase in detrusor wall thickness indicates b</w:t>
      </w:r>
      <w:r>
        <w:rPr>
          <w:rFonts w:cs="Tahoma"/>
          <w:sz w:val="24"/>
          <w:szCs w:val="24"/>
        </w:rPr>
        <w:t xml:space="preserve">ladder outlet obstruction (BOO) </w:t>
      </w:r>
      <w:r w:rsidRPr="00D24236">
        <w:rPr>
          <w:rFonts w:cs="Tahoma"/>
          <w:sz w:val="24"/>
          <w:szCs w:val="24"/>
        </w:rPr>
        <w:t xml:space="preserve">in men. World J. Urol. 2002; 19: 443-452. </w:t>
      </w:r>
      <w:r>
        <w:rPr>
          <w:rFonts w:cs="Tahoma"/>
          <w:sz w:val="24"/>
          <w:szCs w:val="24"/>
        </w:rPr>
        <w:t xml:space="preserve"> </w:t>
      </w:r>
      <w:hyperlink r:id="rId16" w:history="1">
        <w:r w:rsidRPr="009D0C7F">
          <w:rPr>
            <w:rStyle w:val="Hyperlink"/>
            <w:rFonts w:cs="Tahoma"/>
            <w:sz w:val="24"/>
            <w:szCs w:val="24"/>
          </w:rPr>
          <w:t>https://doi.org/10.1007/s00345-001-0238-z</w:t>
        </w:r>
      </w:hyperlink>
      <w:r>
        <w:rPr>
          <w:rFonts w:cs="Tahoma"/>
          <w:sz w:val="24"/>
          <w:szCs w:val="24"/>
        </w:rPr>
        <w:t xml:space="preserve">      PMID: 12022713. </w:t>
      </w:r>
    </w:p>
    <w:p w14:paraId="345FA388" w14:textId="77777777" w:rsidR="00891A12" w:rsidRPr="00D24236" w:rsidRDefault="00891A12" w:rsidP="00891A12">
      <w:pPr>
        <w:pStyle w:val="ListParagraph"/>
        <w:rPr>
          <w:rFonts w:cs="Tahoma"/>
          <w:sz w:val="24"/>
          <w:szCs w:val="24"/>
        </w:rPr>
      </w:pPr>
    </w:p>
    <w:p w14:paraId="541157F2" w14:textId="77777777" w:rsidR="00891A12" w:rsidRPr="003A675C" w:rsidRDefault="00891A12"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24236">
        <w:rPr>
          <w:rFonts w:cs="Tahoma"/>
          <w:sz w:val="24"/>
          <w:szCs w:val="24"/>
        </w:rPr>
        <w:t xml:space="preserve">Kessler </w:t>
      </w:r>
      <w:r>
        <w:rPr>
          <w:rFonts w:cs="Tahoma"/>
          <w:sz w:val="24"/>
          <w:szCs w:val="24"/>
        </w:rPr>
        <w:t xml:space="preserve">TM, Gerber R, Burkhard FC, Studer UE, </w:t>
      </w:r>
      <w:proofErr w:type="spellStart"/>
      <w:r>
        <w:rPr>
          <w:rFonts w:cs="Tahoma"/>
          <w:sz w:val="24"/>
          <w:szCs w:val="24"/>
        </w:rPr>
        <w:t>Danuser</w:t>
      </w:r>
      <w:proofErr w:type="spellEnd"/>
      <w:r>
        <w:rPr>
          <w:rFonts w:cs="Tahoma"/>
          <w:sz w:val="24"/>
          <w:szCs w:val="24"/>
        </w:rPr>
        <w:t xml:space="preserve"> H.</w:t>
      </w:r>
      <w:r w:rsidRPr="00D24236">
        <w:rPr>
          <w:rFonts w:cs="Tahoma"/>
          <w:sz w:val="24"/>
          <w:szCs w:val="24"/>
        </w:rPr>
        <w:t xml:space="preserve"> </w:t>
      </w:r>
      <w:r>
        <w:rPr>
          <w:rFonts w:cs="Tahoma"/>
          <w:sz w:val="24"/>
          <w:szCs w:val="24"/>
        </w:rPr>
        <w:t xml:space="preserve">(2006) </w:t>
      </w:r>
      <w:r w:rsidRPr="00D24236">
        <w:rPr>
          <w:rFonts w:cs="Tahoma"/>
          <w:sz w:val="24"/>
          <w:szCs w:val="24"/>
        </w:rPr>
        <w:t xml:space="preserve">Ultrasound assessment of detrusor thickness in men- can it predict bladder outlet obstruction and replace pressure flow study? J. </w:t>
      </w:r>
      <w:proofErr w:type="spellStart"/>
      <w:r w:rsidRPr="00D24236">
        <w:rPr>
          <w:rFonts w:cs="Tahoma"/>
          <w:sz w:val="24"/>
          <w:szCs w:val="24"/>
        </w:rPr>
        <w:t>Urol</w:t>
      </w:r>
      <w:proofErr w:type="spellEnd"/>
      <w:r w:rsidRPr="00D24236">
        <w:rPr>
          <w:rFonts w:cs="Tahoma"/>
          <w:sz w:val="24"/>
          <w:szCs w:val="24"/>
        </w:rPr>
        <w:t xml:space="preserve"> 2006: 175: 2170 - 3. </w:t>
      </w:r>
      <w:r>
        <w:rPr>
          <w:rFonts w:cs="Tahoma"/>
          <w:sz w:val="24"/>
          <w:szCs w:val="24"/>
        </w:rPr>
        <w:t xml:space="preserve">  https</w:t>
      </w:r>
      <w:hyperlink r:id="rId17" w:history="1">
        <w:r>
          <w:rPr>
            <w:rStyle w:val="Hyperlink"/>
            <w:rFonts w:cs="Tahoma"/>
            <w:sz w:val="24"/>
            <w:szCs w:val="24"/>
          </w:rPr>
          <w:t>://doi.org</w:t>
        </w:r>
        <w:r w:rsidRPr="009D0C7F">
          <w:rPr>
            <w:rStyle w:val="Hyperlink"/>
            <w:rFonts w:cs="Tahoma"/>
            <w:sz w:val="24"/>
            <w:szCs w:val="24"/>
          </w:rPr>
          <w:t>/10.1016/S0022-5347(06)00316-8</w:t>
        </w:r>
      </w:hyperlink>
      <w:r>
        <w:rPr>
          <w:rFonts w:cs="Tahoma"/>
          <w:sz w:val="24"/>
          <w:szCs w:val="24"/>
        </w:rPr>
        <w:t xml:space="preserve">  </w:t>
      </w:r>
    </w:p>
    <w:p w14:paraId="3867B9F4" w14:textId="77777777" w:rsidR="00891A12" w:rsidRPr="00891A12" w:rsidRDefault="00891A12" w:rsidP="00891A12">
      <w:pPr>
        <w:pStyle w:val="ListParagraph"/>
        <w:numPr>
          <w:ilvl w:val="0"/>
          <w:numId w:val="4"/>
        </w:numPr>
        <w:spacing w:line="480" w:lineRule="auto"/>
        <w:rPr>
          <w:rStyle w:val="Hyperlink"/>
          <w:rFonts w:ascii="Times New Roman" w:eastAsia="Calibri" w:hAnsi="Times New Roman" w:cs="Times New Roman"/>
          <w:color w:val="000000"/>
          <w:sz w:val="24"/>
          <w:szCs w:val="24"/>
          <w:u w:val="none"/>
          <w:shd w:val="clear" w:color="auto" w:fill="FFFFFF"/>
        </w:rPr>
      </w:pPr>
      <w:r>
        <w:rPr>
          <w:rFonts w:ascii="Times New Roman" w:eastAsia="Calibri" w:hAnsi="Times New Roman" w:cs="Times New Roman"/>
          <w:color w:val="000000"/>
          <w:sz w:val="24"/>
          <w:szCs w:val="24"/>
          <w:shd w:val="clear" w:color="auto" w:fill="FFFFFF"/>
        </w:rPr>
        <w:t xml:space="preserve">Levin RM, </w:t>
      </w:r>
      <w:proofErr w:type="spellStart"/>
      <w:r>
        <w:rPr>
          <w:rFonts w:ascii="Times New Roman" w:eastAsia="Calibri" w:hAnsi="Times New Roman" w:cs="Times New Roman"/>
          <w:color w:val="000000"/>
          <w:sz w:val="24"/>
          <w:szCs w:val="24"/>
          <w:shd w:val="clear" w:color="auto" w:fill="FFFFFF"/>
        </w:rPr>
        <w:t>Haugaard</w:t>
      </w:r>
      <w:proofErr w:type="spellEnd"/>
      <w:r>
        <w:rPr>
          <w:rFonts w:ascii="Times New Roman" w:eastAsia="Calibri" w:hAnsi="Times New Roman" w:cs="Times New Roman"/>
          <w:color w:val="000000"/>
          <w:sz w:val="24"/>
          <w:szCs w:val="24"/>
          <w:shd w:val="clear" w:color="auto" w:fill="FFFFFF"/>
        </w:rPr>
        <w:t xml:space="preserve"> N, O’Connor L, </w:t>
      </w:r>
      <w:proofErr w:type="spellStart"/>
      <w:r>
        <w:rPr>
          <w:rFonts w:ascii="Times New Roman" w:eastAsia="Calibri" w:hAnsi="Times New Roman" w:cs="Times New Roman"/>
          <w:color w:val="000000"/>
          <w:sz w:val="24"/>
          <w:szCs w:val="24"/>
          <w:shd w:val="clear" w:color="auto" w:fill="FFFFFF"/>
        </w:rPr>
        <w:t>Buttyan</w:t>
      </w:r>
      <w:proofErr w:type="spellEnd"/>
      <w:r>
        <w:rPr>
          <w:rFonts w:ascii="Times New Roman" w:eastAsia="Calibri" w:hAnsi="Times New Roman" w:cs="Times New Roman"/>
          <w:color w:val="000000"/>
          <w:sz w:val="24"/>
          <w:szCs w:val="24"/>
          <w:shd w:val="clear" w:color="auto" w:fill="FFFFFF"/>
        </w:rPr>
        <w:t xml:space="preserve"> R, Das A, Dixon JS, et al. Obstructive response of human bladder to BPH vs. rabbit bladder response to partial outlet obstruction: a </w:t>
      </w:r>
      <w:r>
        <w:rPr>
          <w:rFonts w:ascii="Times New Roman" w:eastAsia="Calibri" w:hAnsi="Times New Roman" w:cs="Times New Roman"/>
          <w:color w:val="000000"/>
          <w:sz w:val="24"/>
          <w:szCs w:val="24"/>
          <w:shd w:val="clear" w:color="auto" w:fill="FFFFFF"/>
        </w:rPr>
        <w:lastRenderedPageBreak/>
        <w:t xml:space="preserve">direct </w:t>
      </w:r>
      <w:r w:rsidR="00E95173">
        <w:rPr>
          <w:rFonts w:ascii="Times New Roman" w:eastAsia="Calibri" w:hAnsi="Times New Roman" w:cs="Times New Roman"/>
          <w:color w:val="000000"/>
          <w:sz w:val="24"/>
          <w:szCs w:val="24"/>
          <w:shd w:val="clear" w:color="auto" w:fill="FFFFFF"/>
        </w:rPr>
        <w:t>comparison</w:t>
      </w:r>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Neurourol</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Urodyn</w:t>
      </w:r>
      <w:proofErr w:type="spellEnd"/>
      <w:r>
        <w:rPr>
          <w:rFonts w:ascii="Times New Roman" w:eastAsia="Calibri" w:hAnsi="Times New Roman" w:cs="Times New Roman"/>
          <w:color w:val="000000"/>
          <w:sz w:val="24"/>
          <w:szCs w:val="24"/>
          <w:shd w:val="clear" w:color="auto" w:fill="FFFFFF"/>
        </w:rPr>
        <w:t xml:space="preserve">. 2000; 19: 609-29.  </w:t>
      </w:r>
      <w:hyperlink r:id="rId18" w:history="1">
        <w:r w:rsidRPr="009D0C7F">
          <w:rPr>
            <w:rStyle w:val="Hyperlink"/>
            <w:rFonts w:ascii="Times New Roman" w:eastAsia="Calibri" w:hAnsi="Times New Roman" w:cs="Times New Roman"/>
            <w:sz w:val="24"/>
            <w:szCs w:val="24"/>
            <w:shd w:val="clear" w:color="auto" w:fill="FFFFFF"/>
          </w:rPr>
          <w:t>https://doi.org/10.1002/1520-6777(2000)19:5&lt;609::aid-nau7&gt;3.0.co;2-h</w:t>
        </w:r>
      </w:hyperlink>
      <w:r w:rsidRPr="00891A12">
        <w:rPr>
          <w:rStyle w:val="Hyperlink"/>
          <w:rFonts w:ascii="Times New Roman" w:eastAsia="Calibri" w:hAnsi="Times New Roman" w:cs="Times New Roman"/>
          <w:sz w:val="24"/>
          <w:szCs w:val="24"/>
          <w:shd w:val="clear" w:color="auto" w:fill="FFFFFF"/>
        </w:rPr>
        <w:t xml:space="preserve"> </w:t>
      </w:r>
    </w:p>
    <w:p w14:paraId="7E5593B6" w14:textId="77777777" w:rsidR="00891A12" w:rsidRPr="00891A12" w:rsidRDefault="00891A12"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891A12">
        <w:rPr>
          <w:rFonts w:cs="Tahoma"/>
          <w:sz w:val="24"/>
          <w:szCs w:val="24"/>
        </w:rPr>
        <w:t xml:space="preserve">Anderson JB, </w:t>
      </w:r>
      <w:proofErr w:type="spellStart"/>
      <w:r w:rsidRPr="00891A12">
        <w:rPr>
          <w:rFonts w:cs="Tahoma"/>
          <w:sz w:val="24"/>
          <w:szCs w:val="24"/>
        </w:rPr>
        <w:t>Roehrborn</w:t>
      </w:r>
      <w:proofErr w:type="spellEnd"/>
      <w:r w:rsidRPr="00891A12">
        <w:rPr>
          <w:rFonts w:cs="Tahoma"/>
          <w:sz w:val="24"/>
          <w:szCs w:val="24"/>
        </w:rPr>
        <w:t xml:space="preserve"> CG, </w:t>
      </w:r>
      <w:proofErr w:type="spellStart"/>
      <w:r w:rsidRPr="00891A12">
        <w:rPr>
          <w:rFonts w:cs="Tahoma"/>
          <w:sz w:val="24"/>
          <w:szCs w:val="24"/>
        </w:rPr>
        <w:t>Schalken</w:t>
      </w:r>
      <w:proofErr w:type="spellEnd"/>
      <w:r w:rsidRPr="00891A12">
        <w:rPr>
          <w:rFonts w:cs="Tahoma"/>
          <w:sz w:val="24"/>
          <w:szCs w:val="24"/>
        </w:rPr>
        <w:t xml:space="preserve"> JA, </w:t>
      </w:r>
      <w:proofErr w:type="spellStart"/>
      <w:r w:rsidRPr="00891A12">
        <w:rPr>
          <w:rFonts w:cs="Tahoma"/>
          <w:sz w:val="24"/>
          <w:szCs w:val="24"/>
        </w:rPr>
        <w:t>Emberton</w:t>
      </w:r>
      <w:proofErr w:type="spellEnd"/>
      <w:r w:rsidRPr="00891A12">
        <w:rPr>
          <w:rFonts w:cs="Tahoma"/>
          <w:sz w:val="24"/>
          <w:szCs w:val="24"/>
        </w:rPr>
        <w:t xml:space="preserve"> M. The progression of</w:t>
      </w:r>
      <w:r w:rsidR="00012A96">
        <w:rPr>
          <w:rFonts w:cs="Tahoma"/>
          <w:sz w:val="24"/>
          <w:szCs w:val="24"/>
        </w:rPr>
        <w:t xml:space="preserve"> benign prostatic hyperplasia: e</w:t>
      </w:r>
      <w:r w:rsidRPr="00891A12">
        <w:rPr>
          <w:rFonts w:cs="Tahoma"/>
          <w:sz w:val="24"/>
          <w:szCs w:val="24"/>
        </w:rPr>
        <w:t>xamining the evidence and determining the risk. Eur Urol. 2001; 39: 390- 9.</w:t>
      </w:r>
      <w:r w:rsidR="00012A96">
        <w:rPr>
          <w:rFonts w:cs="Tahoma"/>
          <w:sz w:val="24"/>
          <w:szCs w:val="24"/>
        </w:rPr>
        <w:t xml:space="preserve"> </w:t>
      </w:r>
      <w:proofErr w:type="spellStart"/>
      <w:r w:rsidR="00012A96">
        <w:rPr>
          <w:rFonts w:cs="Tahoma"/>
          <w:sz w:val="24"/>
          <w:szCs w:val="24"/>
        </w:rPr>
        <w:t>doi</w:t>
      </w:r>
      <w:proofErr w:type="spellEnd"/>
      <w:r w:rsidR="00012A96">
        <w:rPr>
          <w:rFonts w:cs="Tahoma"/>
          <w:sz w:val="24"/>
          <w:szCs w:val="24"/>
        </w:rPr>
        <w:t xml:space="preserve">: 10. 1159/000052475.  PMID: 11306876.  </w:t>
      </w:r>
    </w:p>
    <w:p w14:paraId="3410B7A9" w14:textId="77777777" w:rsidR="00DB32F7" w:rsidRDefault="00891A12"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B32F7">
        <w:rPr>
          <w:rFonts w:ascii="Times New Roman" w:eastAsia="Calibri" w:hAnsi="Times New Roman" w:cs="Times New Roman"/>
          <w:color w:val="000000"/>
          <w:sz w:val="24"/>
          <w:szCs w:val="24"/>
          <w:shd w:val="clear" w:color="auto" w:fill="FFFFFF"/>
        </w:rPr>
        <w:t xml:space="preserve"> </w:t>
      </w:r>
      <w:r w:rsidR="00DB32F7">
        <w:rPr>
          <w:rFonts w:ascii="Times New Roman" w:eastAsia="Calibri" w:hAnsi="Times New Roman" w:cs="Times New Roman"/>
          <w:color w:val="000000"/>
          <w:sz w:val="24"/>
          <w:szCs w:val="24"/>
          <w:shd w:val="clear" w:color="auto" w:fill="FFFFFF"/>
        </w:rPr>
        <w:t xml:space="preserve">Yilmaz S, </w:t>
      </w:r>
      <w:proofErr w:type="spellStart"/>
      <w:r w:rsidR="00DB32F7">
        <w:rPr>
          <w:rFonts w:ascii="Times New Roman" w:eastAsia="Calibri" w:hAnsi="Times New Roman" w:cs="Times New Roman"/>
          <w:color w:val="000000"/>
          <w:sz w:val="24"/>
          <w:szCs w:val="24"/>
          <w:shd w:val="clear" w:color="auto" w:fill="FFFFFF"/>
        </w:rPr>
        <w:t>Yalcin</w:t>
      </w:r>
      <w:proofErr w:type="spellEnd"/>
      <w:r w:rsidR="00DB32F7">
        <w:rPr>
          <w:rFonts w:ascii="Times New Roman" w:eastAsia="Calibri" w:hAnsi="Times New Roman" w:cs="Times New Roman"/>
          <w:color w:val="000000"/>
          <w:sz w:val="24"/>
          <w:szCs w:val="24"/>
          <w:shd w:val="clear" w:color="auto" w:fill="FFFFFF"/>
        </w:rPr>
        <w:t xml:space="preserve"> S, Yilmaz M, et al. Comparison of outcomes of Holmium enucleation of the</w:t>
      </w:r>
      <w:r w:rsidR="006B276E">
        <w:rPr>
          <w:rFonts w:ascii="Times New Roman" w:eastAsia="Calibri" w:hAnsi="Times New Roman" w:cs="Times New Roman"/>
          <w:color w:val="000000"/>
          <w:sz w:val="24"/>
          <w:szCs w:val="24"/>
          <w:shd w:val="clear" w:color="auto" w:fill="FFFFFF"/>
        </w:rPr>
        <w:t xml:space="preserve"> prostate </w:t>
      </w:r>
      <w:r w:rsidR="00DB32F7">
        <w:rPr>
          <w:rFonts w:ascii="Times New Roman" w:eastAsia="Calibri" w:hAnsi="Times New Roman" w:cs="Times New Roman"/>
          <w:color w:val="000000"/>
          <w:sz w:val="24"/>
          <w:szCs w:val="24"/>
          <w:shd w:val="clear" w:color="auto" w:fill="FFFFFF"/>
        </w:rPr>
        <w:t>f</w:t>
      </w:r>
      <w:r w:rsidR="006B276E">
        <w:rPr>
          <w:rFonts w:ascii="Times New Roman" w:eastAsia="Calibri" w:hAnsi="Times New Roman" w:cs="Times New Roman"/>
          <w:color w:val="000000"/>
          <w:sz w:val="24"/>
          <w:szCs w:val="24"/>
          <w:shd w:val="clear" w:color="auto" w:fill="FFFFFF"/>
        </w:rPr>
        <w:t>or</w:t>
      </w:r>
      <w:r w:rsidR="00DB32F7">
        <w:rPr>
          <w:rFonts w:ascii="Times New Roman" w:eastAsia="Calibri" w:hAnsi="Times New Roman" w:cs="Times New Roman"/>
          <w:color w:val="000000"/>
          <w:sz w:val="24"/>
          <w:szCs w:val="24"/>
          <w:shd w:val="clear" w:color="auto" w:fill="FFFFFF"/>
        </w:rPr>
        <w:t xml:space="preserve"> small </w:t>
      </w:r>
      <w:r w:rsidR="006B276E">
        <w:rPr>
          <w:rFonts w:ascii="Times New Roman" w:eastAsia="Calibri" w:hAnsi="Times New Roman" w:cs="Times New Roman"/>
          <w:color w:val="000000"/>
          <w:sz w:val="24"/>
          <w:szCs w:val="24"/>
          <w:shd w:val="clear" w:color="auto" w:fill="FFFFFF"/>
        </w:rPr>
        <w:t>-</w:t>
      </w:r>
      <w:r w:rsidR="00DB32F7">
        <w:rPr>
          <w:rFonts w:ascii="Times New Roman" w:eastAsia="Calibri" w:hAnsi="Times New Roman" w:cs="Times New Roman"/>
          <w:color w:val="000000"/>
          <w:sz w:val="24"/>
          <w:szCs w:val="24"/>
          <w:shd w:val="clear" w:color="auto" w:fill="FFFFFF"/>
        </w:rPr>
        <w:t xml:space="preserve">and </w:t>
      </w:r>
      <w:r w:rsidR="00E95173">
        <w:rPr>
          <w:rFonts w:ascii="Times New Roman" w:eastAsia="Calibri" w:hAnsi="Times New Roman" w:cs="Times New Roman"/>
          <w:color w:val="000000"/>
          <w:sz w:val="24"/>
          <w:szCs w:val="24"/>
          <w:shd w:val="clear" w:color="auto" w:fill="FFFFFF"/>
        </w:rPr>
        <w:t>moderate-sized</w:t>
      </w:r>
      <w:r w:rsidR="00DB32F7">
        <w:rPr>
          <w:rFonts w:ascii="Times New Roman" w:eastAsia="Calibri" w:hAnsi="Times New Roman" w:cs="Times New Roman"/>
          <w:color w:val="000000"/>
          <w:sz w:val="24"/>
          <w:szCs w:val="24"/>
          <w:shd w:val="clear" w:color="auto" w:fill="FFFFFF"/>
        </w:rPr>
        <w:t xml:space="preserve"> </w:t>
      </w:r>
      <w:r w:rsidR="00E95173">
        <w:rPr>
          <w:rFonts w:ascii="Times New Roman" w:eastAsia="Calibri" w:hAnsi="Times New Roman" w:cs="Times New Roman"/>
          <w:color w:val="000000"/>
          <w:sz w:val="24"/>
          <w:szCs w:val="24"/>
          <w:shd w:val="clear" w:color="auto" w:fill="FFFFFF"/>
        </w:rPr>
        <w:t>prostates</w:t>
      </w:r>
      <w:r w:rsidR="00DB32F7">
        <w:rPr>
          <w:rFonts w:ascii="Times New Roman" w:eastAsia="Calibri" w:hAnsi="Times New Roman" w:cs="Times New Roman"/>
          <w:color w:val="000000"/>
          <w:sz w:val="24"/>
          <w:szCs w:val="24"/>
          <w:shd w:val="clear" w:color="auto" w:fill="FFFFFF"/>
        </w:rPr>
        <w:t xml:space="preserve">. </w:t>
      </w:r>
      <w:proofErr w:type="spellStart"/>
      <w:r w:rsidR="00DB32F7">
        <w:rPr>
          <w:rFonts w:ascii="Times New Roman" w:eastAsia="Calibri" w:hAnsi="Times New Roman" w:cs="Times New Roman"/>
          <w:color w:val="000000"/>
          <w:sz w:val="24"/>
          <w:szCs w:val="24"/>
          <w:shd w:val="clear" w:color="auto" w:fill="FFFFFF"/>
        </w:rPr>
        <w:t>Andrologia</w:t>
      </w:r>
      <w:proofErr w:type="spellEnd"/>
      <w:r w:rsidR="00DB32F7">
        <w:rPr>
          <w:rFonts w:ascii="Times New Roman" w:eastAsia="Calibri" w:hAnsi="Times New Roman" w:cs="Times New Roman"/>
          <w:color w:val="000000"/>
          <w:sz w:val="24"/>
          <w:szCs w:val="24"/>
          <w:shd w:val="clear" w:color="auto" w:fill="FFFFFF"/>
        </w:rPr>
        <w:t xml:space="preserve">. 2021; 53: e13970. </w:t>
      </w:r>
      <w:proofErr w:type="spellStart"/>
      <w:r w:rsidR="006B276E">
        <w:rPr>
          <w:rFonts w:ascii="Times New Roman" w:eastAsia="Calibri" w:hAnsi="Times New Roman" w:cs="Times New Roman"/>
          <w:color w:val="000000"/>
          <w:sz w:val="24"/>
          <w:szCs w:val="24"/>
          <w:shd w:val="clear" w:color="auto" w:fill="FFFFFF"/>
        </w:rPr>
        <w:t>doi</w:t>
      </w:r>
      <w:proofErr w:type="spellEnd"/>
      <w:r w:rsidR="006B276E">
        <w:rPr>
          <w:rFonts w:ascii="Times New Roman" w:eastAsia="Calibri" w:hAnsi="Times New Roman" w:cs="Times New Roman"/>
          <w:color w:val="000000"/>
          <w:sz w:val="24"/>
          <w:szCs w:val="24"/>
          <w:shd w:val="clear" w:color="auto" w:fill="FFFFFF"/>
        </w:rPr>
        <w:t xml:space="preserve">: 10.1111/and13970.  </w:t>
      </w:r>
      <w:proofErr w:type="spellStart"/>
      <w:r w:rsidR="006B276E">
        <w:rPr>
          <w:rFonts w:ascii="Times New Roman" w:eastAsia="Calibri" w:hAnsi="Times New Roman" w:cs="Times New Roman"/>
          <w:color w:val="000000"/>
          <w:sz w:val="24"/>
          <w:szCs w:val="24"/>
          <w:shd w:val="clear" w:color="auto" w:fill="FFFFFF"/>
        </w:rPr>
        <w:t>Epub</w:t>
      </w:r>
      <w:proofErr w:type="spellEnd"/>
      <w:r w:rsidR="006B276E">
        <w:rPr>
          <w:rFonts w:ascii="Times New Roman" w:eastAsia="Calibri" w:hAnsi="Times New Roman" w:cs="Times New Roman"/>
          <w:color w:val="000000"/>
          <w:sz w:val="24"/>
          <w:szCs w:val="24"/>
          <w:shd w:val="clear" w:color="auto" w:fill="FFFFFF"/>
        </w:rPr>
        <w:t xml:space="preserve"> 2021 Jan 11. PMID: 33432683.</w:t>
      </w:r>
    </w:p>
    <w:p w14:paraId="0062A2B1" w14:textId="77777777" w:rsidR="00DB32F7" w:rsidRPr="00DB32F7" w:rsidRDefault="00DB32F7"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B32F7">
        <w:rPr>
          <w:rFonts w:ascii="Times New Roman" w:eastAsia="Calibri" w:hAnsi="Times New Roman" w:cs="Times New Roman"/>
          <w:color w:val="000000"/>
          <w:sz w:val="24"/>
          <w:szCs w:val="24"/>
          <w:shd w:val="clear" w:color="auto" w:fill="FFFFFF"/>
        </w:rPr>
        <w:t xml:space="preserve"> </w:t>
      </w:r>
      <w:proofErr w:type="spellStart"/>
      <w:r w:rsidRPr="00DB32F7">
        <w:rPr>
          <w:rFonts w:cs="Tahoma"/>
          <w:sz w:val="24"/>
          <w:szCs w:val="24"/>
        </w:rPr>
        <w:t>Oe</w:t>
      </w:r>
      <w:r w:rsidR="007B2533">
        <w:rPr>
          <w:rFonts w:cs="Tahoma"/>
          <w:sz w:val="24"/>
          <w:szCs w:val="24"/>
        </w:rPr>
        <w:t>lke</w:t>
      </w:r>
      <w:proofErr w:type="spellEnd"/>
      <w:r w:rsidR="007B2533">
        <w:rPr>
          <w:rFonts w:cs="Tahoma"/>
          <w:sz w:val="24"/>
          <w:szCs w:val="24"/>
        </w:rPr>
        <w:t xml:space="preserve"> M, </w:t>
      </w:r>
      <w:proofErr w:type="spellStart"/>
      <w:r w:rsidR="007B2533">
        <w:rPr>
          <w:rFonts w:cs="Tahoma"/>
          <w:sz w:val="24"/>
          <w:szCs w:val="24"/>
        </w:rPr>
        <w:t>Hofner</w:t>
      </w:r>
      <w:proofErr w:type="spellEnd"/>
      <w:r w:rsidR="007B2533">
        <w:rPr>
          <w:rFonts w:cs="Tahoma"/>
          <w:sz w:val="24"/>
          <w:szCs w:val="24"/>
        </w:rPr>
        <w:t xml:space="preserve"> K, Jonas U, </w:t>
      </w:r>
      <w:proofErr w:type="spellStart"/>
      <w:r w:rsidR="007B2533">
        <w:rPr>
          <w:rFonts w:cs="Tahoma"/>
          <w:sz w:val="24"/>
          <w:szCs w:val="24"/>
        </w:rPr>
        <w:t>Ubbink</w:t>
      </w:r>
      <w:proofErr w:type="spellEnd"/>
      <w:r w:rsidR="007B2533">
        <w:rPr>
          <w:rFonts w:cs="Tahoma"/>
          <w:sz w:val="24"/>
          <w:szCs w:val="24"/>
        </w:rPr>
        <w:t xml:space="preserve"> D, de la Rosette J, </w:t>
      </w:r>
      <w:proofErr w:type="spellStart"/>
      <w:r w:rsidR="007B2533">
        <w:rPr>
          <w:rFonts w:cs="Tahoma"/>
          <w:sz w:val="24"/>
          <w:szCs w:val="24"/>
        </w:rPr>
        <w:t>Wijkstra</w:t>
      </w:r>
      <w:proofErr w:type="spellEnd"/>
      <w:r w:rsidR="007B2533">
        <w:rPr>
          <w:rFonts w:cs="Tahoma"/>
          <w:sz w:val="24"/>
          <w:szCs w:val="24"/>
        </w:rPr>
        <w:t xml:space="preserve"> H</w:t>
      </w:r>
      <w:r w:rsidRPr="00DB32F7">
        <w:rPr>
          <w:rFonts w:cs="Tahoma"/>
          <w:sz w:val="24"/>
          <w:szCs w:val="24"/>
        </w:rPr>
        <w:t xml:space="preserve">. Ultrasound measurement of detrusor wall thickness in healthy adults. </w:t>
      </w:r>
      <w:proofErr w:type="spellStart"/>
      <w:r w:rsidRPr="00DB32F7">
        <w:rPr>
          <w:rFonts w:cs="Tahoma"/>
          <w:sz w:val="24"/>
          <w:szCs w:val="24"/>
        </w:rPr>
        <w:t>Neurourol</w:t>
      </w:r>
      <w:proofErr w:type="spellEnd"/>
      <w:r w:rsidRPr="00DB32F7">
        <w:rPr>
          <w:rFonts w:cs="Tahoma"/>
          <w:sz w:val="24"/>
          <w:szCs w:val="24"/>
        </w:rPr>
        <w:t xml:space="preserve">. </w:t>
      </w:r>
      <w:proofErr w:type="spellStart"/>
      <w:r w:rsidRPr="00DB32F7">
        <w:rPr>
          <w:rFonts w:cs="Tahoma"/>
          <w:sz w:val="24"/>
          <w:szCs w:val="24"/>
        </w:rPr>
        <w:t>Urodyn</w:t>
      </w:r>
      <w:proofErr w:type="spellEnd"/>
      <w:r w:rsidRPr="00DB32F7">
        <w:rPr>
          <w:rFonts w:cs="Tahoma"/>
          <w:sz w:val="24"/>
          <w:szCs w:val="24"/>
        </w:rPr>
        <w:t>. 2006; 25: 308 – 317.</w:t>
      </w:r>
      <w:r w:rsidR="00E95173">
        <w:rPr>
          <w:rFonts w:cs="Tahoma"/>
          <w:sz w:val="24"/>
          <w:szCs w:val="24"/>
        </w:rPr>
        <w:t xml:space="preserve"> </w:t>
      </w:r>
      <w:r w:rsidR="007B2533">
        <w:rPr>
          <w:rFonts w:cs="Tahoma"/>
          <w:sz w:val="24"/>
          <w:szCs w:val="24"/>
        </w:rPr>
        <w:t xml:space="preserve">discussion 318. </w:t>
      </w:r>
      <w:proofErr w:type="spellStart"/>
      <w:r w:rsidR="007B2533">
        <w:rPr>
          <w:rFonts w:cs="Tahoma"/>
          <w:sz w:val="24"/>
          <w:szCs w:val="24"/>
        </w:rPr>
        <w:t>doi</w:t>
      </w:r>
      <w:proofErr w:type="spellEnd"/>
      <w:r w:rsidR="007B2533">
        <w:rPr>
          <w:rFonts w:cs="Tahoma"/>
          <w:sz w:val="24"/>
          <w:szCs w:val="24"/>
        </w:rPr>
        <w:t xml:space="preserve">: 10.1002/nau.20241. PMID: 16652381. </w:t>
      </w:r>
      <w:r w:rsidRPr="00DB32F7">
        <w:rPr>
          <w:rFonts w:cs="Tahoma"/>
          <w:sz w:val="28"/>
          <w:szCs w:val="28"/>
        </w:rPr>
        <w:t xml:space="preserve"> </w:t>
      </w:r>
    </w:p>
    <w:p w14:paraId="63082109" w14:textId="77777777" w:rsidR="00DB32F7" w:rsidRPr="00DB32F7" w:rsidRDefault="00DB32F7"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sidRPr="00DB32F7">
        <w:rPr>
          <w:rFonts w:cs="Tahoma"/>
          <w:sz w:val="24"/>
          <w:szCs w:val="24"/>
        </w:rPr>
        <w:t>Hakenbe</w:t>
      </w:r>
      <w:r w:rsidR="007B2533">
        <w:rPr>
          <w:rFonts w:cs="Tahoma"/>
          <w:sz w:val="24"/>
          <w:szCs w:val="24"/>
        </w:rPr>
        <w:t>rg</w:t>
      </w:r>
      <w:proofErr w:type="spellEnd"/>
      <w:r w:rsidR="007B2533">
        <w:rPr>
          <w:rFonts w:cs="Tahoma"/>
          <w:sz w:val="24"/>
          <w:szCs w:val="24"/>
        </w:rPr>
        <w:t xml:space="preserve"> OW, </w:t>
      </w:r>
      <w:proofErr w:type="spellStart"/>
      <w:r w:rsidR="007B2533">
        <w:rPr>
          <w:rFonts w:cs="Tahoma"/>
          <w:sz w:val="24"/>
          <w:szCs w:val="24"/>
        </w:rPr>
        <w:t>Linne</w:t>
      </w:r>
      <w:proofErr w:type="spellEnd"/>
      <w:r w:rsidR="007B2533">
        <w:rPr>
          <w:rFonts w:cs="Tahoma"/>
          <w:sz w:val="24"/>
          <w:szCs w:val="24"/>
        </w:rPr>
        <w:t xml:space="preserve"> C, </w:t>
      </w:r>
      <w:proofErr w:type="spellStart"/>
      <w:r w:rsidR="007B2533">
        <w:rPr>
          <w:rFonts w:cs="Tahoma"/>
          <w:sz w:val="24"/>
          <w:szCs w:val="24"/>
        </w:rPr>
        <w:t>Manseck</w:t>
      </w:r>
      <w:proofErr w:type="spellEnd"/>
      <w:r w:rsidR="007B2533">
        <w:rPr>
          <w:rFonts w:cs="Tahoma"/>
          <w:sz w:val="24"/>
          <w:szCs w:val="24"/>
        </w:rPr>
        <w:t xml:space="preserve"> A, Wirth MP.</w:t>
      </w:r>
      <w:r w:rsidRPr="00DB32F7">
        <w:rPr>
          <w:rFonts w:cs="Tahoma"/>
          <w:sz w:val="24"/>
          <w:szCs w:val="24"/>
        </w:rPr>
        <w:t xml:space="preserve"> Bladder wall thickness in normal adults and men with mild lower urinary tract symptoms and benign prostatic enlargement. </w:t>
      </w:r>
      <w:proofErr w:type="spellStart"/>
      <w:r w:rsidRPr="00DB32F7">
        <w:rPr>
          <w:rFonts w:cs="Tahoma"/>
          <w:sz w:val="24"/>
          <w:szCs w:val="24"/>
        </w:rPr>
        <w:t>Neurourol</w:t>
      </w:r>
      <w:proofErr w:type="spellEnd"/>
      <w:r w:rsidRPr="00DB32F7">
        <w:rPr>
          <w:rFonts w:cs="Tahoma"/>
          <w:sz w:val="24"/>
          <w:szCs w:val="24"/>
        </w:rPr>
        <w:t xml:space="preserve">.  </w:t>
      </w:r>
      <w:proofErr w:type="spellStart"/>
      <w:r w:rsidRPr="00DB32F7">
        <w:rPr>
          <w:rFonts w:cs="Tahoma"/>
          <w:sz w:val="24"/>
          <w:szCs w:val="24"/>
        </w:rPr>
        <w:t>Urodyn</w:t>
      </w:r>
      <w:proofErr w:type="spellEnd"/>
      <w:r w:rsidRPr="00DB32F7">
        <w:rPr>
          <w:rFonts w:cs="Tahoma"/>
          <w:sz w:val="24"/>
          <w:szCs w:val="24"/>
        </w:rPr>
        <w:t>. 2000; 19: 585-593.</w:t>
      </w:r>
      <w:r w:rsidR="007B2533">
        <w:rPr>
          <w:rFonts w:cs="Tahoma"/>
          <w:sz w:val="24"/>
          <w:szCs w:val="24"/>
        </w:rPr>
        <w:t xml:space="preserve"> </w:t>
      </w:r>
      <w:proofErr w:type="spellStart"/>
      <w:r w:rsidR="007B2533">
        <w:rPr>
          <w:rFonts w:cs="Tahoma"/>
          <w:sz w:val="24"/>
          <w:szCs w:val="24"/>
        </w:rPr>
        <w:t>doi</w:t>
      </w:r>
      <w:proofErr w:type="spellEnd"/>
      <w:r w:rsidR="007B2533">
        <w:rPr>
          <w:rFonts w:cs="Tahoma"/>
          <w:sz w:val="24"/>
          <w:szCs w:val="24"/>
        </w:rPr>
        <w:t>: 10.1002/1520-6777(2000)19;5&lt;</w:t>
      </w:r>
      <w:proofErr w:type="gramStart"/>
      <w:r w:rsidR="007B2533">
        <w:rPr>
          <w:rFonts w:cs="Tahoma"/>
          <w:sz w:val="24"/>
          <w:szCs w:val="24"/>
        </w:rPr>
        <w:t>585::</w:t>
      </w:r>
      <w:proofErr w:type="gramEnd"/>
      <w:r w:rsidR="007B2533">
        <w:rPr>
          <w:rFonts w:cs="Tahoma"/>
          <w:sz w:val="24"/>
          <w:szCs w:val="24"/>
        </w:rPr>
        <w:t>aid-nau5&gt;3.0.co;2-u.  PMID: 11002301</w:t>
      </w:r>
    </w:p>
    <w:p w14:paraId="49E85413" w14:textId="77777777" w:rsidR="00DB32F7" w:rsidRPr="00DB32F7" w:rsidRDefault="00DB32F7"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w:t>
      </w:r>
      <w:proofErr w:type="spellStart"/>
      <w:r w:rsidRPr="000F7D63">
        <w:rPr>
          <w:rFonts w:ascii="Calibri" w:eastAsia="Calibri" w:hAnsi="Calibri" w:cs="Tahoma"/>
          <w:sz w:val="24"/>
          <w:szCs w:val="24"/>
          <w:lang w:val="en-GB"/>
        </w:rPr>
        <w:t>Tubaro</w:t>
      </w:r>
      <w:proofErr w:type="spellEnd"/>
      <w:r w:rsidRPr="000F7D63">
        <w:rPr>
          <w:rFonts w:ascii="Calibri" w:eastAsia="Calibri" w:hAnsi="Calibri" w:cs="Tahoma"/>
          <w:sz w:val="24"/>
          <w:szCs w:val="24"/>
          <w:lang w:val="en-GB"/>
        </w:rPr>
        <w:t xml:space="preserve"> A, </w:t>
      </w:r>
      <w:proofErr w:type="spellStart"/>
      <w:r w:rsidRPr="000F7D63">
        <w:rPr>
          <w:rFonts w:ascii="Calibri" w:eastAsia="Calibri" w:hAnsi="Calibri" w:cs="Tahoma"/>
          <w:sz w:val="24"/>
          <w:szCs w:val="24"/>
          <w:lang w:val="en-GB"/>
        </w:rPr>
        <w:t>Miano</w:t>
      </w:r>
      <w:proofErr w:type="spellEnd"/>
      <w:r w:rsidRPr="000F7D63">
        <w:rPr>
          <w:rFonts w:ascii="Calibri" w:eastAsia="Calibri" w:hAnsi="Calibri" w:cs="Tahoma"/>
          <w:sz w:val="24"/>
          <w:szCs w:val="24"/>
          <w:lang w:val="en-GB"/>
        </w:rPr>
        <w:t xml:space="preserve"> L. </w:t>
      </w:r>
      <w:r>
        <w:rPr>
          <w:rFonts w:ascii="Calibri" w:eastAsia="Calibri" w:hAnsi="Calibri" w:cs="Tahoma"/>
          <w:sz w:val="24"/>
          <w:szCs w:val="24"/>
          <w:lang w:val="en-GB"/>
        </w:rPr>
        <w:t xml:space="preserve">(2002) </w:t>
      </w:r>
      <w:r w:rsidRPr="000F7D63">
        <w:rPr>
          <w:rFonts w:ascii="Calibri" w:eastAsia="Calibri" w:hAnsi="Calibri" w:cs="Tahoma"/>
          <w:sz w:val="24"/>
          <w:szCs w:val="24"/>
          <w:lang w:val="en-GB"/>
        </w:rPr>
        <w:t>Managing the consequences of obstruction. European Uro</w:t>
      </w:r>
      <w:r>
        <w:rPr>
          <w:rFonts w:ascii="Calibri" w:eastAsia="Calibri" w:hAnsi="Calibri" w:cs="Tahoma"/>
          <w:sz w:val="24"/>
          <w:szCs w:val="24"/>
          <w:lang w:val="en-GB"/>
        </w:rPr>
        <w:t>logy supplements. 2002; 1: 21-27</w:t>
      </w:r>
      <w:r w:rsidRPr="000F7D63">
        <w:rPr>
          <w:rFonts w:ascii="Calibri" w:eastAsia="Calibri" w:hAnsi="Calibri" w:cs="Tahoma"/>
          <w:sz w:val="24"/>
          <w:szCs w:val="24"/>
          <w:lang w:val="en-GB"/>
        </w:rPr>
        <w:t>.</w:t>
      </w:r>
      <w:r>
        <w:rPr>
          <w:rFonts w:ascii="Calibri" w:eastAsia="Calibri" w:hAnsi="Calibri" w:cs="Tahoma"/>
          <w:sz w:val="24"/>
          <w:szCs w:val="24"/>
          <w:lang w:val="en-GB"/>
        </w:rPr>
        <w:t xml:space="preserve">   </w:t>
      </w:r>
      <w:proofErr w:type="spellStart"/>
      <w:r>
        <w:rPr>
          <w:rFonts w:ascii="Calibri" w:eastAsia="Calibri" w:hAnsi="Calibri" w:cs="Tahoma"/>
          <w:sz w:val="24"/>
          <w:szCs w:val="24"/>
          <w:lang w:val="en-GB"/>
        </w:rPr>
        <w:t>doi</w:t>
      </w:r>
      <w:proofErr w:type="spellEnd"/>
      <w:r>
        <w:rPr>
          <w:rFonts w:ascii="Calibri" w:eastAsia="Calibri" w:hAnsi="Calibri" w:cs="Tahoma"/>
          <w:sz w:val="24"/>
          <w:szCs w:val="24"/>
          <w:lang w:val="en-GB"/>
        </w:rPr>
        <w:t xml:space="preserve">: </w:t>
      </w:r>
      <w:hyperlink r:id="rId19" w:history="1">
        <w:r w:rsidRPr="009D0C7F">
          <w:rPr>
            <w:rStyle w:val="Hyperlink"/>
            <w:rFonts w:ascii="Calibri" w:eastAsia="Calibri" w:hAnsi="Calibri" w:cs="Tahoma"/>
            <w:sz w:val="24"/>
            <w:szCs w:val="24"/>
            <w:lang w:val="en-GB"/>
          </w:rPr>
          <w:t>https://doi.org/10.1016/S1569-9056(02)00120-3</w:t>
        </w:r>
      </w:hyperlink>
    </w:p>
    <w:p w14:paraId="70EE4427" w14:textId="77777777" w:rsidR="00DB32F7" w:rsidRPr="00DB32F7" w:rsidRDefault="00DB32F7" w:rsidP="00DB32F7">
      <w:pPr>
        <w:pStyle w:val="ListParagraph"/>
        <w:spacing w:line="480" w:lineRule="auto"/>
        <w:ind w:left="360"/>
        <w:rPr>
          <w:rFonts w:ascii="Times New Roman" w:eastAsia="Calibri" w:hAnsi="Times New Roman" w:cs="Times New Roman"/>
          <w:color w:val="000000"/>
          <w:sz w:val="24"/>
          <w:szCs w:val="24"/>
          <w:shd w:val="clear" w:color="auto" w:fill="FFFFFF"/>
        </w:rPr>
      </w:pPr>
    </w:p>
    <w:p w14:paraId="7FB9718B" w14:textId="77777777" w:rsidR="00891A12" w:rsidRPr="00DB32F7" w:rsidRDefault="00891A12" w:rsidP="00891A12">
      <w:pPr>
        <w:pStyle w:val="ListParagraph"/>
        <w:spacing w:line="480" w:lineRule="auto"/>
        <w:ind w:left="360"/>
        <w:rPr>
          <w:rFonts w:ascii="Times New Roman" w:eastAsia="Calibri" w:hAnsi="Times New Roman" w:cs="Times New Roman"/>
          <w:color w:val="000000"/>
          <w:sz w:val="24"/>
          <w:szCs w:val="24"/>
          <w:shd w:val="clear" w:color="auto" w:fill="FFFFFF"/>
        </w:rPr>
      </w:pPr>
    </w:p>
    <w:p w14:paraId="0845D890" w14:textId="77777777" w:rsidR="000E42AE" w:rsidRPr="00891A12" w:rsidRDefault="00891A12" w:rsidP="00891A12">
      <w:pPr>
        <w:pStyle w:val="ListParagraph"/>
        <w:spacing w:line="480" w:lineRule="auto"/>
        <w:ind w:left="360"/>
        <w:rPr>
          <w:rFonts w:ascii="Times New Roman" w:eastAsia="Calibri" w:hAnsi="Times New Roman" w:cs="Times New Roman"/>
          <w:color w:val="000000"/>
          <w:sz w:val="24"/>
          <w:szCs w:val="24"/>
          <w:shd w:val="clear" w:color="auto" w:fill="FFFFFF"/>
        </w:rPr>
      </w:pPr>
      <w:r w:rsidRPr="00891A12">
        <w:rPr>
          <w:rFonts w:ascii="Times New Roman" w:eastAsia="Calibri" w:hAnsi="Times New Roman" w:cs="Times New Roman"/>
          <w:color w:val="000000"/>
          <w:sz w:val="24"/>
          <w:szCs w:val="24"/>
          <w:shd w:val="clear" w:color="auto" w:fill="FFFFFF"/>
        </w:rPr>
        <w:t xml:space="preserve"> </w:t>
      </w:r>
      <w:r w:rsidR="00712BC2" w:rsidRPr="00891A12">
        <w:rPr>
          <w:rFonts w:ascii="Times New Roman" w:eastAsia="Calibri" w:hAnsi="Times New Roman" w:cs="Times New Roman"/>
          <w:color w:val="000000"/>
          <w:sz w:val="24"/>
          <w:szCs w:val="24"/>
          <w:shd w:val="clear" w:color="auto" w:fill="FFFFFF"/>
        </w:rPr>
        <w:t xml:space="preserve">    </w:t>
      </w:r>
    </w:p>
    <w:p w14:paraId="7A91B18C" w14:textId="77777777" w:rsidR="000E42AE" w:rsidRDefault="000E42AE" w:rsidP="000E42AE">
      <w:pPr>
        <w:pStyle w:val="ListParagraph"/>
        <w:rPr>
          <w:rFonts w:ascii="Times New Roman" w:eastAsia="Calibri" w:hAnsi="Times New Roman" w:cs="Times New Roman"/>
          <w:color w:val="000000"/>
          <w:sz w:val="24"/>
          <w:szCs w:val="24"/>
          <w:shd w:val="clear" w:color="auto" w:fill="FFFFFF"/>
        </w:rPr>
      </w:pPr>
    </w:p>
    <w:p w14:paraId="425552A0" w14:textId="77777777" w:rsidR="00B92666" w:rsidRPr="00B92666" w:rsidRDefault="00B92666" w:rsidP="000E42AE">
      <w:pPr>
        <w:pStyle w:val="ListParagraph"/>
        <w:spacing w:line="480" w:lineRule="auto"/>
        <w:rPr>
          <w:sz w:val="24"/>
          <w:szCs w:val="24"/>
          <w:lang w:val="en-GB"/>
        </w:rPr>
      </w:pPr>
    </w:p>
    <w:sectPr w:rsidR="00B92666" w:rsidRPr="00B9266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84EF" w14:textId="77777777" w:rsidR="005B4F17" w:rsidRDefault="005B4F17" w:rsidP="00D92E5B">
      <w:pPr>
        <w:spacing w:after="0" w:line="240" w:lineRule="auto"/>
      </w:pPr>
      <w:r>
        <w:separator/>
      </w:r>
    </w:p>
  </w:endnote>
  <w:endnote w:type="continuationSeparator" w:id="0">
    <w:p w14:paraId="768A16FD" w14:textId="77777777" w:rsidR="005B4F17" w:rsidRDefault="005B4F17" w:rsidP="00D9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40D6" w14:textId="77777777" w:rsidR="00D92E5B" w:rsidRDefault="00D9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6BA7" w14:textId="77777777" w:rsidR="00D92E5B" w:rsidRDefault="00D9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DFE8" w14:textId="77777777" w:rsidR="00D92E5B" w:rsidRDefault="00D9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5811" w14:textId="77777777" w:rsidR="005B4F17" w:rsidRDefault="005B4F17" w:rsidP="00D92E5B">
      <w:pPr>
        <w:spacing w:after="0" w:line="240" w:lineRule="auto"/>
      </w:pPr>
      <w:r>
        <w:separator/>
      </w:r>
    </w:p>
  </w:footnote>
  <w:footnote w:type="continuationSeparator" w:id="0">
    <w:p w14:paraId="6083F6D1" w14:textId="77777777" w:rsidR="005B4F17" w:rsidRDefault="005B4F17" w:rsidP="00D9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46A1" w14:textId="33D7E091" w:rsidR="00D92E5B" w:rsidRDefault="00D92E5B">
    <w:pPr>
      <w:pStyle w:val="Header"/>
    </w:pPr>
    <w:r>
      <w:rPr>
        <w:noProof/>
      </w:rPr>
      <w:pict w14:anchorId="5B49A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3462" w14:textId="7A22CA84" w:rsidR="00D92E5B" w:rsidRDefault="00D92E5B">
    <w:pPr>
      <w:pStyle w:val="Header"/>
    </w:pPr>
    <w:r>
      <w:rPr>
        <w:noProof/>
      </w:rPr>
      <w:pict w14:anchorId="40899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E2C4" w14:textId="7CFE65C5" w:rsidR="00D92E5B" w:rsidRDefault="00D92E5B">
    <w:pPr>
      <w:pStyle w:val="Header"/>
    </w:pPr>
    <w:r>
      <w:rPr>
        <w:noProof/>
      </w:rPr>
      <w:pict w14:anchorId="7E1B6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57CA4"/>
    <w:multiLevelType w:val="hybridMultilevel"/>
    <w:tmpl w:val="238C3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913FC"/>
    <w:multiLevelType w:val="hybridMultilevel"/>
    <w:tmpl w:val="412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E2533"/>
    <w:multiLevelType w:val="hybridMultilevel"/>
    <w:tmpl w:val="E8906478"/>
    <w:lvl w:ilvl="0" w:tplc="19B0ED4E">
      <w:numFmt w:val="bullet"/>
      <w:lvlText w:val=""/>
      <w:lvlJc w:val="left"/>
      <w:pPr>
        <w:ind w:left="1155" w:hanging="360"/>
      </w:pPr>
      <w:rPr>
        <w:rFonts w:ascii="Symbol" w:eastAsia="Calibri" w:hAnsi="Symbol" w:cs="Tahoma" w:hint="default"/>
      </w:rPr>
    </w:lvl>
    <w:lvl w:ilvl="1" w:tplc="82A21852" w:tentative="1">
      <w:start w:val="1"/>
      <w:numFmt w:val="bullet"/>
      <w:lvlText w:val="o"/>
      <w:lvlJc w:val="left"/>
      <w:pPr>
        <w:ind w:left="1875" w:hanging="360"/>
      </w:pPr>
      <w:rPr>
        <w:rFonts w:ascii="Courier New" w:hAnsi="Courier New" w:cs="Courier New" w:hint="default"/>
      </w:rPr>
    </w:lvl>
    <w:lvl w:ilvl="2" w:tplc="7D9AFD12" w:tentative="1">
      <w:start w:val="1"/>
      <w:numFmt w:val="bullet"/>
      <w:lvlText w:val=""/>
      <w:lvlJc w:val="left"/>
      <w:pPr>
        <w:ind w:left="2595" w:hanging="360"/>
      </w:pPr>
      <w:rPr>
        <w:rFonts w:ascii="Wingdings" w:hAnsi="Wingdings" w:hint="default"/>
      </w:rPr>
    </w:lvl>
    <w:lvl w:ilvl="3" w:tplc="45F8B954" w:tentative="1">
      <w:start w:val="1"/>
      <w:numFmt w:val="bullet"/>
      <w:lvlText w:val=""/>
      <w:lvlJc w:val="left"/>
      <w:pPr>
        <w:ind w:left="3315" w:hanging="360"/>
      </w:pPr>
      <w:rPr>
        <w:rFonts w:ascii="Symbol" w:hAnsi="Symbol" w:hint="default"/>
      </w:rPr>
    </w:lvl>
    <w:lvl w:ilvl="4" w:tplc="64F45550" w:tentative="1">
      <w:start w:val="1"/>
      <w:numFmt w:val="bullet"/>
      <w:lvlText w:val="o"/>
      <w:lvlJc w:val="left"/>
      <w:pPr>
        <w:ind w:left="4035" w:hanging="360"/>
      </w:pPr>
      <w:rPr>
        <w:rFonts w:ascii="Courier New" w:hAnsi="Courier New" w:cs="Courier New" w:hint="default"/>
      </w:rPr>
    </w:lvl>
    <w:lvl w:ilvl="5" w:tplc="32123192" w:tentative="1">
      <w:start w:val="1"/>
      <w:numFmt w:val="bullet"/>
      <w:lvlText w:val=""/>
      <w:lvlJc w:val="left"/>
      <w:pPr>
        <w:ind w:left="4755" w:hanging="360"/>
      </w:pPr>
      <w:rPr>
        <w:rFonts w:ascii="Wingdings" w:hAnsi="Wingdings" w:hint="default"/>
      </w:rPr>
    </w:lvl>
    <w:lvl w:ilvl="6" w:tplc="1876ADE0" w:tentative="1">
      <w:start w:val="1"/>
      <w:numFmt w:val="bullet"/>
      <w:lvlText w:val=""/>
      <w:lvlJc w:val="left"/>
      <w:pPr>
        <w:ind w:left="5475" w:hanging="360"/>
      </w:pPr>
      <w:rPr>
        <w:rFonts w:ascii="Symbol" w:hAnsi="Symbol" w:hint="default"/>
      </w:rPr>
    </w:lvl>
    <w:lvl w:ilvl="7" w:tplc="E2F8054A" w:tentative="1">
      <w:start w:val="1"/>
      <w:numFmt w:val="bullet"/>
      <w:lvlText w:val="o"/>
      <w:lvlJc w:val="left"/>
      <w:pPr>
        <w:ind w:left="6195" w:hanging="360"/>
      </w:pPr>
      <w:rPr>
        <w:rFonts w:ascii="Courier New" w:hAnsi="Courier New" w:cs="Courier New" w:hint="default"/>
      </w:rPr>
    </w:lvl>
    <w:lvl w:ilvl="8" w:tplc="6400D07A" w:tentative="1">
      <w:start w:val="1"/>
      <w:numFmt w:val="bullet"/>
      <w:lvlText w:val=""/>
      <w:lvlJc w:val="left"/>
      <w:pPr>
        <w:ind w:left="6915" w:hanging="360"/>
      </w:pPr>
      <w:rPr>
        <w:rFonts w:ascii="Wingdings" w:hAnsi="Wingdings" w:hint="default"/>
      </w:rPr>
    </w:lvl>
  </w:abstractNum>
  <w:abstractNum w:abstractNumId="3" w15:restartNumberingAfterBreak="0">
    <w:nsid w:val="5C3D4791"/>
    <w:multiLevelType w:val="hybridMultilevel"/>
    <w:tmpl w:val="D736AD8E"/>
    <w:lvl w:ilvl="0" w:tplc="FE628668">
      <w:start w:val="1"/>
      <w:numFmt w:val="bullet"/>
      <w:lvlText w:val=""/>
      <w:lvlJc w:val="left"/>
      <w:pPr>
        <w:ind w:left="720" w:hanging="360"/>
      </w:pPr>
      <w:rPr>
        <w:rFonts w:ascii="Symbol" w:hAnsi="Symbol" w:hint="default"/>
      </w:rPr>
    </w:lvl>
    <w:lvl w:ilvl="1" w:tplc="B522470A" w:tentative="1">
      <w:start w:val="1"/>
      <w:numFmt w:val="bullet"/>
      <w:lvlText w:val="o"/>
      <w:lvlJc w:val="left"/>
      <w:pPr>
        <w:ind w:left="1440" w:hanging="360"/>
      </w:pPr>
      <w:rPr>
        <w:rFonts w:ascii="Courier New" w:hAnsi="Courier New" w:cs="Courier New" w:hint="default"/>
      </w:rPr>
    </w:lvl>
    <w:lvl w:ilvl="2" w:tplc="DA04765E" w:tentative="1">
      <w:start w:val="1"/>
      <w:numFmt w:val="bullet"/>
      <w:lvlText w:val=""/>
      <w:lvlJc w:val="left"/>
      <w:pPr>
        <w:ind w:left="2160" w:hanging="360"/>
      </w:pPr>
      <w:rPr>
        <w:rFonts w:ascii="Wingdings" w:hAnsi="Wingdings" w:hint="default"/>
      </w:rPr>
    </w:lvl>
    <w:lvl w:ilvl="3" w:tplc="686EDA8A" w:tentative="1">
      <w:start w:val="1"/>
      <w:numFmt w:val="bullet"/>
      <w:lvlText w:val=""/>
      <w:lvlJc w:val="left"/>
      <w:pPr>
        <w:ind w:left="2880" w:hanging="360"/>
      </w:pPr>
      <w:rPr>
        <w:rFonts w:ascii="Symbol" w:hAnsi="Symbol" w:hint="default"/>
      </w:rPr>
    </w:lvl>
    <w:lvl w:ilvl="4" w:tplc="75CED124" w:tentative="1">
      <w:start w:val="1"/>
      <w:numFmt w:val="bullet"/>
      <w:lvlText w:val="o"/>
      <w:lvlJc w:val="left"/>
      <w:pPr>
        <w:ind w:left="3600" w:hanging="360"/>
      </w:pPr>
      <w:rPr>
        <w:rFonts w:ascii="Courier New" w:hAnsi="Courier New" w:cs="Courier New" w:hint="default"/>
      </w:rPr>
    </w:lvl>
    <w:lvl w:ilvl="5" w:tplc="CF907D1A" w:tentative="1">
      <w:start w:val="1"/>
      <w:numFmt w:val="bullet"/>
      <w:lvlText w:val=""/>
      <w:lvlJc w:val="left"/>
      <w:pPr>
        <w:ind w:left="4320" w:hanging="360"/>
      </w:pPr>
      <w:rPr>
        <w:rFonts w:ascii="Wingdings" w:hAnsi="Wingdings" w:hint="default"/>
      </w:rPr>
    </w:lvl>
    <w:lvl w:ilvl="6" w:tplc="E050D6C0" w:tentative="1">
      <w:start w:val="1"/>
      <w:numFmt w:val="bullet"/>
      <w:lvlText w:val=""/>
      <w:lvlJc w:val="left"/>
      <w:pPr>
        <w:ind w:left="5040" w:hanging="360"/>
      </w:pPr>
      <w:rPr>
        <w:rFonts w:ascii="Symbol" w:hAnsi="Symbol" w:hint="default"/>
      </w:rPr>
    </w:lvl>
    <w:lvl w:ilvl="7" w:tplc="141A98E2" w:tentative="1">
      <w:start w:val="1"/>
      <w:numFmt w:val="bullet"/>
      <w:lvlText w:val="o"/>
      <w:lvlJc w:val="left"/>
      <w:pPr>
        <w:ind w:left="5760" w:hanging="360"/>
      </w:pPr>
      <w:rPr>
        <w:rFonts w:ascii="Courier New" w:hAnsi="Courier New" w:cs="Courier New" w:hint="default"/>
      </w:rPr>
    </w:lvl>
    <w:lvl w:ilvl="8" w:tplc="8F5C2DC8" w:tentative="1">
      <w:start w:val="1"/>
      <w:numFmt w:val="bullet"/>
      <w:lvlText w:val=""/>
      <w:lvlJc w:val="left"/>
      <w:pPr>
        <w:ind w:left="6480" w:hanging="360"/>
      </w:pPr>
      <w:rPr>
        <w:rFonts w:ascii="Wingdings" w:hAnsi="Wingdings" w:hint="default"/>
      </w:rPr>
    </w:lvl>
  </w:abstractNum>
  <w:abstractNum w:abstractNumId="4" w15:restartNumberingAfterBreak="0">
    <w:nsid w:val="5DFA7DB6"/>
    <w:multiLevelType w:val="hybridMultilevel"/>
    <w:tmpl w:val="18E0D2CE"/>
    <w:lvl w:ilvl="0" w:tplc="C5D03C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2"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9E03BC"/>
    <w:multiLevelType w:val="hybridMultilevel"/>
    <w:tmpl w:val="D6BC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0"/>
    <w:rsid w:val="00012A96"/>
    <w:rsid w:val="00044E43"/>
    <w:rsid w:val="000E42AE"/>
    <w:rsid w:val="000E5A16"/>
    <w:rsid w:val="00105DAC"/>
    <w:rsid w:val="001B7E72"/>
    <w:rsid w:val="001D05FF"/>
    <w:rsid w:val="002015E8"/>
    <w:rsid w:val="00230CBC"/>
    <w:rsid w:val="002329ED"/>
    <w:rsid w:val="00274A06"/>
    <w:rsid w:val="002A04EF"/>
    <w:rsid w:val="002A2E13"/>
    <w:rsid w:val="00325CF9"/>
    <w:rsid w:val="00420CFE"/>
    <w:rsid w:val="00437244"/>
    <w:rsid w:val="004415AC"/>
    <w:rsid w:val="004763D2"/>
    <w:rsid w:val="00485E7A"/>
    <w:rsid w:val="004D1D6E"/>
    <w:rsid w:val="004D5BD4"/>
    <w:rsid w:val="004E59A4"/>
    <w:rsid w:val="005002E2"/>
    <w:rsid w:val="00537592"/>
    <w:rsid w:val="0054780E"/>
    <w:rsid w:val="005503F7"/>
    <w:rsid w:val="00553BE3"/>
    <w:rsid w:val="00563933"/>
    <w:rsid w:val="00592251"/>
    <w:rsid w:val="005B4F17"/>
    <w:rsid w:val="005D4EE8"/>
    <w:rsid w:val="005E10DC"/>
    <w:rsid w:val="00613812"/>
    <w:rsid w:val="0062074F"/>
    <w:rsid w:val="00626E50"/>
    <w:rsid w:val="006A21F3"/>
    <w:rsid w:val="006B22E1"/>
    <w:rsid w:val="006B276E"/>
    <w:rsid w:val="006B41E1"/>
    <w:rsid w:val="006B7FFE"/>
    <w:rsid w:val="00701FBF"/>
    <w:rsid w:val="00712BC2"/>
    <w:rsid w:val="00716F75"/>
    <w:rsid w:val="00720CD2"/>
    <w:rsid w:val="00721964"/>
    <w:rsid w:val="00726915"/>
    <w:rsid w:val="00754BD8"/>
    <w:rsid w:val="00767D81"/>
    <w:rsid w:val="00787660"/>
    <w:rsid w:val="007B1188"/>
    <w:rsid w:val="007B2533"/>
    <w:rsid w:val="00837846"/>
    <w:rsid w:val="00855D7A"/>
    <w:rsid w:val="008659AA"/>
    <w:rsid w:val="008668A7"/>
    <w:rsid w:val="0087411B"/>
    <w:rsid w:val="00891A12"/>
    <w:rsid w:val="0089307D"/>
    <w:rsid w:val="00894447"/>
    <w:rsid w:val="008954C7"/>
    <w:rsid w:val="008C5B4F"/>
    <w:rsid w:val="008E2EE0"/>
    <w:rsid w:val="008E4487"/>
    <w:rsid w:val="008F16D2"/>
    <w:rsid w:val="00924686"/>
    <w:rsid w:val="00930184"/>
    <w:rsid w:val="00933EE8"/>
    <w:rsid w:val="009D0BAF"/>
    <w:rsid w:val="009D7E7C"/>
    <w:rsid w:val="00A0405C"/>
    <w:rsid w:val="00A24764"/>
    <w:rsid w:val="00A5600C"/>
    <w:rsid w:val="00A57724"/>
    <w:rsid w:val="00AB28D9"/>
    <w:rsid w:val="00AB2F4E"/>
    <w:rsid w:val="00B52CB8"/>
    <w:rsid w:val="00B605BA"/>
    <w:rsid w:val="00B92666"/>
    <w:rsid w:val="00BA1F91"/>
    <w:rsid w:val="00BB5115"/>
    <w:rsid w:val="00BE51DB"/>
    <w:rsid w:val="00C653EF"/>
    <w:rsid w:val="00C83EBA"/>
    <w:rsid w:val="00CF6A80"/>
    <w:rsid w:val="00D112DB"/>
    <w:rsid w:val="00D15554"/>
    <w:rsid w:val="00D174AD"/>
    <w:rsid w:val="00D46BD0"/>
    <w:rsid w:val="00D724E9"/>
    <w:rsid w:val="00D91C31"/>
    <w:rsid w:val="00D92E5B"/>
    <w:rsid w:val="00DA68FC"/>
    <w:rsid w:val="00DA6FED"/>
    <w:rsid w:val="00DA75E3"/>
    <w:rsid w:val="00DB32F7"/>
    <w:rsid w:val="00E1338C"/>
    <w:rsid w:val="00E23B1D"/>
    <w:rsid w:val="00E615A9"/>
    <w:rsid w:val="00E95173"/>
    <w:rsid w:val="00F13415"/>
    <w:rsid w:val="00FC7D95"/>
    <w:rsid w:val="00FE0F52"/>
    <w:rsid w:val="00FE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37928"/>
  <w15:chartTrackingRefBased/>
  <w15:docId w15:val="{DDB4A63D-346C-4B38-A95D-3AB80B92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15A9"/>
    <w:pPr>
      <w:spacing w:after="0" w:line="240" w:lineRule="auto"/>
    </w:pPr>
    <w:rPr>
      <w:rFonts w:ascii="Calibri" w:eastAsia="Calibri" w:hAnsi="Calibri" w:cs="Times New Roman"/>
      <w:lang w:val="en-GB"/>
    </w:rPr>
  </w:style>
  <w:style w:type="character" w:styleId="Emphasis">
    <w:name w:val="Emphasis"/>
    <w:qFormat/>
    <w:rsid w:val="00592251"/>
    <w:rPr>
      <w:i/>
      <w:iCs/>
    </w:rPr>
  </w:style>
  <w:style w:type="paragraph" w:styleId="ListParagraph">
    <w:name w:val="List Paragraph"/>
    <w:basedOn w:val="Normal"/>
    <w:uiPriority w:val="34"/>
    <w:qFormat/>
    <w:rsid w:val="00B92666"/>
    <w:pPr>
      <w:ind w:left="720"/>
      <w:contextualSpacing/>
    </w:pPr>
  </w:style>
  <w:style w:type="character" w:styleId="Hyperlink">
    <w:name w:val="Hyperlink"/>
    <w:rsid w:val="000E42AE"/>
    <w:rPr>
      <w:color w:val="0000FF"/>
      <w:u w:val="single"/>
    </w:rPr>
  </w:style>
  <w:style w:type="table" w:styleId="TableGrid">
    <w:name w:val="Table Grid"/>
    <w:basedOn w:val="TableNormal"/>
    <w:uiPriority w:val="39"/>
    <w:rsid w:val="008C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5B"/>
  </w:style>
  <w:style w:type="paragraph" w:styleId="Footer">
    <w:name w:val="footer"/>
    <w:basedOn w:val="Normal"/>
    <w:link w:val="FooterChar"/>
    <w:uiPriority w:val="99"/>
    <w:unhideWhenUsed/>
    <w:rsid w:val="00D92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1255-006-9161-y" TargetMode="External"/><Relationship Id="rId18" Type="http://schemas.openxmlformats.org/officeDocument/2006/relationships/hyperlink" Target="https://doi.org/10.1002/1520-6777(2000)19:5%3c609::aid-nau7%3e3.0.co;2-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016/j.juro.2008.01.118" TargetMode="External"/><Relationship Id="rId17" Type="http://schemas.openxmlformats.org/officeDocument/2006/relationships/hyperlink" Target="HTTPS://DOI.ORG/10.1016/S0022-5347(06)00316-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00345-001-0238-z"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iww.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11/icu.20190376" TargetMode="External"/><Relationship Id="rId23" Type="http://schemas.openxmlformats.org/officeDocument/2006/relationships/footer" Target="footer2.xml"/><Relationship Id="rId10" Type="http://schemas.openxmlformats.org/officeDocument/2006/relationships/hyperlink" Target="https://doi.org/10.1016/s0090-4285(3)00480-1" TargetMode="External"/><Relationship Id="rId19" Type="http://schemas.openxmlformats.org/officeDocument/2006/relationships/hyperlink" Target="https://doi.org/10.1016/S1569-9056(02)0012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7/ms9.000000000000206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21</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1180</cp:lastModifiedBy>
  <cp:revision>13</cp:revision>
  <dcterms:created xsi:type="dcterms:W3CDTF">2025-07-26T22:37:00Z</dcterms:created>
  <dcterms:modified xsi:type="dcterms:W3CDTF">2025-08-08T07:01:00Z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da48ac87-d865-4a7f-a912-bce4c9de784d</vt:lpwstr>
  </property>
</Properties>
</file>