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DC210" w14:textId="44BBE9D3" w:rsidR="00C70339" w:rsidRDefault="00C70339" w:rsidP="00441B6F">
      <w:pPr>
        <w:pStyle w:val="Author"/>
        <w:spacing w:line="240" w:lineRule="auto"/>
        <w:rPr>
          <w:rFonts w:ascii="Arial" w:hAnsi="Arial" w:cs="Arial"/>
          <w:bCs/>
          <w:i/>
          <w:iCs/>
          <w:kern w:val="28"/>
          <w:sz w:val="40"/>
          <w:u w:val="single"/>
        </w:rPr>
      </w:pPr>
      <w:r w:rsidRPr="00C70339">
        <w:rPr>
          <w:rFonts w:ascii="Arial" w:hAnsi="Arial" w:cs="Arial"/>
          <w:bCs/>
          <w:i/>
          <w:iCs/>
          <w:kern w:val="28"/>
          <w:sz w:val="40"/>
          <w:u w:val="single"/>
        </w:rPr>
        <w:t xml:space="preserve">Original Research Article </w:t>
      </w:r>
    </w:p>
    <w:p w14:paraId="78061A44" w14:textId="77777777" w:rsidR="00C70339" w:rsidRPr="00C70339" w:rsidRDefault="00C70339" w:rsidP="00441B6F">
      <w:pPr>
        <w:pStyle w:val="Author"/>
        <w:spacing w:line="240" w:lineRule="auto"/>
        <w:rPr>
          <w:rFonts w:ascii="Arial" w:hAnsi="Arial" w:cs="Arial"/>
          <w:bCs/>
          <w:i/>
          <w:iCs/>
          <w:kern w:val="28"/>
          <w:sz w:val="40"/>
          <w:u w:val="single"/>
        </w:rPr>
      </w:pPr>
    </w:p>
    <w:p w14:paraId="16200B49" w14:textId="37D0363E" w:rsidR="00163BC4" w:rsidRPr="00163BC4" w:rsidRDefault="00C72046" w:rsidP="00441B6F">
      <w:pPr>
        <w:pStyle w:val="Author"/>
        <w:spacing w:line="240" w:lineRule="auto"/>
        <w:rPr>
          <w:rFonts w:ascii="Arial" w:hAnsi="Arial" w:cs="Arial"/>
          <w:bCs/>
          <w:iCs/>
          <w:kern w:val="28"/>
          <w:sz w:val="36"/>
        </w:rPr>
      </w:pPr>
      <w:r>
        <w:rPr>
          <w:rFonts w:ascii="Arial" w:hAnsi="Arial" w:cs="Arial"/>
          <w:bCs/>
          <w:iCs/>
          <w:kern w:val="28"/>
          <w:sz w:val="36"/>
        </w:rPr>
        <w:t>Clinicians' perspectives</w:t>
      </w:r>
      <w:r w:rsidRPr="00C72046">
        <w:rPr>
          <w:rFonts w:ascii="Arial" w:hAnsi="Arial" w:cs="Arial"/>
          <w:bCs/>
          <w:iCs/>
          <w:kern w:val="28"/>
          <w:sz w:val="36"/>
        </w:rPr>
        <w:t xml:space="preserve"> in overactive bladder management with a special emphasis on mirabegron use in Indian clinical settings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3885D009" w14:textId="77777777" w:rsidR="007C6530" w:rsidRDefault="007C6530" w:rsidP="00321DE3">
      <w:pPr>
        <w:pStyle w:val="Affiliation"/>
        <w:spacing w:after="0" w:line="240" w:lineRule="auto"/>
        <w:rPr>
          <w:rFonts w:ascii="Arial" w:hAnsi="Arial" w:cs="Arial"/>
          <w:i/>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491BAD" w:rsidP="00441B6F">
      <w:pPr>
        <w:pStyle w:val="Copyright"/>
        <w:spacing w:after="0" w:line="240" w:lineRule="auto"/>
        <w:jc w:val="both"/>
        <w:rPr>
          <w:rFonts w:ascii="Arial" w:hAnsi="Arial" w:cs="Arial"/>
        </w:rPr>
        <w:sectPr w:rsidR="00B01FCD" w:rsidRPr="00FB3A86" w:rsidSect="00C775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0243CE37" w14:textId="77777777" w:rsidR="00C72046" w:rsidRPr="00C72046" w:rsidRDefault="00C72046" w:rsidP="00C72046">
            <w:pPr>
              <w:pStyle w:val="Body"/>
              <w:rPr>
                <w:rFonts w:ascii="Arial" w:eastAsia="Calibri" w:hAnsi="Arial" w:cs="Arial"/>
                <w:bCs/>
                <w:szCs w:val="22"/>
                <w:lang w:val="en-IN"/>
              </w:rPr>
            </w:pPr>
            <w:r w:rsidRPr="00C72046">
              <w:rPr>
                <w:rFonts w:ascii="Arial" w:eastAsia="Calibri" w:hAnsi="Arial" w:cs="Arial"/>
                <w:b/>
                <w:szCs w:val="22"/>
                <w:lang w:val="en-IN"/>
              </w:rPr>
              <w:t xml:space="preserve">Objective: </w:t>
            </w:r>
            <w:r w:rsidRPr="00C72046">
              <w:rPr>
                <w:rFonts w:ascii="Arial" w:eastAsia="Calibri" w:hAnsi="Arial" w:cs="Arial"/>
                <w:bCs/>
                <w:szCs w:val="22"/>
                <w:lang w:val="en-IN"/>
              </w:rPr>
              <w:t>To assess clinician preferences, treatment patterns, and clinical experiences in the management of overactive bladder (OAB), with a special focus on the use of mirabegron in Indian clinical settings.</w:t>
            </w:r>
          </w:p>
          <w:p w14:paraId="7E4AD2D8" w14:textId="77777777" w:rsidR="00C72046" w:rsidRPr="00C72046" w:rsidRDefault="00C72046" w:rsidP="00C72046">
            <w:pPr>
              <w:pStyle w:val="Body"/>
              <w:rPr>
                <w:rFonts w:ascii="Arial" w:eastAsia="Calibri" w:hAnsi="Arial" w:cs="Arial"/>
                <w:bCs/>
                <w:szCs w:val="22"/>
                <w:lang w:val="en-IN"/>
              </w:rPr>
            </w:pPr>
            <w:r w:rsidRPr="00C72046">
              <w:rPr>
                <w:rFonts w:ascii="Arial" w:eastAsia="Calibri" w:hAnsi="Arial" w:cs="Arial"/>
                <w:b/>
                <w:szCs w:val="22"/>
                <w:lang w:val="en-IN"/>
              </w:rPr>
              <w:t xml:space="preserve">Methods: </w:t>
            </w:r>
            <w:r w:rsidRPr="00C72046">
              <w:rPr>
                <w:rFonts w:ascii="Arial" w:eastAsia="Calibri" w:hAnsi="Arial" w:cs="Arial"/>
                <w:bCs/>
                <w:szCs w:val="22"/>
                <w:lang w:val="en-IN"/>
              </w:rPr>
              <w:t>This cross-sectional study utilized a structured questionnaire to gather expert opinion from clinicians involved in OAB management across Indian settings. Twenty-six experienced clinical practitioners were one-on-one interviewed, responding to 23 questions that covered treatment preferences, management challenges, patient adherence, and experiences with mirabegron therapy.</w:t>
            </w:r>
          </w:p>
          <w:p w14:paraId="17879186" w14:textId="77777777" w:rsidR="00C72046" w:rsidRPr="00C72046" w:rsidRDefault="00C72046" w:rsidP="00C72046">
            <w:pPr>
              <w:pStyle w:val="Body"/>
              <w:rPr>
                <w:rFonts w:ascii="Arial" w:eastAsia="Calibri" w:hAnsi="Arial" w:cs="Arial"/>
                <w:bCs/>
                <w:szCs w:val="22"/>
                <w:lang w:val="en-IN"/>
              </w:rPr>
            </w:pPr>
            <w:r w:rsidRPr="00C72046">
              <w:rPr>
                <w:rFonts w:ascii="Arial" w:eastAsia="Calibri" w:hAnsi="Arial" w:cs="Arial"/>
                <w:b/>
                <w:szCs w:val="22"/>
                <w:lang w:val="en-IN"/>
              </w:rPr>
              <w:t xml:space="preserve">Results: </w:t>
            </w:r>
            <w:r w:rsidRPr="00C72046">
              <w:rPr>
                <w:rFonts w:ascii="Arial" w:eastAsia="Calibri" w:hAnsi="Arial" w:cs="Arial"/>
                <w:bCs/>
                <w:szCs w:val="22"/>
                <w:lang w:val="en-IN"/>
              </w:rPr>
              <w:t xml:space="preserve">The survey included 26 clinicians and revealed that 77% preferred mirabegron as their primary choice for OAB management. Half of the respondents rated mirabegron's effectiveness as 4 out of 5 for symptom control. Approximately 77% preferred silodosin as the combination agent. Nearly 35% reported superior improvement in micturition frequency with mirabegron compared to antimuscarinics. Most clinicians (73.08%) recommended a minimum treatment duration of three months. For nocturia-predominant cases, nearly 65% preferred mirabegron. Tolerability was </w:t>
            </w:r>
            <w:proofErr w:type="spellStart"/>
            <w:r w:rsidRPr="00C72046">
              <w:rPr>
                <w:rFonts w:ascii="Arial" w:eastAsia="Calibri" w:hAnsi="Arial" w:cs="Arial"/>
                <w:bCs/>
                <w:szCs w:val="22"/>
                <w:lang w:val="en-IN"/>
              </w:rPr>
              <w:t>favorable</w:t>
            </w:r>
            <w:proofErr w:type="spellEnd"/>
            <w:r w:rsidRPr="00C72046">
              <w:rPr>
                <w:rFonts w:ascii="Arial" w:eastAsia="Calibri" w:hAnsi="Arial" w:cs="Arial"/>
                <w:bCs/>
                <w:szCs w:val="22"/>
                <w:lang w:val="en-IN"/>
              </w:rPr>
              <w:t xml:space="preserve">, with 46% observing that 60–80% of patients continued therapy over one year. Around 77% of clinicians preferred switching to mirabegron when </w:t>
            </w:r>
            <w:proofErr w:type="spellStart"/>
            <w:r w:rsidRPr="00C72046">
              <w:rPr>
                <w:rFonts w:ascii="Arial" w:eastAsia="Calibri" w:hAnsi="Arial" w:cs="Arial"/>
                <w:bCs/>
                <w:szCs w:val="22"/>
                <w:lang w:val="en-IN"/>
              </w:rPr>
              <w:t>solifenacin</w:t>
            </w:r>
            <w:proofErr w:type="spellEnd"/>
            <w:r w:rsidRPr="00C72046">
              <w:rPr>
                <w:rFonts w:ascii="Arial" w:eastAsia="Calibri" w:hAnsi="Arial" w:cs="Arial"/>
                <w:bCs/>
                <w:szCs w:val="22"/>
                <w:lang w:val="en-IN"/>
              </w:rPr>
              <w:t xml:space="preserve"> failed to provide adequate relief.</w:t>
            </w:r>
          </w:p>
          <w:p w14:paraId="45CBA51F" w14:textId="46E67F32" w:rsidR="00505F06" w:rsidRPr="006A00B8" w:rsidRDefault="00C72046" w:rsidP="00C72046">
            <w:pPr>
              <w:pStyle w:val="Body"/>
              <w:spacing w:after="0"/>
              <w:rPr>
                <w:rFonts w:ascii="Arial" w:eastAsia="Calibri" w:hAnsi="Arial" w:cs="Arial"/>
                <w:szCs w:val="22"/>
                <w:lang w:val="en-IN"/>
              </w:rPr>
            </w:pPr>
            <w:r w:rsidRPr="00C72046">
              <w:rPr>
                <w:rFonts w:ascii="Arial" w:eastAsia="Calibri" w:hAnsi="Arial" w:cs="Arial"/>
                <w:b/>
                <w:szCs w:val="22"/>
                <w:lang w:val="en-IN"/>
              </w:rPr>
              <w:t xml:space="preserve">Conclusion: </w:t>
            </w:r>
            <w:r w:rsidRPr="00C72046">
              <w:rPr>
                <w:rFonts w:ascii="Arial" w:eastAsia="Calibri" w:hAnsi="Arial" w:cs="Arial"/>
                <w:bCs/>
                <w:szCs w:val="22"/>
                <w:lang w:val="en-IN"/>
              </w:rPr>
              <w:t>This study highlights a strong clinician preference for mirabegron in OAB management, supported by its perceived superior tolerability, effectiveness in nocturia, and utility both as a first-line therapy and as an alternative when antimuscarinics fail. These findings are consistent with existing evidence supporting mirabegron’s role in comprehensive OAB treatment strategies.</w:t>
            </w:r>
          </w:p>
        </w:tc>
      </w:tr>
    </w:tbl>
    <w:p w14:paraId="47F03EA8" w14:textId="77777777" w:rsidR="00636EB2" w:rsidRDefault="00636EB2" w:rsidP="00441B6F">
      <w:pPr>
        <w:pStyle w:val="Body"/>
        <w:spacing w:after="0"/>
        <w:rPr>
          <w:rFonts w:ascii="Arial" w:hAnsi="Arial" w:cs="Arial"/>
          <w:i/>
        </w:rPr>
      </w:pPr>
    </w:p>
    <w:p w14:paraId="66A07B2F" w14:textId="4F219385"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C72046" w:rsidRPr="00C72046">
        <w:rPr>
          <w:rFonts w:ascii="Arial" w:hAnsi="Arial" w:cs="Arial"/>
          <w:i/>
        </w:rPr>
        <w:t>Overactive bladder, mirabegron, antimuscarinic, β3-adrenoceptor agonist, treatment preferences</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404BEB41" w14:textId="77777777" w:rsidR="00C72046" w:rsidRDefault="00C72046" w:rsidP="00C72046">
      <w:pPr>
        <w:jc w:val="both"/>
        <w:rPr>
          <w:rFonts w:ascii="Arial" w:hAnsi="Arial" w:cs="Arial"/>
          <w:vertAlign w:val="superscript"/>
        </w:rPr>
      </w:pPr>
      <w:r w:rsidRPr="00C72046">
        <w:rPr>
          <w:rFonts w:ascii="Arial" w:hAnsi="Arial" w:cs="Arial"/>
        </w:rPr>
        <w:t>Overactive bladder (OAB) is a common condition affecting millions of people worldwide and is prevalent in both men and women.</w:t>
      </w:r>
      <w:r w:rsidRPr="00C72046">
        <w:rPr>
          <w:rFonts w:ascii="Arial" w:hAnsi="Arial" w:cs="Arial"/>
          <w:vertAlign w:val="superscript"/>
        </w:rPr>
        <w:t>1</w:t>
      </w:r>
      <w:r w:rsidRPr="00C72046">
        <w:rPr>
          <w:rFonts w:ascii="Arial" w:hAnsi="Arial" w:cs="Arial"/>
        </w:rPr>
        <w:t xml:space="preserve"> OAB significantly impairs patients' quality of life and places a considerable economic burden on healthcare systems.</w:t>
      </w:r>
      <w:r w:rsidRPr="00C72046">
        <w:rPr>
          <w:rFonts w:ascii="Arial" w:eastAsia="Calibri" w:hAnsi="Arial" w:cs="Arial"/>
        </w:rPr>
        <w:t xml:space="preserve"> In 2020, the total number of OAB cases across eight major countries, namely the United States, five European nations (France, Germany, Italy, Spain, and the United Kingdom), Japan, and China, was estimated at approximately 363 million, with projections suggesting an increase to 401.6 million by </w:t>
      </w:r>
      <w:r w:rsidRPr="00C72046">
        <w:rPr>
          <w:rFonts w:ascii="Arial" w:eastAsia="Calibri" w:hAnsi="Arial" w:cs="Arial"/>
        </w:rPr>
        <w:lastRenderedPageBreak/>
        <w:t>2030</w:t>
      </w:r>
      <w:r w:rsidRPr="00C72046">
        <w:rPr>
          <w:rFonts w:ascii="Arial" w:hAnsi="Arial" w:cs="Arial"/>
        </w:rPr>
        <w:t>.</w:t>
      </w:r>
      <w:r w:rsidRPr="00C72046">
        <w:rPr>
          <w:rFonts w:ascii="Arial" w:hAnsi="Arial" w:cs="Arial"/>
          <w:vertAlign w:val="superscript"/>
        </w:rPr>
        <w:t xml:space="preserve">2 </w:t>
      </w:r>
      <w:r w:rsidRPr="00C72046">
        <w:rPr>
          <w:rFonts w:ascii="Arial" w:hAnsi="Arial" w:cs="Arial"/>
        </w:rPr>
        <w:t>Middle-income countries also showed higher prevalence compared to high-income nations.</w:t>
      </w:r>
      <w:r w:rsidRPr="00C72046">
        <w:rPr>
          <w:rFonts w:ascii="Arial" w:hAnsi="Arial" w:cs="Arial"/>
          <w:vertAlign w:val="superscript"/>
        </w:rPr>
        <w:t>2</w:t>
      </w:r>
    </w:p>
    <w:p w14:paraId="3014F8D3" w14:textId="77777777" w:rsidR="00C72046" w:rsidRPr="00C72046" w:rsidRDefault="00C72046" w:rsidP="00C72046">
      <w:pPr>
        <w:jc w:val="both"/>
        <w:rPr>
          <w:rFonts w:ascii="Arial" w:hAnsi="Arial" w:cs="Arial"/>
        </w:rPr>
      </w:pPr>
    </w:p>
    <w:p w14:paraId="3B8CFF5F" w14:textId="77777777" w:rsidR="00C72046" w:rsidRDefault="00C72046" w:rsidP="00C72046">
      <w:pPr>
        <w:jc w:val="both"/>
        <w:rPr>
          <w:rFonts w:ascii="Arial" w:hAnsi="Arial" w:cs="Arial"/>
          <w:vertAlign w:val="superscript"/>
        </w:rPr>
      </w:pPr>
      <w:r w:rsidRPr="00C72046">
        <w:rPr>
          <w:rFonts w:ascii="Arial" w:hAnsi="Arial" w:cs="Arial"/>
        </w:rPr>
        <w:t>In India, the prevalence of urinary incontinence ranges from 10% to 42%, according to guidelines issued by the Urological Society of India.</w:t>
      </w:r>
      <w:r w:rsidRPr="00C72046">
        <w:rPr>
          <w:rFonts w:ascii="Arial" w:hAnsi="Arial" w:cs="Arial"/>
          <w:vertAlign w:val="superscript"/>
        </w:rPr>
        <w:t>3</w:t>
      </w:r>
      <w:r w:rsidRPr="00C72046">
        <w:rPr>
          <w:rFonts w:ascii="Arial" w:hAnsi="Arial" w:cs="Arial"/>
        </w:rPr>
        <w:t xml:space="preserve"> </w:t>
      </w:r>
      <w:r w:rsidRPr="00C72046">
        <w:rPr>
          <w:rFonts w:ascii="Arial" w:eastAsia="Calibri" w:hAnsi="Arial" w:cs="Arial"/>
        </w:rPr>
        <w:t>A study by Khadke et al., conducted among Indian women with urinary incontinence, found that OAB syndrome was most common in those presenting with mixed urinary incontinence</w:t>
      </w:r>
      <w:r w:rsidRPr="00C72046">
        <w:rPr>
          <w:rFonts w:ascii="Arial" w:hAnsi="Arial" w:cs="Arial"/>
        </w:rPr>
        <w:t>.</w:t>
      </w:r>
      <w:r w:rsidRPr="00C72046">
        <w:rPr>
          <w:rFonts w:ascii="Arial" w:hAnsi="Arial" w:cs="Arial"/>
          <w:vertAlign w:val="superscript"/>
        </w:rPr>
        <w:t>4</w:t>
      </w:r>
    </w:p>
    <w:p w14:paraId="25390D1A" w14:textId="77777777" w:rsidR="00C72046" w:rsidRPr="00C72046" w:rsidRDefault="00C72046" w:rsidP="00C72046">
      <w:pPr>
        <w:jc w:val="both"/>
        <w:rPr>
          <w:rFonts w:ascii="Arial" w:hAnsi="Arial" w:cs="Arial"/>
          <w:vertAlign w:val="superscript"/>
        </w:rPr>
      </w:pPr>
    </w:p>
    <w:p w14:paraId="2B2DA26D" w14:textId="77777777" w:rsidR="00C72046" w:rsidRDefault="00C72046" w:rsidP="00C72046">
      <w:pPr>
        <w:jc w:val="both"/>
        <w:rPr>
          <w:rFonts w:ascii="Arial" w:hAnsi="Arial" w:cs="Arial"/>
          <w:vertAlign w:val="superscript"/>
        </w:rPr>
      </w:pPr>
      <w:r w:rsidRPr="00C72046">
        <w:rPr>
          <w:rFonts w:ascii="Arial" w:eastAsia="Calibri" w:hAnsi="Arial" w:cs="Arial"/>
        </w:rPr>
        <w:t>The currently preferred treatment options for OAB include behavioral therapy, pharmacological interventions, minimally invasive procedures, and surgical approaches. Among pharmacological treatments, oral antimuscarinics remain a mainstay, given their established efficacy in alleviating bothersome symptoms such as urgency, frequency, and incontinence.</w:t>
      </w:r>
      <w:r w:rsidRPr="00C72046">
        <w:rPr>
          <w:rFonts w:ascii="Arial" w:eastAsia="Calibri" w:hAnsi="Arial" w:cs="Arial"/>
          <w:vertAlign w:val="superscript"/>
        </w:rPr>
        <w:t>5</w:t>
      </w:r>
      <w:r w:rsidRPr="00C72046">
        <w:rPr>
          <w:rFonts w:ascii="Arial" w:eastAsia="Calibri" w:hAnsi="Arial" w:cs="Arial"/>
        </w:rPr>
        <w:t xml:space="preserve"> However, their clinical utility is often limited by modest efficacy and the potential for intolerable side effects</w:t>
      </w:r>
      <w:r w:rsidRPr="00C72046">
        <w:rPr>
          <w:rFonts w:ascii="Arial" w:hAnsi="Arial" w:cs="Arial"/>
        </w:rPr>
        <w:t>.</w:t>
      </w:r>
      <w:r w:rsidRPr="00C72046">
        <w:rPr>
          <w:rFonts w:ascii="Arial" w:hAnsi="Arial" w:cs="Arial"/>
          <w:vertAlign w:val="superscript"/>
        </w:rPr>
        <w:t>6</w:t>
      </w:r>
    </w:p>
    <w:p w14:paraId="2FB0DE33" w14:textId="77777777" w:rsidR="00C72046" w:rsidRPr="00C72046" w:rsidRDefault="00C72046" w:rsidP="00C72046">
      <w:pPr>
        <w:jc w:val="both"/>
        <w:rPr>
          <w:rFonts w:ascii="Arial" w:hAnsi="Arial" w:cs="Arial"/>
          <w:vertAlign w:val="superscript"/>
        </w:rPr>
      </w:pPr>
    </w:p>
    <w:p w14:paraId="10BCEAF2" w14:textId="77777777" w:rsidR="00C72046" w:rsidRPr="00C72046" w:rsidRDefault="00C72046" w:rsidP="00C72046">
      <w:pPr>
        <w:jc w:val="both"/>
        <w:rPr>
          <w:rFonts w:ascii="Arial" w:hAnsi="Arial" w:cs="Arial"/>
        </w:rPr>
      </w:pPr>
      <w:r w:rsidRPr="00C72046">
        <w:rPr>
          <w:rFonts w:ascii="Arial" w:hAnsi="Arial" w:cs="Arial"/>
        </w:rPr>
        <w:t>Mirabegron is a β3-adrenergic receptor agonist that selectively targets bladder β3-receptors, promoting detrusor muscle relaxation and influencing sensory pathways, afferent nerve activity, and neurotransmitter release from the urothelium. This mechanism enhances bladder capacity and reduces bladder sensitivity, helping to relieve storage-phase symptoms associated with OAB. Additionally, mirabegron exhibits a concentration-dependent relaxing effect on the detrusor muscle, attributed to its dual action as a β3-agonist and α1-adrenergic receptor antagonist. Approved by the US Food and Drug Administration in 2012, mirabegron offers an effective alternative to antimuscarinic therapy for the treatment of OAB symptoms.</w:t>
      </w:r>
      <w:r w:rsidRPr="00C72046">
        <w:rPr>
          <w:rFonts w:ascii="Arial" w:hAnsi="Arial" w:cs="Arial"/>
          <w:vertAlign w:val="superscript"/>
        </w:rPr>
        <w:t>7</w:t>
      </w:r>
      <w:r w:rsidRPr="00C72046">
        <w:rPr>
          <w:rFonts w:ascii="Arial" w:hAnsi="Arial" w:cs="Arial"/>
        </w:rPr>
        <w:t xml:space="preserve"> </w:t>
      </w:r>
    </w:p>
    <w:p w14:paraId="759A6848" w14:textId="77777777" w:rsidR="00C72046" w:rsidRDefault="00C72046" w:rsidP="00C72046">
      <w:pPr>
        <w:jc w:val="both"/>
        <w:rPr>
          <w:rFonts w:ascii="Arial" w:eastAsia="Calibri" w:hAnsi="Arial" w:cs="Arial"/>
        </w:rPr>
      </w:pPr>
    </w:p>
    <w:p w14:paraId="44A122D9" w14:textId="44EA8FC6" w:rsidR="00B01FCD" w:rsidRPr="00C72046" w:rsidRDefault="00C72046" w:rsidP="00C72046">
      <w:pPr>
        <w:jc w:val="both"/>
        <w:rPr>
          <w:rFonts w:ascii="Arial" w:hAnsi="Arial" w:cs="Arial"/>
          <w:lang w:val="en-IN"/>
        </w:rPr>
      </w:pPr>
      <w:r w:rsidRPr="00C72046">
        <w:rPr>
          <w:rFonts w:ascii="Arial" w:eastAsia="Calibri" w:hAnsi="Arial" w:cs="Arial"/>
        </w:rPr>
        <w:t>The survey aims to provide comprehensive insights into clinician preferences, experiences, and perceptions regarding OAB management, with a focus on mirabegron use, thereby contributing to understanding and optimizing treatment strategies.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1F8EC80A" w14:textId="77777777" w:rsidR="00C72046" w:rsidRDefault="00C72046" w:rsidP="00C72046">
      <w:pPr>
        <w:jc w:val="both"/>
        <w:rPr>
          <w:rFonts w:ascii="Arial" w:hAnsi="Arial" w:cs="Arial"/>
          <w:color w:val="000000" w:themeColor="text1"/>
          <w:lang w:val="en-IN"/>
        </w:rPr>
      </w:pPr>
      <w:r w:rsidRPr="00C72046">
        <w:rPr>
          <w:rFonts w:ascii="Arial" w:hAnsi="Arial" w:cs="Arial"/>
          <w:color w:val="000000" w:themeColor="text1"/>
          <w:lang w:val="en-IN"/>
        </w:rPr>
        <w:t>We carried out a cross-sectional study among clinicians actively engaged in OAB management across India from June 2024 to December 2024. The study was conducted after receiving approval from Bangalore Ethics, an Independent Ethics Committee, which was recognized by the Indian Regulatory Authority, the Drug Controller General of India.</w:t>
      </w:r>
    </w:p>
    <w:p w14:paraId="200397CB" w14:textId="77777777" w:rsidR="00C72046" w:rsidRPr="00C72046" w:rsidRDefault="00C72046" w:rsidP="00C72046">
      <w:pPr>
        <w:jc w:val="both"/>
        <w:rPr>
          <w:rFonts w:ascii="Arial" w:hAnsi="Arial" w:cs="Arial"/>
          <w:color w:val="000000" w:themeColor="text1"/>
          <w:lang w:val="en-IN"/>
        </w:rPr>
      </w:pPr>
    </w:p>
    <w:p w14:paraId="439CE693" w14:textId="77777777" w:rsidR="00C72046" w:rsidRPr="00C72046" w:rsidRDefault="00C72046" w:rsidP="00C72046">
      <w:pPr>
        <w:jc w:val="both"/>
        <w:rPr>
          <w:rFonts w:ascii="Arial" w:hAnsi="Arial" w:cs="Arial"/>
          <w:color w:val="000000" w:themeColor="text1"/>
          <w:lang w:val="en-IN"/>
        </w:rPr>
      </w:pPr>
      <w:r w:rsidRPr="00C72046">
        <w:rPr>
          <w:rFonts w:ascii="Arial" w:hAnsi="Arial" w:cs="Arial"/>
          <w:color w:val="000000" w:themeColor="text1"/>
          <w:lang w:val="en-IN"/>
        </w:rPr>
        <w:t>A convenient sampling technique was used, and an invitation was sent to leading clinicians in managing OAB in the month of March 2024 for participation in this Indian survey. About 26 clinicians from major cities of all Indian states, representing the geographical distribution, shared their willingness to participate and provide necessary data. The questionnaire booklet titled MIRAEFFECT study was sent to clinicians who were interested in participating in this study. The study questionnaire consisted of 23 questions aimed at gathering comprehensive information on various aspects, including clinical caseloads, patient characteristics, treatment approaches, medication preferences, challenges in clinical management, patient adherence, lifestyle factors, and specific experiences with mirabegron therapy.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32AD9960" w14:textId="77777777" w:rsidR="00C72046" w:rsidRDefault="00C72046" w:rsidP="00157EFD">
      <w:pPr>
        <w:jc w:val="both"/>
        <w:rPr>
          <w:rFonts w:ascii="Arial" w:hAnsi="Arial" w:cs="Arial"/>
          <w:b/>
          <w:bCs/>
          <w:color w:val="000000" w:themeColor="text1"/>
          <w:lang w:val="en-IN"/>
        </w:rPr>
      </w:pPr>
    </w:p>
    <w:p w14:paraId="0A9A291A" w14:textId="4A622837" w:rsidR="00157EFD" w:rsidRPr="00157EFD" w:rsidRDefault="00157EFD" w:rsidP="00157EFD">
      <w:pPr>
        <w:jc w:val="both"/>
        <w:rPr>
          <w:rFonts w:ascii="Arial" w:hAnsi="Arial" w:cs="Arial"/>
          <w:b/>
          <w:bCs/>
          <w:color w:val="000000" w:themeColor="text1"/>
          <w:lang w:val="en-IN"/>
        </w:rPr>
      </w:pPr>
      <w:r w:rsidRPr="00157EFD">
        <w:rPr>
          <w:rFonts w:ascii="Arial" w:hAnsi="Arial" w:cs="Arial"/>
          <w:b/>
          <w:bCs/>
          <w:color w:val="000000" w:themeColor="text1"/>
          <w:lang w:val="en-IN"/>
        </w:rPr>
        <w:t>Statistical analysis</w:t>
      </w:r>
    </w:p>
    <w:p w14:paraId="2DF73FDC" w14:textId="57278DCE" w:rsidR="003F71EF" w:rsidRPr="00A70B37" w:rsidRDefault="00157EFD" w:rsidP="00157EFD">
      <w:pPr>
        <w:jc w:val="both"/>
        <w:rPr>
          <w:rFonts w:ascii="Arial" w:hAnsi="Arial" w:cs="Arial"/>
        </w:rPr>
      </w:pPr>
      <w:r w:rsidRPr="00157EFD">
        <w:rPr>
          <w:rFonts w:ascii="Arial" w:hAnsi="Arial" w:cs="Arial"/>
          <w:color w:val="000000" w:themeColor="text1"/>
          <w:lang w:val="en-IN"/>
        </w:rPr>
        <w:t xml:space="preserve">The data were </w:t>
      </w:r>
      <w:proofErr w:type="spellStart"/>
      <w:r w:rsidRPr="00157EFD">
        <w:rPr>
          <w:rFonts w:ascii="Arial" w:hAnsi="Arial" w:cs="Arial"/>
          <w:color w:val="000000" w:themeColor="text1"/>
          <w:lang w:val="en-IN"/>
        </w:rPr>
        <w:t>analyzed</w:t>
      </w:r>
      <w:proofErr w:type="spellEnd"/>
      <w:r w:rsidRPr="00157EFD">
        <w:rPr>
          <w:rFonts w:ascii="Arial" w:hAnsi="Arial" w:cs="Arial"/>
          <w:color w:val="000000" w:themeColor="text1"/>
          <w:lang w:val="en-IN"/>
        </w:rPr>
        <w:t xml:space="preserve"> using descriptive statistics, with categorical variables summarized as frequencies and percentages. Visualizations such as graphs and pie charts were generated using Microsoft Excel 2013 (version 16.0.13901.20400) to illustrate the distribution of responses.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77777777" w:rsidR="004F4227" w:rsidRPr="004F4227" w:rsidRDefault="004F4227" w:rsidP="004F4227">
      <w:pPr>
        <w:pStyle w:val="Body"/>
        <w:rPr>
          <w:rFonts w:ascii="Arial" w:hAnsi="Arial" w:cs="Arial"/>
        </w:rPr>
      </w:pPr>
      <w:r w:rsidRPr="004F4227">
        <w:rPr>
          <w:rFonts w:ascii="Arial" w:hAnsi="Arial" w:cs="Arial"/>
        </w:rPr>
        <w:t>The survey included a total of 26 clinicians. Nearly 46% reported diagnosing more than 20 cases of OAB each month in their clinical practice. A significant proportion (69.23%) identified multiple contributing factors, such as lack of follow-up, poor medication adherence, and financial limitations, as the main reasons for uncontrolled OAB. Approximately 81% of respondents attributed clinical inertia primarily to patients’ lack of awareness about the disease and its potential complications.</w:t>
      </w:r>
    </w:p>
    <w:p w14:paraId="4CA0EE78" w14:textId="77777777" w:rsidR="004F4227" w:rsidRPr="004F4227" w:rsidRDefault="004F4227" w:rsidP="004F4227">
      <w:pPr>
        <w:pStyle w:val="Body"/>
        <w:rPr>
          <w:rFonts w:ascii="Arial" w:hAnsi="Arial" w:cs="Arial"/>
        </w:rPr>
      </w:pPr>
      <w:r w:rsidRPr="004F4227">
        <w:rPr>
          <w:rFonts w:ascii="Arial" w:hAnsi="Arial" w:cs="Arial"/>
        </w:rPr>
        <w:t>The majority of clinicians (69.23%) observed that most OAB patients presenting to their clinics fall within the 50 to 60-year age group. Nearly 58% indicated that OAB is more common among women. Approximately 69% of clinicians identified neurologic conditions as the most common comorbidity associated with OAB.</w:t>
      </w:r>
    </w:p>
    <w:p w14:paraId="54E94969" w14:textId="77777777" w:rsidR="004F4227" w:rsidRPr="004F4227" w:rsidRDefault="004F4227" w:rsidP="004F4227">
      <w:pPr>
        <w:pStyle w:val="Body"/>
        <w:rPr>
          <w:rFonts w:ascii="Arial" w:hAnsi="Arial" w:cs="Arial"/>
        </w:rPr>
      </w:pPr>
      <w:r w:rsidRPr="004F4227">
        <w:rPr>
          <w:rFonts w:ascii="Arial" w:hAnsi="Arial" w:cs="Arial"/>
        </w:rPr>
        <w:t>A considerable proportion of clinicians (65.38%) identified urgency in urination as the most frequently observed symptom in patients with OAB. Nearly 73% of respondents indicated that less than 10% of their patients are aware of OAB and its complications. Approximately 46% of experts stated that the prevalence of urge and stress urinary incontinence in their patients falls within the 5 to 10% range. Around 38% recommended the use of a bladder diary across all age groups.</w:t>
      </w:r>
    </w:p>
    <w:p w14:paraId="14B2167E" w14:textId="77777777" w:rsidR="004F4227" w:rsidRPr="004F4227" w:rsidRDefault="004F4227" w:rsidP="004F4227">
      <w:pPr>
        <w:pStyle w:val="Body"/>
        <w:rPr>
          <w:rFonts w:ascii="Arial" w:hAnsi="Arial" w:cs="Arial"/>
        </w:rPr>
      </w:pPr>
      <w:r w:rsidRPr="004F4227">
        <w:rPr>
          <w:rFonts w:ascii="Arial" w:hAnsi="Arial" w:cs="Arial"/>
        </w:rPr>
        <w:t>Nearly 35% of participants observed that patient adherence to lifestyle modifications ranged between 6 to 10% and 11 to 15%. Most experts (57.69%) considered lack of awareness as the primary limitation in current treatment options for OAB. Around 85% believed that creating awareness and involving family members or caregivers is the most effective way to improve adherence in OAB treatment.</w:t>
      </w:r>
    </w:p>
    <w:p w14:paraId="769BFD86" w14:textId="0F158EFB" w:rsidR="007C70B7" w:rsidRDefault="004F4227" w:rsidP="004F4227">
      <w:pPr>
        <w:pStyle w:val="Body"/>
        <w:spacing w:after="0"/>
        <w:rPr>
          <w:rFonts w:ascii="Arial" w:hAnsi="Arial" w:cs="Arial"/>
        </w:rPr>
      </w:pPr>
      <w:r w:rsidRPr="004F4227">
        <w:rPr>
          <w:rFonts w:ascii="Arial" w:hAnsi="Arial" w:cs="Arial"/>
        </w:rPr>
        <w:t>The majority of experts (76.92%) preferred mirabegron for managing OAB (Table 1). Half of the clinicians (50%) rated the effectiveness of mirabegron as 4 out of 5 in controlling OAB symptoms. Around 46% stated that 11 to 25% of their OAB patients require combination therapy. Most clinicians (76.92%) preferred silodosin as the combination agent with mirabegron for managing OAB (Fig. 1). Approximately 35% indicated that mirabegron leads to greater improvement in micturition frequency compared to antimuscarinics (Table 2).</w:t>
      </w:r>
    </w:p>
    <w:p w14:paraId="397C2062" w14:textId="77777777" w:rsidR="00157EFD" w:rsidRDefault="00157EFD" w:rsidP="007C70B7">
      <w:pPr>
        <w:pStyle w:val="Body"/>
        <w:spacing w:after="0"/>
        <w:rPr>
          <w:rFonts w:ascii="Arial" w:hAnsi="Arial" w:cs="Arial"/>
        </w:rPr>
      </w:pPr>
    </w:p>
    <w:p w14:paraId="7976ABCB" w14:textId="77777777" w:rsidR="004F4227" w:rsidRDefault="004F4227" w:rsidP="004F4227">
      <w:pPr>
        <w:jc w:val="both"/>
        <w:rPr>
          <w:rFonts w:ascii="Arial" w:hAnsi="Arial" w:cs="Arial"/>
          <w:b/>
          <w:bCs/>
        </w:rPr>
      </w:pPr>
      <w:r w:rsidRPr="004F4227">
        <w:rPr>
          <w:rFonts w:ascii="Arial" w:hAnsi="Arial" w:cs="Arial"/>
          <w:b/>
          <w:bCs/>
        </w:rPr>
        <w:t>Table 1: Distribution of responses to clinicians’ preferred molecule in the management of OAB</w:t>
      </w:r>
    </w:p>
    <w:tbl>
      <w:tblPr>
        <w:tblW w:w="6521" w:type="dxa"/>
        <w:tblInd w:w="1268" w:type="dxa"/>
        <w:tblCellMar>
          <w:left w:w="0" w:type="dxa"/>
          <w:right w:w="0" w:type="dxa"/>
        </w:tblCellMar>
        <w:tblLook w:val="04A0" w:firstRow="1" w:lastRow="0" w:firstColumn="1" w:lastColumn="0" w:noHBand="0" w:noVBand="1"/>
      </w:tblPr>
      <w:tblGrid>
        <w:gridCol w:w="3597"/>
        <w:gridCol w:w="2924"/>
      </w:tblGrid>
      <w:tr w:rsidR="004F4227" w:rsidRPr="004F4227" w14:paraId="7EFB00C4" w14:textId="77777777" w:rsidTr="004F4227">
        <w:trPr>
          <w:trHeight w:val="315"/>
        </w:trPr>
        <w:tc>
          <w:tcPr>
            <w:tcW w:w="35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58A98C12" w14:textId="77777777" w:rsidR="004F4227" w:rsidRPr="004F4227" w:rsidRDefault="004F4227" w:rsidP="00C84D17">
            <w:pPr>
              <w:jc w:val="center"/>
              <w:rPr>
                <w:rFonts w:ascii="Arial" w:hAnsi="Arial" w:cs="Arial"/>
                <w:b/>
                <w:bCs/>
              </w:rPr>
            </w:pPr>
            <w:r w:rsidRPr="004F4227">
              <w:rPr>
                <w:rFonts w:ascii="Arial" w:hAnsi="Arial" w:cs="Arial"/>
                <w:b/>
                <w:bCs/>
              </w:rPr>
              <w:t>Preferred molecule</w:t>
            </w:r>
          </w:p>
        </w:tc>
        <w:tc>
          <w:tcPr>
            <w:tcW w:w="2924"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7B6F7C28" w14:textId="77777777" w:rsidR="004F4227" w:rsidRPr="004F4227" w:rsidRDefault="004F4227" w:rsidP="00C84D17">
            <w:pPr>
              <w:jc w:val="center"/>
              <w:rPr>
                <w:rFonts w:ascii="Arial" w:hAnsi="Arial" w:cs="Arial"/>
                <w:b/>
                <w:bCs/>
              </w:rPr>
            </w:pPr>
            <w:r w:rsidRPr="004F4227">
              <w:rPr>
                <w:rFonts w:ascii="Arial" w:hAnsi="Arial" w:cs="Arial"/>
                <w:b/>
                <w:bCs/>
              </w:rPr>
              <w:t xml:space="preserve">Response rate </w:t>
            </w:r>
            <w:proofErr w:type="gramStart"/>
            <w:r w:rsidRPr="004F4227">
              <w:rPr>
                <w:rFonts w:ascii="Arial" w:hAnsi="Arial" w:cs="Arial"/>
                <w:b/>
                <w:bCs/>
              </w:rPr>
              <w:t xml:space="preserve">   (</w:t>
            </w:r>
            <w:proofErr w:type="gramEnd"/>
            <w:r w:rsidRPr="004F4227">
              <w:rPr>
                <w:rFonts w:ascii="Arial" w:hAnsi="Arial" w:cs="Arial"/>
                <w:b/>
                <w:bCs/>
              </w:rPr>
              <w:t>n = 26)</w:t>
            </w:r>
          </w:p>
        </w:tc>
      </w:tr>
      <w:tr w:rsidR="004F4227" w:rsidRPr="004F4227" w14:paraId="40555A08"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E595151" w14:textId="77777777" w:rsidR="004F4227" w:rsidRPr="004F4227" w:rsidRDefault="004F4227" w:rsidP="00C84D17">
            <w:pPr>
              <w:jc w:val="center"/>
              <w:rPr>
                <w:rFonts w:ascii="Arial" w:hAnsi="Arial" w:cs="Arial"/>
                <w:b/>
                <w:bCs/>
              </w:rPr>
            </w:pPr>
            <w:r w:rsidRPr="004F4227">
              <w:rPr>
                <w:rFonts w:ascii="Arial" w:hAnsi="Arial" w:cs="Arial"/>
                <w:b/>
                <w:bCs/>
              </w:rPr>
              <w:t>Mirabegron</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39182D7" w14:textId="77777777" w:rsidR="004F4227" w:rsidRPr="004F4227" w:rsidRDefault="004F4227" w:rsidP="00C84D17">
            <w:pPr>
              <w:jc w:val="center"/>
              <w:rPr>
                <w:rFonts w:ascii="Arial" w:hAnsi="Arial" w:cs="Arial"/>
              </w:rPr>
            </w:pPr>
            <w:r w:rsidRPr="004F4227">
              <w:rPr>
                <w:rFonts w:ascii="Arial" w:hAnsi="Arial" w:cs="Arial"/>
              </w:rPr>
              <w:t>76.92%</w:t>
            </w:r>
          </w:p>
        </w:tc>
      </w:tr>
      <w:tr w:rsidR="004F4227" w:rsidRPr="004F4227" w14:paraId="17ADAD73"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256BBC46" w14:textId="77777777" w:rsidR="004F4227" w:rsidRPr="004F4227" w:rsidRDefault="004F4227" w:rsidP="00C84D17">
            <w:pPr>
              <w:jc w:val="center"/>
              <w:rPr>
                <w:rFonts w:ascii="Arial" w:hAnsi="Arial" w:cs="Arial"/>
                <w:b/>
                <w:bCs/>
              </w:rPr>
            </w:pPr>
            <w:proofErr w:type="spellStart"/>
            <w:r w:rsidRPr="004F4227">
              <w:rPr>
                <w:rFonts w:ascii="Arial" w:hAnsi="Arial" w:cs="Arial"/>
                <w:b/>
                <w:bCs/>
              </w:rPr>
              <w:t>Solifenacin</w:t>
            </w:r>
            <w:proofErr w:type="spellEnd"/>
            <w:r w:rsidRPr="004F4227">
              <w:rPr>
                <w:rFonts w:ascii="Arial" w:hAnsi="Arial" w:cs="Arial"/>
                <w:b/>
                <w:bCs/>
              </w:rPr>
              <w:t xml:space="preserve"> succinate</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1229B54" w14:textId="77777777" w:rsidR="004F4227" w:rsidRPr="004F4227" w:rsidRDefault="004F4227" w:rsidP="00C84D17">
            <w:pPr>
              <w:jc w:val="center"/>
              <w:rPr>
                <w:rFonts w:ascii="Arial" w:hAnsi="Arial" w:cs="Arial"/>
              </w:rPr>
            </w:pPr>
            <w:r w:rsidRPr="004F4227">
              <w:rPr>
                <w:rFonts w:ascii="Arial" w:hAnsi="Arial" w:cs="Arial"/>
              </w:rPr>
              <w:t>7.69%</w:t>
            </w:r>
          </w:p>
        </w:tc>
      </w:tr>
      <w:tr w:rsidR="004F4227" w:rsidRPr="004F4227" w14:paraId="71D33010"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CE3D6A3" w14:textId="77777777" w:rsidR="004F4227" w:rsidRPr="004F4227" w:rsidRDefault="004F4227" w:rsidP="00C84D17">
            <w:pPr>
              <w:jc w:val="center"/>
              <w:rPr>
                <w:rFonts w:ascii="Arial" w:hAnsi="Arial" w:cs="Arial"/>
                <w:b/>
                <w:bCs/>
              </w:rPr>
            </w:pPr>
            <w:r w:rsidRPr="004F4227">
              <w:rPr>
                <w:rFonts w:ascii="Arial" w:hAnsi="Arial" w:cs="Arial"/>
                <w:b/>
                <w:bCs/>
              </w:rPr>
              <w:t>Tolterodine tartrate</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BAE1E74" w14:textId="77777777" w:rsidR="004F4227" w:rsidRPr="004F4227" w:rsidRDefault="004F4227" w:rsidP="00C84D17">
            <w:pPr>
              <w:jc w:val="center"/>
              <w:rPr>
                <w:rFonts w:ascii="Arial" w:hAnsi="Arial" w:cs="Arial"/>
              </w:rPr>
            </w:pPr>
            <w:r w:rsidRPr="004F4227">
              <w:rPr>
                <w:rFonts w:ascii="Arial" w:hAnsi="Arial" w:cs="Arial"/>
              </w:rPr>
              <w:t>0%</w:t>
            </w:r>
          </w:p>
        </w:tc>
      </w:tr>
      <w:tr w:rsidR="004F4227" w:rsidRPr="004F4227" w14:paraId="33CAA35D"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4DE7D38B" w14:textId="77777777" w:rsidR="004F4227" w:rsidRPr="004F4227" w:rsidRDefault="004F4227" w:rsidP="00C84D17">
            <w:pPr>
              <w:jc w:val="center"/>
              <w:rPr>
                <w:rFonts w:ascii="Arial" w:hAnsi="Arial" w:cs="Arial"/>
                <w:b/>
                <w:bCs/>
              </w:rPr>
            </w:pPr>
            <w:r w:rsidRPr="004F4227">
              <w:rPr>
                <w:rFonts w:ascii="Arial" w:hAnsi="Arial" w:cs="Arial"/>
                <w:b/>
                <w:bCs/>
              </w:rPr>
              <w:t>All of the above</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1AB4D8B" w14:textId="77777777" w:rsidR="004F4227" w:rsidRPr="004F4227" w:rsidRDefault="004F4227" w:rsidP="00C84D17">
            <w:pPr>
              <w:jc w:val="center"/>
              <w:rPr>
                <w:rFonts w:ascii="Arial" w:hAnsi="Arial" w:cs="Arial"/>
              </w:rPr>
            </w:pPr>
            <w:r w:rsidRPr="004F4227">
              <w:rPr>
                <w:rFonts w:ascii="Arial" w:hAnsi="Arial" w:cs="Arial"/>
              </w:rPr>
              <w:t>15.38%</w:t>
            </w:r>
          </w:p>
        </w:tc>
      </w:tr>
    </w:tbl>
    <w:p w14:paraId="7FEA06C4" w14:textId="77777777" w:rsidR="004F4227" w:rsidRPr="004F4227" w:rsidRDefault="004F4227" w:rsidP="004F4227">
      <w:pPr>
        <w:jc w:val="both"/>
        <w:rPr>
          <w:rFonts w:ascii="Arial" w:hAnsi="Arial" w:cs="Arial"/>
        </w:rPr>
      </w:pPr>
    </w:p>
    <w:p w14:paraId="6A98AADC" w14:textId="77777777" w:rsidR="004F4227" w:rsidRDefault="004F4227" w:rsidP="004F4227">
      <w:pPr>
        <w:jc w:val="both"/>
        <w:rPr>
          <w:rFonts w:ascii="Arial" w:hAnsi="Arial" w:cs="Arial"/>
          <w:b/>
          <w:bCs/>
        </w:rPr>
      </w:pPr>
    </w:p>
    <w:p w14:paraId="50128131" w14:textId="12F20AE5" w:rsidR="004F4227" w:rsidRPr="004F4227" w:rsidRDefault="004F4227" w:rsidP="004F4227">
      <w:pPr>
        <w:jc w:val="both"/>
        <w:rPr>
          <w:rFonts w:ascii="Arial" w:hAnsi="Arial" w:cs="Arial"/>
          <w:b/>
          <w:bCs/>
        </w:rPr>
      </w:pPr>
      <w:r w:rsidRPr="004F4227">
        <w:rPr>
          <w:rFonts w:ascii="Arial" w:hAnsi="Arial" w:cs="Arial"/>
          <w:b/>
          <w:bCs/>
        </w:rPr>
        <w:t>Fig. 1: Distribution of responses to clinicians’ preferred molecule in combination with mirabegron for OAB management</w:t>
      </w:r>
    </w:p>
    <w:p w14:paraId="70F31588" w14:textId="77777777" w:rsidR="004F4227" w:rsidRPr="004F4227" w:rsidRDefault="004F4227" w:rsidP="004F4227">
      <w:pPr>
        <w:jc w:val="both"/>
        <w:rPr>
          <w:rFonts w:ascii="Arial" w:hAnsi="Arial" w:cs="Arial"/>
          <w:b/>
          <w:bCs/>
        </w:rPr>
      </w:pPr>
    </w:p>
    <w:p w14:paraId="388DEF5A" w14:textId="77777777" w:rsidR="004F4227" w:rsidRPr="004F4227" w:rsidRDefault="004F4227" w:rsidP="004F4227">
      <w:pPr>
        <w:jc w:val="center"/>
        <w:rPr>
          <w:rFonts w:ascii="Arial" w:hAnsi="Arial" w:cs="Arial"/>
          <w:b/>
          <w:bCs/>
        </w:rPr>
      </w:pPr>
      <w:r w:rsidRPr="004F4227">
        <w:rPr>
          <w:rFonts w:ascii="Arial" w:hAnsi="Arial" w:cs="Arial"/>
          <w:noProof/>
        </w:rPr>
        <w:drawing>
          <wp:inline distT="0" distB="0" distL="0" distR="0" wp14:anchorId="1C6E6A0B" wp14:editId="52E6E7C2">
            <wp:extent cx="4440555" cy="2674620"/>
            <wp:effectExtent l="0" t="0" r="17145" b="11430"/>
            <wp:docPr id="665277644" name="Chart 1">
              <a:extLst xmlns:a="http://schemas.openxmlformats.org/drawingml/2006/main">
                <a:ext uri="{FF2B5EF4-FFF2-40B4-BE49-F238E27FC236}">
                  <a16:creationId xmlns:a16="http://schemas.microsoft.com/office/drawing/2014/main" id="{F18CEFF7-00E2-E72F-B14F-BEE67BDBBA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1394A3" w14:textId="77777777" w:rsidR="004F4227" w:rsidRPr="004F4227" w:rsidRDefault="004F4227" w:rsidP="004F4227">
      <w:pPr>
        <w:jc w:val="both"/>
        <w:rPr>
          <w:rFonts w:ascii="Arial" w:hAnsi="Arial" w:cs="Arial"/>
          <w:b/>
          <w:bCs/>
        </w:rPr>
      </w:pPr>
    </w:p>
    <w:p w14:paraId="38242DBB" w14:textId="00E71B6B" w:rsidR="004F4227" w:rsidRPr="004F4227" w:rsidRDefault="004F4227" w:rsidP="004F4227">
      <w:pPr>
        <w:jc w:val="both"/>
        <w:rPr>
          <w:rFonts w:ascii="Arial" w:hAnsi="Arial" w:cs="Arial"/>
          <w:b/>
          <w:bCs/>
        </w:rPr>
      </w:pPr>
      <w:r w:rsidRPr="004F4227">
        <w:rPr>
          <w:rFonts w:ascii="Arial" w:hAnsi="Arial" w:cs="Arial"/>
          <w:b/>
          <w:bCs/>
        </w:rPr>
        <w:t xml:space="preserve">Table 2: Distribution of responses to clinicians’ views on benefits of mirabegron over antimuscarinics in OAB management </w:t>
      </w:r>
    </w:p>
    <w:p w14:paraId="5EFB3733" w14:textId="77777777" w:rsidR="004F4227" w:rsidRPr="004F4227" w:rsidRDefault="004F4227" w:rsidP="004F4227">
      <w:pPr>
        <w:jc w:val="both"/>
        <w:rPr>
          <w:rFonts w:ascii="Arial" w:hAnsi="Arial" w:cs="Arial"/>
          <w:b/>
          <w:bCs/>
        </w:rPr>
      </w:pPr>
    </w:p>
    <w:tbl>
      <w:tblPr>
        <w:tblW w:w="7180" w:type="dxa"/>
        <w:tblInd w:w="1268" w:type="dxa"/>
        <w:tblCellMar>
          <w:left w:w="0" w:type="dxa"/>
          <w:right w:w="0" w:type="dxa"/>
        </w:tblCellMar>
        <w:tblLook w:val="04A0" w:firstRow="1" w:lastRow="0" w:firstColumn="1" w:lastColumn="0" w:noHBand="0" w:noVBand="1"/>
      </w:tblPr>
      <w:tblGrid>
        <w:gridCol w:w="4731"/>
        <w:gridCol w:w="2449"/>
      </w:tblGrid>
      <w:tr w:rsidR="004F4227" w:rsidRPr="004F4227" w14:paraId="435F7336" w14:textId="77777777" w:rsidTr="004F4227">
        <w:trPr>
          <w:trHeight w:val="313"/>
        </w:trPr>
        <w:tc>
          <w:tcPr>
            <w:tcW w:w="47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6817851" w14:textId="77777777" w:rsidR="004F4227" w:rsidRPr="004F4227" w:rsidRDefault="004F4227" w:rsidP="00C84D17">
            <w:pPr>
              <w:jc w:val="center"/>
              <w:rPr>
                <w:rFonts w:ascii="Arial" w:hAnsi="Arial" w:cs="Arial"/>
                <w:b/>
                <w:bCs/>
              </w:rPr>
            </w:pPr>
            <w:r w:rsidRPr="004F4227">
              <w:rPr>
                <w:rFonts w:ascii="Arial" w:hAnsi="Arial" w:cs="Arial"/>
                <w:b/>
                <w:bCs/>
              </w:rPr>
              <w:t>Reported benefits</w:t>
            </w:r>
          </w:p>
        </w:tc>
        <w:tc>
          <w:tcPr>
            <w:tcW w:w="244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0FF19EA2" w14:textId="0037E8E7" w:rsidR="004F4227" w:rsidRPr="004F4227" w:rsidRDefault="004F4227" w:rsidP="00C84D17">
            <w:pPr>
              <w:jc w:val="center"/>
              <w:rPr>
                <w:rFonts w:ascii="Arial" w:hAnsi="Arial" w:cs="Arial"/>
                <w:b/>
                <w:bCs/>
              </w:rPr>
            </w:pPr>
            <w:r w:rsidRPr="004F4227">
              <w:rPr>
                <w:rFonts w:ascii="Arial" w:hAnsi="Arial" w:cs="Arial"/>
                <w:b/>
                <w:bCs/>
              </w:rPr>
              <w:t>Response rate (n = 26)</w:t>
            </w:r>
          </w:p>
        </w:tc>
      </w:tr>
      <w:tr w:rsidR="004F4227" w:rsidRPr="004F4227" w14:paraId="3EA6B057"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FD3A799" w14:textId="77777777" w:rsidR="004F4227" w:rsidRPr="004F4227" w:rsidRDefault="004F4227" w:rsidP="00C84D17">
            <w:pPr>
              <w:jc w:val="center"/>
              <w:rPr>
                <w:rFonts w:ascii="Arial" w:hAnsi="Arial" w:cs="Arial"/>
                <w:b/>
                <w:bCs/>
              </w:rPr>
            </w:pPr>
            <w:r w:rsidRPr="004F4227">
              <w:rPr>
                <w:rFonts w:ascii="Arial" w:hAnsi="Arial" w:cs="Arial"/>
                <w:b/>
                <w:bCs/>
              </w:rPr>
              <w:t>Better improvements in micturition frequency</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5D16F46" w14:textId="77777777" w:rsidR="004F4227" w:rsidRPr="004F4227" w:rsidRDefault="004F4227" w:rsidP="00C84D17">
            <w:pPr>
              <w:jc w:val="center"/>
              <w:rPr>
                <w:rFonts w:ascii="Arial" w:hAnsi="Arial" w:cs="Arial"/>
              </w:rPr>
            </w:pPr>
            <w:r w:rsidRPr="004F4227">
              <w:rPr>
                <w:rFonts w:ascii="Arial" w:hAnsi="Arial" w:cs="Arial"/>
              </w:rPr>
              <w:t>34.62%</w:t>
            </w:r>
          </w:p>
        </w:tc>
      </w:tr>
      <w:tr w:rsidR="004F4227" w:rsidRPr="004F4227" w14:paraId="6278D75F"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BC7C044" w14:textId="77777777" w:rsidR="004F4227" w:rsidRPr="004F4227" w:rsidRDefault="004F4227" w:rsidP="00C84D17">
            <w:pPr>
              <w:jc w:val="center"/>
              <w:rPr>
                <w:rFonts w:ascii="Arial" w:hAnsi="Arial" w:cs="Arial"/>
                <w:b/>
                <w:bCs/>
              </w:rPr>
            </w:pPr>
            <w:r w:rsidRPr="004F4227">
              <w:rPr>
                <w:rFonts w:ascii="Arial" w:hAnsi="Arial" w:cs="Arial"/>
                <w:b/>
                <w:bCs/>
              </w:rPr>
              <w:t>Better improvements in urgency incontinence</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927AF31" w14:textId="77777777" w:rsidR="004F4227" w:rsidRPr="004F4227" w:rsidRDefault="004F4227" w:rsidP="00C84D17">
            <w:pPr>
              <w:jc w:val="center"/>
              <w:rPr>
                <w:rFonts w:ascii="Arial" w:hAnsi="Arial" w:cs="Arial"/>
              </w:rPr>
            </w:pPr>
            <w:r w:rsidRPr="004F4227">
              <w:rPr>
                <w:rFonts w:ascii="Arial" w:hAnsi="Arial" w:cs="Arial"/>
              </w:rPr>
              <w:t>30.77%</w:t>
            </w:r>
          </w:p>
        </w:tc>
      </w:tr>
      <w:tr w:rsidR="004F4227" w:rsidRPr="004F4227" w14:paraId="17DB857F"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50EB38EB" w14:textId="77777777" w:rsidR="004F4227" w:rsidRPr="004F4227" w:rsidRDefault="004F4227" w:rsidP="00C84D17">
            <w:pPr>
              <w:jc w:val="center"/>
              <w:rPr>
                <w:rFonts w:ascii="Arial" w:hAnsi="Arial" w:cs="Arial"/>
                <w:b/>
                <w:bCs/>
              </w:rPr>
            </w:pPr>
            <w:r w:rsidRPr="004F4227">
              <w:rPr>
                <w:rFonts w:ascii="Arial" w:hAnsi="Arial" w:cs="Arial"/>
                <w:b/>
                <w:bCs/>
              </w:rPr>
              <w:t>Better improvements in mean volume voided/micturition</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AF36E4E" w14:textId="77777777" w:rsidR="004F4227" w:rsidRPr="004F4227" w:rsidRDefault="004F4227" w:rsidP="00C84D17">
            <w:pPr>
              <w:jc w:val="center"/>
              <w:rPr>
                <w:rFonts w:ascii="Arial" w:hAnsi="Arial" w:cs="Arial"/>
              </w:rPr>
            </w:pPr>
            <w:r w:rsidRPr="004F4227">
              <w:rPr>
                <w:rFonts w:ascii="Arial" w:hAnsi="Arial" w:cs="Arial"/>
              </w:rPr>
              <w:t>26.92%</w:t>
            </w:r>
          </w:p>
        </w:tc>
      </w:tr>
      <w:tr w:rsidR="004F4227" w:rsidRPr="004F4227" w14:paraId="5167F6A8"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5B9D26FC" w14:textId="77777777" w:rsidR="004F4227" w:rsidRPr="004F4227" w:rsidRDefault="004F4227" w:rsidP="00C84D17">
            <w:pPr>
              <w:jc w:val="center"/>
              <w:rPr>
                <w:rFonts w:ascii="Arial" w:hAnsi="Arial" w:cs="Arial"/>
                <w:b/>
                <w:bCs/>
              </w:rPr>
            </w:pPr>
            <w:r w:rsidRPr="004F4227">
              <w:rPr>
                <w:rFonts w:ascii="Arial" w:hAnsi="Arial" w:cs="Arial"/>
                <w:b/>
                <w:bCs/>
              </w:rPr>
              <w:t>All of the above</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6ED872F" w14:textId="77777777" w:rsidR="004F4227" w:rsidRPr="004F4227" w:rsidRDefault="004F4227" w:rsidP="00C84D17">
            <w:pPr>
              <w:jc w:val="center"/>
              <w:rPr>
                <w:rFonts w:ascii="Arial" w:hAnsi="Arial" w:cs="Arial"/>
              </w:rPr>
            </w:pPr>
            <w:r w:rsidRPr="004F4227">
              <w:rPr>
                <w:rFonts w:ascii="Arial" w:hAnsi="Arial" w:cs="Arial"/>
              </w:rPr>
              <w:t>7.69%</w:t>
            </w:r>
          </w:p>
        </w:tc>
      </w:tr>
    </w:tbl>
    <w:p w14:paraId="780FF3D4" w14:textId="77777777" w:rsidR="004F4227" w:rsidRDefault="004F4227" w:rsidP="007C70B7">
      <w:pPr>
        <w:pStyle w:val="Body"/>
        <w:spacing w:after="0"/>
        <w:rPr>
          <w:rFonts w:ascii="Arial" w:hAnsi="Arial" w:cs="Arial"/>
        </w:rPr>
      </w:pPr>
    </w:p>
    <w:p w14:paraId="3E7DB7FF" w14:textId="663C4A25" w:rsidR="004F4227" w:rsidRDefault="004F4227" w:rsidP="007C70B7">
      <w:pPr>
        <w:pStyle w:val="Body"/>
        <w:spacing w:after="0"/>
        <w:rPr>
          <w:rFonts w:ascii="Arial" w:hAnsi="Arial" w:cs="Arial"/>
        </w:rPr>
      </w:pPr>
      <w:r w:rsidRPr="004F4227">
        <w:rPr>
          <w:rFonts w:ascii="Arial" w:hAnsi="Arial" w:cs="Arial"/>
        </w:rPr>
        <w:t xml:space="preserve">A substantial proportion of clinicians (73.08%) recommended the use of mirabegron for a duration of 3 months (Fig. 2). Most clinicians (65.38%) preferred mirabegron for managing OAB in patients with predominant nocturia (Table 3). Around 35% reported fewer side effects, such as dry mouth, with the use of mirabegron. According to 46% of experts, nearly 60 to 80% of patients tolerate mirabegron therapy over the course of a year (Table 4). Approximately 77% of respondents preferred switching patients to mirabegron when </w:t>
      </w:r>
      <w:proofErr w:type="spellStart"/>
      <w:r w:rsidRPr="004F4227">
        <w:rPr>
          <w:rFonts w:ascii="Arial" w:hAnsi="Arial" w:cs="Arial"/>
        </w:rPr>
        <w:t>solifenacin</w:t>
      </w:r>
      <w:proofErr w:type="spellEnd"/>
      <w:r w:rsidRPr="004F4227">
        <w:rPr>
          <w:rFonts w:ascii="Arial" w:hAnsi="Arial" w:cs="Arial"/>
        </w:rPr>
        <w:t xml:space="preserve"> failed to provide symptomatic relief (Fig. 3).</w:t>
      </w:r>
    </w:p>
    <w:p w14:paraId="7B987236" w14:textId="77777777" w:rsidR="004F4227" w:rsidRDefault="004F4227" w:rsidP="007C70B7">
      <w:pPr>
        <w:pStyle w:val="Body"/>
        <w:spacing w:after="0"/>
        <w:rPr>
          <w:rFonts w:ascii="Arial" w:hAnsi="Arial" w:cs="Arial"/>
        </w:rPr>
      </w:pPr>
    </w:p>
    <w:p w14:paraId="13C6A098" w14:textId="77777777" w:rsidR="004F4227" w:rsidRPr="004F4227" w:rsidRDefault="004F4227" w:rsidP="004F4227">
      <w:pPr>
        <w:jc w:val="both"/>
        <w:rPr>
          <w:rFonts w:ascii="Arial" w:hAnsi="Arial" w:cs="Arial"/>
          <w:b/>
          <w:bCs/>
        </w:rPr>
      </w:pPr>
      <w:r w:rsidRPr="004F4227">
        <w:rPr>
          <w:rFonts w:ascii="Arial" w:hAnsi="Arial" w:cs="Arial"/>
          <w:b/>
          <w:bCs/>
        </w:rPr>
        <w:t xml:space="preserve">Fig. 2: Distribution of responses to the recommended duration of mirabegron usage in clinical practice </w:t>
      </w:r>
    </w:p>
    <w:p w14:paraId="460BA542" w14:textId="77777777" w:rsidR="004F4227" w:rsidRPr="00EC5AF4" w:rsidRDefault="004F4227" w:rsidP="004F4227">
      <w:pPr>
        <w:jc w:val="center"/>
        <w:rPr>
          <w:rFonts w:ascii="Calibri" w:hAnsi="Calibri" w:cs="Calibri"/>
          <w:sz w:val="24"/>
          <w:szCs w:val="24"/>
        </w:rPr>
      </w:pPr>
      <w:r w:rsidRPr="00EC5AF4">
        <w:rPr>
          <w:rFonts w:ascii="Calibri" w:hAnsi="Calibri" w:cs="Calibri"/>
          <w:noProof/>
          <w:sz w:val="24"/>
          <w:szCs w:val="24"/>
        </w:rPr>
        <w:lastRenderedPageBreak/>
        <w:drawing>
          <wp:inline distT="0" distB="0" distL="0" distR="0" wp14:anchorId="6EB5BE34" wp14:editId="4D4ED00B">
            <wp:extent cx="4440555" cy="2674620"/>
            <wp:effectExtent l="0" t="0" r="17145" b="11430"/>
            <wp:docPr id="1647894390" name="Chart 1">
              <a:extLst xmlns:a="http://schemas.openxmlformats.org/drawingml/2006/main">
                <a:ext uri="{FF2B5EF4-FFF2-40B4-BE49-F238E27FC236}">
                  <a16:creationId xmlns:a16="http://schemas.microsoft.com/office/drawing/2014/main" id="{4B81EF60-FF60-C7DB-0CAD-8F692BB05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9DBB10" w14:textId="77777777" w:rsidR="004F4227" w:rsidRDefault="004F4227" w:rsidP="004F4227">
      <w:pPr>
        <w:jc w:val="both"/>
        <w:rPr>
          <w:rFonts w:ascii="Calibri" w:hAnsi="Calibri" w:cs="Calibri"/>
          <w:b/>
          <w:bCs/>
          <w:sz w:val="24"/>
          <w:szCs w:val="24"/>
        </w:rPr>
      </w:pPr>
    </w:p>
    <w:p w14:paraId="47CFBE1A" w14:textId="7CEBF187" w:rsidR="004F4227" w:rsidRPr="004F4227" w:rsidRDefault="004F4227" w:rsidP="004F4227">
      <w:pPr>
        <w:jc w:val="both"/>
        <w:rPr>
          <w:rFonts w:ascii="Arial" w:hAnsi="Arial" w:cs="Arial"/>
          <w:b/>
          <w:bCs/>
        </w:rPr>
      </w:pPr>
      <w:r w:rsidRPr="004F4227">
        <w:rPr>
          <w:rFonts w:ascii="Arial" w:hAnsi="Arial" w:cs="Arial"/>
          <w:b/>
          <w:bCs/>
        </w:rPr>
        <w:t>Table 3: Distribution of responses to preferred molecule for managing OAB with predominant nocturia</w:t>
      </w:r>
    </w:p>
    <w:tbl>
      <w:tblPr>
        <w:tblW w:w="6521" w:type="dxa"/>
        <w:tblInd w:w="1268" w:type="dxa"/>
        <w:tblCellMar>
          <w:left w:w="0" w:type="dxa"/>
          <w:right w:w="0" w:type="dxa"/>
        </w:tblCellMar>
        <w:tblLook w:val="04A0" w:firstRow="1" w:lastRow="0" w:firstColumn="1" w:lastColumn="0" w:noHBand="0" w:noVBand="1"/>
      </w:tblPr>
      <w:tblGrid>
        <w:gridCol w:w="3880"/>
        <w:gridCol w:w="2641"/>
      </w:tblGrid>
      <w:tr w:rsidR="004F4227" w:rsidRPr="00EC5AF4" w14:paraId="00E1D70D" w14:textId="77777777" w:rsidTr="004F4227">
        <w:trPr>
          <w:trHeight w:val="315"/>
        </w:trPr>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07BCBF38" w14:textId="77777777" w:rsidR="004F4227" w:rsidRPr="004F4227" w:rsidRDefault="004F4227" w:rsidP="00C84D17">
            <w:pPr>
              <w:jc w:val="center"/>
              <w:rPr>
                <w:rFonts w:ascii="Arial" w:hAnsi="Arial" w:cs="Arial"/>
                <w:b/>
                <w:bCs/>
              </w:rPr>
            </w:pPr>
            <w:r w:rsidRPr="004F4227">
              <w:rPr>
                <w:rFonts w:ascii="Arial" w:hAnsi="Arial" w:cs="Arial"/>
                <w:b/>
                <w:bCs/>
              </w:rPr>
              <w:t>Preferred molecule</w:t>
            </w:r>
          </w:p>
        </w:tc>
        <w:tc>
          <w:tcPr>
            <w:tcW w:w="2641"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F007DAA" w14:textId="77777777" w:rsidR="004F4227" w:rsidRPr="004F4227" w:rsidRDefault="004F4227" w:rsidP="00C84D17">
            <w:pPr>
              <w:jc w:val="center"/>
              <w:rPr>
                <w:rFonts w:ascii="Arial" w:hAnsi="Arial" w:cs="Arial"/>
                <w:b/>
                <w:bCs/>
              </w:rPr>
            </w:pPr>
            <w:r w:rsidRPr="004F4227">
              <w:rPr>
                <w:rFonts w:ascii="Arial" w:hAnsi="Arial" w:cs="Arial"/>
                <w:b/>
                <w:bCs/>
              </w:rPr>
              <w:t xml:space="preserve">Response rate </w:t>
            </w:r>
            <w:proofErr w:type="gramStart"/>
            <w:r w:rsidRPr="004F4227">
              <w:rPr>
                <w:rFonts w:ascii="Arial" w:hAnsi="Arial" w:cs="Arial"/>
                <w:b/>
                <w:bCs/>
              </w:rPr>
              <w:t xml:space="preserve">   (</w:t>
            </w:r>
            <w:proofErr w:type="gramEnd"/>
            <w:r w:rsidRPr="004F4227">
              <w:rPr>
                <w:rFonts w:ascii="Arial" w:hAnsi="Arial" w:cs="Arial"/>
                <w:b/>
                <w:bCs/>
              </w:rPr>
              <w:t>n = 26)</w:t>
            </w:r>
          </w:p>
        </w:tc>
      </w:tr>
      <w:tr w:rsidR="004F4227" w:rsidRPr="00EC5AF4" w14:paraId="604315B4"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303BD99" w14:textId="77777777" w:rsidR="004F4227" w:rsidRPr="004F4227" w:rsidRDefault="004F4227" w:rsidP="00C84D17">
            <w:pPr>
              <w:jc w:val="center"/>
              <w:rPr>
                <w:rFonts w:ascii="Arial" w:hAnsi="Arial" w:cs="Arial"/>
                <w:b/>
                <w:bCs/>
              </w:rPr>
            </w:pPr>
            <w:proofErr w:type="spellStart"/>
            <w:r w:rsidRPr="004F4227">
              <w:rPr>
                <w:rFonts w:ascii="Arial" w:hAnsi="Arial" w:cs="Arial"/>
                <w:b/>
                <w:bCs/>
              </w:rPr>
              <w:t>Solifenacin</w:t>
            </w:r>
            <w:proofErr w:type="spellEnd"/>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718D9968" w14:textId="77777777" w:rsidR="004F4227" w:rsidRPr="004F4227" w:rsidRDefault="004F4227" w:rsidP="00C84D17">
            <w:pPr>
              <w:jc w:val="center"/>
              <w:rPr>
                <w:rFonts w:ascii="Arial" w:hAnsi="Arial" w:cs="Arial"/>
              </w:rPr>
            </w:pPr>
            <w:r w:rsidRPr="004F4227">
              <w:rPr>
                <w:rFonts w:ascii="Arial" w:hAnsi="Arial" w:cs="Arial"/>
              </w:rPr>
              <w:t>23.08%</w:t>
            </w:r>
          </w:p>
        </w:tc>
      </w:tr>
      <w:tr w:rsidR="004F4227" w:rsidRPr="00EC5AF4" w14:paraId="346362D4"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08A47C07" w14:textId="77777777" w:rsidR="004F4227" w:rsidRPr="004F4227" w:rsidRDefault="004F4227" w:rsidP="00C84D17">
            <w:pPr>
              <w:jc w:val="center"/>
              <w:rPr>
                <w:rFonts w:ascii="Arial" w:hAnsi="Arial" w:cs="Arial"/>
                <w:b/>
                <w:bCs/>
              </w:rPr>
            </w:pPr>
            <w:r w:rsidRPr="004F4227">
              <w:rPr>
                <w:rFonts w:ascii="Arial" w:hAnsi="Arial" w:cs="Arial"/>
                <w:b/>
                <w:bCs/>
              </w:rPr>
              <w:t>Mirabegron</w:t>
            </w:r>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2936BFA8" w14:textId="77777777" w:rsidR="004F4227" w:rsidRPr="004F4227" w:rsidRDefault="004F4227" w:rsidP="00C84D17">
            <w:pPr>
              <w:jc w:val="center"/>
              <w:rPr>
                <w:rFonts w:ascii="Arial" w:hAnsi="Arial" w:cs="Arial"/>
              </w:rPr>
            </w:pPr>
            <w:r w:rsidRPr="004F4227">
              <w:rPr>
                <w:rFonts w:ascii="Arial" w:hAnsi="Arial" w:cs="Arial"/>
              </w:rPr>
              <w:t>65.38%</w:t>
            </w:r>
          </w:p>
        </w:tc>
      </w:tr>
      <w:tr w:rsidR="004F4227" w:rsidRPr="00EC5AF4" w14:paraId="079C11E6"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3D32DD7" w14:textId="77777777" w:rsidR="004F4227" w:rsidRPr="004F4227" w:rsidRDefault="004F4227" w:rsidP="00C84D17">
            <w:pPr>
              <w:jc w:val="center"/>
              <w:rPr>
                <w:rFonts w:ascii="Arial" w:hAnsi="Arial" w:cs="Arial"/>
                <w:b/>
                <w:bCs/>
              </w:rPr>
            </w:pPr>
            <w:r w:rsidRPr="004F4227">
              <w:rPr>
                <w:rFonts w:ascii="Arial" w:hAnsi="Arial" w:cs="Arial"/>
                <w:b/>
                <w:bCs/>
              </w:rPr>
              <w:t>Oxybutynin</w:t>
            </w:r>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7926E3E" w14:textId="77777777" w:rsidR="004F4227" w:rsidRPr="004F4227" w:rsidRDefault="004F4227" w:rsidP="00C84D17">
            <w:pPr>
              <w:jc w:val="center"/>
              <w:rPr>
                <w:rFonts w:ascii="Arial" w:hAnsi="Arial" w:cs="Arial"/>
              </w:rPr>
            </w:pPr>
            <w:r w:rsidRPr="004F4227">
              <w:rPr>
                <w:rFonts w:ascii="Arial" w:hAnsi="Arial" w:cs="Arial"/>
              </w:rPr>
              <w:t>3.85%</w:t>
            </w:r>
          </w:p>
        </w:tc>
      </w:tr>
      <w:tr w:rsidR="004F4227" w:rsidRPr="00EC5AF4" w14:paraId="12CA0082"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09676213" w14:textId="77777777" w:rsidR="004F4227" w:rsidRPr="004F4227" w:rsidRDefault="004F4227" w:rsidP="00C84D17">
            <w:pPr>
              <w:jc w:val="center"/>
              <w:rPr>
                <w:rFonts w:ascii="Arial" w:hAnsi="Arial" w:cs="Arial"/>
                <w:b/>
                <w:bCs/>
              </w:rPr>
            </w:pPr>
            <w:r w:rsidRPr="004F4227">
              <w:rPr>
                <w:rFonts w:ascii="Arial" w:hAnsi="Arial" w:cs="Arial"/>
                <w:b/>
                <w:bCs/>
              </w:rPr>
              <w:t>All of the above</w:t>
            </w:r>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E2A2B3F" w14:textId="77777777" w:rsidR="004F4227" w:rsidRPr="004F4227" w:rsidRDefault="004F4227" w:rsidP="00C84D17">
            <w:pPr>
              <w:jc w:val="center"/>
              <w:rPr>
                <w:rFonts w:ascii="Arial" w:hAnsi="Arial" w:cs="Arial"/>
              </w:rPr>
            </w:pPr>
            <w:r w:rsidRPr="004F4227">
              <w:rPr>
                <w:rFonts w:ascii="Arial" w:hAnsi="Arial" w:cs="Arial"/>
              </w:rPr>
              <w:t>7.69%</w:t>
            </w:r>
          </w:p>
        </w:tc>
      </w:tr>
    </w:tbl>
    <w:p w14:paraId="6A822EED" w14:textId="77777777" w:rsidR="004F4227" w:rsidRPr="00EC5AF4" w:rsidRDefault="004F4227" w:rsidP="004F4227">
      <w:pPr>
        <w:jc w:val="both"/>
        <w:rPr>
          <w:rFonts w:ascii="Calibri" w:hAnsi="Calibri" w:cs="Calibri"/>
          <w:b/>
          <w:bCs/>
          <w:sz w:val="24"/>
          <w:szCs w:val="24"/>
        </w:rPr>
      </w:pPr>
    </w:p>
    <w:p w14:paraId="1F4F20AD" w14:textId="77777777" w:rsidR="004F4227" w:rsidRPr="004F4227" w:rsidRDefault="004F4227" w:rsidP="004F4227">
      <w:pPr>
        <w:jc w:val="both"/>
        <w:rPr>
          <w:rFonts w:ascii="Arial" w:hAnsi="Arial" w:cs="Arial"/>
          <w:b/>
          <w:bCs/>
        </w:rPr>
      </w:pPr>
      <w:r w:rsidRPr="004F4227">
        <w:rPr>
          <w:rFonts w:ascii="Arial" w:hAnsi="Arial" w:cs="Arial"/>
          <w:b/>
          <w:bCs/>
        </w:rPr>
        <w:t>Table 4: Distribution of responses to clinicians’ observations on annual tolerability of mirabegron therapy</w:t>
      </w:r>
    </w:p>
    <w:tbl>
      <w:tblPr>
        <w:tblW w:w="6521" w:type="dxa"/>
        <w:tblInd w:w="1268" w:type="dxa"/>
        <w:tblCellMar>
          <w:left w:w="0" w:type="dxa"/>
          <w:right w:w="0" w:type="dxa"/>
        </w:tblCellMar>
        <w:tblLook w:val="04A0" w:firstRow="1" w:lastRow="0" w:firstColumn="1" w:lastColumn="0" w:noHBand="0" w:noVBand="1"/>
      </w:tblPr>
      <w:tblGrid>
        <w:gridCol w:w="3739"/>
        <w:gridCol w:w="2782"/>
      </w:tblGrid>
      <w:tr w:rsidR="004F4227" w:rsidRPr="00EC5AF4" w14:paraId="19C961C3" w14:textId="77777777" w:rsidTr="004F4227">
        <w:trPr>
          <w:trHeight w:val="315"/>
        </w:trPr>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39A559E0" w14:textId="77777777" w:rsidR="004F4227" w:rsidRPr="004F4227" w:rsidRDefault="004F4227" w:rsidP="00C84D17">
            <w:pPr>
              <w:jc w:val="center"/>
              <w:rPr>
                <w:rFonts w:ascii="Arial" w:hAnsi="Arial" w:cs="Arial"/>
                <w:b/>
                <w:bCs/>
                <w:highlight w:val="green"/>
              </w:rPr>
            </w:pPr>
            <w:r w:rsidRPr="004F4227">
              <w:rPr>
                <w:rFonts w:ascii="Arial" w:hAnsi="Arial" w:cs="Arial"/>
                <w:b/>
                <w:bCs/>
              </w:rPr>
              <w:t xml:space="preserve">Annual tolerability </w:t>
            </w:r>
          </w:p>
        </w:tc>
        <w:tc>
          <w:tcPr>
            <w:tcW w:w="2782"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1775B5BA" w14:textId="77777777" w:rsidR="004F4227" w:rsidRPr="004F4227" w:rsidRDefault="004F4227" w:rsidP="00C84D17">
            <w:pPr>
              <w:jc w:val="center"/>
              <w:rPr>
                <w:rFonts w:ascii="Arial" w:hAnsi="Arial" w:cs="Arial"/>
                <w:b/>
                <w:bCs/>
                <w:highlight w:val="green"/>
              </w:rPr>
            </w:pPr>
            <w:r w:rsidRPr="004F4227">
              <w:rPr>
                <w:rFonts w:ascii="Arial" w:hAnsi="Arial" w:cs="Arial"/>
                <w:b/>
                <w:bCs/>
              </w:rPr>
              <w:t xml:space="preserve">Response rate </w:t>
            </w:r>
            <w:proofErr w:type="gramStart"/>
            <w:r w:rsidRPr="004F4227">
              <w:rPr>
                <w:rFonts w:ascii="Arial" w:hAnsi="Arial" w:cs="Arial"/>
                <w:b/>
                <w:bCs/>
              </w:rPr>
              <w:t xml:space="preserve">   (</w:t>
            </w:r>
            <w:proofErr w:type="gramEnd"/>
            <w:r w:rsidRPr="004F4227">
              <w:rPr>
                <w:rFonts w:ascii="Arial" w:hAnsi="Arial" w:cs="Arial"/>
                <w:b/>
                <w:bCs/>
              </w:rPr>
              <w:t>n = 26)</w:t>
            </w:r>
          </w:p>
        </w:tc>
      </w:tr>
      <w:tr w:rsidR="004F4227" w:rsidRPr="00EC5AF4" w14:paraId="523694F1" w14:textId="77777777" w:rsidTr="004F4227">
        <w:trPr>
          <w:trHeight w:val="315"/>
        </w:trPr>
        <w:tc>
          <w:tcPr>
            <w:tcW w:w="3739"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5DB82A5D" w14:textId="77777777" w:rsidR="004F4227" w:rsidRPr="004F4227" w:rsidRDefault="004F4227" w:rsidP="00C84D17">
            <w:pPr>
              <w:jc w:val="center"/>
              <w:rPr>
                <w:rFonts w:ascii="Arial" w:hAnsi="Arial" w:cs="Arial"/>
                <w:b/>
                <w:bCs/>
              </w:rPr>
            </w:pPr>
            <w:r w:rsidRPr="004F4227">
              <w:rPr>
                <w:rFonts w:ascii="Arial" w:hAnsi="Arial" w:cs="Arial"/>
                <w:b/>
                <w:bCs/>
              </w:rPr>
              <w:t>&gt;80%</w:t>
            </w:r>
          </w:p>
        </w:tc>
        <w:tc>
          <w:tcPr>
            <w:tcW w:w="278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7D3E1849" w14:textId="77777777" w:rsidR="004F4227" w:rsidRPr="004F4227" w:rsidRDefault="004F4227" w:rsidP="00C84D17">
            <w:pPr>
              <w:jc w:val="center"/>
              <w:rPr>
                <w:rFonts w:ascii="Arial" w:hAnsi="Arial" w:cs="Arial"/>
              </w:rPr>
            </w:pPr>
            <w:r w:rsidRPr="004F4227">
              <w:rPr>
                <w:rFonts w:ascii="Arial" w:hAnsi="Arial" w:cs="Arial"/>
              </w:rPr>
              <w:t>38.46%</w:t>
            </w:r>
          </w:p>
        </w:tc>
      </w:tr>
      <w:tr w:rsidR="004F4227" w:rsidRPr="00EC5AF4" w14:paraId="691DC392" w14:textId="77777777" w:rsidTr="004F4227">
        <w:trPr>
          <w:trHeight w:val="315"/>
        </w:trPr>
        <w:tc>
          <w:tcPr>
            <w:tcW w:w="3739"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2FCB519" w14:textId="77777777" w:rsidR="004F4227" w:rsidRPr="004F4227" w:rsidRDefault="004F4227" w:rsidP="00C84D17">
            <w:pPr>
              <w:jc w:val="center"/>
              <w:rPr>
                <w:rFonts w:ascii="Arial" w:hAnsi="Arial" w:cs="Arial"/>
                <w:b/>
                <w:bCs/>
              </w:rPr>
            </w:pPr>
            <w:r w:rsidRPr="004F4227">
              <w:rPr>
                <w:rFonts w:ascii="Arial" w:hAnsi="Arial" w:cs="Arial"/>
                <w:b/>
                <w:bCs/>
              </w:rPr>
              <w:t>60-80%</w:t>
            </w:r>
          </w:p>
        </w:tc>
        <w:tc>
          <w:tcPr>
            <w:tcW w:w="278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03BC47DE" w14:textId="77777777" w:rsidR="004F4227" w:rsidRPr="004F4227" w:rsidRDefault="004F4227" w:rsidP="00C84D17">
            <w:pPr>
              <w:jc w:val="center"/>
              <w:rPr>
                <w:rFonts w:ascii="Arial" w:hAnsi="Arial" w:cs="Arial"/>
              </w:rPr>
            </w:pPr>
            <w:r w:rsidRPr="004F4227">
              <w:rPr>
                <w:rFonts w:ascii="Arial" w:hAnsi="Arial" w:cs="Arial"/>
              </w:rPr>
              <w:t>46.15%</w:t>
            </w:r>
          </w:p>
        </w:tc>
      </w:tr>
      <w:tr w:rsidR="004F4227" w:rsidRPr="00EC5AF4" w14:paraId="0B5CEC72" w14:textId="77777777" w:rsidTr="004F4227">
        <w:trPr>
          <w:trHeight w:val="315"/>
        </w:trPr>
        <w:tc>
          <w:tcPr>
            <w:tcW w:w="3739"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5E4B386" w14:textId="77777777" w:rsidR="004F4227" w:rsidRPr="004F4227" w:rsidRDefault="004F4227" w:rsidP="00C84D17">
            <w:pPr>
              <w:jc w:val="center"/>
              <w:rPr>
                <w:rFonts w:ascii="Arial" w:hAnsi="Arial" w:cs="Arial"/>
                <w:b/>
                <w:bCs/>
              </w:rPr>
            </w:pPr>
            <w:r w:rsidRPr="004F4227">
              <w:rPr>
                <w:rFonts w:ascii="Arial" w:hAnsi="Arial" w:cs="Arial"/>
                <w:b/>
                <w:bCs/>
              </w:rPr>
              <w:t>40-60%</w:t>
            </w:r>
          </w:p>
        </w:tc>
        <w:tc>
          <w:tcPr>
            <w:tcW w:w="278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21C7DC58" w14:textId="77777777" w:rsidR="004F4227" w:rsidRPr="004F4227" w:rsidRDefault="004F4227" w:rsidP="00C84D17">
            <w:pPr>
              <w:jc w:val="center"/>
              <w:rPr>
                <w:rFonts w:ascii="Arial" w:hAnsi="Arial" w:cs="Arial"/>
              </w:rPr>
            </w:pPr>
            <w:r w:rsidRPr="004F4227">
              <w:rPr>
                <w:rFonts w:ascii="Arial" w:hAnsi="Arial" w:cs="Arial"/>
              </w:rPr>
              <w:t>15.38%</w:t>
            </w:r>
          </w:p>
        </w:tc>
      </w:tr>
    </w:tbl>
    <w:p w14:paraId="06E7880A" w14:textId="77777777" w:rsidR="004F4227" w:rsidRPr="00EC5AF4" w:rsidRDefault="004F4227" w:rsidP="004F4227">
      <w:pPr>
        <w:jc w:val="both"/>
        <w:rPr>
          <w:rFonts w:ascii="Calibri" w:hAnsi="Calibri" w:cs="Calibri"/>
          <w:sz w:val="24"/>
          <w:szCs w:val="24"/>
        </w:rPr>
      </w:pPr>
    </w:p>
    <w:p w14:paraId="7B5AAB11" w14:textId="77777777" w:rsidR="004F4227" w:rsidRPr="004F4227" w:rsidRDefault="004F4227" w:rsidP="004F4227">
      <w:pPr>
        <w:jc w:val="both"/>
        <w:rPr>
          <w:rFonts w:ascii="Arial" w:hAnsi="Arial" w:cs="Arial"/>
          <w:b/>
          <w:bCs/>
        </w:rPr>
      </w:pPr>
      <w:r w:rsidRPr="004F4227">
        <w:rPr>
          <w:rFonts w:ascii="Arial" w:hAnsi="Arial" w:cs="Arial"/>
          <w:b/>
          <w:bCs/>
        </w:rPr>
        <w:t xml:space="preserve">Fig. 3: Distribution of responses to clinicians’ preference to shift from </w:t>
      </w:r>
      <w:proofErr w:type="spellStart"/>
      <w:r w:rsidRPr="004F4227">
        <w:rPr>
          <w:rFonts w:ascii="Arial" w:hAnsi="Arial" w:cs="Arial"/>
          <w:b/>
          <w:bCs/>
        </w:rPr>
        <w:t>solifenacin</w:t>
      </w:r>
      <w:proofErr w:type="spellEnd"/>
      <w:r w:rsidRPr="004F4227">
        <w:rPr>
          <w:rFonts w:ascii="Arial" w:hAnsi="Arial" w:cs="Arial"/>
          <w:b/>
          <w:bCs/>
        </w:rPr>
        <w:t xml:space="preserve"> to mirabegron in case of inadequate symptomatic relief</w:t>
      </w:r>
    </w:p>
    <w:p w14:paraId="6061974C" w14:textId="77777777" w:rsidR="004F4227" w:rsidRPr="00EC5AF4" w:rsidRDefault="004F4227" w:rsidP="004F4227">
      <w:pPr>
        <w:jc w:val="center"/>
        <w:rPr>
          <w:rFonts w:ascii="Calibri" w:hAnsi="Calibri" w:cs="Calibri"/>
          <w:sz w:val="24"/>
          <w:szCs w:val="24"/>
        </w:rPr>
      </w:pPr>
      <w:r w:rsidRPr="00EC5AF4">
        <w:rPr>
          <w:rFonts w:ascii="Calibri" w:hAnsi="Calibri" w:cs="Calibri"/>
          <w:noProof/>
          <w:sz w:val="24"/>
          <w:szCs w:val="24"/>
        </w:rPr>
        <w:lastRenderedPageBreak/>
        <w:drawing>
          <wp:inline distT="0" distB="0" distL="0" distR="0" wp14:anchorId="63901946" wp14:editId="2A26861F">
            <wp:extent cx="4440555" cy="2674620"/>
            <wp:effectExtent l="0" t="0" r="17145" b="11430"/>
            <wp:docPr id="1563973466" name="Chart 1">
              <a:extLst xmlns:a="http://schemas.openxmlformats.org/drawingml/2006/main">
                <a:ext uri="{FF2B5EF4-FFF2-40B4-BE49-F238E27FC236}">
                  <a16:creationId xmlns:a16="http://schemas.microsoft.com/office/drawing/2014/main" id="{7330E88E-86AD-EB01-EF96-B6C754F00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324A28" w14:textId="77777777" w:rsidR="004E3A9E" w:rsidRPr="004E3A9E" w:rsidRDefault="004E3A9E" w:rsidP="007C70B7">
      <w:pPr>
        <w:pStyle w:val="Body"/>
        <w:spacing w:after="0"/>
        <w:rPr>
          <w:rFonts w:ascii="Arial" w:hAnsi="Arial" w:cs="Arial"/>
          <w:b/>
          <w:bCs/>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FB3A86" w:rsidRDefault="00790ADA" w:rsidP="00441B6F">
      <w:pPr>
        <w:pStyle w:val="Head1"/>
        <w:spacing w:after="0"/>
        <w:jc w:val="both"/>
        <w:rPr>
          <w:rFonts w:ascii="Arial" w:hAnsi="Arial" w:cs="Arial"/>
        </w:rPr>
      </w:pPr>
    </w:p>
    <w:p w14:paraId="1A672568" w14:textId="77777777" w:rsidR="004F4227" w:rsidRDefault="004F4227" w:rsidP="004F4227">
      <w:pPr>
        <w:jc w:val="both"/>
        <w:rPr>
          <w:rFonts w:ascii="Arial" w:hAnsi="Arial" w:cs="Arial"/>
          <w:vertAlign w:val="superscript"/>
        </w:rPr>
      </w:pPr>
      <w:r w:rsidRPr="004F4227">
        <w:rPr>
          <w:rFonts w:ascii="Arial" w:eastAsia="Calibri" w:hAnsi="Arial" w:cs="Arial"/>
        </w:rPr>
        <w:t>The findings of this study reflect the prevailing clinical preferences and perceptions regarding the use of mirabegron in the management of OAB among participating clinicians. A large majority favored mirabegron as their primary choice for OAB therapy, citing its efficacy and better tolerability compared to traditional antimuscarinic agents. These perceived clinical insights are consistent with existing clinical evidence supporting the use of mirabegron.</w:t>
      </w:r>
      <w:r w:rsidRPr="004F4227">
        <w:rPr>
          <w:rFonts w:ascii="Arial" w:hAnsi="Arial" w:cs="Arial"/>
        </w:rPr>
        <w:t xml:space="preserve"> </w:t>
      </w:r>
      <w:r w:rsidRPr="004F4227">
        <w:rPr>
          <w:rFonts w:ascii="Arial" w:eastAsia="Calibri" w:hAnsi="Arial" w:cs="Arial"/>
        </w:rPr>
        <w:t xml:space="preserve">A systematic review and meta-analysis by Cui et al., involving 5,761 patients across four studies, found that mirabegron significantly reduced the mean number of incontinence episodes (SMD = –0.44; 95% CI: –0.59 to –0.29; p &lt;0.00001) and </w:t>
      </w:r>
      <w:proofErr w:type="spellStart"/>
      <w:r w:rsidRPr="004F4227">
        <w:rPr>
          <w:rFonts w:ascii="Arial" w:eastAsia="Calibri" w:hAnsi="Arial" w:cs="Arial"/>
        </w:rPr>
        <w:t>micturitions</w:t>
      </w:r>
      <w:proofErr w:type="spellEnd"/>
      <w:r w:rsidRPr="004F4227">
        <w:rPr>
          <w:rFonts w:ascii="Arial" w:eastAsia="Calibri" w:hAnsi="Arial" w:cs="Arial"/>
        </w:rPr>
        <w:t xml:space="preserve"> per 24 hours (SMD = –0.62; 95% CI: –0.80 to –0.45; p &lt; 0.00001), while also improving voided volume and urgency episodes compared to placebo</w:t>
      </w:r>
      <w:r w:rsidRPr="004F4227">
        <w:rPr>
          <w:rFonts w:ascii="Arial" w:hAnsi="Arial" w:cs="Arial"/>
        </w:rPr>
        <w:t>.</w:t>
      </w:r>
      <w:r w:rsidRPr="004F4227">
        <w:rPr>
          <w:rFonts w:ascii="Arial" w:hAnsi="Arial" w:cs="Arial"/>
          <w:vertAlign w:val="superscript"/>
        </w:rPr>
        <w:t>8</w:t>
      </w:r>
    </w:p>
    <w:p w14:paraId="226FD5B0" w14:textId="77777777" w:rsidR="004F4227" w:rsidRPr="004F4227" w:rsidRDefault="004F4227" w:rsidP="004F4227">
      <w:pPr>
        <w:jc w:val="both"/>
        <w:rPr>
          <w:rFonts w:ascii="Arial" w:hAnsi="Arial" w:cs="Arial"/>
        </w:rPr>
      </w:pPr>
    </w:p>
    <w:p w14:paraId="0212C07B" w14:textId="77777777" w:rsidR="004F4227" w:rsidRDefault="004F4227" w:rsidP="004F4227">
      <w:pPr>
        <w:jc w:val="both"/>
        <w:rPr>
          <w:rFonts w:ascii="Arial" w:hAnsi="Arial" w:cs="Arial"/>
          <w:vertAlign w:val="superscript"/>
        </w:rPr>
      </w:pPr>
      <w:r w:rsidRPr="004F4227">
        <w:rPr>
          <w:rFonts w:ascii="Arial" w:eastAsia="Calibri" w:hAnsi="Arial" w:cs="Arial"/>
        </w:rPr>
        <w:t>The majority of survey participants rated the effectiveness of mirabegron positively, with half assigning it a score of 4 out of 5, indicating a high level of satisfaction with its ability to control OAB symptoms. Additionally, most clinicians favored mirabegron for patients with predominant nocturia, reflecting the perception that it offers benefits in managing nighttime urinary symptoms.</w:t>
      </w:r>
      <w:r w:rsidRPr="004F4227">
        <w:rPr>
          <w:rFonts w:ascii="Arial" w:hAnsi="Arial" w:cs="Arial"/>
        </w:rPr>
        <w:t xml:space="preserve"> </w:t>
      </w:r>
      <w:r w:rsidRPr="004F4227">
        <w:rPr>
          <w:rFonts w:ascii="Arial" w:eastAsia="Calibri" w:hAnsi="Arial" w:cs="Arial"/>
        </w:rPr>
        <w:t xml:space="preserve">A systematic review and meta-analysis by Sebastianelli et al., including 8 randomized studies with 10,248 patients, showed that mirabegron was significantly more effective than placebo in improving OAB symptoms. It reduced incontinence episodes (MD = –0.44), urgency episodes (MD = –0.42), </w:t>
      </w:r>
      <w:proofErr w:type="spellStart"/>
      <w:r w:rsidRPr="004F4227">
        <w:rPr>
          <w:rFonts w:ascii="Arial" w:eastAsia="Calibri" w:hAnsi="Arial" w:cs="Arial"/>
        </w:rPr>
        <w:t>micturitions</w:t>
      </w:r>
      <w:proofErr w:type="spellEnd"/>
      <w:r w:rsidRPr="004F4227">
        <w:rPr>
          <w:rFonts w:ascii="Arial" w:eastAsia="Calibri" w:hAnsi="Arial" w:cs="Arial"/>
        </w:rPr>
        <w:t xml:space="preserve"> per 24 hours (MD = –0.52), and nocturia episodes (MD = –0.16), while increasing mean voided volume (MD = +18.56 mL)</w:t>
      </w:r>
      <w:r w:rsidRPr="004F4227">
        <w:rPr>
          <w:rFonts w:ascii="Arial" w:hAnsi="Arial" w:cs="Arial"/>
        </w:rPr>
        <w:t>.</w:t>
      </w:r>
      <w:r w:rsidRPr="004F4227">
        <w:rPr>
          <w:rFonts w:ascii="Arial" w:hAnsi="Arial" w:cs="Arial"/>
          <w:vertAlign w:val="superscript"/>
        </w:rPr>
        <w:t xml:space="preserve">9 </w:t>
      </w:r>
      <w:r w:rsidRPr="004F4227">
        <w:rPr>
          <w:rFonts w:ascii="Arial" w:eastAsia="Calibri" w:hAnsi="Arial" w:cs="Arial"/>
        </w:rPr>
        <w:t xml:space="preserve">Another review of 28 randomized controlled trials involving 27,481 adults confirmed that mirabegron 25 mg and 50 mg significantly reduced urgency incontinence, total incontinence, and nocturia compared to placebo. The 50 mg dose also demonstrated superior efficacy and fewer adverse effects compared to anticholinergics like tolterodine, </w:t>
      </w:r>
      <w:proofErr w:type="spellStart"/>
      <w:r w:rsidRPr="004F4227">
        <w:rPr>
          <w:rFonts w:ascii="Arial" w:eastAsia="Calibri" w:hAnsi="Arial" w:cs="Arial"/>
        </w:rPr>
        <w:t>solifenacin</w:t>
      </w:r>
      <w:proofErr w:type="spellEnd"/>
      <w:r w:rsidRPr="004F4227">
        <w:rPr>
          <w:rFonts w:ascii="Arial" w:eastAsia="Calibri" w:hAnsi="Arial" w:cs="Arial"/>
        </w:rPr>
        <w:t>, and oxybutynin</w:t>
      </w:r>
      <w:r w:rsidRPr="004F4227">
        <w:rPr>
          <w:rFonts w:ascii="Arial" w:hAnsi="Arial" w:cs="Arial"/>
        </w:rPr>
        <w:t>.</w:t>
      </w:r>
      <w:r w:rsidRPr="004F4227">
        <w:rPr>
          <w:rFonts w:ascii="Arial" w:hAnsi="Arial" w:cs="Arial"/>
          <w:vertAlign w:val="superscript"/>
        </w:rPr>
        <w:t>10</w:t>
      </w:r>
    </w:p>
    <w:p w14:paraId="30F5B53A" w14:textId="77777777" w:rsidR="004F4227" w:rsidRPr="004F4227" w:rsidRDefault="004F4227" w:rsidP="004F4227">
      <w:pPr>
        <w:jc w:val="both"/>
        <w:rPr>
          <w:rFonts w:ascii="Arial" w:hAnsi="Arial" w:cs="Arial"/>
          <w:vertAlign w:val="superscript"/>
        </w:rPr>
      </w:pPr>
    </w:p>
    <w:p w14:paraId="246EDCEB" w14:textId="77777777" w:rsidR="004F4227" w:rsidRPr="004F4227" w:rsidRDefault="004F4227" w:rsidP="004F4227">
      <w:pPr>
        <w:shd w:val="clear" w:color="auto" w:fill="FFFFFF" w:themeFill="background1"/>
        <w:spacing w:after="384"/>
        <w:jc w:val="both"/>
        <w:rPr>
          <w:rFonts w:ascii="Arial" w:hAnsi="Arial" w:cs="Arial"/>
        </w:rPr>
      </w:pPr>
      <w:r w:rsidRPr="004F4227">
        <w:rPr>
          <w:rFonts w:ascii="Arial" w:eastAsia="Calibri" w:hAnsi="Arial" w:cs="Arial"/>
        </w:rPr>
        <w:t xml:space="preserve">Several clinicians in the survey reported greater improvement in micturition frequency with mirabegron compared to antimuscarinics, highlighting its effectiveness in managing core OAB symptoms. Safety and tolerability were also emphasized, with many noting fewer side effects such as dry mouth. These observations are supported by a pooled analysis of three randomized, double blind phase III trials, which confirmed that mirabegron is well tolerated and has a favorable safety profile. Common adverse events occurred in 3% or more of </w:t>
      </w:r>
      <w:r w:rsidRPr="004F4227">
        <w:rPr>
          <w:rFonts w:ascii="Arial" w:eastAsia="Calibri" w:hAnsi="Arial" w:cs="Arial"/>
        </w:rPr>
        <w:lastRenderedPageBreak/>
        <w:t>patients. Notably, the incidence of dry mouth, a common antimuscarinic adverse effect, was similar to that of placebo and significantly lower than with tolterodine</w:t>
      </w:r>
      <w:r w:rsidRPr="004F4227">
        <w:rPr>
          <w:rFonts w:ascii="Arial" w:hAnsi="Arial" w:cs="Arial"/>
        </w:rPr>
        <w:t>.</w:t>
      </w:r>
      <w:r w:rsidRPr="004F4227">
        <w:rPr>
          <w:rFonts w:ascii="Arial" w:hAnsi="Arial" w:cs="Arial"/>
          <w:vertAlign w:val="superscript"/>
        </w:rPr>
        <w:t xml:space="preserve">11 </w:t>
      </w:r>
    </w:p>
    <w:p w14:paraId="4C1DD99F" w14:textId="77777777" w:rsidR="004F4227" w:rsidRDefault="004F4227" w:rsidP="004F4227">
      <w:pPr>
        <w:jc w:val="both"/>
        <w:rPr>
          <w:rFonts w:ascii="Arial" w:eastAsia="Calibri" w:hAnsi="Arial" w:cs="Arial"/>
        </w:rPr>
      </w:pPr>
      <w:r w:rsidRPr="004F4227">
        <w:rPr>
          <w:rFonts w:ascii="Arial" w:eastAsia="Calibri" w:hAnsi="Arial" w:cs="Arial"/>
        </w:rPr>
        <w:t>Multiple systematic reviews have demonstrated that mirabegron 50 mg offers comparable efficacy to antimuscarinics in reducing micturition frequency, incontinence episodes, urgency, and nocturia in patients with OAB. A review by Maman et al., including 44 randomized controlled trials with over 27,000 patients, found mirabegron equally effective as antimuscarinics but with a significantly lower incidence of dry mouth, comparable to placebo</w:t>
      </w:r>
      <w:r w:rsidRPr="004F4227">
        <w:rPr>
          <w:rFonts w:ascii="Arial" w:hAnsi="Arial" w:cs="Arial"/>
        </w:rPr>
        <w:t>.</w:t>
      </w:r>
      <w:r w:rsidRPr="004F4227">
        <w:rPr>
          <w:rFonts w:ascii="Arial" w:hAnsi="Arial" w:cs="Arial"/>
          <w:vertAlign w:val="superscript"/>
        </w:rPr>
        <w:t xml:space="preserve">12 </w:t>
      </w:r>
      <w:r w:rsidRPr="004F4227">
        <w:rPr>
          <w:rFonts w:ascii="Arial" w:hAnsi="Arial" w:cs="Arial"/>
        </w:rPr>
        <w:t xml:space="preserve"> </w:t>
      </w:r>
      <w:r w:rsidRPr="004F4227">
        <w:rPr>
          <w:rFonts w:ascii="Arial" w:eastAsia="Calibri" w:hAnsi="Arial" w:cs="Arial"/>
        </w:rPr>
        <w:t>Similarly, Chen et al. reported that mirabegron matched antimuscarinics in efficacy without increasing hypertension risk and with fewer side effects</w:t>
      </w:r>
      <w:r w:rsidRPr="004F4227">
        <w:rPr>
          <w:rFonts w:ascii="Arial" w:hAnsi="Arial" w:cs="Arial"/>
        </w:rPr>
        <w:t>.</w:t>
      </w:r>
      <w:r w:rsidRPr="004F4227">
        <w:rPr>
          <w:rFonts w:ascii="Arial" w:hAnsi="Arial" w:cs="Arial"/>
          <w:vertAlign w:val="superscript"/>
        </w:rPr>
        <w:t>13</w:t>
      </w:r>
      <w:r w:rsidRPr="004F4227">
        <w:rPr>
          <w:rFonts w:ascii="Arial" w:eastAsia="Calibri" w:hAnsi="Arial" w:cs="Arial"/>
        </w:rPr>
        <w:t xml:space="preserve"> A larger network meta-analysis involving 64 studies and over 46,000 participants confirmed mirabegron’s superior tolerability profile, showing fewer adverse events like dry mouth, constipation, and urinary retention, while maintaining effectiveness.</w:t>
      </w:r>
      <w:r w:rsidRPr="004F4227">
        <w:rPr>
          <w:rFonts w:ascii="Arial" w:eastAsia="Calibri" w:hAnsi="Arial" w:cs="Arial"/>
          <w:vertAlign w:val="superscript"/>
        </w:rPr>
        <w:t>5</w:t>
      </w:r>
      <w:r w:rsidRPr="004F4227">
        <w:rPr>
          <w:rFonts w:ascii="Arial" w:hAnsi="Arial" w:cs="Arial"/>
        </w:rPr>
        <w:t xml:space="preserve"> </w:t>
      </w:r>
      <w:r w:rsidRPr="004F4227">
        <w:rPr>
          <w:rFonts w:ascii="Arial" w:eastAsia="Calibri" w:hAnsi="Arial" w:cs="Arial"/>
        </w:rPr>
        <w:t>These findings support mirabegron as a well-tolerated and effective alternative for managing OAB.</w:t>
      </w:r>
    </w:p>
    <w:p w14:paraId="357C88DE" w14:textId="77777777" w:rsidR="004F4227" w:rsidRPr="004F4227" w:rsidRDefault="004F4227" w:rsidP="004F4227">
      <w:pPr>
        <w:jc w:val="both"/>
        <w:rPr>
          <w:rFonts w:ascii="Arial" w:hAnsi="Arial" w:cs="Arial"/>
        </w:rPr>
      </w:pPr>
    </w:p>
    <w:p w14:paraId="303286B9" w14:textId="77777777" w:rsidR="004F4227" w:rsidRDefault="004F4227" w:rsidP="004F4227">
      <w:pPr>
        <w:jc w:val="both"/>
        <w:rPr>
          <w:rFonts w:ascii="Arial" w:hAnsi="Arial" w:cs="Arial"/>
          <w:vertAlign w:val="superscript"/>
        </w:rPr>
      </w:pPr>
      <w:r w:rsidRPr="004F4227">
        <w:rPr>
          <w:rFonts w:ascii="Arial" w:eastAsia="Calibri" w:hAnsi="Arial" w:cs="Arial"/>
        </w:rPr>
        <w:t>Regarding treatment duration, the majority of surveyed clinicians recommended mirabegron for at least three months, indicating recognition of the need for sustained therapy to assess effectiveness and support adherence</w:t>
      </w:r>
      <w:r w:rsidRPr="004F4227">
        <w:rPr>
          <w:rFonts w:ascii="Arial" w:hAnsi="Arial" w:cs="Arial"/>
        </w:rPr>
        <w:t>.</w:t>
      </w:r>
      <w:r w:rsidRPr="004F4227">
        <w:rPr>
          <w:rFonts w:ascii="Arial" w:hAnsi="Arial" w:cs="Arial"/>
          <w:vertAlign w:val="superscript"/>
        </w:rPr>
        <w:t>14</w:t>
      </w:r>
      <w:r w:rsidRPr="004F4227">
        <w:rPr>
          <w:rFonts w:ascii="Arial" w:hAnsi="Arial" w:cs="Arial"/>
        </w:rPr>
        <w:t xml:space="preserve"> </w:t>
      </w:r>
      <w:r w:rsidRPr="004F4227">
        <w:rPr>
          <w:rFonts w:ascii="Arial" w:eastAsia="Calibri" w:hAnsi="Arial" w:cs="Arial"/>
        </w:rPr>
        <w:t>A systematic review and meta-analysis by Athanasiou et al., including 21 studies involving women with OAB, demonstrated that 12 weeks of mirabegron treatment significantly reduced urgency by 1.3 to 2.2 episodes per 24 hours, frequency by 2.04 to 2.33 episodes, nocturia by 0.42 to 0.5 episodes, and urgency urinary incontinence by 0.9 to 1.04 episodes per 24 hours. Quality of life and sexual health also improved, with the prevalence of sexual dysfunction decreasing from 98% at baseline to 60% after 12 weeks</w:t>
      </w:r>
      <w:r w:rsidRPr="004F4227">
        <w:rPr>
          <w:rFonts w:ascii="Arial" w:hAnsi="Arial" w:cs="Arial"/>
        </w:rPr>
        <w:t>.</w:t>
      </w:r>
      <w:r w:rsidRPr="004F4227">
        <w:rPr>
          <w:rFonts w:ascii="Arial" w:hAnsi="Arial" w:cs="Arial"/>
          <w:vertAlign w:val="superscript"/>
        </w:rPr>
        <w:t>15</w:t>
      </w:r>
      <w:r w:rsidRPr="004F4227">
        <w:rPr>
          <w:rFonts w:ascii="Arial" w:hAnsi="Arial" w:cs="Arial"/>
        </w:rPr>
        <w:t xml:space="preserve"> </w:t>
      </w:r>
      <w:r w:rsidRPr="004F4227">
        <w:rPr>
          <w:rFonts w:ascii="Arial" w:eastAsia="Calibri" w:hAnsi="Arial" w:cs="Arial"/>
        </w:rPr>
        <w:t>Additionally, a phase IV randomized controlled trial by Wagg et al. in patients aged 65 years and older showed that mirabegron improved OAB-wet symptoms over 12 weeks, with a safety profile consistent with previous studies</w:t>
      </w:r>
      <w:r w:rsidRPr="004F4227">
        <w:rPr>
          <w:rFonts w:ascii="Arial" w:hAnsi="Arial" w:cs="Arial"/>
        </w:rPr>
        <w:t>.</w:t>
      </w:r>
      <w:r w:rsidRPr="004F4227">
        <w:rPr>
          <w:rFonts w:ascii="Arial" w:hAnsi="Arial" w:cs="Arial"/>
          <w:vertAlign w:val="superscript"/>
        </w:rPr>
        <w:t>16</w:t>
      </w:r>
    </w:p>
    <w:p w14:paraId="2AF209EE" w14:textId="77777777" w:rsidR="004F4227" w:rsidRPr="004F4227" w:rsidRDefault="004F4227" w:rsidP="004F4227">
      <w:pPr>
        <w:jc w:val="both"/>
        <w:rPr>
          <w:rFonts w:ascii="Arial" w:hAnsi="Arial" w:cs="Arial"/>
        </w:rPr>
      </w:pPr>
    </w:p>
    <w:p w14:paraId="1D673882" w14:textId="77777777" w:rsidR="004F4227" w:rsidRDefault="004F4227" w:rsidP="004F4227">
      <w:pPr>
        <w:jc w:val="both"/>
        <w:rPr>
          <w:rFonts w:ascii="Arial" w:hAnsi="Arial" w:cs="Arial"/>
          <w:vertAlign w:val="superscript"/>
        </w:rPr>
      </w:pPr>
      <w:r w:rsidRPr="004F4227">
        <w:rPr>
          <w:rFonts w:ascii="Arial" w:eastAsia="Calibri" w:hAnsi="Arial" w:cs="Arial"/>
        </w:rPr>
        <w:t>The preference for combination therapy among clinicians, particularly with silodosin, reflects an understanding that a multi-targeted approach may be necessary for comprehensive OAB management, especially in patients with concurrent lower urinary tract symptoms.</w:t>
      </w:r>
      <w:r w:rsidRPr="004F4227">
        <w:rPr>
          <w:rFonts w:ascii="Arial" w:hAnsi="Arial" w:cs="Arial"/>
        </w:rPr>
        <w:t xml:space="preserve"> </w:t>
      </w:r>
      <w:r w:rsidRPr="004F4227">
        <w:rPr>
          <w:rFonts w:ascii="Arial" w:eastAsia="Calibri" w:hAnsi="Arial" w:cs="Arial"/>
        </w:rPr>
        <w:t xml:space="preserve">Supporting this, a randomized controlled trial by Tang et al. demonstrated that combining </w:t>
      </w:r>
      <w:proofErr w:type="spellStart"/>
      <w:r w:rsidRPr="004F4227">
        <w:rPr>
          <w:rFonts w:ascii="Arial" w:eastAsia="Calibri" w:hAnsi="Arial" w:cs="Arial"/>
        </w:rPr>
        <w:t>solifenacin</w:t>
      </w:r>
      <w:proofErr w:type="spellEnd"/>
      <w:r w:rsidRPr="004F4227">
        <w:rPr>
          <w:rFonts w:ascii="Arial" w:eastAsia="Calibri" w:hAnsi="Arial" w:cs="Arial"/>
        </w:rPr>
        <w:t xml:space="preserve"> with mirabegron significantly outperformed </w:t>
      </w:r>
      <w:proofErr w:type="spellStart"/>
      <w:r w:rsidRPr="004F4227">
        <w:rPr>
          <w:rFonts w:ascii="Arial" w:eastAsia="Calibri" w:hAnsi="Arial" w:cs="Arial"/>
        </w:rPr>
        <w:t>solifenacin</w:t>
      </w:r>
      <w:proofErr w:type="spellEnd"/>
      <w:r w:rsidRPr="004F4227">
        <w:rPr>
          <w:rFonts w:ascii="Arial" w:eastAsia="Calibri" w:hAnsi="Arial" w:cs="Arial"/>
        </w:rPr>
        <w:t xml:space="preserve"> monotherapy in relieving OAB symptoms associated with double-J stents, while also improving quality of life without increasing bothersome side effects</w:t>
      </w:r>
      <w:r w:rsidRPr="004F4227">
        <w:rPr>
          <w:rFonts w:ascii="Arial" w:hAnsi="Arial" w:cs="Arial"/>
        </w:rPr>
        <w:t>.</w:t>
      </w:r>
      <w:r w:rsidRPr="004F4227">
        <w:rPr>
          <w:rFonts w:ascii="Arial" w:hAnsi="Arial" w:cs="Arial"/>
          <w:vertAlign w:val="superscript"/>
        </w:rPr>
        <w:t>17</w:t>
      </w:r>
      <w:r w:rsidRPr="004F4227">
        <w:rPr>
          <w:rFonts w:ascii="Arial" w:hAnsi="Arial" w:cs="Arial"/>
        </w:rPr>
        <w:t xml:space="preserve"> </w:t>
      </w:r>
      <w:r w:rsidRPr="004F4227">
        <w:rPr>
          <w:rFonts w:ascii="Arial" w:eastAsia="Calibri" w:hAnsi="Arial" w:cs="Arial"/>
        </w:rPr>
        <w:t>Similarly, a randomized controlled trial by Matsukawa et al. found that the addition of mirabegron to silodosin significantly improved OAB symptom scores and enhanced bladder storage function</w:t>
      </w:r>
      <w:r w:rsidRPr="004F4227">
        <w:rPr>
          <w:rFonts w:ascii="Arial" w:hAnsi="Arial" w:cs="Arial"/>
        </w:rPr>
        <w:t>.</w:t>
      </w:r>
      <w:r w:rsidRPr="004F4227">
        <w:rPr>
          <w:rFonts w:ascii="Arial" w:hAnsi="Arial" w:cs="Arial"/>
          <w:vertAlign w:val="superscript"/>
        </w:rPr>
        <w:t>18</w:t>
      </w:r>
    </w:p>
    <w:p w14:paraId="44A354F1" w14:textId="77777777" w:rsidR="004F4227" w:rsidRPr="004F4227" w:rsidRDefault="004F4227" w:rsidP="004F4227">
      <w:pPr>
        <w:jc w:val="both"/>
        <w:rPr>
          <w:rFonts w:ascii="Arial" w:hAnsi="Arial" w:cs="Arial"/>
          <w:vertAlign w:val="superscript"/>
        </w:rPr>
      </w:pPr>
    </w:p>
    <w:p w14:paraId="1BEF89C7" w14:textId="77777777" w:rsidR="004F4227" w:rsidRDefault="004F4227" w:rsidP="004F4227">
      <w:pPr>
        <w:jc w:val="both"/>
        <w:rPr>
          <w:rFonts w:ascii="Arial" w:hAnsi="Arial" w:cs="Arial"/>
          <w:vertAlign w:val="superscript"/>
        </w:rPr>
      </w:pPr>
      <w:r w:rsidRPr="004F4227">
        <w:rPr>
          <w:rFonts w:ascii="Arial" w:eastAsia="Calibri" w:hAnsi="Arial" w:cs="Arial"/>
        </w:rPr>
        <w:t xml:space="preserve">A significant number of survey participants reported switching patients to mirabegron when </w:t>
      </w:r>
      <w:proofErr w:type="spellStart"/>
      <w:r w:rsidRPr="004F4227">
        <w:rPr>
          <w:rFonts w:ascii="Arial" w:eastAsia="Calibri" w:hAnsi="Arial" w:cs="Arial"/>
        </w:rPr>
        <w:t>solifenacin</w:t>
      </w:r>
      <w:proofErr w:type="spellEnd"/>
      <w:r w:rsidRPr="004F4227">
        <w:rPr>
          <w:rFonts w:ascii="Arial" w:eastAsia="Calibri" w:hAnsi="Arial" w:cs="Arial"/>
        </w:rPr>
        <w:t xml:space="preserve"> failed to provide adequate symptom relief, underscoring mirabegron's value not only as a first-line therapy but also as an effective alternative in cases of suboptimal response to antimuscarinics.</w:t>
      </w:r>
      <w:r w:rsidRPr="004F4227">
        <w:rPr>
          <w:rFonts w:ascii="Arial" w:hAnsi="Arial" w:cs="Arial"/>
        </w:rPr>
        <w:t xml:space="preserve"> In a study by Wang et al., out of 416 patients, 60.8% switched from </w:t>
      </w:r>
      <w:proofErr w:type="spellStart"/>
      <w:r w:rsidRPr="004F4227">
        <w:rPr>
          <w:rFonts w:ascii="Arial" w:hAnsi="Arial" w:cs="Arial"/>
        </w:rPr>
        <w:t>solifenacin</w:t>
      </w:r>
      <w:proofErr w:type="spellEnd"/>
      <w:r w:rsidRPr="004F4227">
        <w:rPr>
          <w:rFonts w:ascii="Arial" w:hAnsi="Arial" w:cs="Arial"/>
        </w:rPr>
        <w:t xml:space="preserve"> to mirabegron due to persistent OAB symptoms despite ongoing treatment.</w:t>
      </w:r>
      <w:r w:rsidRPr="004F4227">
        <w:rPr>
          <w:rFonts w:ascii="Arial" w:hAnsi="Arial" w:cs="Arial"/>
          <w:vertAlign w:val="superscript"/>
        </w:rPr>
        <w:t>19</w:t>
      </w:r>
      <w:r w:rsidRPr="004F4227">
        <w:rPr>
          <w:rFonts w:ascii="Arial" w:hAnsi="Arial" w:cs="Arial"/>
        </w:rPr>
        <w:t xml:space="preserve"> </w:t>
      </w:r>
      <w:proofErr w:type="gramStart"/>
      <w:r w:rsidRPr="004F4227">
        <w:rPr>
          <w:rFonts w:ascii="Arial" w:eastAsia="Calibri" w:hAnsi="Arial" w:cs="Arial"/>
        </w:rPr>
        <w:t>Similarly,  Liao</w:t>
      </w:r>
      <w:proofErr w:type="gramEnd"/>
      <w:r w:rsidRPr="004F4227">
        <w:rPr>
          <w:rFonts w:ascii="Arial" w:eastAsia="Calibri" w:hAnsi="Arial" w:cs="Arial"/>
        </w:rPr>
        <w:t xml:space="preserve"> et al. evaluated 282 patients aged 20 years and older with OAB who were on stable antimuscarinic therapy (</w:t>
      </w:r>
      <w:proofErr w:type="spellStart"/>
      <w:r w:rsidRPr="004F4227">
        <w:rPr>
          <w:rFonts w:ascii="Arial" w:eastAsia="Calibri" w:hAnsi="Arial" w:cs="Arial"/>
        </w:rPr>
        <w:t>solifenacin</w:t>
      </w:r>
      <w:proofErr w:type="spellEnd"/>
      <w:r w:rsidRPr="004F4227">
        <w:rPr>
          <w:rFonts w:ascii="Arial" w:eastAsia="Calibri" w:hAnsi="Arial" w:cs="Arial"/>
        </w:rPr>
        <w:t xml:space="preserve"> or tolterodine). More than half of the patients experienced improved outcomes after switching to mirabegron, which was also associated with significantly fewer adverse events and a reduction in postvoid residual volume.</w:t>
      </w:r>
      <w:r w:rsidRPr="004F4227">
        <w:rPr>
          <w:rFonts w:ascii="Arial" w:hAnsi="Arial" w:cs="Arial"/>
          <w:vertAlign w:val="superscript"/>
        </w:rPr>
        <w:t>20</w:t>
      </w:r>
    </w:p>
    <w:p w14:paraId="24882F46" w14:textId="77777777" w:rsidR="004F4227" w:rsidRPr="004F4227" w:rsidRDefault="004F4227" w:rsidP="004F4227">
      <w:pPr>
        <w:jc w:val="both"/>
        <w:rPr>
          <w:rFonts w:ascii="Arial" w:hAnsi="Arial" w:cs="Arial"/>
        </w:rPr>
      </w:pPr>
    </w:p>
    <w:p w14:paraId="5EC7BA63" w14:textId="4F8553C2" w:rsidR="00790ADA" w:rsidRPr="004F4227" w:rsidRDefault="004F4227" w:rsidP="004F4227">
      <w:pPr>
        <w:pStyle w:val="Body"/>
        <w:rPr>
          <w:rFonts w:ascii="Arial" w:hAnsi="Arial" w:cs="Arial"/>
          <w:lang w:val="en-IN"/>
        </w:rPr>
      </w:pPr>
      <w:r w:rsidRPr="004F4227">
        <w:rPr>
          <w:rFonts w:ascii="Arial" w:eastAsia="Calibri" w:hAnsi="Arial" w:cs="Arial"/>
        </w:rPr>
        <w:t xml:space="preserve">The study holds significant relevance, as its findings align with clinical perspectives and are supported by evidence from large randomized controlled trials and systematic reviews. It reinforces mirabegron’s role as a safe, effective, and well-tolerated treatment for OAB. These insights can aid treatment decisions, enhance patient outcomes, and inform future research. The survey utilized a well-designed, validated questionnaire, ensuring that </w:t>
      </w:r>
      <w:r w:rsidRPr="004F4227">
        <w:rPr>
          <w:rFonts w:ascii="Arial" w:eastAsia="Calibri" w:hAnsi="Arial" w:cs="Arial"/>
        </w:rPr>
        <w:lastRenderedPageBreak/>
        <w:t>responses reflected evidence-based practice. However, there are certain limitations. The relatively small sample size may limit generalizability, and reliance on clinician-reported perceptions may introduce subjective bias. Despite these constraints, the survey provides meaningful insights into current treatment patterns and clinical management of OAB.</w:t>
      </w:r>
      <w:r w:rsidR="00C30A0F" w:rsidRPr="004F422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564812E2" w:rsidR="00B01FCD" w:rsidRDefault="004F4227" w:rsidP="00441B6F">
      <w:pPr>
        <w:pStyle w:val="Body"/>
        <w:spacing w:after="0"/>
      </w:pPr>
      <w:r w:rsidRPr="004F4227">
        <w:t>The study underscores a strong preference among clinicians for mirabegron in the management of OAB, driven by its favorable efficacy and tolerability profile. Most clinicians reported positive outcomes in terms of symptom control, improved patient adherence, and reduced side effects, particularly when compared to antimuscarinics. The preference for its use in combination therapies, especially with silodosin, further reflects a practical approach to managing complex or difficult-to-treat OAB cases.</w:t>
      </w:r>
    </w:p>
    <w:p w14:paraId="260946F6" w14:textId="127101FF" w:rsidR="00321DE3" w:rsidRDefault="00321DE3" w:rsidP="00441B6F">
      <w:pPr>
        <w:pStyle w:val="Body"/>
        <w:spacing w:after="0"/>
        <w:rPr>
          <w:rFonts w:ascii="Arial" w:hAnsi="Arial" w:cs="Arial"/>
        </w:rPr>
      </w:pPr>
    </w:p>
    <w:p w14:paraId="304ED610" w14:textId="77777777" w:rsidR="00321DE3" w:rsidRPr="00321DE3" w:rsidRDefault="00321DE3" w:rsidP="00321DE3">
      <w:pPr>
        <w:pStyle w:val="Body"/>
        <w:rPr>
          <w:rFonts w:ascii="Arial" w:hAnsi="Arial" w:cs="Arial"/>
        </w:rPr>
      </w:pPr>
      <w:r w:rsidRPr="00321DE3">
        <w:rPr>
          <w:rFonts w:ascii="Arial" w:hAnsi="Arial" w:cs="Arial"/>
        </w:rPr>
        <w:t>COMPETING INTERESTS DISCLAIMER:</w:t>
      </w:r>
    </w:p>
    <w:p w14:paraId="14665FB1" w14:textId="5B770093" w:rsidR="00321DE3" w:rsidRDefault="00321DE3" w:rsidP="00321DE3">
      <w:pPr>
        <w:pStyle w:val="Body"/>
        <w:spacing w:after="0"/>
        <w:rPr>
          <w:rFonts w:ascii="Arial" w:hAnsi="Arial" w:cs="Arial"/>
        </w:rPr>
      </w:pPr>
      <w:r w:rsidRPr="00321DE3">
        <w:rPr>
          <w:rFonts w:ascii="Arial" w:hAnsi="Arial" w:cs="Arial"/>
        </w:rPr>
        <w:t>Authors have declared that they have no known competing financial interests OR non-financial interests OR personal relationships that could have appeared to influence the work reported in this paper.</w:t>
      </w:r>
    </w:p>
    <w:p w14:paraId="20D13E0E" w14:textId="77777777" w:rsidR="00790ADA" w:rsidRPr="00FB3A86" w:rsidRDefault="00790ADA" w:rsidP="00441B6F">
      <w:pPr>
        <w:pStyle w:val="Body"/>
        <w:spacing w:after="0"/>
        <w:rPr>
          <w:rFonts w:ascii="Arial" w:hAnsi="Arial" w:cs="Arial"/>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74D677F4"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Cheng Y, Chen T, Zheng G, Song Z, Zhang G, Rao X, et al. Prevalence and trends in overactive bladder among men in the United States, 2005-2020. Sci Rep. 2024 Jul 15;14(1):16284. </w:t>
      </w:r>
    </w:p>
    <w:p w14:paraId="62C4B4FD"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Zhang L, Cai N, Mo L, Tian X, Liu H, Yu B. Global Prevalence of Overactive Bladder: A Systematic Review and Meta-analysis. Int </w:t>
      </w:r>
      <w:proofErr w:type="spellStart"/>
      <w:r w:rsidRPr="007F5920">
        <w:rPr>
          <w:rFonts w:ascii="Arial" w:eastAsia="Calibri" w:hAnsi="Arial" w:cs="Arial"/>
          <w:lang w:val="en-IN" w:eastAsia="en-IN"/>
        </w:rPr>
        <w:t>Urogynecol</w:t>
      </w:r>
      <w:proofErr w:type="spellEnd"/>
      <w:r w:rsidRPr="007F5920">
        <w:rPr>
          <w:rFonts w:ascii="Arial" w:eastAsia="Calibri" w:hAnsi="Arial" w:cs="Arial"/>
          <w:lang w:val="en-IN" w:eastAsia="en-IN"/>
        </w:rPr>
        <w:t xml:space="preserve"> J. 2025 Feb 14. </w:t>
      </w:r>
      <w:proofErr w:type="spellStart"/>
      <w:r w:rsidRPr="007F5920">
        <w:rPr>
          <w:rFonts w:ascii="Arial" w:eastAsia="Calibri" w:hAnsi="Arial" w:cs="Arial"/>
          <w:lang w:val="en-IN" w:eastAsia="en-IN"/>
        </w:rPr>
        <w:t>Epub</w:t>
      </w:r>
      <w:proofErr w:type="spellEnd"/>
      <w:r w:rsidRPr="007F5920">
        <w:rPr>
          <w:rFonts w:ascii="Arial" w:eastAsia="Calibri" w:hAnsi="Arial" w:cs="Arial"/>
          <w:lang w:val="en-IN" w:eastAsia="en-IN"/>
        </w:rPr>
        <w:t xml:space="preserve"> ahead of print.</w:t>
      </w:r>
    </w:p>
    <w:p w14:paraId="2F6036BC"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Garg P, Goyal LD, Goyal S, Verma M. Utility of opportunistic screening to assess the impact of urinary incontinence on quality of life and barriers to seeking treatment among women attending a tertiary healthcare centre in North India. BMC Urol. 2024 Mar 2;24(1):50. </w:t>
      </w:r>
    </w:p>
    <w:p w14:paraId="1920A88F"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Juilee</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Khadke</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Abha</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Dhupkar</w:t>
      </w:r>
      <w:proofErr w:type="spellEnd"/>
      <w:r w:rsidRPr="007F5920">
        <w:rPr>
          <w:rFonts w:ascii="Arial" w:eastAsia="Calibri" w:hAnsi="Arial" w:cs="Arial"/>
          <w:lang w:val="en-IN" w:eastAsia="en-IN"/>
        </w:rPr>
        <w:t xml:space="preserve">. Prevalence of overactive bladder syndrome among adult females having stress urinary incontinence and urge urinary incontinence using overactive bladder syndrome questionnaire. Int J Health Sci Res. 2023; 13(3):55-68. </w:t>
      </w:r>
    </w:p>
    <w:p w14:paraId="14EF3CC2"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Kelleher C, Hakimi Z, Zur R, Siddiqui E, </w:t>
      </w:r>
      <w:proofErr w:type="spellStart"/>
      <w:r w:rsidRPr="007F5920">
        <w:rPr>
          <w:rFonts w:ascii="Arial" w:eastAsia="Calibri" w:hAnsi="Arial" w:cs="Arial"/>
          <w:lang w:val="en-IN" w:eastAsia="en-IN"/>
        </w:rPr>
        <w:t>Maman</w:t>
      </w:r>
      <w:proofErr w:type="spellEnd"/>
      <w:r w:rsidRPr="007F5920">
        <w:rPr>
          <w:rFonts w:ascii="Arial" w:eastAsia="Calibri" w:hAnsi="Arial" w:cs="Arial"/>
          <w:lang w:val="en-IN" w:eastAsia="en-IN"/>
        </w:rPr>
        <w:t xml:space="preserve"> K, </w:t>
      </w:r>
      <w:proofErr w:type="spellStart"/>
      <w:r w:rsidRPr="007F5920">
        <w:rPr>
          <w:rFonts w:ascii="Arial" w:eastAsia="Calibri" w:hAnsi="Arial" w:cs="Arial"/>
          <w:lang w:val="en-IN" w:eastAsia="en-IN"/>
        </w:rPr>
        <w:t>Aballéa</w:t>
      </w:r>
      <w:proofErr w:type="spellEnd"/>
      <w:r w:rsidRPr="007F5920">
        <w:rPr>
          <w:rFonts w:ascii="Arial" w:eastAsia="Calibri" w:hAnsi="Arial" w:cs="Arial"/>
          <w:lang w:val="en-IN" w:eastAsia="en-IN"/>
        </w:rPr>
        <w:t xml:space="preserve"> S, et al. Efficacy and Tolerability of Mirabegron Compared with Antimuscarinic Monotherapy or Combination Therapies for Overactive Bladder: A Systematic Review and Network Meta-analysis. European Urology. 2018 Sep 1;74(3):324–33. </w:t>
      </w:r>
    </w:p>
    <w:p w14:paraId="38FAAAE7"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Warren K, Burden H, Abrams P. Mirabegron in overactive bladder patients: efficacy review and update on drug safety. Ther Adv Drug Saf. 2016 Oct;7(5):204–16. </w:t>
      </w:r>
    </w:p>
    <w:p w14:paraId="037B4440"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Zhang X, Mao Y, Liu Y, Sun J, Sun J, Pan C, et al. Mirabegron 50 mg once daily, long-term treatment maximizes benefit in middle-aged and older people with </w:t>
      </w:r>
      <w:r w:rsidRPr="007F5920">
        <w:rPr>
          <w:rFonts w:ascii="Arial" w:eastAsia="Calibri" w:hAnsi="Arial" w:cs="Arial"/>
          <w:lang w:val="en-IN" w:eastAsia="en-IN"/>
        </w:rPr>
        <w:lastRenderedPageBreak/>
        <w:t xml:space="preserve">overactive bladder syndrome: a systematic review and meta-analysis of nine phase II/III, randomized, double-blind, parallel-design, placebo-controlled, multicenter, and multinational trials. Front Surg. 2024 Aug </w:t>
      </w:r>
      <w:proofErr w:type="gramStart"/>
      <w:r w:rsidRPr="007F5920">
        <w:rPr>
          <w:rFonts w:ascii="Arial" w:eastAsia="Calibri" w:hAnsi="Arial" w:cs="Arial"/>
          <w:lang w:val="en-IN" w:eastAsia="en-IN"/>
        </w:rPr>
        <w:t>26;11:1372175</w:t>
      </w:r>
      <w:proofErr w:type="gramEnd"/>
      <w:r w:rsidRPr="007F5920">
        <w:rPr>
          <w:rFonts w:ascii="Arial" w:eastAsia="Calibri" w:hAnsi="Arial" w:cs="Arial"/>
          <w:lang w:val="en-IN" w:eastAsia="en-IN"/>
        </w:rPr>
        <w:t xml:space="preserve">. </w:t>
      </w:r>
    </w:p>
    <w:p w14:paraId="2AF6070B"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Cui Y, Zong H, Yang C, Yan H, Zhang Y. The efficacy and safety of mirabegron in treating OAB: a systematic review and meta-analysis of phase III trials. Int </w:t>
      </w:r>
      <w:proofErr w:type="spellStart"/>
      <w:r w:rsidRPr="007F5920">
        <w:rPr>
          <w:rFonts w:ascii="Arial" w:eastAsia="Calibri" w:hAnsi="Arial" w:cs="Arial"/>
          <w:lang w:val="en-IN" w:eastAsia="en-IN"/>
        </w:rPr>
        <w:t>Urol</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Nephrol</w:t>
      </w:r>
      <w:proofErr w:type="spellEnd"/>
      <w:r w:rsidRPr="007F5920">
        <w:rPr>
          <w:rFonts w:ascii="Arial" w:eastAsia="Calibri" w:hAnsi="Arial" w:cs="Arial"/>
          <w:lang w:val="en-IN" w:eastAsia="en-IN"/>
        </w:rPr>
        <w:t xml:space="preserve">. 2014 Jan;46(1):275–84. </w:t>
      </w:r>
    </w:p>
    <w:p w14:paraId="3B7908E3"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Sebastianelli A, Russo GI, Kaplan SA, </w:t>
      </w:r>
      <w:proofErr w:type="spellStart"/>
      <w:r w:rsidRPr="007F5920">
        <w:rPr>
          <w:rFonts w:ascii="Arial" w:eastAsia="Calibri" w:hAnsi="Arial" w:cs="Arial"/>
          <w:lang w:val="en-IN" w:eastAsia="en-IN"/>
        </w:rPr>
        <w:t>McVary</w:t>
      </w:r>
      <w:proofErr w:type="spellEnd"/>
      <w:r w:rsidRPr="007F5920">
        <w:rPr>
          <w:rFonts w:ascii="Arial" w:eastAsia="Calibri" w:hAnsi="Arial" w:cs="Arial"/>
          <w:lang w:val="en-IN" w:eastAsia="en-IN"/>
        </w:rPr>
        <w:t xml:space="preserve"> KT, Moncada I, </w:t>
      </w:r>
      <w:proofErr w:type="spellStart"/>
      <w:r w:rsidRPr="007F5920">
        <w:rPr>
          <w:rFonts w:ascii="Arial" w:eastAsia="Calibri" w:hAnsi="Arial" w:cs="Arial"/>
          <w:lang w:val="en-IN" w:eastAsia="en-IN"/>
        </w:rPr>
        <w:t>Gravas</w:t>
      </w:r>
      <w:proofErr w:type="spellEnd"/>
      <w:r w:rsidRPr="007F5920">
        <w:rPr>
          <w:rFonts w:ascii="Arial" w:eastAsia="Calibri" w:hAnsi="Arial" w:cs="Arial"/>
          <w:lang w:val="en-IN" w:eastAsia="en-IN"/>
        </w:rPr>
        <w:t xml:space="preserve"> S, et al. Systematic review and meta-analysis on the efficacy and tolerability of mirabegron for the treatment of storage lower urinary tract symptoms/overactive bladder: Comparison with placebo and tolterodine. Int J Urol. 2018 Mar;25(3):196–205. </w:t>
      </w:r>
    </w:p>
    <w:p w14:paraId="2D56C8C7"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Dey A, Georgiadis G, </w:t>
      </w:r>
      <w:proofErr w:type="spellStart"/>
      <w:r w:rsidRPr="007F5920">
        <w:rPr>
          <w:rFonts w:ascii="Arial" w:eastAsia="Calibri" w:hAnsi="Arial" w:cs="Arial"/>
          <w:lang w:val="en-IN" w:eastAsia="en-IN"/>
        </w:rPr>
        <w:t>Umezurike</w:t>
      </w:r>
      <w:proofErr w:type="spellEnd"/>
      <w:r w:rsidRPr="007F5920">
        <w:rPr>
          <w:rFonts w:ascii="Arial" w:eastAsia="Calibri" w:hAnsi="Arial" w:cs="Arial"/>
          <w:lang w:val="en-IN" w:eastAsia="en-IN"/>
        </w:rPr>
        <w:t xml:space="preserve"> J, Yuan Y, Farag F, </w:t>
      </w:r>
      <w:proofErr w:type="spellStart"/>
      <w:r w:rsidRPr="007F5920">
        <w:rPr>
          <w:rFonts w:ascii="Arial" w:eastAsia="Calibri" w:hAnsi="Arial" w:cs="Arial"/>
          <w:lang w:val="en-IN" w:eastAsia="en-IN"/>
        </w:rPr>
        <w:t>N’Dow</w:t>
      </w:r>
      <w:proofErr w:type="spellEnd"/>
      <w:r w:rsidRPr="007F5920">
        <w:rPr>
          <w:rFonts w:ascii="Arial" w:eastAsia="Calibri" w:hAnsi="Arial" w:cs="Arial"/>
          <w:lang w:val="en-IN" w:eastAsia="en-IN"/>
        </w:rPr>
        <w:t xml:space="preserve"> J, et al. Mirabegron Versus Placebo and Other Therapeutic Modalities in the Treatment of Patients with Overactive Bladder Syndrome- A Systematic Review. Eur </w:t>
      </w:r>
      <w:proofErr w:type="spellStart"/>
      <w:r w:rsidRPr="007F5920">
        <w:rPr>
          <w:rFonts w:ascii="Arial" w:eastAsia="Calibri" w:hAnsi="Arial" w:cs="Arial"/>
          <w:lang w:val="en-IN" w:eastAsia="en-IN"/>
        </w:rPr>
        <w:t>Urol</w:t>
      </w:r>
      <w:proofErr w:type="spellEnd"/>
      <w:r w:rsidRPr="007F5920">
        <w:rPr>
          <w:rFonts w:ascii="Arial" w:eastAsia="Calibri" w:hAnsi="Arial" w:cs="Arial"/>
          <w:lang w:val="en-IN" w:eastAsia="en-IN"/>
        </w:rPr>
        <w:t xml:space="preserve"> Focus. 2024 Sep </w:t>
      </w:r>
      <w:proofErr w:type="gramStart"/>
      <w:r w:rsidRPr="007F5920">
        <w:rPr>
          <w:rFonts w:ascii="Arial" w:eastAsia="Calibri" w:hAnsi="Arial" w:cs="Arial"/>
          <w:lang w:val="en-IN" w:eastAsia="en-IN"/>
        </w:rPr>
        <w:t>28;S</w:t>
      </w:r>
      <w:proofErr w:type="gramEnd"/>
      <w:r w:rsidRPr="007F5920">
        <w:rPr>
          <w:rFonts w:ascii="Arial" w:eastAsia="Calibri" w:hAnsi="Arial" w:cs="Arial"/>
          <w:lang w:val="en-IN" w:eastAsia="en-IN"/>
        </w:rPr>
        <w:t xml:space="preserve">2405-4569(24)00181-0. </w:t>
      </w:r>
    </w:p>
    <w:p w14:paraId="75614BBD"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Nitti VW, Khullar V, van </w:t>
      </w:r>
      <w:proofErr w:type="spellStart"/>
      <w:r w:rsidRPr="007F5920">
        <w:rPr>
          <w:rFonts w:ascii="Arial" w:eastAsia="Calibri" w:hAnsi="Arial" w:cs="Arial"/>
          <w:lang w:val="en-IN" w:eastAsia="en-IN"/>
        </w:rPr>
        <w:t>Kerrebroeck</w:t>
      </w:r>
      <w:proofErr w:type="spellEnd"/>
      <w:r w:rsidRPr="007F5920">
        <w:rPr>
          <w:rFonts w:ascii="Arial" w:eastAsia="Calibri" w:hAnsi="Arial" w:cs="Arial"/>
          <w:lang w:val="en-IN" w:eastAsia="en-IN"/>
        </w:rPr>
        <w:t xml:space="preserve"> P, </w:t>
      </w:r>
      <w:proofErr w:type="spellStart"/>
      <w:r w:rsidRPr="007F5920">
        <w:rPr>
          <w:rFonts w:ascii="Arial" w:eastAsia="Calibri" w:hAnsi="Arial" w:cs="Arial"/>
          <w:lang w:val="en-IN" w:eastAsia="en-IN"/>
        </w:rPr>
        <w:t>Herschorn</w:t>
      </w:r>
      <w:proofErr w:type="spellEnd"/>
      <w:r w:rsidRPr="007F5920">
        <w:rPr>
          <w:rFonts w:ascii="Arial" w:eastAsia="Calibri" w:hAnsi="Arial" w:cs="Arial"/>
          <w:lang w:val="en-IN" w:eastAsia="en-IN"/>
        </w:rPr>
        <w:t xml:space="preserve"> S, Cambronero J, Angulo JC, et al. Mirabegron for the treatment of overactive bladder: a prespecified pooled efficacy analysis and pooled safety analysis of three randomised, double-blind, placebo-controlled, phase III studies. Int J Clin </w:t>
      </w:r>
      <w:proofErr w:type="spellStart"/>
      <w:r w:rsidRPr="007F5920">
        <w:rPr>
          <w:rFonts w:ascii="Arial" w:eastAsia="Calibri" w:hAnsi="Arial" w:cs="Arial"/>
          <w:lang w:val="en-IN" w:eastAsia="en-IN"/>
        </w:rPr>
        <w:t>Pract</w:t>
      </w:r>
      <w:proofErr w:type="spellEnd"/>
      <w:r w:rsidRPr="007F5920">
        <w:rPr>
          <w:rFonts w:ascii="Arial" w:eastAsia="Calibri" w:hAnsi="Arial" w:cs="Arial"/>
          <w:lang w:val="en-IN" w:eastAsia="en-IN"/>
        </w:rPr>
        <w:t xml:space="preserve">. 2013 Jul;67(7):619–32. </w:t>
      </w:r>
    </w:p>
    <w:p w14:paraId="30A37C82"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Maman</w:t>
      </w:r>
      <w:proofErr w:type="spellEnd"/>
      <w:r w:rsidRPr="007F5920">
        <w:rPr>
          <w:rFonts w:ascii="Arial" w:eastAsia="Calibri" w:hAnsi="Arial" w:cs="Arial"/>
          <w:lang w:val="en-IN" w:eastAsia="en-IN"/>
        </w:rPr>
        <w:t xml:space="preserve"> K, </w:t>
      </w:r>
      <w:proofErr w:type="spellStart"/>
      <w:r w:rsidRPr="007F5920">
        <w:rPr>
          <w:rFonts w:ascii="Arial" w:eastAsia="Calibri" w:hAnsi="Arial" w:cs="Arial"/>
          <w:lang w:val="en-IN" w:eastAsia="en-IN"/>
        </w:rPr>
        <w:t>Aballea</w:t>
      </w:r>
      <w:proofErr w:type="spellEnd"/>
      <w:r w:rsidRPr="007F5920">
        <w:rPr>
          <w:rFonts w:ascii="Arial" w:eastAsia="Calibri" w:hAnsi="Arial" w:cs="Arial"/>
          <w:lang w:val="en-IN" w:eastAsia="en-IN"/>
        </w:rPr>
        <w:t xml:space="preserve"> S, Nazir J, </w:t>
      </w:r>
      <w:proofErr w:type="spellStart"/>
      <w:r w:rsidRPr="007F5920">
        <w:rPr>
          <w:rFonts w:ascii="Arial" w:eastAsia="Calibri" w:hAnsi="Arial" w:cs="Arial"/>
          <w:lang w:val="en-IN" w:eastAsia="en-IN"/>
        </w:rPr>
        <w:t>Desroziers</w:t>
      </w:r>
      <w:proofErr w:type="spellEnd"/>
      <w:r w:rsidRPr="007F5920">
        <w:rPr>
          <w:rFonts w:ascii="Arial" w:eastAsia="Calibri" w:hAnsi="Arial" w:cs="Arial"/>
          <w:lang w:val="en-IN" w:eastAsia="en-IN"/>
        </w:rPr>
        <w:t xml:space="preserve"> K, </w:t>
      </w:r>
      <w:proofErr w:type="spellStart"/>
      <w:r w:rsidRPr="007F5920">
        <w:rPr>
          <w:rFonts w:ascii="Arial" w:eastAsia="Calibri" w:hAnsi="Arial" w:cs="Arial"/>
          <w:lang w:val="en-IN" w:eastAsia="en-IN"/>
        </w:rPr>
        <w:t>Neine</w:t>
      </w:r>
      <w:proofErr w:type="spellEnd"/>
      <w:r w:rsidRPr="007F5920">
        <w:rPr>
          <w:rFonts w:ascii="Arial" w:eastAsia="Calibri" w:hAnsi="Arial" w:cs="Arial"/>
          <w:lang w:val="en-IN" w:eastAsia="en-IN"/>
        </w:rPr>
        <w:t xml:space="preserve"> ME, Siddiqui E, et al. Comparative efficacy and safety of medical treatments for the management of overactive bladder: a systematic literature review and mixed treatment comparison. Eur Urol. 2014 Apr;65(4):755–65. </w:t>
      </w:r>
    </w:p>
    <w:p w14:paraId="0AEC61F8"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Chen HL, Chen TC, Chang HM, Juan YS, Huang WH, Pan HF, et al. Mirabegron is alternative to antimuscarinic agents for overactive bladder without higher risk in hypertension: a systematic review and meta-analysis. World J Urol. 2018 Aug;36(8):1285–97. </w:t>
      </w:r>
    </w:p>
    <w:p w14:paraId="2977194C"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Chapple CR, Siddiqui E. Mirabegron for the treatment of overactive bladder: a review of efficacy, safety and tolerability with a focus on male, elderly and antimuscarinic poor-responder populations, and patients with OAB in Asia. Expert Rev Clin </w:t>
      </w:r>
      <w:proofErr w:type="spellStart"/>
      <w:r w:rsidRPr="007F5920">
        <w:rPr>
          <w:rFonts w:ascii="Arial" w:eastAsia="Calibri" w:hAnsi="Arial" w:cs="Arial"/>
          <w:lang w:val="en-IN" w:eastAsia="en-IN"/>
        </w:rPr>
        <w:t>Pharmacol</w:t>
      </w:r>
      <w:proofErr w:type="spellEnd"/>
      <w:r w:rsidRPr="007F5920">
        <w:rPr>
          <w:rFonts w:ascii="Arial" w:eastAsia="Calibri" w:hAnsi="Arial" w:cs="Arial"/>
          <w:lang w:val="en-IN" w:eastAsia="en-IN"/>
        </w:rPr>
        <w:t xml:space="preserve">. 2017 Feb;10(2):131-151. </w:t>
      </w:r>
    </w:p>
    <w:p w14:paraId="591246E9"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Athanasiou</w:t>
      </w:r>
      <w:proofErr w:type="spellEnd"/>
      <w:r w:rsidRPr="007F5920">
        <w:rPr>
          <w:rFonts w:ascii="Arial" w:eastAsia="Calibri" w:hAnsi="Arial" w:cs="Arial"/>
          <w:lang w:val="en-IN" w:eastAsia="en-IN"/>
        </w:rPr>
        <w:t xml:space="preserve"> S, </w:t>
      </w:r>
      <w:proofErr w:type="spellStart"/>
      <w:r w:rsidRPr="007F5920">
        <w:rPr>
          <w:rFonts w:ascii="Arial" w:eastAsia="Calibri" w:hAnsi="Arial" w:cs="Arial"/>
          <w:lang w:val="en-IN" w:eastAsia="en-IN"/>
        </w:rPr>
        <w:t>Pitsouni</w:t>
      </w:r>
      <w:proofErr w:type="spellEnd"/>
      <w:r w:rsidRPr="007F5920">
        <w:rPr>
          <w:rFonts w:ascii="Arial" w:eastAsia="Calibri" w:hAnsi="Arial" w:cs="Arial"/>
          <w:lang w:val="en-IN" w:eastAsia="en-IN"/>
        </w:rPr>
        <w:t xml:space="preserve"> E, </w:t>
      </w:r>
      <w:proofErr w:type="spellStart"/>
      <w:r w:rsidRPr="007F5920">
        <w:rPr>
          <w:rFonts w:ascii="Arial" w:eastAsia="Calibri" w:hAnsi="Arial" w:cs="Arial"/>
          <w:lang w:val="en-IN" w:eastAsia="en-IN"/>
        </w:rPr>
        <w:t>Grigoriadis</w:t>
      </w:r>
      <w:proofErr w:type="spellEnd"/>
      <w:r w:rsidRPr="007F5920">
        <w:rPr>
          <w:rFonts w:ascii="Arial" w:eastAsia="Calibri" w:hAnsi="Arial" w:cs="Arial"/>
          <w:lang w:val="en-IN" w:eastAsia="en-IN"/>
        </w:rPr>
        <w:t xml:space="preserve"> T, </w:t>
      </w:r>
      <w:proofErr w:type="spellStart"/>
      <w:r w:rsidRPr="007F5920">
        <w:rPr>
          <w:rFonts w:ascii="Arial" w:eastAsia="Calibri" w:hAnsi="Arial" w:cs="Arial"/>
          <w:lang w:val="en-IN" w:eastAsia="en-IN"/>
        </w:rPr>
        <w:t>Zacharakis</w:t>
      </w:r>
      <w:proofErr w:type="spellEnd"/>
      <w:r w:rsidRPr="007F5920">
        <w:rPr>
          <w:rFonts w:ascii="Arial" w:eastAsia="Calibri" w:hAnsi="Arial" w:cs="Arial"/>
          <w:lang w:val="en-IN" w:eastAsia="en-IN"/>
        </w:rPr>
        <w:t xml:space="preserve"> D, Salvatore S, </w:t>
      </w:r>
      <w:proofErr w:type="spellStart"/>
      <w:r w:rsidRPr="007F5920">
        <w:rPr>
          <w:rFonts w:ascii="Arial" w:eastAsia="Calibri" w:hAnsi="Arial" w:cs="Arial"/>
          <w:lang w:val="en-IN" w:eastAsia="en-IN"/>
        </w:rPr>
        <w:t>Serati</w:t>
      </w:r>
      <w:proofErr w:type="spellEnd"/>
      <w:r w:rsidRPr="007F5920">
        <w:rPr>
          <w:rFonts w:ascii="Arial" w:eastAsia="Calibri" w:hAnsi="Arial" w:cs="Arial"/>
          <w:lang w:val="en-IN" w:eastAsia="en-IN"/>
        </w:rPr>
        <w:t xml:space="preserve"> M. Mirabegron in female patients with overactive bladder syndrome: What’s new? A systematic review and meta-analysis. Eur J </w:t>
      </w:r>
      <w:proofErr w:type="spellStart"/>
      <w:r w:rsidRPr="007F5920">
        <w:rPr>
          <w:rFonts w:ascii="Arial" w:eastAsia="Calibri" w:hAnsi="Arial" w:cs="Arial"/>
          <w:lang w:val="en-IN" w:eastAsia="en-IN"/>
        </w:rPr>
        <w:t>Obstet</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Gynecol</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Reprod</w:t>
      </w:r>
      <w:proofErr w:type="spellEnd"/>
      <w:r w:rsidRPr="007F5920">
        <w:rPr>
          <w:rFonts w:ascii="Arial" w:eastAsia="Calibri" w:hAnsi="Arial" w:cs="Arial"/>
          <w:lang w:val="en-IN" w:eastAsia="en-IN"/>
        </w:rPr>
        <w:t xml:space="preserve"> Biol. 2020 </w:t>
      </w:r>
      <w:proofErr w:type="gramStart"/>
      <w:r w:rsidRPr="007F5920">
        <w:rPr>
          <w:rFonts w:ascii="Arial" w:eastAsia="Calibri" w:hAnsi="Arial" w:cs="Arial"/>
          <w:lang w:val="en-IN" w:eastAsia="en-IN"/>
        </w:rPr>
        <w:t>Aug;251:73</w:t>
      </w:r>
      <w:proofErr w:type="gramEnd"/>
      <w:r w:rsidRPr="007F5920">
        <w:rPr>
          <w:rFonts w:ascii="Arial" w:eastAsia="Calibri" w:hAnsi="Arial" w:cs="Arial"/>
          <w:lang w:val="en-IN" w:eastAsia="en-IN"/>
        </w:rPr>
        <w:t xml:space="preserve">–82. </w:t>
      </w:r>
    </w:p>
    <w:p w14:paraId="2D372B5E"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Wagg A, </w:t>
      </w:r>
      <w:proofErr w:type="spellStart"/>
      <w:r w:rsidRPr="007F5920">
        <w:rPr>
          <w:rFonts w:ascii="Arial" w:eastAsia="Calibri" w:hAnsi="Arial" w:cs="Arial"/>
          <w:lang w:val="en-IN" w:eastAsia="en-IN"/>
        </w:rPr>
        <w:t>Staskin</w:t>
      </w:r>
      <w:proofErr w:type="spellEnd"/>
      <w:r w:rsidRPr="007F5920">
        <w:rPr>
          <w:rFonts w:ascii="Arial" w:eastAsia="Calibri" w:hAnsi="Arial" w:cs="Arial"/>
          <w:lang w:val="en-IN" w:eastAsia="en-IN"/>
        </w:rPr>
        <w:t xml:space="preserve"> D, Engel E, </w:t>
      </w:r>
      <w:proofErr w:type="spellStart"/>
      <w:r w:rsidRPr="007F5920">
        <w:rPr>
          <w:rFonts w:ascii="Arial" w:eastAsia="Calibri" w:hAnsi="Arial" w:cs="Arial"/>
          <w:lang w:val="en-IN" w:eastAsia="en-IN"/>
        </w:rPr>
        <w:t>Herschorn</w:t>
      </w:r>
      <w:proofErr w:type="spellEnd"/>
      <w:r w:rsidRPr="007F5920">
        <w:rPr>
          <w:rFonts w:ascii="Arial" w:eastAsia="Calibri" w:hAnsi="Arial" w:cs="Arial"/>
          <w:lang w:val="en-IN" w:eastAsia="en-IN"/>
        </w:rPr>
        <w:t xml:space="preserve"> S, Kristy RM, Schermer CR. Efficacy, safety, and tolerability of mirabegron in patients aged ≥65yr with overactive bladder wet: a phase IV, double-blind, randomised, placebo-controlled study (PILLAR). Eur Urol. 2020 Feb;77(2):211–20. </w:t>
      </w:r>
    </w:p>
    <w:p w14:paraId="38877D01"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lastRenderedPageBreak/>
        <w:t xml:space="preserve">Tang Q lai, Zhou S, Liu Y qing, Wu J, Tao R </w:t>
      </w:r>
      <w:proofErr w:type="spellStart"/>
      <w:r w:rsidRPr="007F5920">
        <w:rPr>
          <w:rFonts w:ascii="Arial" w:eastAsia="Calibri" w:hAnsi="Arial" w:cs="Arial"/>
          <w:lang w:val="en-IN" w:eastAsia="en-IN"/>
        </w:rPr>
        <w:t>zhen</w:t>
      </w:r>
      <w:proofErr w:type="spellEnd"/>
      <w:r w:rsidRPr="007F5920">
        <w:rPr>
          <w:rFonts w:ascii="Arial" w:eastAsia="Calibri" w:hAnsi="Arial" w:cs="Arial"/>
          <w:lang w:val="en-IN" w:eastAsia="en-IN"/>
        </w:rPr>
        <w:t xml:space="preserve">. Efficacy and safety of combination of mirabegron and </w:t>
      </w:r>
      <w:proofErr w:type="spellStart"/>
      <w:r w:rsidRPr="007F5920">
        <w:rPr>
          <w:rFonts w:ascii="Arial" w:eastAsia="Calibri" w:hAnsi="Arial" w:cs="Arial"/>
          <w:lang w:val="en-IN" w:eastAsia="en-IN"/>
        </w:rPr>
        <w:t>solifenacin</w:t>
      </w:r>
      <w:proofErr w:type="spellEnd"/>
      <w:r w:rsidRPr="007F5920">
        <w:rPr>
          <w:rFonts w:ascii="Arial" w:eastAsia="Calibri" w:hAnsi="Arial" w:cs="Arial"/>
          <w:lang w:val="en-IN" w:eastAsia="en-IN"/>
        </w:rPr>
        <w:t xml:space="preserve"> in patients with double-J stent related overactive bladder: a prospective study. Sci Rep. 2022 Nov </w:t>
      </w:r>
      <w:proofErr w:type="gramStart"/>
      <w:r w:rsidRPr="007F5920">
        <w:rPr>
          <w:rFonts w:ascii="Arial" w:eastAsia="Calibri" w:hAnsi="Arial" w:cs="Arial"/>
          <w:lang w:val="en-IN" w:eastAsia="en-IN"/>
        </w:rPr>
        <w:t>7;12:18844</w:t>
      </w:r>
      <w:proofErr w:type="gramEnd"/>
      <w:r w:rsidRPr="007F5920">
        <w:rPr>
          <w:rFonts w:ascii="Arial" w:eastAsia="Calibri" w:hAnsi="Arial" w:cs="Arial"/>
          <w:lang w:val="en-IN" w:eastAsia="en-IN"/>
        </w:rPr>
        <w:t xml:space="preserve">. </w:t>
      </w:r>
    </w:p>
    <w:p w14:paraId="40D3709F"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Matsukawa Y, </w:t>
      </w:r>
      <w:proofErr w:type="spellStart"/>
      <w:r w:rsidRPr="007F5920">
        <w:rPr>
          <w:rFonts w:ascii="Arial" w:eastAsia="Calibri" w:hAnsi="Arial" w:cs="Arial"/>
          <w:lang w:val="en-IN" w:eastAsia="en-IN"/>
        </w:rPr>
        <w:t>Takai</w:t>
      </w:r>
      <w:proofErr w:type="spellEnd"/>
      <w:r w:rsidRPr="007F5920">
        <w:rPr>
          <w:rFonts w:ascii="Arial" w:eastAsia="Calibri" w:hAnsi="Arial" w:cs="Arial"/>
          <w:lang w:val="en-IN" w:eastAsia="en-IN"/>
        </w:rPr>
        <w:t xml:space="preserve"> S, </w:t>
      </w:r>
      <w:proofErr w:type="spellStart"/>
      <w:r w:rsidRPr="007F5920">
        <w:rPr>
          <w:rFonts w:ascii="Arial" w:eastAsia="Calibri" w:hAnsi="Arial" w:cs="Arial"/>
          <w:lang w:val="en-IN" w:eastAsia="en-IN"/>
        </w:rPr>
        <w:t>Majima</w:t>
      </w:r>
      <w:proofErr w:type="spellEnd"/>
      <w:r w:rsidRPr="007F5920">
        <w:rPr>
          <w:rFonts w:ascii="Arial" w:eastAsia="Calibri" w:hAnsi="Arial" w:cs="Arial"/>
          <w:lang w:val="en-IN" w:eastAsia="en-IN"/>
        </w:rPr>
        <w:t xml:space="preserve"> T, </w:t>
      </w:r>
      <w:proofErr w:type="spellStart"/>
      <w:r w:rsidRPr="007F5920">
        <w:rPr>
          <w:rFonts w:ascii="Arial" w:eastAsia="Calibri" w:hAnsi="Arial" w:cs="Arial"/>
          <w:lang w:val="en-IN" w:eastAsia="en-IN"/>
        </w:rPr>
        <w:t>Funahashi</w:t>
      </w:r>
      <w:proofErr w:type="spellEnd"/>
      <w:r w:rsidRPr="007F5920">
        <w:rPr>
          <w:rFonts w:ascii="Arial" w:eastAsia="Calibri" w:hAnsi="Arial" w:cs="Arial"/>
          <w:lang w:val="en-IN" w:eastAsia="en-IN"/>
        </w:rPr>
        <w:t xml:space="preserve"> Y, </w:t>
      </w:r>
      <w:proofErr w:type="spellStart"/>
      <w:r w:rsidRPr="007F5920">
        <w:rPr>
          <w:rFonts w:ascii="Arial" w:eastAsia="Calibri" w:hAnsi="Arial" w:cs="Arial"/>
          <w:lang w:val="en-IN" w:eastAsia="en-IN"/>
        </w:rPr>
        <w:t>Sassa</w:t>
      </w:r>
      <w:proofErr w:type="spellEnd"/>
      <w:r w:rsidRPr="007F5920">
        <w:rPr>
          <w:rFonts w:ascii="Arial" w:eastAsia="Calibri" w:hAnsi="Arial" w:cs="Arial"/>
          <w:lang w:val="en-IN" w:eastAsia="en-IN"/>
        </w:rPr>
        <w:t xml:space="preserve"> N, Kato M, et al. Comparison in the efficacy of </w:t>
      </w:r>
      <w:proofErr w:type="spellStart"/>
      <w:r w:rsidRPr="007F5920">
        <w:rPr>
          <w:rFonts w:ascii="Arial" w:eastAsia="Calibri" w:hAnsi="Arial" w:cs="Arial"/>
          <w:lang w:val="en-IN" w:eastAsia="en-IN"/>
        </w:rPr>
        <w:t>fesoterodine</w:t>
      </w:r>
      <w:proofErr w:type="spellEnd"/>
      <w:r w:rsidRPr="007F5920">
        <w:rPr>
          <w:rFonts w:ascii="Arial" w:eastAsia="Calibri" w:hAnsi="Arial" w:cs="Arial"/>
          <w:lang w:val="en-IN" w:eastAsia="en-IN"/>
        </w:rPr>
        <w:t xml:space="preserve"> or mirabegron add-on therapy to silodosin for patients with benign prostatic hyperplasia complicated by overactive bladder: A randomized, prospective trial using urodynamic studies. </w:t>
      </w:r>
      <w:proofErr w:type="spellStart"/>
      <w:r w:rsidRPr="007F5920">
        <w:rPr>
          <w:rFonts w:ascii="Arial" w:eastAsia="Calibri" w:hAnsi="Arial" w:cs="Arial"/>
          <w:lang w:val="en-IN" w:eastAsia="en-IN"/>
        </w:rPr>
        <w:t>Neurourol</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Urodyn</w:t>
      </w:r>
      <w:proofErr w:type="spellEnd"/>
      <w:r w:rsidRPr="007F5920">
        <w:rPr>
          <w:rFonts w:ascii="Arial" w:eastAsia="Calibri" w:hAnsi="Arial" w:cs="Arial"/>
          <w:lang w:val="en-IN" w:eastAsia="en-IN"/>
        </w:rPr>
        <w:t xml:space="preserve">. 2019 Mar;38(3):941–9. </w:t>
      </w:r>
    </w:p>
    <w:p w14:paraId="0A9454C3"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Wang CC, Kuo HC. Factors associated with antimuscarinic drug persistence and increasing drug persistence after switching to mirabegron for overactive bladder patients. J Formos Med Assoc. 2019 Jan;118(1 Pt 2):279–84. </w:t>
      </w:r>
    </w:p>
    <w:p w14:paraId="2B634C7F" w14:textId="77847DE0" w:rsidR="00315186" w:rsidRPr="00193629" w:rsidRDefault="007F5920" w:rsidP="007F5920">
      <w:pPr>
        <w:numPr>
          <w:ilvl w:val="0"/>
          <w:numId w:val="31"/>
        </w:numPr>
        <w:tabs>
          <w:tab w:val="left" w:pos="4035"/>
        </w:tabs>
        <w:spacing w:line="324" w:lineRule="auto"/>
        <w:ind w:right="80"/>
        <w:jc w:val="both"/>
        <w:rPr>
          <w:rFonts w:ascii="Arial" w:hAnsi="Arial" w:cs="Arial"/>
        </w:rPr>
      </w:pPr>
      <w:r w:rsidRPr="007F5920">
        <w:rPr>
          <w:rFonts w:ascii="Arial" w:eastAsia="Calibri" w:hAnsi="Arial" w:cs="Arial"/>
          <w:lang w:val="en-IN" w:eastAsia="en-IN"/>
        </w:rPr>
        <w:t>Liao CH, Kuo HC. High satisfaction with direct switching from antimuscarinics to mirabegron in patients receiving stable antimuscarinic treatment. Medicine (Baltimore). 2016 Nov;95(45</w:t>
      </w:r>
      <w:proofErr w:type="gramStart"/>
      <w:r w:rsidRPr="007F5920">
        <w:rPr>
          <w:rFonts w:ascii="Arial" w:eastAsia="Calibri" w:hAnsi="Arial" w:cs="Arial"/>
          <w:lang w:val="en-IN" w:eastAsia="en-IN"/>
        </w:rPr>
        <w:t>):e</w:t>
      </w:r>
      <w:proofErr w:type="gramEnd"/>
      <w:r w:rsidRPr="007F5920">
        <w:rPr>
          <w:rFonts w:ascii="Arial" w:eastAsia="Calibri" w:hAnsi="Arial" w:cs="Arial"/>
          <w:lang w:val="en-IN" w:eastAsia="en-IN"/>
        </w:rPr>
        <w:t>4962.</w:t>
      </w:r>
    </w:p>
    <w:sectPr w:rsidR="00315186" w:rsidRPr="00193629" w:rsidSect="00C775C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7B7A" w14:textId="77777777" w:rsidR="00491BAD" w:rsidRDefault="00491BAD" w:rsidP="00C37E61">
      <w:r>
        <w:separator/>
      </w:r>
    </w:p>
  </w:endnote>
  <w:endnote w:type="continuationSeparator" w:id="0">
    <w:p w14:paraId="52BA1440" w14:textId="77777777" w:rsidR="00491BAD" w:rsidRDefault="00491B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0751" w14:textId="77777777" w:rsidR="00C775CD" w:rsidRDefault="00C7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3BE4" w14:textId="77777777" w:rsidR="00C775CD" w:rsidRDefault="00C77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6E3853FE" w:rsidR="00754C9A" w:rsidRPr="00C775CD" w:rsidRDefault="00754C9A" w:rsidP="00C775C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DF508" w14:textId="77777777" w:rsidR="00491BAD" w:rsidRDefault="00491BAD" w:rsidP="00C37E61">
      <w:r>
        <w:separator/>
      </w:r>
    </w:p>
  </w:footnote>
  <w:footnote w:type="continuationSeparator" w:id="0">
    <w:p w14:paraId="23D91CCC" w14:textId="77777777" w:rsidR="00491BAD" w:rsidRDefault="00491B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F58D9" w14:textId="7D8458C8" w:rsidR="00C775CD" w:rsidRDefault="00C775CD">
    <w:pPr>
      <w:pStyle w:val="Header"/>
    </w:pPr>
    <w:r>
      <w:rPr>
        <w:noProof/>
      </w:rPr>
      <w:pict w14:anchorId="04279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6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F8558" w14:textId="5B433C7F" w:rsidR="00C775CD" w:rsidRDefault="00C775CD">
    <w:pPr>
      <w:pStyle w:val="Header"/>
    </w:pPr>
    <w:r>
      <w:rPr>
        <w:noProof/>
      </w:rPr>
      <w:pict w14:anchorId="581FE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6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5F045BBF" w:rsidR="00296529" w:rsidRPr="00296529" w:rsidRDefault="00C775CD" w:rsidP="00296529">
    <w:pPr>
      <w:ind w:left="2160"/>
      <w:jc w:val="center"/>
      <w:rPr>
        <w:rFonts w:ascii="Times New Roman" w:eastAsia="Calibri" w:hAnsi="Times New Roman"/>
        <w:i/>
        <w:sz w:val="18"/>
        <w:szCs w:val="22"/>
      </w:rPr>
    </w:pPr>
    <w:r>
      <w:rPr>
        <w:noProof/>
      </w:rPr>
      <w:pict w14:anchorId="0D8C6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6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2C"/>
    <w:rsid w:val="00030174"/>
    <w:rsid w:val="00036DDF"/>
    <w:rsid w:val="0004579C"/>
    <w:rsid w:val="000505D0"/>
    <w:rsid w:val="000A117B"/>
    <w:rsid w:val="000A47FA"/>
    <w:rsid w:val="000A65D3"/>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7D2"/>
    <w:rsid w:val="002E0D56"/>
    <w:rsid w:val="002F1568"/>
    <w:rsid w:val="002F4609"/>
    <w:rsid w:val="00315186"/>
    <w:rsid w:val="00321DE3"/>
    <w:rsid w:val="003235AC"/>
    <w:rsid w:val="00326C02"/>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91BAD"/>
    <w:rsid w:val="004B0365"/>
    <w:rsid w:val="004B4BBD"/>
    <w:rsid w:val="004D305E"/>
    <w:rsid w:val="004D4277"/>
    <w:rsid w:val="004E3A9E"/>
    <w:rsid w:val="004E6B2D"/>
    <w:rsid w:val="004F4227"/>
    <w:rsid w:val="00502516"/>
    <w:rsid w:val="00505F06"/>
    <w:rsid w:val="00506828"/>
    <w:rsid w:val="0053056E"/>
    <w:rsid w:val="005321B2"/>
    <w:rsid w:val="00535DFF"/>
    <w:rsid w:val="00554FDA"/>
    <w:rsid w:val="00592C36"/>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3B63"/>
    <w:rsid w:val="007369E6"/>
    <w:rsid w:val="00746E59"/>
    <w:rsid w:val="00754C9A"/>
    <w:rsid w:val="0075599A"/>
    <w:rsid w:val="00761D52"/>
    <w:rsid w:val="0077749E"/>
    <w:rsid w:val="00790ADA"/>
    <w:rsid w:val="00795DCE"/>
    <w:rsid w:val="007C6530"/>
    <w:rsid w:val="007C70B7"/>
    <w:rsid w:val="007D2288"/>
    <w:rsid w:val="007E088F"/>
    <w:rsid w:val="007F5920"/>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41B41"/>
    <w:rsid w:val="00A51431"/>
    <w:rsid w:val="00A539AD"/>
    <w:rsid w:val="00A5519B"/>
    <w:rsid w:val="00A606F8"/>
    <w:rsid w:val="00A81B1D"/>
    <w:rsid w:val="00A94063"/>
    <w:rsid w:val="00A968EF"/>
    <w:rsid w:val="00AA6219"/>
    <w:rsid w:val="00AA74E0"/>
    <w:rsid w:val="00AB04ED"/>
    <w:rsid w:val="00AB703F"/>
    <w:rsid w:val="00AC6BB8"/>
    <w:rsid w:val="00AE008F"/>
    <w:rsid w:val="00B01FCD"/>
    <w:rsid w:val="00B1776C"/>
    <w:rsid w:val="00B374D4"/>
    <w:rsid w:val="00B52896"/>
    <w:rsid w:val="00B81055"/>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339"/>
    <w:rsid w:val="00C70F1B"/>
    <w:rsid w:val="00C71A47"/>
    <w:rsid w:val="00C72046"/>
    <w:rsid w:val="00C7464C"/>
    <w:rsid w:val="00C775CD"/>
    <w:rsid w:val="00C85588"/>
    <w:rsid w:val="00C87634"/>
    <w:rsid w:val="00CC3D82"/>
    <w:rsid w:val="00CD6755"/>
    <w:rsid w:val="00CD6856"/>
    <w:rsid w:val="00CE0089"/>
    <w:rsid w:val="00CE793C"/>
    <w:rsid w:val="00D16ADB"/>
    <w:rsid w:val="00D173F1"/>
    <w:rsid w:val="00D510B7"/>
    <w:rsid w:val="00D8295D"/>
    <w:rsid w:val="00DC2A65"/>
    <w:rsid w:val="00DC6C93"/>
    <w:rsid w:val="00DD4901"/>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21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0793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ChanRe\Downloads\MIRABEGRON%20(UTF%20Divis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Graphs!$G$2</c:f>
              <c:strCache>
                <c:ptCount val="1"/>
                <c:pt idx="0">
                  <c:v>Response rate (n = 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Graphs!$F$3:$F$6</c:f>
              <c:strCache>
                <c:ptCount val="4"/>
                <c:pt idx="0">
                  <c:v>Silodosin</c:v>
                </c:pt>
                <c:pt idx="1">
                  <c:v>Tamsulosin</c:v>
                </c:pt>
                <c:pt idx="2">
                  <c:v>Alfuzosin</c:v>
                </c:pt>
                <c:pt idx="3">
                  <c:v>All of above</c:v>
                </c:pt>
              </c:strCache>
            </c:strRef>
          </c:cat>
          <c:val>
            <c:numRef>
              <c:f>Graphs!$G$3:$G$6</c:f>
              <c:numCache>
                <c:formatCode>0.00%</c:formatCode>
                <c:ptCount val="4"/>
                <c:pt idx="0">
                  <c:v>0.76919999999999999</c:v>
                </c:pt>
                <c:pt idx="1">
                  <c:v>7.6899999999999996E-2</c:v>
                </c:pt>
                <c:pt idx="2">
                  <c:v>3.85E-2</c:v>
                </c:pt>
                <c:pt idx="3">
                  <c:v>0.1154</c:v>
                </c:pt>
              </c:numCache>
            </c:numRef>
          </c:val>
          <c:extLst>
            <c:ext xmlns:c16="http://schemas.microsoft.com/office/drawing/2014/chart" uri="{C3380CC4-5D6E-409C-BE32-E72D297353CC}">
              <c16:uniqueId val="{00000000-41F5-43B2-8E40-36C929716430}"/>
            </c:ext>
          </c:extLst>
        </c:ser>
        <c:dLbls>
          <c:dLblPos val="outEnd"/>
          <c:showLegendKey val="0"/>
          <c:showVal val="1"/>
          <c:showCatName val="0"/>
          <c:showSerName val="0"/>
          <c:showPercent val="0"/>
          <c:showBubbleSize val="0"/>
        </c:dLbls>
        <c:gapWidth val="219"/>
        <c:overlap val="-27"/>
        <c:axId val="1492529359"/>
        <c:axId val="1492504879"/>
      </c:barChart>
      <c:catAx>
        <c:axId val="149252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2504879"/>
        <c:crosses val="autoZero"/>
        <c:auto val="1"/>
        <c:lblAlgn val="ctr"/>
        <c:lblOffset val="100"/>
        <c:noMultiLvlLbl val="0"/>
      </c:catAx>
      <c:valAx>
        <c:axId val="1492504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26)</a:t>
                </a:r>
                <a:r>
                  <a:rPr lang="en-IN" sz="900" b="1" i="0" u="none" strike="noStrike"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252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Graphs!$K$2</c:f>
              <c:strCache>
                <c:ptCount val="1"/>
                <c:pt idx="0">
                  <c:v>Response rate (n = 26)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5E4-4645-830E-950691CBA7C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5E4-4645-830E-950691CBA7C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5E4-4645-830E-950691CBA7C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Graphs!$J$3:$J$5</c:f>
              <c:strCache>
                <c:ptCount val="3"/>
                <c:pt idx="0">
                  <c:v>1 month</c:v>
                </c:pt>
                <c:pt idx="1">
                  <c:v>3 months</c:v>
                </c:pt>
                <c:pt idx="2">
                  <c:v>6 months to 1 year</c:v>
                </c:pt>
              </c:strCache>
            </c:strRef>
          </c:cat>
          <c:val>
            <c:numRef>
              <c:f>Graphs!$K$3:$K$5</c:f>
              <c:numCache>
                <c:formatCode>0.00%</c:formatCode>
                <c:ptCount val="3"/>
                <c:pt idx="0">
                  <c:v>7.6899999999999996E-2</c:v>
                </c:pt>
                <c:pt idx="1">
                  <c:v>0.73080000000000001</c:v>
                </c:pt>
                <c:pt idx="2">
                  <c:v>0.1923</c:v>
                </c:pt>
              </c:numCache>
            </c:numRef>
          </c:val>
          <c:extLst>
            <c:ext xmlns:c16="http://schemas.microsoft.com/office/drawing/2014/chart" uri="{C3380CC4-5D6E-409C-BE32-E72D297353CC}">
              <c16:uniqueId val="{00000006-65E4-4645-830E-950691CBA7CB}"/>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Graphs!$O$2</c:f>
              <c:strCache>
                <c:ptCount val="1"/>
                <c:pt idx="0">
                  <c:v>Response rate (n = 26)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B6-4823-8782-117E2E4B31F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B6-4823-8782-117E2E4B31F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B6-4823-8782-117E2E4B31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Graphs!$N$3:$N$5</c:f>
              <c:strCache>
                <c:ptCount val="3"/>
                <c:pt idx="0">
                  <c:v>Yes</c:v>
                </c:pt>
                <c:pt idx="1">
                  <c:v>No</c:v>
                </c:pt>
                <c:pt idx="2">
                  <c:v>Can’t say</c:v>
                </c:pt>
              </c:strCache>
            </c:strRef>
          </c:cat>
          <c:val>
            <c:numRef>
              <c:f>Graphs!$O$3:$O$5</c:f>
              <c:numCache>
                <c:formatCode>0.00%</c:formatCode>
                <c:ptCount val="3"/>
                <c:pt idx="0">
                  <c:v>0.76919999999999999</c:v>
                </c:pt>
                <c:pt idx="1">
                  <c:v>3.85E-2</c:v>
                </c:pt>
                <c:pt idx="2">
                  <c:v>0.1923</c:v>
                </c:pt>
              </c:numCache>
            </c:numRef>
          </c:val>
          <c:extLst>
            <c:ext xmlns:c16="http://schemas.microsoft.com/office/drawing/2014/chart" uri="{C3380CC4-5D6E-409C-BE32-E72D297353CC}">
              <c16:uniqueId val="{00000006-A8B6-4823-8782-117E2E4B31F3}"/>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CAA94-E9A6-410E-AF0A-935060BF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10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142</cp:revision>
  <cp:lastPrinted>1999-07-06T11:00:00Z</cp:lastPrinted>
  <dcterms:created xsi:type="dcterms:W3CDTF">2014-10-25T14:34:00Z</dcterms:created>
  <dcterms:modified xsi:type="dcterms:W3CDTF">2025-08-13T12:37:00Z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