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CC930" w14:textId="77777777" w:rsidR="00EB21F6" w:rsidRDefault="000176C0" w:rsidP="009F01E7">
      <w:pPr>
        <w:pBdr>
          <w:top w:val="nil"/>
          <w:left w:val="nil"/>
          <w:bottom w:val="nil"/>
          <w:right w:val="nil"/>
          <w:between w:val="nil"/>
        </w:pBdr>
        <w:spacing w:after="280"/>
        <w:ind w:left="600"/>
        <w:jc w:val="both"/>
        <w:rPr>
          <w:rFonts w:ascii="Times New Roman" w:eastAsia="Times New Roman" w:hAnsi="Times New Roman" w:cs="Times New Roman"/>
          <w:color w:val="000000"/>
        </w:rPr>
      </w:pPr>
      <w:r>
        <w:rPr>
          <w:rFonts w:ascii="Arial" w:eastAsia="Arial" w:hAnsi="Arial" w:cs="Arial"/>
          <w:b/>
          <w:color w:val="000000"/>
        </w:rPr>
        <w:tab/>
        <w:t xml:space="preserve"> Malaria, Typhoid, and PCV Variations: A Cross-Sectional Study in </w:t>
      </w:r>
      <w:proofErr w:type="spellStart"/>
      <w:r>
        <w:rPr>
          <w:rFonts w:ascii="Arial" w:eastAsia="Arial" w:hAnsi="Arial" w:cs="Arial"/>
          <w:b/>
          <w:color w:val="000000"/>
        </w:rPr>
        <w:t>Akinima</w:t>
      </w:r>
      <w:proofErr w:type="spellEnd"/>
      <w:r>
        <w:rPr>
          <w:rFonts w:ascii="Arial" w:eastAsia="Arial" w:hAnsi="Arial" w:cs="Arial"/>
          <w:b/>
          <w:color w:val="000000"/>
        </w:rPr>
        <w:t xml:space="preserve">, Nigeria </w:t>
      </w:r>
    </w:p>
    <w:p w14:paraId="752BDCDE" w14:textId="77777777" w:rsidR="00EB21F6" w:rsidRDefault="00EB21F6">
      <w:pPr>
        <w:pBdr>
          <w:top w:val="nil"/>
          <w:left w:val="nil"/>
          <w:bottom w:val="nil"/>
          <w:right w:val="nil"/>
          <w:between w:val="nil"/>
        </w:pBdr>
        <w:shd w:val="clear" w:color="auto" w:fill="FFFFFF"/>
        <w:ind w:left="800"/>
        <w:jc w:val="both"/>
        <w:rPr>
          <w:rFonts w:ascii="Arial" w:eastAsia="Arial" w:hAnsi="Arial" w:cs="Arial"/>
        </w:rPr>
      </w:pPr>
      <w:bookmarkStart w:id="0" w:name="_GoBack"/>
      <w:bookmarkEnd w:id="0"/>
    </w:p>
    <w:p w14:paraId="2EC5173A" w14:textId="77777777" w:rsidR="00EB21F6" w:rsidRDefault="00EB21F6">
      <w:pPr>
        <w:ind w:left="600"/>
        <w:jc w:val="both"/>
      </w:pPr>
    </w:p>
    <w:p w14:paraId="5A18D92C" w14:textId="77777777" w:rsidR="00EB21F6" w:rsidRDefault="000176C0">
      <w:pPr>
        <w:pStyle w:val="Heading2"/>
        <w:ind w:left="798"/>
        <w:jc w:val="both"/>
        <w:rPr>
          <w:rFonts w:ascii="Arial" w:eastAsia="Arial" w:hAnsi="Arial" w:cs="Arial"/>
          <w:sz w:val="20"/>
          <w:szCs w:val="20"/>
        </w:rPr>
      </w:pPr>
      <w:r>
        <w:rPr>
          <w:rFonts w:ascii="Arial" w:eastAsia="Arial" w:hAnsi="Arial" w:cs="Arial"/>
          <w:sz w:val="20"/>
          <w:szCs w:val="20"/>
        </w:rPr>
        <w:t>Abstract</w:t>
      </w:r>
    </w:p>
    <w:p w14:paraId="0650434E" w14:textId="77777777" w:rsidR="00EB21F6" w:rsidRDefault="000176C0">
      <w:pPr>
        <w:spacing w:before="240" w:after="240"/>
        <w:ind w:left="720" w:firstLine="720"/>
        <w:jc w:val="both"/>
        <w:rPr>
          <w:rFonts w:ascii="Arial" w:eastAsia="Arial" w:hAnsi="Arial" w:cs="Arial"/>
        </w:rPr>
      </w:pPr>
      <w:r>
        <w:rPr>
          <w:rFonts w:ascii="Arial" w:eastAsia="Arial" w:hAnsi="Arial" w:cs="Arial"/>
        </w:rPr>
        <w:t xml:space="preserve">Malaria and typhoid fever remain major public health concerns in sub-Saharan Africa, particularly in Nigeria, where co-infections are common in resource-limited settings. This study investigated the prevalence and hematological impact of malaria, typhoid fever, and their co-infection among adults and children in </w:t>
      </w:r>
      <w:proofErr w:type="spellStart"/>
      <w:r>
        <w:rPr>
          <w:rFonts w:ascii="Arial" w:eastAsia="Arial" w:hAnsi="Arial" w:cs="Arial"/>
        </w:rPr>
        <w:t>Akinima</w:t>
      </w:r>
      <w:proofErr w:type="spellEnd"/>
      <w:r>
        <w:rPr>
          <w:rFonts w:ascii="Arial" w:eastAsia="Arial" w:hAnsi="Arial" w:cs="Arial"/>
        </w:rPr>
        <w:t xml:space="preserve">, </w:t>
      </w:r>
      <w:proofErr w:type="spellStart"/>
      <w:r>
        <w:rPr>
          <w:rFonts w:ascii="Arial" w:eastAsia="Arial" w:hAnsi="Arial" w:cs="Arial"/>
        </w:rPr>
        <w:t>Ahoada</w:t>
      </w:r>
      <w:proofErr w:type="spellEnd"/>
      <w:r>
        <w:rPr>
          <w:rFonts w:ascii="Arial" w:eastAsia="Arial" w:hAnsi="Arial" w:cs="Arial"/>
        </w:rPr>
        <w:t xml:space="preserve"> West Local Government Area, Rivers State, Nigeria. A total of 191 participants were examined between August and November 2022: 44 (23.0%) adult males, 66 (34.6%) adult females, and 81 (42.4%) children. Malaria was diagnosed using Giemsa-stained blood films; typhoid fever was assessed using </w:t>
      </w:r>
      <w:proofErr w:type="spellStart"/>
      <w:r>
        <w:rPr>
          <w:rFonts w:ascii="Arial" w:eastAsia="Arial" w:hAnsi="Arial" w:cs="Arial"/>
        </w:rPr>
        <w:t>Widal</w:t>
      </w:r>
      <w:proofErr w:type="spellEnd"/>
      <w:r>
        <w:rPr>
          <w:rFonts w:ascii="Arial" w:eastAsia="Arial" w:hAnsi="Arial" w:cs="Arial"/>
        </w:rPr>
        <w:t xml:space="preserve"> agglutination tests; and packed cell volume (PCV) was determined via the microhematocrit method. Malaria prevalence was high in all groups: children (77.8%), adult males (77.3%), and adult females (74.2%). Typhoid fever was most prevalent among children (45.7%), followed by adult females (40.9%) and adult males (38.6%). Co-infection was highest in children (38.3%), indicating increased susceptibility in this age group. Hematological analysis showed that adult males had a normal mean PCV (45.0%), while adult females (34.0%) and children (34.2%) recorded lower mean values, suggesting anemia or hematologic compromise. These findings highlight significant differences in infection burden and hematological outcomes across age and sex. Children demonstrated the highest co-infection rates and lowest PCV values, underscoring their vulnerability. This study emphasizes the need for focused diagnostic, treatment, and preventive strategies, particularly for pediatric populations in rural, endemic communities.</w:t>
      </w:r>
    </w:p>
    <w:p w14:paraId="5032C467" w14:textId="77777777" w:rsidR="00EB21F6" w:rsidRDefault="00EB21F6">
      <w:pPr>
        <w:pBdr>
          <w:top w:val="nil"/>
          <w:left w:val="nil"/>
          <w:bottom w:val="nil"/>
          <w:right w:val="nil"/>
          <w:between w:val="nil"/>
        </w:pBdr>
        <w:spacing w:before="280" w:after="280"/>
        <w:ind w:left="798"/>
        <w:jc w:val="both"/>
        <w:rPr>
          <w:rFonts w:ascii="Arial" w:eastAsia="Arial" w:hAnsi="Arial" w:cs="Arial"/>
        </w:rPr>
      </w:pPr>
    </w:p>
    <w:p w14:paraId="46A57EAE" w14:textId="77777777" w:rsidR="00EB21F6" w:rsidRDefault="00EB21F6">
      <w:pPr>
        <w:pBdr>
          <w:top w:val="nil"/>
          <w:left w:val="nil"/>
          <w:bottom w:val="nil"/>
          <w:right w:val="nil"/>
          <w:between w:val="nil"/>
        </w:pBdr>
        <w:spacing w:before="280" w:after="280"/>
        <w:ind w:left="798"/>
        <w:jc w:val="both"/>
        <w:rPr>
          <w:rFonts w:ascii="Arial" w:eastAsia="Arial" w:hAnsi="Arial" w:cs="Arial"/>
          <w:color w:val="000000"/>
        </w:rPr>
      </w:pPr>
    </w:p>
    <w:p w14:paraId="55F9BC31" w14:textId="77777777" w:rsidR="00EB21F6" w:rsidRDefault="000176C0">
      <w:pPr>
        <w:pStyle w:val="Heading2"/>
        <w:ind w:left="798"/>
        <w:jc w:val="both"/>
        <w:rPr>
          <w:rFonts w:ascii="Arial" w:eastAsia="Arial" w:hAnsi="Arial" w:cs="Arial"/>
          <w:sz w:val="20"/>
          <w:szCs w:val="20"/>
        </w:rPr>
      </w:pPr>
      <w:r>
        <w:rPr>
          <w:rFonts w:ascii="Arial" w:eastAsia="Arial" w:hAnsi="Arial" w:cs="Arial"/>
          <w:sz w:val="20"/>
          <w:szCs w:val="20"/>
        </w:rPr>
        <w:t>Introduction</w:t>
      </w:r>
    </w:p>
    <w:p w14:paraId="68B57B9D"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Malaria and typhoid fever are among the most prevalent infectious diseases in sub-Saharan Africa, often posing concurrent threats to public health, particularly in socioeconomically disadvantaged regions (</w:t>
      </w:r>
      <w:proofErr w:type="spellStart"/>
      <w:r>
        <w:rPr>
          <w:rFonts w:ascii="Arial" w:eastAsia="Arial" w:hAnsi="Arial" w:cs="Arial"/>
          <w:color w:val="000000"/>
        </w:rPr>
        <w:t>Olowolafe</w:t>
      </w:r>
      <w:proofErr w:type="spellEnd"/>
      <w:r>
        <w:rPr>
          <w:rFonts w:ascii="Arial" w:eastAsia="Arial" w:hAnsi="Arial" w:cs="Arial"/>
          <w:color w:val="000000"/>
        </w:rPr>
        <w:t xml:space="preserve"> et al., 2024). Nigeria bears a significant share of this burden, accounting for approximately 27% of global malaria cases and a substantial proportion of typhoid-related morbidity and mortality (WHO, 2022). These diseases frequently coexist in endemic areas such as </w:t>
      </w:r>
      <w:proofErr w:type="spellStart"/>
      <w:r>
        <w:rPr>
          <w:rFonts w:ascii="Arial" w:eastAsia="Arial" w:hAnsi="Arial" w:cs="Arial"/>
          <w:color w:val="000000"/>
        </w:rPr>
        <w:t>Akinima</w:t>
      </w:r>
      <w:proofErr w:type="spellEnd"/>
      <w:r>
        <w:rPr>
          <w:rFonts w:ascii="Arial" w:eastAsia="Arial" w:hAnsi="Arial" w:cs="Arial"/>
          <w:color w:val="000000"/>
        </w:rPr>
        <w:t xml:space="preserve">, located in the </w:t>
      </w:r>
      <w:proofErr w:type="spellStart"/>
      <w:r>
        <w:rPr>
          <w:rFonts w:ascii="Arial" w:eastAsia="Arial" w:hAnsi="Arial" w:cs="Arial"/>
          <w:color w:val="000000"/>
        </w:rPr>
        <w:t>Ahoada</w:t>
      </w:r>
      <w:proofErr w:type="spellEnd"/>
      <w:r>
        <w:rPr>
          <w:rFonts w:ascii="Arial" w:eastAsia="Arial" w:hAnsi="Arial" w:cs="Arial"/>
          <w:color w:val="000000"/>
        </w:rPr>
        <w:t xml:space="preserve"> West Local Government Area of Rivers State, where the tropical climate, poor sanitation, open drainage systems, and limited healthcare infrastructure contribute to their sustained transmission.</w:t>
      </w:r>
    </w:p>
    <w:p w14:paraId="155431BF" w14:textId="77777777" w:rsidR="00EB21F6" w:rsidRDefault="000176C0">
      <w:pPr>
        <w:pBdr>
          <w:top w:val="nil"/>
          <w:left w:val="nil"/>
          <w:bottom w:val="nil"/>
          <w:right w:val="nil"/>
          <w:between w:val="nil"/>
        </w:pBdr>
        <w:spacing w:before="280" w:after="280"/>
        <w:ind w:left="798"/>
        <w:jc w:val="both"/>
        <w:rPr>
          <w:rFonts w:ascii="Times New Roman" w:eastAsia="Times New Roman" w:hAnsi="Times New Roman" w:cs="Times New Roman"/>
          <w:color w:val="000000"/>
        </w:rPr>
      </w:pPr>
      <w:r>
        <w:rPr>
          <w:rFonts w:ascii="Arial" w:eastAsia="Arial" w:hAnsi="Arial" w:cs="Arial"/>
          <w:color w:val="000000"/>
        </w:rPr>
        <w:tab/>
        <w:t>Malaria, predominantly caused by Plasmodium falciparum, remains a leading cause of morbidity and mortality in Nigeria. The parasite invades erythrocytes, causing hemolysis, anemia, and triggering a cascade of inflammatory responses (</w:t>
      </w:r>
      <w:proofErr w:type="spellStart"/>
      <w:r>
        <w:rPr>
          <w:rFonts w:ascii="Arial" w:eastAsia="Arial" w:hAnsi="Arial" w:cs="Arial"/>
          <w:color w:val="000000"/>
        </w:rPr>
        <w:t>Zekar</w:t>
      </w:r>
      <w:proofErr w:type="spellEnd"/>
      <w:r>
        <w:rPr>
          <w:rFonts w:ascii="Arial" w:eastAsia="Arial" w:hAnsi="Arial" w:cs="Arial"/>
          <w:color w:val="000000"/>
        </w:rPr>
        <w:t xml:space="preserve"> &amp; Sharman, 2023). In contrast, typhoid fever, caused by Salmonella enterica serovar Typhi, a Gram-negative bacillus, spreads via the fecal-oral route, typically through the ingestion of contaminated water or food. Its pathogenesis involves intestinal invasion, systemic dissemination via the lymphatic and reticuloendothelial systems, and the release of endotoxins, which can impair immune function (Bhandari et al., 2024).</w:t>
      </w:r>
    </w:p>
    <w:p w14:paraId="5A051B97"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The clinical manifestations of malaria and typhoid fever often overlap, presenting with symptoms such as fever, headache, abdominal pain, and general malaise. This overlap can make differential diagnosis challenging in endemic regions (</w:t>
      </w:r>
      <w:proofErr w:type="spellStart"/>
      <w:r>
        <w:rPr>
          <w:rFonts w:ascii="Arial" w:eastAsia="Arial" w:hAnsi="Arial" w:cs="Arial"/>
          <w:color w:val="000000"/>
        </w:rPr>
        <w:t>Nodem</w:t>
      </w:r>
      <w:proofErr w:type="spellEnd"/>
      <w:r>
        <w:rPr>
          <w:rFonts w:ascii="Arial" w:eastAsia="Arial" w:hAnsi="Arial" w:cs="Arial"/>
          <w:color w:val="000000"/>
        </w:rPr>
        <w:t xml:space="preserve"> et al., 2023). Misdiagnosis or delayed treatment is associated with an increased occurrence of severe complications, such as intestinal perforation in typhoid and cerebral malaria or profound anemia in malaria, especially when both infections are present concurrently (Ibekwe et al., 2024). This diagnostic difficulty is observed in resource-limited settings where access to confirmatory tools such as blood cultures, rapid diagnostic tests (RDTs), or PCR-based assays is limited. As a result, empirical treatment based on </w:t>
      </w:r>
      <w:r>
        <w:rPr>
          <w:rFonts w:ascii="Arial" w:eastAsia="Arial" w:hAnsi="Arial" w:cs="Arial"/>
          <w:color w:val="000000"/>
        </w:rPr>
        <w:lastRenderedPageBreak/>
        <w:t>presumptive diagnosis is common, which can be a factor in antimicrobial resistance and therapeutic failures (Peri et al., 2024).</w:t>
      </w:r>
    </w:p>
    <w:p w14:paraId="11005A55"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 xml:space="preserve">Children under five years of age are often observed to be vulnerable to these infections due to developing immune responses, hygiene practices, and exposure to unsanitary conditions (WHO, 2023). While adults may possess more robust immune systems, they can still experience the cumulative effects of recurrent or chronic infections, which may also be associated with hematological changes. Hematological parameters, such as hemoglobin concentration, packed cell volume (PCV), total and differential white blood cell counts, and platelet levels, are used as indicators of disease status and co-infection presence. Malaria is commonly associated with hemolytic anemia, thrombocytopenia, and leukopenia, while typhoid may be associated with neutropenia and bone marrow suppression (Akhtar et al., 2012; </w:t>
      </w:r>
      <w:proofErr w:type="spellStart"/>
      <w:r>
        <w:rPr>
          <w:rFonts w:ascii="Arial" w:eastAsia="Arial" w:hAnsi="Arial" w:cs="Arial"/>
          <w:color w:val="000000"/>
        </w:rPr>
        <w:t>Olowolafe</w:t>
      </w:r>
      <w:proofErr w:type="spellEnd"/>
      <w:r>
        <w:rPr>
          <w:rFonts w:ascii="Arial" w:eastAsia="Arial" w:hAnsi="Arial" w:cs="Arial"/>
          <w:color w:val="000000"/>
        </w:rPr>
        <w:t xml:space="preserve"> et al., 2024).</w:t>
      </w:r>
    </w:p>
    <w:p w14:paraId="559626A0"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 xml:space="preserve">Observations of the hematological consequences of malaria-typhoid co-infection across different age groups are relevant for understanding disease patterns and developing public health strategies. Comparative studies that explore pediatric and adult responses to co-infection can indicate distinct observations, potentially guiding clinical decision-making and resource allocation, particularly in primary healthcare settings in communities like </w:t>
      </w:r>
      <w:proofErr w:type="spellStart"/>
      <w:r>
        <w:rPr>
          <w:rFonts w:ascii="Arial" w:eastAsia="Arial" w:hAnsi="Arial" w:cs="Arial"/>
          <w:color w:val="000000"/>
        </w:rPr>
        <w:t>Akinima</w:t>
      </w:r>
      <w:proofErr w:type="spellEnd"/>
      <w:r>
        <w:rPr>
          <w:rFonts w:ascii="Arial" w:eastAsia="Arial" w:hAnsi="Arial" w:cs="Arial"/>
          <w:color w:val="000000"/>
        </w:rPr>
        <w:t>.</w:t>
      </w:r>
    </w:p>
    <w:p w14:paraId="7C54A75B"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 xml:space="preserve">Therefore, this study aims to conduct a comprehensive comparative analysis of the hematological impact of malaria and typhoid co-infection among adults and children in </w:t>
      </w:r>
      <w:proofErr w:type="spellStart"/>
      <w:r>
        <w:rPr>
          <w:rFonts w:ascii="Arial" w:eastAsia="Arial" w:hAnsi="Arial" w:cs="Arial"/>
          <w:color w:val="000000"/>
        </w:rPr>
        <w:t>Akinima</w:t>
      </w:r>
      <w:proofErr w:type="spellEnd"/>
      <w:r>
        <w:rPr>
          <w:rFonts w:ascii="Arial" w:eastAsia="Arial" w:hAnsi="Arial" w:cs="Arial"/>
          <w:color w:val="000000"/>
        </w:rPr>
        <w:t xml:space="preserve">, </w:t>
      </w:r>
      <w:proofErr w:type="spellStart"/>
      <w:r>
        <w:rPr>
          <w:rFonts w:ascii="Arial" w:eastAsia="Arial" w:hAnsi="Arial" w:cs="Arial"/>
          <w:color w:val="000000"/>
        </w:rPr>
        <w:t>Ahoada</w:t>
      </w:r>
      <w:proofErr w:type="spellEnd"/>
      <w:r>
        <w:rPr>
          <w:rFonts w:ascii="Arial" w:eastAsia="Arial" w:hAnsi="Arial" w:cs="Arial"/>
          <w:color w:val="000000"/>
        </w:rPr>
        <w:t xml:space="preserve"> West Local Government Area, Rivers State, Nigeria. By identifying observed differences in hematological parameters among these populations, the research presents information to understand the patterns of these co-endemic diseases.</w:t>
      </w:r>
    </w:p>
    <w:p w14:paraId="56A54917" w14:textId="77777777" w:rsidR="00EB21F6" w:rsidRDefault="000176C0">
      <w:pPr>
        <w:pStyle w:val="Heading2"/>
        <w:ind w:left="798"/>
        <w:jc w:val="both"/>
        <w:rPr>
          <w:rFonts w:ascii="Arial" w:eastAsia="Arial" w:hAnsi="Arial" w:cs="Arial"/>
          <w:sz w:val="20"/>
          <w:szCs w:val="20"/>
        </w:rPr>
      </w:pPr>
      <w:r>
        <w:rPr>
          <w:rFonts w:ascii="Arial" w:eastAsia="Arial" w:hAnsi="Arial" w:cs="Arial"/>
          <w:sz w:val="20"/>
          <w:szCs w:val="20"/>
        </w:rPr>
        <w:t>Materials and Methods</w:t>
      </w:r>
    </w:p>
    <w:p w14:paraId="1DF1DB16" w14:textId="77777777" w:rsidR="00EB21F6" w:rsidRDefault="000176C0">
      <w:pPr>
        <w:pStyle w:val="Heading3"/>
        <w:ind w:left="798"/>
        <w:jc w:val="both"/>
        <w:rPr>
          <w:rFonts w:ascii="Arial" w:eastAsia="Arial" w:hAnsi="Arial" w:cs="Arial"/>
          <w:sz w:val="20"/>
          <w:szCs w:val="20"/>
        </w:rPr>
      </w:pPr>
      <w:r>
        <w:rPr>
          <w:rFonts w:ascii="Arial" w:eastAsia="Arial" w:hAnsi="Arial" w:cs="Arial"/>
          <w:sz w:val="20"/>
          <w:szCs w:val="20"/>
        </w:rPr>
        <w:t>Study Area and Population</w:t>
      </w:r>
    </w:p>
    <w:p w14:paraId="626EABC3"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 xml:space="preserve">This study was conducted between August and November 2022 at the </w:t>
      </w:r>
      <w:proofErr w:type="spellStart"/>
      <w:r>
        <w:rPr>
          <w:rFonts w:ascii="Arial" w:eastAsia="Arial" w:hAnsi="Arial" w:cs="Arial"/>
          <w:color w:val="000000"/>
        </w:rPr>
        <w:t>Akinima</w:t>
      </w:r>
      <w:proofErr w:type="spellEnd"/>
      <w:r>
        <w:rPr>
          <w:rFonts w:ascii="Arial" w:eastAsia="Arial" w:hAnsi="Arial" w:cs="Arial"/>
          <w:color w:val="000000"/>
        </w:rPr>
        <w:t xml:space="preserve"> Primary Health Center, the principal and most frequented healthcare facility in </w:t>
      </w:r>
      <w:proofErr w:type="spellStart"/>
      <w:r>
        <w:rPr>
          <w:rFonts w:ascii="Arial" w:eastAsia="Arial" w:hAnsi="Arial" w:cs="Arial"/>
          <w:color w:val="000000"/>
        </w:rPr>
        <w:t>Ahoada</w:t>
      </w:r>
      <w:proofErr w:type="spellEnd"/>
      <w:r>
        <w:rPr>
          <w:rFonts w:ascii="Arial" w:eastAsia="Arial" w:hAnsi="Arial" w:cs="Arial"/>
          <w:color w:val="000000"/>
        </w:rPr>
        <w:t xml:space="preserve"> West Local Government Area (LGA) of Rivers State, Nigeria. </w:t>
      </w:r>
      <w:proofErr w:type="spellStart"/>
      <w:r>
        <w:rPr>
          <w:rFonts w:ascii="Arial" w:eastAsia="Arial" w:hAnsi="Arial" w:cs="Arial"/>
          <w:color w:val="000000"/>
        </w:rPr>
        <w:t>Akinima</w:t>
      </w:r>
      <w:proofErr w:type="spellEnd"/>
      <w:r>
        <w:rPr>
          <w:rFonts w:ascii="Arial" w:eastAsia="Arial" w:hAnsi="Arial" w:cs="Arial"/>
          <w:color w:val="000000"/>
        </w:rPr>
        <w:t xml:space="preserve"> serves as the administrative headquarters of </w:t>
      </w:r>
      <w:proofErr w:type="spellStart"/>
      <w:r>
        <w:rPr>
          <w:rFonts w:ascii="Arial" w:eastAsia="Arial" w:hAnsi="Arial" w:cs="Arial"/>
          <w:color w:val="000000"/>
        </w:rPr>
        <w:t>Ahoada</w:t>
      </w:r>
      <w:proofErr w:type="spellEnd"/>
      <w:r>
        <w:rPr>
          <w:rFonts w:ascii="Arial" w:eastAsia="Arial" w:hAnsi="Arial" w:cs="Arial"/>
          <w:color w:val="000000"/>
        </w:rPr>
        <w:t xml:space="preserve"> West LGA and is situated in the northwestern part of Rivers State, within the Rivers West Senatorial District and the Port Harcourt metropolitan region (</w:t>
      </w:r>
      <w:proofErr w:type="spellStart"/>
      <w:r>
        <w:rPr>
          <w:rFonts w:ascii="Arial" w:eastAsia="Arial" w:hAnsi="Arial" w:cs="Arial"/>
          <w:color w:val="000000"/>
        </w:rPr>
        <w:t>Ahoada</w:t>
      </w:r>
      <w:proofErr w:type="spellEnd"/>
      <w:r>
        <w:rPr>
          <w:rFonts w:ascii="Arial" w:eastAsia="Arial" w:hAnsi="Arial" w:cs="Arial"/>
          <w:color w:val="000000"/>
        </w:rPr>
        <w:t xml:space="preserve"> West LGA, 2023). The town is observed to be impacted by recurrent annual flooding, which can be associated with public health challenges in the area (</w:t>
      </w:r>
      <w:proofErr w:type="spellStart"/>
      <w:r>
        <w:rPr>
          <w:rFonts w:ascii="Arial" w:eastAsia="Arial" w:hAnsi="Arial" w:cs="Arial"/>
        </w:rPr>
        <w:t>Olowookere</w:t>
      </w:r>
      <w:proofErr w:type="spellEnd"/>
      <w:r>
        <w:rPr>
          <w:rFonts w:ascii="Arial" w:eastAsia="Arial" w:hAnsi="Arial" w:cs="Arial"/>
        </w:rPr>
        <w:t xml:space="preserve"> &amp; </w:t>
      </w:r>
      <w:proofErr w:type="spellStart"/>
      <w:r>
        <w:rPr>
          <w:rFonts w:ascii="Arial" w:eastAsia="Arial" w:hAnsi="Arial" w:cs="Arial"/>
        </w:rPr>
        <w:t>Gbadeyanka</w:t>
      </w:r>
      <w:proofErr w:type="spellEnd"/>
      <w:r>
        <w:rPr>
          <w:rFonts w:ascii="Arial" w:eastAsia="Arial" w:hAnsi="Arial" w:cs="Arial"/>
        </w:rPr>
        <w:t>, 2022</w:t>
      </w:r>
      <w:r>
        <w:rPr>
          <w:rFonts w:ascii="Arial" w:eastAsia="Arial" w:hAnsi="Arial" w:cs="Arial"/>
          <w:color w:val="000000"/>
        </w:rPr>
        <w:t>).</w:t>
      </w:r>
    </w:p>
    <w:p w14:paraId="4AC050B3"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Unicode MS" w:eastAsia="Arial Unicode MS" w:hAnsi="Arial Unicode MS" w:cs="Arial Unicode MS"/>
          <w:color w:val="000000"/>
        </w:rPr>
        <w:tab/>
      </w:r>
      <w:proofErr w:type="spellStart"/>
      <w:r>
        <w:rPr>
          <w:rFonts w:ascii="Arial Unicode MS" w:eastAsia="Arial Unicode MS" w:hAnsi="Arial Unicode MS" w:cs="Arial Unicode MS"/>
          <w:color w:val="000000"/>
        </w:rPr>
        <w:t>Akinima</w:t>
      </w:r>
      <w:proofErr w:type="spellEnd"/>
      <w:r>
        <w:rPr>
          <w:rFonts w:ascii="Arial Unicode MS" w:eastAsia="Arial Unicode MS" w:hAnsi="Arial Unicode MS" w:cs="Arial Unicode MS"/>
          <w:color w:val="000000"/>
        </w:rPr>
        <w:t xml:space="preserve"> experiences a tropical monsoon climate characterized by a hot and mostly cloudy dry season, and a warm, humid, and overcast wet season. The climate is generally oppressive year-round, with average temperatures ranging from 69∘F to 88∘F, rarely dropping below 62∘F or exceeding 91∘F (</w:t>
      </w:r>
      <w:r>
        <w:rPr>
          <w:rFonts w:ascii="Arial" w:eastAsia="Arial" w:hAnsi="Arial" w:cs="Arial"/>
        </w:rPr>
        <w:t>Weather Spark, 2023</w:t>
      </w:r>
      <w:r>
        <w:rPr>
          <w:rFonts w:ascii="Arial" w:eastAsia="Arial" w:hAnsi="Arial" w:cs="Arial"/>
          <w:color w:val="000000"/>
        </w:rPr>
        <w:t>). These climatic and environmental conditions can support the transmission of vector-borne and waterborne diseases such as malaria and typhoid fever.</w:t>
      </w:r>
    </w:p>
    <w:p w14:paraId="4EE4BC57" w14:textId="77777777" w:rsidR="00EB21F6" w:rsidRDefault="000176C0">
      <w:pPr>
        <w:pBdr>
          <w:top w:val="nil"/>
          <w:left w:val="nil"/>
          <w:bottom w:val="nil"/>
          <w:right w:val="nil"/>
          <w:between w:val="nil"/>
        </w:pBdr>
        <w:spacing w:before="280" w:after="280"/>
        <w:ind w:left="798"/>
        <w:jc w:val="both"/>
        <w:rPr>
          <w:rFonts w:ascii="Arial" w:eastAsia="Arial" w:hAnsi="Arial" w:cs="Arial"/>
          <w:b/>
          <w:color w:val="000000"/>
        </w:rPr>
      </w:pPr>
      <w:r>
        <w:rPr>
          <w:rFonts w:ascii="Arial" w:eastAsia="Arial" w:hAnsi="Arial" w:cs="Arial"/>
          <w:b/>
          <w:color w:val="000000"/>
        </w:rPr>
        <w:t>Study Design</w:t>
      </w:r>
    </w:p>
    <w:p w14:paraId="381A433A" w14:textId="77777777" w:rsidR="00EB21F6" w:rsidRDefault="000176C0">
      <w:pPr>
        <w:pBdr>
          <w:top w:val="nil"/>
          <w:left w:val="nil"/>
          <w:bottom w:val="nil"/>
          <w:right w:val="nil"/>
          <w:between w:val="nil"/>
        </w:pBdr>
        <w:spacing w:before="280" w:after="280" w:line="276" w:lineRule="auto"/>
        <w:ind w:left="798"/>
        <w:jc w:val="both"/>
        <w:rPr>
          <w:color w:val="000000"/>
        </w:rPr>
      </w:pPr>
      <w:r>
        <w:rPr>
          <w:rFonts w:ascii="Arial" w:eastAsia="Arial" w:hAnsi="Arial" w:cs="Arial"/>
          <w:color w:val="000000"/>
        </w:rPr>
        <w:tab/>
        <w:t xml:space="preserve">This study employed a descriptive cross-sectional design using a simple random sampling technique. Data collection was conducted over a four-month period, from August to November 2022, at the </w:t>
      </w:r>
      <w:proofErr w:type="spellStart"/>
      <w:r>
        <w:rPr>
          <w:rFonts w:ascii="Arial" w:eastAsia="Arial" w:hAnsi="Arial" w:cs="Arial"/>
          <w:color w:val="000000"/>
        </w:rPr>
        <w:t>Akinima</w:t>
      </w:r>
      <w:proofErr w:type="spellEnd"/>
      <w:r>
        <w:rPr>
          <w:rFonts w:ascii="Arial" w:eastAsia="Arial" w:hAnsi="Arial" w:cs="Arial"/>
          <w:color w:val="000000"/>
        </w:rPr>
        <w:t xml:space="preserve"> Primary Health Center in </w:t>
      </w:r>
      <w:proofErr w:type="spellStart"/>
      <w:r>
        <w:rPr>
          <w:rFonts w:ascii="Arial" w:eastAsia="Arial" w:hAnsi="Arial" w:cs="Arial"/>
          <w:color w:val="000000"/>
        </w:rPr>
        <w:t>Ahoada</w:t>
      </w:r>
      <w:proofErr w:type="spellEnd"/>
      <w:r>
        <w:rPr>
          <w:rFonts w:ascii="Arial" w:eastAsia="Arial" w:hAnsi="Arial" w:cs="Arial"/>
          <w:color w:val="000000"/>
        </w:rPr>
        <w:t xml:space="preserve"> West, Rivers State, Nigeria.</w:t>
      </w:r>
    </w:p>
    <w:p w14:paraId="6291D7F1" w14:textId="77777777" w:rsidR="00EB21F6" w:rsidRDefault="000176C0">
      <w:pPr>
        <w:pBdr>
          <w:top w:val="nil"/>
          <w:left w:val="nil"/>
          <w:bottom w:val="nil"/>
          <w:right w:val="nil"/>
          <w:between w:val="nil"/>
        </w:pBdr>
        <w:spacing w:before="280" w:after="280" w:line="276" w:lineRule="auto"/>
        <w:ind w:left="809"/>
        <w:jc w:val="both"/>
        <w:rPr>
          <w:color w:val="000000"/>
        </w:rPr>
      </w:pPr>
      <w:r>
        <w:rPr>
          <w:rFonts w:ascii="Arial" w:eastAsia="Arial" w:hAnsi="Arial" w:cs="Arial"/>
          <w:color w:val="000000"/>
        </w:rPr>
        <w:tab/>
        <w:t>A total of 191 participants, comprising adult males, adult females, and children, were included in the study. All participants presented at the health center for medical evaluation and consented to laboratory testing for malaria parasitemia, typhoid antigen (</w:t>
      </w:r>
      <w:proofErr w:type="spellStart"/>
      <w:r>
        <w:rPr>
          <w:rFonts w:ascii="Arial" w:eastAsia="Arial" w:hAnsi="Arial" w:cs="Arial"/>
          <w:color w:val="000000"/>
        </w:rPr>
        <w:t>Widal</w:t>
      </w:r>
      <w:proofErr w:type="spellEnd"/>
      <w:r>
        <w:rPr>
          <w:rFonts w:ascii="Arial" w:eastAsia="Arial" w:hAnsi="Arial" w:cs="Arial"/>
          <w:color w:val="000000"/>
        </w:rPr>
        <w:t xml:space="preserve"> test), and packed cell volume (PCV). The demographic and hematological data collected served as the basis for the </w:t>
      </w:r>
      <w:r>
        <w:rPr>
          <w:rFonts w:ascii="Arial" w:eastAsia="Arial" w:hAnsi="Arial" w:cs="Arial"/>
          <w:color w:val="000000"/>
        </w:rPr>
        <w:lastRenderedPageBreak/>
        <w:t>comparative analysis of infection prevalence and hematological impact across the different population groups.</w:t>
      </w:r>
    </w:p>
    <w:p w14:paraId="10162A85" w14:textId="77777777" w:rsidR="00EB21F6" w:rsidRDefault="000176C0">
      <w:pPr>
        <w:spacing w:before="280" w:after="280"/>
        <w:ind w:left="800"/>
        <w:jc w:val="both"/>
        <w:rPr>
          <w:rFonts w:ascii="Arial" w:eastAsia="Arial" w:hAnsi="Arial" w:cs="Arial"/>
        </w:rPr>
      </w:pPr>
      <w:r>
        <w:rPr>
          <w:rFonts w:ascii="Arial" w:eastAsia="Arial" w:hAnsi="Arial" w:cs="Arial"/>
          <w:b/>
        </w:rPr>
        <w:t>Ethical Consideration</w:t>
      </w:r>
      <w:r>
        <w:rPr>
          <w:rFonts w:ascii="Arial" w:eastAsia="Arial" w:hAnsi="Arial" w:cs="Arial"/>
        </w:rPr>
        <w:br/>
        <w:t xml:space="preserve">Research authorization was obtained from the </w:t>
      </w:r>
      <w:proofErr w:type="spellStart"/>
      <w:r>
        <w:rPr>
          <w:rFonts w:ascii="Arial" w:eastAsia="Arial" w:hAnsi="Arial" w:cs="Arial"/>
        </w:rPr>
        <w:t>Ahoada</w:t>
      </w:r>
      <w:proofErr w:type="spellEnd"/>
      <w:r>
        <w:rPr>
          <w:rFonts w:ascii="Arial" w:eastAsia="Arial" w:hAnsi="Arial" w:cs="Arial"/>
        </w:rPr>
        <w:t xml:space="preserve"> West Local Government Authority and the relevant ethical review committee. Administrative approval was also secured from the management of </w:t>
      </w:r>
      <w:proofErr w:type="spellStart"/>
      <w:r>
        <w:rPr>
          <w:rFonts w:ascii="Arial" w:eastAsia="Arial" w:hAnsi="Arial" w:cs="Arial"/>
        </w:rPr>
        <w:t>Akinima</w:t>
      </w:r>
      <w:proofErr w:type="spellEnd"/>
      <w:r>
        <w:rPr>
          <w:rFonts w:ascii="Arial" w:eastAsia="Arial" w:hAnsi="Arial" w:cs="Arial"/>
        </w:rPr>
        <w:t xml:space="preserve"> Primary Health Center. Written informed consent was obtained from all adult participants prior to their inclusion in the study and before any blood sample was collected. For participants under the age of 18, informed consent was obtained from their parents or legal guardians. Participation in the study was entirely voluntary, and all respondents were assured of the confidentiality and anonymity of their responses in accordance with ethical standards for human subject research.</w:t>
      </w:r>
    </w:p>
    <w:p w14:paraId="3D69EE5C" w14:textId="77777777" w:rsidR="00EB21F6" w:rsidRDefault="00EB21F6">
      <w:pPr>
        <w:pBdr>
          <w:top w:val="nil"/>
          <w:left w:val="nil"/>
          <w:bottom w:val="nil"/>
          <w:right w:val="nil"/>
          <w:between w:val="nil"/>
        </w:pBdr>
        <w:spacing w:before="280" w:after="280" w:line="276" w:lineRule="auto"/>
        <w:ind w:left="809"/>
        <w:jc w:val="both"/>
        <w:rPr>
          <w:rFonts w:ascii="Arial" w:eastAsia="Arial" w:hAnsi="Arial" w:cs="Arial"/>
        </w:rPr>
      </w:pPr>
    </w:p>
    <w:p w14:paraId="23EA022F" w14:textId="77777777" w:rsidR="00EB21F6" w:rsidRDefault="000176C0">
      <w:pPr>
        <w:pStyle w:val="Heading3"/>
        <w:ind w:left="798"/>
        <w:jc w:val="both"/>
        <w:rPr>
          <w:rFonts w:ascii="Arial" w:eastAsia="Arial" w:hAnsi="Arial" w:cs="Arial"/>
          <w:sz w:val="20"/>
          <w:szCs w:val="20"/>
        </w:rPr>
      </w:pPr>
      <w:r>
        <w:rPr>
          <w:rFonts w:ascii="Arial" w:eastAsia="Arial" w:hAnsi="Arial" w:cs="Arial"/>
          <w:sz w:val="20"/>
          <w:szCs w:val="20"/>
        </w:rPr>
        <w:t>Biodata of the Participants and Blood Collection</w:t>
      </w:r>
    </w:p>
    <w:p w14:paraId="636298D8"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 xml:space="preserve">The study population comprised 44 adult males, 66 adult females, and 81 children who presented at the </w:t>
      </w:r>
      <w:proofErr w:type="spellStart"/>
      <w:r>
        <w:rPr>
          <w:rFonts w:ascii="Arial" w:eastAsia="Arial" w:hAnsi="Arial" w:cs="Arial"/>
          <w:color w:val="000000"/>
        </w:rPr>
        <w:t>Akinima</w:t>
      </w:r>
      <w:proofErr w:type="spellEnd"/>
      <w:r>
        <w:rPr>
          <w:rFonts w:ascii="Arial" w:eastAsia="Arial" w:hAnsi="Arial" w:cs="Arial"/>
          <w:color w:val="000000"/>
        </w:rPr>
        <w:t xml:space="preserve"> Primary Health Center for medical consultation and were clinically observed for suspected malaria, typhoid fever, or anemia between August and November 2022. Recruitment was conducted through voluntary participation. Informed consent was obtained from all adult participants prior to their inclusion in the study. For minors, written consent was obtained from their parents or legal guardians. Participation was entirely voluntary, and participants retained the right to decline or withdraw at any point without prejudice.</w:t>
      </w:r>
    </w:p>
    <w:p w14:paraId="588E7327" w14:textId="77777777" w:rsidR="00EB21F6" w:rsidRDefault="000176C0">
      <w:pPr>
        <w:pBdr>
          <w:top w:val="nil"/>
          <w:left w:val="nil"/>
          <w:bottom w:val="nil"/>
          <w:right w:val="nil"/>
          <w:between w:val="nil"/>
        </w:pBdr>
        <w:spacing w:before="280" w:after="280"/>
        <w:ind w:left="798"/>
        <w:jc w:val="both"/>
        <w:rPr>
          <w:rFonts w:ascii="Times New Roman" w:eastAsia="Times New Roman" w:hAnsi="Times New Roman" w:cs="Times New Roman"/>
          <w:color w:val="000000"/>
        </w:rPr>
      </w:pPr>
      <w:r>
        <w:rPr>
          <w:rFonts w:ascii="Arial" w:eastAsia="Arial" w:hAnsi="Arial" w:cs="Arial"/>
          <w:color w:val="000000"/>
        </w:rPr>
        <w:tab/>
        <w:t xml:space="preserve">Sociodemographic information, including age, sex, place of residence, educational level, occupation, and marital status, was collected, along with clinical symptoms such as fever, headache, joint pain, dizziness, fatigue, chills, vomiting, and diarrhea. Data on medical history and treatment practices, including the use of antimalarial drugs, antibiotics, or traditional/herbal remedies, were also recorded. These data were gathered using a pretested structured questionnaire administered through face-to-face interviews by trained personnel. Following the interview, 2mL of venous blood was aseptically collected from each participant by qualified phlebotomists using sterilized </w:t>
      </w:r>
      <w:r>
        <w:rPr>
          <w:rFonts w:ascii="Times New Roman" w:eastAsia="Times New Roman" w:hAnsi="Times New Roman" w:cs="Times New Roman"/>
          <w:color w:val="000000"/>
        </w:rPr>
        <w:t xml:space="preserve">EDTA-anticoagulated tubes </w:t>
      </w:r>
      <w:r>
        <w:rPr>
          <w:rFonts w:ascii="Arial" w:eastAsia="Arial" w:hAnsi="Arial" w:cs="Arial"/>
          <w:color w:val="000000"/>
        </w:rPr>
        <w:t xml:space="preserve">Falcon brand. </w:t>
      </w:r>
      <w:r>
        <w:rPr>
          <w:rFonts w:ascii="Arial" w:eastAsia="Arial" w:hAnsi="Arial" w:cs="Arial"/>
        </w:rPr>
        <w:t>Strict aseptic procedures were maintained throughout the sample collection process to ensure both sample integrity and participant safety. All samples for packed cell volume (PCV) analysis were processed within one hour of collection.</w:t>
      </w:r>
    </w:p>
    <w:p w14:paraId="6BE49374" w14:textId="77777777" w:rsidR="00EB21F6" w:rsidRDefault="000176C0">
      <w:pPr>
        <w:pStyle w:val="Heading3"/>
        <w:ind w:left="798"/>
        <w:jc w:val="both"/>
        <w:rPr>
          <w:rFonts w:ascii="Arial" w:eastAsia="Arial" w:hAnsi="Arial" w:cs="Arial"/>
          <w:sz w:val="20"/>
          <w:szCs w:val="20"/>
        </w:rPr>
      </w:pPr>
      <w:r>
        <w:rPr>
          <w:rFonts w:ascii="Arial" w:eastAsia="Arial" w:hAnsi="Arial" w:cs="Arial"/>
          <w:sz w:val="20"/>
          <w:szCs w:val="20"/>
        </w:rPr>
        <w:t>Sample Analysis</w:t>
      </w:r>
    </w:p>
    <w:p w14:paraId="3AF9C5BF" w14:textId="77777777" w:rsidR="00EB21F6" w:rsidRDefault="000176C0">
      <w:pPr>
        <w:pStyle w:val="Heading4"/>
        <w:ind w:left="798"/>
        <w:jc w:val="both"/>
        <w:rPr>
          <w:rFonts w:ascii="Arial" w:eastAsia="Arial" w:hAnsi="Arial" w:cs="Arial"/>
          <w:sz w:val="20"/>
          <w:szCs w:val="20"/>
        </w:rPr>
      </w:pPr>
      <w:r>
        <w:rPr>
          <w:rFonts w:ascii="Arial" w:eastAsia="Arial" w:hAnsi="Arial" w:cs="Arial"/>
          <w:sz w:val="20"/>
          <w:szCs w:val="20"/>
        </w:rPr>
        <w:t>Malaria Parasite Detection Using Thick and Thin Blood Films</w:t>
      </w:r>
    </w:p>
    <w:p w14:paraId="1B240CED"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 xml:space="preserve">The diagnosis of malaria was carried out through microscopic examination of Giemsa-stained thick and thin blood films using an oil immersion objective lens (×100). Both film types were stained with 10% rapid Giemsa stain (SD </w:t>
      </w:r>
      <w:proofErr w:type="spellStart"/>
      <w:r>
        <w:rPr>
          <w:rFonts w:ascii="Arial" w:eastAsia="Arial" w:hAnsi="Arial" w:cs="Arial"/>
          <w:color w:val="000000"/>
        </w:rPr>
        <w:t>Bioline</w:t>
      </w:r>
      <w:proofErr w:type="spellEnd"/>
      <w:r>
        <w:rPr>
          <w:rFonts w:ascii="Arial" w:eastAsia="Arial" w:hAnsi="Arial" w:cs="Arial"/>
          <w:color w:val="000000"/>
        </w:rPr>
        <w:t>, Inc., USA) for 15 minutes. The thick films were used for parasite detection, while thin films facilitated Plasmodium species identification. Parasitemia was quantified by counting the number of parasites per 200 white blood cells on the thick film, assuming an average leukocyte count of 8,000/</w:t>
      </w:r>
      <w:proofErr w:type="spellStart"/>
      <w:r>
        <w:rPr>
          <w:rFonts w:ascii="Arial" w:eastAsia="Arial" w:hAnsi="Arial" w:cs="Arial"/>
          <w:color w:val="000000"/>
        </w:rPr>
        <w:t>μL</w:t>
      </w:r>
      <w:proofErr w:type="spellEnd"/>
      <w:r>
        <w:rPr>
          <w:rFonts w:ascii="Arial" w:eastAsia="Arial" w:hAnsi="Arial" w:cs="Arial"/>
          <w:color w:val="000000"/>
        </w:rPr>
        <w:t xml:space="preserve"> of blood (</w:t>
      </w:r>
      <w:proofErr w:type="spellStart"/>
      <w:r>
        <w:rPr>
          <w:rFonts w:ascii="Arial" w:eastAsia="Arial" w:hAnsi="Arial" w:cs="Arial"/>
          <w:color w:val="000000"/>
        </w:rPr>
        <w:t>WorldWide</w:t>
      </w:r>
      <w:proofErr w:type="spellEnd"/>
      <w:r>
        <w:rPr>
          <w:rFonts w:ascii="Arial" w:eastAsia="Arial" w:hAnsi="Arial" w:cs="Arial"/>
          <w:color w:val="000000"/>
        </w:rPr>
        <w:t xml:space="preserve"> Antimalarial Resistance Network White Blood Cell Count in Malaria Study Group, 2023). A minimum of 100 high-power fields was examined before a slide was reported as negative, in accordance with established protocols (Edit et al., 2016). If the thick smear tested positive for malaria parasites, species identification was performed on the corresponding thin smear based on morphological characteristics, using standard identification tables as described by Cheesbrough (2006).</w:t>
      </w:r>
    </w:p>
    <w:p w14:paraId="5110A016" w14:textId="77777777" w:rsidR="00EB21F6" w:rsidRDefault="000176C0">
      <w:pPr>
        <w:pStyle w:val="Heading4"/>
        <w:ind w:left="798"/>
        <w:jc w:val="both"/>
        <w:rPr>
          <w:rFonts w:ascii="Arial" w:eastAsia="Arial" w:hAnsi="Arial" w:cs="Arial"/>
          <w:sz w:val="20"/>
          <w:szCs w:val="20"/>
        </w:rPr>
      </w:pPr>
      <w:proofErr w:type="spellStart"/>
      <w:r>
        <w:rPr>
          <w:rFonts w:ascii="Arial" w:eastAsia="Arial" w:hAnsi="Arial" w:cs="Arial"/>
          <w:sz w:val="20"/>
          <w:szCs w:val="20"/>
        </w:rPr>
        <w:t>Widal</w:t>
      </w:r>
      <w:proofErr w:type="spellEnd"/>
      <w:r>
        <w:rPr>
          <w:rFonts w:ascii="Arial" w:eastAsia="Arial" w:hAnsi="Arial" w:cs="Arial"/>
          <w:sz w:val="20"/>
          <w:szCs w:val="20"/>
        </w:rPr>
        <w:t xml:space="preserve"> Test</w:t>
      </w:r>
    </w:p>
    <w:p w14:paraId="05DA4A7B" w14:textId="77777777" w:rsidR="00EB21F6" w:rsidRDefault="000176C0">
      <w:pPr>
        <w:pBdr>
          <w:top w:val="nil"/>
          <w:left w:val="nil"/>
          <w:bottom w:val="nil"/>
          <w:right w:val="nil"/>
          <w:between w:val="nil"/>
        </w:pBdr>
        <w:spacing w:before="280" w:after="280"/>
        <w:ind w:left="798"/>
        <w:jc w:val="both"/>
        <w:rPr>
          <w:rFonts w:ascii="Times New Roman" w:eastAsia="Times New Roman" w:hAnsi="Times New Roman" w:cs="Times New Roman"/>
          <w:color w:val="000000"/>
        </w:rPr>
      </w:pPr>
      <w:r>
        <w:rPr>
          <w:rFonts w:ascii="Arial" w:eastAsia="Arial" w:hAnsi="Arial" w:cs="Arial"/>
          <w:color w:val="000000"/>
        </w:rPr>
        <w:tab/>
        <w:t xml:space="preserve">Typhoid fever was diagnosed using both semi-quantitative (rapid slide agglutination) and quantitative (tube agglutination) methods, following the procedure described by </w:t>
      </w:r>
      <w:proofErr w:type="spellStart"/>
      <w:r>
        <w:rPr>
          <w:rFonts w:ascii="Arial" w:eastAsia="Arial" w:hAnsi="Arial" w:cs="Arial"/>
        </w:rPr>
        <w:t>Wam</w:t>
      </w:r>
      <w:proofErr w:type="spellEnd"/>
      <w:r>
        <w:rPr>
          <w:rFonts w:ascii="Arial" w:eastAsia="Arial" w:hAnsi="Arial" w:cs="Arial"/>
          <w:color w:val="000000"/>
        </w:rPr>
        <w:t xml:space="preserve"> et al. (20</w:t>
      </w:r>
      <w:r>
        <w:rPr>
          <w:rFonts w:ascii="Arial" w:eastAsia="Arial" w:hAnsi="Arial" w:cs="Arial"/>
        </w:rPr>
        <w:t>19</w:t>
      </w:r>
      <w:r>
        <w:rPr>
          <w:rFonts w:ascii="Arial" w:eastAsia="Arial" w:hAnsi="Arial" w:cs="Arial"/>
          <w:color w:val="000000"/>
        </w:rPr>
        <w:t>). Initial screening was performed using the rapid slide agglutination test with commercially available Salmonella typhi antigen kits (</w:t>
      </w:r>
      <w:r>
        <w:rPr>
          <w:rFonts w:ascii="Arial" w:eastAsia="Arial" w:hAnsi="Arial" w:cs="Arial"/>
        </w:rPr>
        <w:t>Salmonella O, and H antisera</w:t>
      </w:r>
      <w:r>
        <w:rPr>
          <w:rFonts w:ascii="Arial" w:eastAsia="Arial" w:hAnsi="Arial" w:cs="Arial"/>
          <w:color w:val="000000"/>
        </w:rPr>
        <w:t xml:space="preserve">). The test utilized somatic (O) and </w:t>
      </w:r>
      <w:r>
        <w:rPr>
          <w:rFonts w:ascii="Arial" w:eastAsia="Arial" w:hAnsi="Arial" w:cs="Arial"/>
          <w:color w:val="000000"/>
        </w:rPr>
        <w:lastRenderedPageBreak/>
        <w:t xml:space="preserve">flagellar (H) antigen reagents, specifically, TO and TH for detecting antibodies against S. typhi. Additional antisera (AO, BO, CO, AH, BH, and CH) were employed for identifying S. </w:t>
      </w:r>
      <w:proofErr w:type="spellStart"/>
      <w:r>
        <w:rPr>
          <w:rFonts w:ascii="Arial" w:eastAsia="Arial" w:hAnsi="Arial" w:cs="Arial"/>
          <w:color w:val="000000"/>
        </w:rPr>
        <w:t>paratyphi</w:t>
      </w:r>
      <w:proofErr w:type="spellEnd"/>
      <w:r>
        <w:rPr>
          <w:rFonts w:ascii="Arial" w:eastAsia="Arial" w:hAnsi="Arial" w:cs="Arial"/>
          <w:color w:val="000000"/>
        </w:rPr>
        <w:t xml:space="preserve"> A, B, and C. </w:t>
      </w:r>
      <w:r>
        <w:rPr>
          <w:rFonts w:ascii="Arial Unicode MS" w:eastAsia="Arial Unicode MS" w:hAnsi="Arial Unicode MS" w:cs="Arial Unicode MS"/>
          <w:color w:val="000000"/>
        </w:rPr>
        <w:t>An antibody titer of ≥1:80 against the TO and TH antigens of S. typhi was considered indicative of a positive result,</w:t>
      </w:r>
      <w:r>
        <w:rPr>
          <w:rFonts w:ascii="Arial" w:eastAsia="Arial" w:hAnsi="Arial" w:cs="Arial"/>
          <w:color w:val="000000"/>
        </w:rPr>
        <w:t xml:space="preserve"> while titers below this threshold (&lt;1:80) were interpreted as negative. All samples that tested positive during the slide test were subjected to confirmatory testing using the standard tube agglutination method. Each positive sample was tested in duplicate to ensure accuracy, consistency, and reproducibility of the results.</w:t>
      </w:r>
    </w:p>
    <w:p w14:paraId="22680609" w14:textId="77777777" w:rsidR="00EB21F6" w:rsidRDefault="000176C0">
      <w:pPr>
        <w:pStyle w:val="Heading4"/>
        <w:ind w:left="798"/>
        <w:jc w:val="both"/>
        <w:rPr>
          <w:rFonts w:ascii="Arial" w:eastAsia="Arial" w:hAnsi="Arial" w:cs="Arial"/>
          <w:sz w:val="20"/>
          <w:szCs w:val="20"/>
        </w:rPr>
      </w:pPr>
      <w:r>
        <w:rPr>
          <w:rFonts w:ascii="Arial" w:eastAsia="Arial" w:hAnsi="Arial" w:cs="Arial"/>
          <w:sz w:val="20"/>
          <w:szCs w:val="20"/>
        </w:rPr>
        <w:t>Packed Cell Volume (PCV) Determination</w:t>
      </w:r>
    </w:p>
    <w:p w14:paraId="0BBC4756"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Unicode MS" w:eastAsia="Arial Unicode MS" w:hAnsi="Arial Unicode MS" w:cs="Arial Unicode MS"/>
          <w:color w:val="000000"/>
        </w:rPr>
        <w:tab/>
        <w:t>The packed cell volume (PCV) of each participant was measured using the microhematocrit method, following the standard procedure outlined by Cheesbrough (2006). Approximately 2−3 drops of thoroughly mixed EDTA-anticoagulated venous blood were drawn into plain, heparin-free capillary tubes up to two-thirds of their length. One end of each capillary tube was sealed with plasticine, and the tubes were then placed in a microhematocrit centrifuge and spun at 11,000 revolutions per minute (rpm) for 5 minutes.</w:t>
      </w:r>
    </w:p>
    <w:p w14:paraId="51096D55"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Following centrifugation, the PCV was determined using a microhematocrit reader by aligning the interfaces of the plasma, buffy coat, and red blood cell layers. The PCV values were interpreted based on standard hematological reference ranges:</w:t>
      </w:r>
    </w:p>
    <w:p w14:paraId="71B42D78"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Unicode MS" w:eastAsia="Arial Unicode MS" w:hAnsi="Arial Unicode MS" w:cs="Arial Unicode MS"/>
          <w:color w:val="000000"/>
        </w:rPr>
        <w:t>Adult males: 40%−54%</w:t>
      </w:r>
    </w:p>
    <w:p w14:paraId="28413B66"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Unicode MS" w:eastAsia="Arial Unicode MS" w:hAnsi="Arial Unicode MS" w:cs="Arial Unicode MS"/>
          <w:color w:val="000000"/>
        </w:rPr>
        <w:t>Adult females: 35%−45%</w:t>
      </w:r>
    </w:p>
    <w:p w14:paraId="6990739F"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Unicode MS" w:eastAsia="Arial Unicode MS" w:hAnsi="Arial Unicode MS" w:cs="Arial Unicode MS"/>
          <w:color w:val="000000"/>
        </w:rPr>
        <w:t>Children under 10 years: 34%−40%</w:t>
      </w:r>
    </w:p>
    <w:p w14:paraId="65B0841C" w14:textId="77777777" w:rsidR="00EB21F6" w:rsidRDefault="00EB21F6">
      <w:pPr>
        <w:pBdr>
          <w:top w:val="nil"/>
          <w:left w:val="nil"/>
          <w:bottom w:val="nil"/>
          <w:right w:val="nil"/>
          <w:between w:val="nil"/>
        </w:pBdr>
        <w:spacing w:before="280" w:after="280"/>
        <w:ind w:left="798"/>
        <w:jc w:val="both"/>
        <w:rPr>
          <w:rFonts w:ascii="Arial" w:eastAsia="Arial" w:hAnsi="Arial" w:cs="Arial"/>
          <w:color w:val="000000"/>
        </w:rPr>
      </w:pPr>
    </w:p>
    <w:p w14:paraId="3FC90ED9" w14:textId="77777777" w:rsidR="00EB21F6" w:rsidRDefault="000176C0">
      <w:pPr>
        <w:pStyle w:val="Heading2"/>
        <w:ind w:left="798"/>
        <w:jc w:val="both"/>
        <w:rPr>
          <w:rFonts w:ascii="Arial" w:eastAsia="Arial" w:hAnsi="Arial" w:cs="Arial"/>
          <w:sz w:val="20"/>
          <w:szCs w:val="20"/>
        </w:rPr>
      </w:pPr>
      <w:r>
        <w:rPr>
          <w:rFonts w:ascii="Arial" w:eastAsia="Arial" w:hAnsi="Arial" w:cs="Arial"/>
          <w:sz w:val="20"/>
          <w:szCs w:val="20"/>
        </w:rPr>
        <w:t>Statistical Analysis</w:t>
      </w:r>
    </w:p>
    <w:p w14:paraId="1F4B6B28" w14:textId="77777777" w:rsidR="00EB21F6" w:rsidRDefault="000176C0">
      <w:pPr>
        <w:pBdr>
          <w:top w:val="nil"/>
          <w:left w:val="nil"/>
          <w:bottom w:val="nil"/>
          <w:right w:val="nil"/>
          <w:between w:val="nil"/>
        </w:pBdr>
        <w:spacing w:before="280" w:after="280" w:line="276" w:lineRule="auto"/>
        <w:ind w:left="798"/>
        <w:jc w:val="both"/>
        <w:rPr>
          <w:color w:val="000000"/>
        </w:rPr>
      </w:pPr>
      <w:r>
        <w:rPr>
          <w:rFonts w:ascii="Arial" w:eastAsia="Arial" w:hAnsi="Arial" w:cs="Arial"/>
          <w:color w:val="000000"/>
        </w:rPr>
        <w:tab/>
        <w:t>Data were analyzed using Microsoft Excel and SPSS (Statistical Package for the Social Sciences) version 22. Descriptive statistics, including frequencies, percentages, means, and standard deviations, were used to summarize demographic characteristics and laboratory results.</w:t>
      </w:r>
    </w:p>
    <w:p w14:paraId="2B5AAC95" w14:textId="77777777" w:rsidR="00EB21F6" w:rsidRDefault="000176C0">
      <w:pPr>
        <w:pBdr>
          <w:top w:val="nil"/>
          <w:left w:val="nil"/>
          <w:bottom w:val="nil"/>
          <w:right w:val="nil"/>
          <w:between w:val="nil"/>
        </w:pBdr>
        <w:spacing w:before="280" w:after="280" w:line="276" w:lineRule="auto"/>
        <w:ind w:left="809"/>
        <w:jc w:val="both"/>
        <w:rPr>
          <w:color w:val="000000"/>
        </w:rPr>
      </w:pPr>
      <w:r>
        <w:rPr>
          <w:rFonts w:ascii="Arial" w:eastAsia="Arial" w:hAnsi="Arial" w:cs="Arial"/>
          <w:color w:val="000000"/>
        </w:rPr>
        <w:tab/>
        <w:t>Inferential statistical tools employed included the Chi-square test for assessing associations between categorical variables, independent sample t-tests for comparing means between two groups, and one-way ANOVA for comparisons across more than two groups. A 95% confidence interval (CI) was adopted, and statistical significance was set at p &lt; 0.05.</w:t>
      </w:r>
    </w:p>
    <w:p w14:paraId="509B9BCE" w14:textId="77777777" w:rsidR="00EB21F6" w:rsidRDefault="000176C0">
      <w:pPr>
        <w:pStyle w:val="Heading2"/>
        <w:ind w:left="798"/>
        <w:jc w:val="both"/>
        <w:rPr>
          <w:rFonts w:ascii="Arial" w:eastAsia="Arial" w:hAnsi="Arial" w:cs="Arial"/>
          <w:sz w:val="20"/>
          <w:szCs w:val="20"/>
        </w:rPr>
      </w:pPr>
      <w:r>
        <w:rPr>
          <w:rFonts w:ascii="Arial" w:eastAsia="Arial" w:hAnsi="Arial" w:cs="Arial"/>
          <w:sz w:val="20"/>
          <w:szCs w:val="20"/>
        </w:rPr>
        <w:t>Results</w:t>
      </w:r>
    </w:p>
    <w:p w14:paraId="7CB51934"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This study assessed the prevalence of malaria parasitemia (MP), typhoid antigen presence, and packed cell volume (PCV) among three distinct demographic groups: adult males, adult females, and children aged 10 years and below. The analysis focused on these three key parameters to evaluate infection patterns and their associated hematologic characteristics across these groups.</w:t>
      </w:r>
    </w:p>
    <w:p w14:paraId="4A94EB42" w14:textId="77777777" w:rsidR="00EB21F6" w:rsidRDefault="000176C0">
      <w:pPr>
        <w:pBdr>
          <w:top w:val="nil"/>
          <w:left w:val="nil"/>
          <w:bottom w:val="nil"/>
          <w:right w:val="nil"/>
          <w:between w:val="nil"/>
        </w:pBdr>
        <w:spacing w:before="280" w:after="280"/>
        <w:ind w:left="798"/>
        <w:jc w:val="both"/>
        <w:rPr>
          <w:rFonts w:ascii="Times New Roman" w:eastAsia="Times New Roman" w:hAnsi="Times New Roman" w:cs="Times New Roman"/>
          <w:color w:val="000000"/>
        </w:rPr>
      </w:pPr>
      <w:r>
        <w:rPr>
          <w:rFonts w:ascii="Arial" w:eastAsia="Arial" w:hAnsi="Arial" w:cs="Arial"/>
          <w:color w:val="000000"/>
        </w:rPr>
        <w:tab/>
        <w:t xml:space="preserve">Table 1. </w:t>
      </w:r>
      <w:r>
        <w:rPr>
          <w:rFonts w:ascii="Arial" w:eastAsia="Arial" w:hAnsi="Arial" w:cs="Arial"/>
        </w:rPr>
        <w:t>A</w:t>
      </w:r>
      <w:r>
        <w:rPr>
          <w:rFonts w:ascii="Arial" w:eastAsia="Arial" w:hAnsi="Arial" w:cs="Arial"/>
          <w:color w:val="000000"/>
        </w:rPr>
        <w:t xml:space="preserve"> total of 191 participants were included in the study, comprising three distinct demographic groups: 44 adult males, 66 adult females, and 81 children aged 10 years and below. The adult male group included participants aged between 30 and 50 years, with a mean age of </w:t>
      </w:r>
      <w:r>
        <w:rPr>
          <w:rFonts w:ascii="Arial" w:eastAsia="Arial" w:hAnsi="Arial" w:cs="Arial"/>
          <w:color w:val="000000"/>
        </w:rPr>
        <w:lastRenderedPageBreak/>
        <w:t>40±10 years, and consisted entirely of males. The adult female group included individuals aged 20 to 40 years, with a mean age of 30±10 years, and consisted entirely of females. The children’s group included participants aged 1 to 10 years, with a mean age of 5±5 years. This group was composed of 31 males and 50 females, reflecting a higher number of female children. Overall, the study population had 75 males and 116 females, providing a basis for assessing observed characteristics related to gender, age group, and the hematological aspects of malaria, typhoid, and their co-infection.</w:t>
      </w:r>
    </w:p>
    <w:tbl>
      <w:tblPr>
        <w:tblStyle w:val="a"/>
        <w:tblW w:w="8610"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5"/>
        <w:gridCol w:w="2175"/>
        <w:gridCol w:w="1935"/>
        <w:gridCol w:w="1785"/>
      </w:tblGrid>
      <w:tr w:rsidR="00EB21F6" w14:paraId="270DD96E" w14:textId="77777777">
        <w:trPr>
          <w:trHeight w:val="90"/>
        </w:trPr>
        <w:tc>
          <w:tcPr>
            <w:tcW w:w="8610" w:type="dxa"/>
            <w:gridSpan w:val="4"/>
            <w:tcBorders>
              <w:top w:val="single" w:sz="4" w:space="0" w:color="000000"/>
              <w:left w:val="single" w:sz="4" w:space="0" w:color="000000"/>
              <w:bottom w:val="single" w:sz="4" w:space="0" w:color="000000"/>
              <w:right w:val="single" w:sz="4" w:space="0" w:color="000000"/>
            </w:tcBorders>
            <w:vAlign w:val="center"/>
          </w:tcPr>
          <w:p w14:paraId="4E12171F" w14:textId="77777777" w:rsidR="00EB21F6" w:rsidRDefault="000176C0">
            <w:pPr>
              <w:pStyle w:val="Heading3"/>
              <w:ind w:left="798"/>
              <w:jc w:val="both"/>
              <w:rPr>
                <w:rFonts w:ascii="Arial" w:eastAsia="Arial" w:hAnsi="Arial" w:cs="Arial"/>
                <w:sz w:val="20"/>
                <w:szCs w:val="20"/>
              </w:rPr>
            </w:pPr>
            <w:r>
              <w:rPr>
                <w:rFonts w:ascii="Arial" w:eastAsia="Arial" w:hAnsi="Arial" w:cs="Arial"/>
                <w:sz w:val="20"/>
                <w:szCs w:val="20"/>
              </w:rPr>
              <w:t>Table 1. Demographic Characteristics of Study Participants</w:t>
            </w:r>
          </w:p>
        </w:tc>
      </w:tr>
      <w:tr w:rsidR="00EB21F6" w14:paraId="7D6D9CEA" w14:textId="77777777">
        <w:trPr>
          <w:trHeight w:val="90"/>
        </w:trPr>
        <w:tc>
          <w:tcPr>
            <w:tcW w:w="2715" w:type="dxa"/>
            <w:tcBorders>
              <w:left w:val="single" w:sz="4" w:space="0" w:color="000000"/>
              <w:bottom w:val="single" w:sz="4" w:space="0" w:color="000000"/>
              <w:right w:val="single" w:sz="4" w:space="0" w:color="000000"/>
            </w:tcBorders>
            <w:vAlign w:val="center"/>
          </w:tcPr>
          <w:p w14:paraId="595B0A48" w14:textId="77777777" w:rsidR="00EB21F6" w:rsidRDefault="000176C0">
            <w:pPr>
              <w:widowControl w:val="0"/>
              <w:pBdr>
                <w:top w:val="nil"/>
                <w:left w:val="nil"/>
                <w:bottom w:val="nil"/>
                <w:right w:val="nil"/>
                <w:between w:val="nil"/>
              </w:pBdr>
              <w:ind w:left="767" w:hanging="367"/>
              <w:jc w:val="both"/>
              <w:rPr>
                <w:rFonts w:ascii="Arial" w:eastAsia="Arial" w:hAnsi="Arial" w:cs="Arial"/>
                <w:b/>
                <w:color w:val="000000"/>
              </w:rPr>
            </w:pPr>
            <w:r>
              <w:rPr>
                <w:rFonts w:ascii="Arial" w:eastAsia="Arial" w:hAnsi="Arial" w:cs="Arial"/>
                <w:b/>
                <w:color w:val="000000"/>
              </w:rPr>
              <w:t>Demographic Group</w:t>
            </w:r>
          </w:p>
        </w:tc>
        <w:tc>
          <w:tcPr>
            <w:tcW w:w="2175" w:type="dxa"/>
            <w:tcBorders>
              <w:left w:val="single" w:sz="4" w:space="0" w:color="000000"/>
              <w:bottom w:val="single" w:sz="4" w:space="0" w:color="000000"/>
              <w:right w:val="single" w:sz="4" w:space="0" w:color="000000"/>
            </w:tcBorders>
            <w:vAlign w:val="center"/>
          </w:tcPr>
          <w:p w14:paraId="14A64446" w14:textId="77777777" w:rsidR="00EB21F6" w:rsidRDefault="000176C0">
            <w:pPr>
              <w:widowControl w:val="0"/>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Sample Size (n)</w:t>
            </w:r>
          </w:p>
        </w:tc>
        <w:tc>
          <w:tcPr>
            <w:tcW w:w="1935" w:type="dxa"/>
            <w:tcBorders>
              <w:left w:val="single" w:sz="4" w:space="0" w:color="000000"/>
              <w:bottom w:val="single" w:sz="4" w:space="0" w:color="000000"/>
              <w:right w:val="single" w:sz="4" w:space="0" w:color="000000"/>
            </w:tcBorders>
            <w:vAlign w:val="center"/>
          </w:tcPr>
          <w:p w14:paraId="4995FC48" w14:textId="77777777" w:rsidR="00EB21F6" w:rsidRDefault="000176C0">
            <w:pPr>
              <w:widowControl w:val="0"/>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Age Range (Years)</w:t>
            </w:r>
          </w:p>
        </w:tc>
        <w:tc>
          <w:tcPr>
            <w:tcW w:w="1785" w:type="dxa"/>
            <w:tcBorders>
              <w:left w:val="single" w:sz="4" w:space="0" w:color="000000"/>
              <w:bottom w:val="single" w:sz="4" w:space="0" w:color="000000"/>
              <w:right w:val="single" w:sz="4" w:space="0" w:color="000000"/>
            </w:tcBorders>
            <w:vAlign w:val="center"/>
          </w:tcPr>
          <w:p w14:paraId="19FC419B" w14:textId="77777777" w:rsidR="00EB21F6" w:rsidRDefault="000176C0">
            <w:pPr>
              <w:widowControl w:val="0"/>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Mean Age ± SD (Years)</w:t>
            </w:r>
          </w:p>
        </w:tc>
      </w:tr>
      <w:tr w:rsidR="00EB21F6" w14:paraId="2A40B656" w14:textId="77777777">
        <w:trPr>
          <w:trHeight w:val="90"/>
        </w:trPr>
        <w:tc>
          <w:tcPr>
            <w:tcW w:w="2715" w:type="dxa"/>
            <w:tcBorders>
              <w:top w:val="single" w:sz="4" w:space="0" w:color="000000"/>
              <w:left w:val="single" w:sz="4" w:space="0" w:color="000000"/>
              <w:bottom w:val="single" w:sz="4" w:space="0" w:color="000000"/>
              <w:right w:val="single" w:sz="4" w:space="0" w:color="000000"/>
            </w:tcBorders>
            <w:vAlign w:val="center"/>
          </w:tcPr>
          <w:p w14:paraId="7129B364"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Adult Males</w:t>
            </w:r>
          </w:p>
        </w:tc>
        <w:tc>
          <w:tcPr>
            <w:tcW w:w="2175" w:type="dxa"/>
            <w:tcBorders>
              <w:top w:val="single" w:sz="4" w:space="0" w:color="000000"/>
              <w:left w:val="single" w:sz="4" w:space="0" w:color="000000"/>
              <w:bottom w:val="single" w:sz="4" w:space="0" w:color="000000"/>
              <w:right w:val="single" w:sz="4" w:space="0" w:color="000000"/>
            </w:tcBorders>
            <w:vAlign w:val="center"/>
          </w:tcPr>
          <w:p w14:paraId="67D4033B"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44</w:t>
            </w:r>
          </w:p>
        </w:tc>
        <w:tc>
          <w:tcPr>
            <w:tcW w:w="1935" w:type="dxa"/>
            <w:tcBorders>
              <w:top w:val="single" w:sz="4" w:space="0" w:color="000000"/>
              <w:left w:val="single" w:sz="4" w:space="0" w:color="000000"/>
              <w:bottom w:val="single" w:sz="4" w:space="0" w:color="000000"/>
              <w:right w:val="single" w:sz="4" w:space="0" w:color="000000"/>
            </w:tcBorders>
            <w:vAlign w:val="center"/>
          </w:tcPr>
          <w:p w14:paraId="4B8CCAAC"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30–50</w:t>
            </w:r>
          </w:p>
        </w:tc>
        <w:tc>
          <w:tcPr>
            <w:tcW w:w="1785" w:type="dxa"/>
            <w:tcBorders>
              <w:top w:val="single" w:sz="4" w:space="0" w:color="000000"/>
              <w:left w:val="single" w:sz="4" w:space="0" w:color="000000"/>
              <w:bottom w:val="single" w:sz="4" w:space="0" w:color="000000"/>
              <w:right w:val="single" w:sz="4" w:space="0" w:color="000000"/>
            </w:tcBorders>
            <w:vAlign w:val="center"/>
          </w:tcPr>
          <w:p w14:paraId="7347F2F6"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40 ± 10</w:t>
            </w:r>
          </w:p>
        </w:tc>
      </w:tr>
      <w:tr w:rsidR="00EB21F6" w14:paraId="3FE0C10F" w14:textId="77777777">
        <w:trPr>
          <w:trHeight w:val="90"/>
        </w:trPr>
        <w:tc>
          <w:tcPr>
            <w:tcW w:w="2715" w:type="dxa"/>
            <w:tcBorders>
              <w:top w:val="single" w:sz="4" w:space="0" w:color="000000"/>
              <w:left w:val="single" w:sz="4" w:space="0" w:color="000000"/>
              <w:bottom w:val="single" w:sz="4" w:space="0" w:color="000000"/>
              <w:right w:val="single" w:sz="4" w:space="0" w:color="000000"/>
            </w:tcBorders>
            <w:vAlign w:val="center"/>
          </w:tcPr>
          <w:p w14:paraId="0F9FDB89"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Adult Females</w:t>
            </w:r>
          </w:p>
        </w:tc>
        <w:tc>
          <w:tcPr>
            <w:tcW w:w="2175" w:type="dxa"/>
            <w:tcBorders>
              <w:top w:val="single" w:sz="4" w:space="0" w:color="000000"/>
              <w:left w:val="single" w:sz="4" w:space="0" w:color="000000"/>
              <w:bottom w:val="single" w:sz="4" w:space="0" w:color="000000"/>
              <w:right w:val="single" w:sz="4" w:space="0" w:color="000000"/>
            </w:tcBorders>
            <w:vAlign w:val="center"/>
          </w:tcPr>
          <w:p w14:paraId="02B5C587"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66</w:t>
            </w:r>
          </w:p>
        </w:tc>
        <w:tc>
          <w:tcPr>
            <w:tcW w:w="1935" w:type="dxa"/>
            <w:tcBorders>
              <w:top w:val="single" w:sz="4" w:space="0" w:color="000000"/>
              <w:left w:val="single" w:sz="4" w:space="0" w:color="000000"/>
              <w:bottom w:val="single" w:sz="4" w:space="0" w:color="000000"/>
              <w:right w:val="single" w:sz="4" w:space="0" w:color="000000"/>
            </w:tcBorders>
            <w:vAlign w:val="center"/>
          </w:tcPr>
          <w:p w14:paraId="12678CB6"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20–40</w:t>
            </w:r>
          </w:p>
        </w:tc>
        <w:tc>
          <w:tcPr>
            <w:tcW w:w="1785" w:type="dxa"/>
            <w:tcBorders>
              <w:top w:val="single" w:sz="4" w:space="0" w:color="000000"/>
              <w:left w:val="single" w:sz="4" w:space="0" w:color="000000"/>
              <w:bottom w:val="single" w:sz="4" w:space="0" w:color="000000"/>
              <w:right w:val="single" w:sz="4" w:space="0" w:color="000000"/>
            </w:tcBorders>
            <w:vAlign w:val="center"/>
          </w:tcPr>
          <w:p w14:paraId="298DCC3B"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30 ± 10</w:t>
            </w:r>
          </w:p>
        </w:tc>
      </w:tr>
      <w:tr w:rsidR="00EB21F6" w14:paraId="49B0CD0F" w14:textId="77777777">
        <w:trPr>
          <w:trHeight w:val="90"/>
        </w:trPr>
        <w:tc>
          <w:tcPr>
            <w:tcW w:w="2715" w:type="dxa"/>
            <w:tcBorders>
              <w:top w:val="single" w:sz="4" w:space="0" w:color="000000"/>
              <w:left w:val="single" w:sz="4" w:space="0" w:color="000000"/>
              <w:bottom w:val="single" w:sz="4" w:space="0" w:color="000000"/>
              <w:right w:val="single" w:sz="4" w:space="0" w:color="000000"/>
            </w:tcBorders>
            <w:vAlign w:val="center"/>
          </w:tcPr>
          <w:p w14:paraId="2C5B3D2F" w14:textId="77777777" w:rsidR="00EB21F6" w:rsidRDefault="000176C0">
            <w:pPr>
              <w:widowControl w:val="0"/>
              <w:pBdr>
                <w:top w:val="nil"/>
                <w:left w:val="nil"/>
                <w:bottom w:val="nil"/>
                <w:right w:val="nil"/>
                <w:between w:val="nil"/>
              </w:pBdr>
              <w:jc w:val="both"/>
              <w:rPr>
                <w:rFonts w:ascii="Arial" w:eastAsia="Arial" w:hAnsi="Arial" w:cs="Arial"/>
                <w:color w:val="000000"/>
              </w:rPr>
            </w:pPr>
            <w:r>
              <w:rPr>
                <w:rFonts w:ascii="Arial Unicode MS" w:eastAsia="Arial Unicode MS" w:hAnsi="Arial Unicode MS" w:cs="Arial Unicode MS"/>
                <w:color w:val="000000"/>
              </w:rPr>
              <w:t>Children(≤10 years)</w:t>
            </w:r>
          </w:p>
        </w:tc>
        <w:tc>
          <w:tcPr>
            <w:tcW w:w="2175" w:type="dxa"/>
            <w:tcBorders>
              <w:top w:val="single" w:sz="4" w:space="0" w:color="000000"/>
              <w:left w:val="single" w:sz="4" w:space="0" w:color="000000"/>
              <w:bottom w:val="single" w:sz="4" w:space="0" w:color="000000"/>
              <w:right w:val="single" w:sz="4" w:space="0" w:color="000000"/>
            </w:tcBorders>
            <w:vAlign w:val="center"/>
          </w:tcPr>
          <w:p w14:paraId="4346FAA8"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81</w:t>
            </w:r>
          </w:p>
        </w:tc>
        <w:tc>
          <w:tcPr>
            <w:tcW w:w="1935" w:type="dxa"/>
            <w:tcBorders>
              <w:top w:val="single" w:sz="4" w:space="0" w:color="000000"/>
              <w:left w:val="single" w:sz="4" w:space="0" w:color="000000"/>
              <w:bottom w:val="single" w:sz="4" w:space="0" w:color="000000"/>
              <w:right w:val="single" w:sz="4" w:space="0" w:color="000000"/>
            </w:tcBorders>
            <w:vAlign w:val="center"/>
          </w:tcPr>
          <w:p w14:paraId="150ADCEB"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1–10</w:t>
            </w:r>
          </w:p>
        </w:tc>
        <w:tc>
          <w:tcPr>
            <w:tcW w:w="1785" w:type="dxa"/>
            <w:tcBorders>
              <w:top w:val="single" w:sz="4" w:space="0" w:color="000000"/>
              <w:left w:val="single" w:sz="4" w:space="0" w:color="000000"/>
              <w:bottom w:val="single" w:sz="4" w:space="0" w:color="000000"/>
              <w:right w:val="single" w:sz="4" w:space="0" w:color="000000"/>
            </w:tcBorders>
            <w:vAlign w:val="center"/>
          </w:tcPr>
          <w:p w14:paraId="5CC9EDB3"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5 ± 5</w:t>
            </w:r>
          </w:p>
        </w:tc>
      </w:tr>
      <w:tr w:rsidR="00EB21F6" w14:paraId="688F428B" w14:textId="77777777">
        <w:trPr>
          <w:trHeight w:val="90"/>
        </w:trPr>
        <w:tc>
          <w:tcPr>
            <w:tcW w:w="2715" w:type="dxa"/>
            <w:tcBorders>
              <w:top w:val="single" w:sz="4" w:space="0" w:color="000000"/>
              <w:left w:val="single" w:sz="4" w:space="0" w:color="000000"/>
              <w:bottom w:val="single" w:sz="4" w:space="0" w:color="000000"/>
              <w:right w:val="single" w:sz="4" w:space="0" w:color="000000"/>
            </w:tcBorders>
            <w:vAlign w:val="center"/>
          </w:tcPr>
          <w:p w14:paraId="1EB79AE8"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Total</w:t>
            </w:r>
          </w:p>
        </w:tc>
        <w:tc>
          <w:tcPr>
            <w:tcW w:w="2175" w:type="dxa"/>
            <w:tcBorders>
              <w:top w:val="single" w:sz="4" w:space="0" w:color="000000"/>
              <w:left w:val="single" w:sz="4" w:space="0" w:color="000000"/>
              <w:bottom w:val="single" w:sz="4" w:space="0" w:color="000000"/>
              <w:right w:val="single" w:sz="4" w:space="0" w:color="000000"/>
            </w:tcBorders>
            <w:vAlign w:val="center"/>
          </w:tcPr>
          <w:p w14:paraId="04BE83B0"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191</w:t>
            </w:r>
          </w:p>
        </w:tc>
        <w:tc>
          <w:tcPr>
            <w:tcW w:w="1935" w:type="dxa"/>
            <w:tcBorders>
              <w:top w:val="single" w:sz="4" w:space="0" w:color="000000"/>
              <w:left w:val="single" w:sz="4" w:space="0" w:color="000000"/>
              <w:bottom w:val="single" w:sz="4" w:space="0" w:color="000000"/>
              <w:right w:val="single" w:sz="4" w:space="0" w:color="000000"/>
            </w:tcBorders>
            <w:vAlign w:val="center"/>
          </w:tcPr>
          <w:p w14:paraId="1BCE9C67"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w:t>
            </w:r>
          </w:p>
        </w:tc>
        <w:tc>
          <w:tcPr>
            <w:tcW w:w="1785" w:type="dxa"/>
            <w:tcBorders>
              <w:top w:val="single" w:sz="4" w:space="0" w:color="000000"/>
              <w:left w:val="single" w:sz="4" w:space="0" w:color="000000"/>
              <w:bottom w:val="single" w:sz="4" w:space="0" w:color="000000"/>
              <w:right w:val="single" w:sz="4" w:space="0" w:color="000000"/>
            </w:tcBorders>
            <w:vAlign w:val="center"/>
          </w:tcPr>
          <w:p w14:paraId="6052EE5D" w14:textId="77777777" w:rsidR="00EB21F6" w:rsidRDefault="000176C0">
            <w:pPr>
              <w:widowControl w:val="0"/>
              <w:pBdr>
                <w:top w:val="nil"/>
                <w:left w:val="nil"/>
                <w:bottom w:val="nil"/>
                <w:right w:val="nil"/>
                <w:between w:val="nil"/>
              </w:pBdr>
              <w:ind w:left="765" w:hanging="365"/>
              <w:jc w:val="both"/>
              <w:rPr>
                <w:rFonts w:ascii="Arial" w:eastAsia="Arial" w:hAnsi="Arial" w:cs="Arial"/>
                <w:color w:val="000000"/>
              </w:rPr>
            </w:pPr>
            <w:r>
              <w:rPr>
                <w:rFonts w:ascii="Arial" w:eastAsia="Arial" w:hAnsi="Arial" w:cs="Arial"/>
                <w:color w:val="000000"/>
              </w:rPr>
              <w:t>—</w:t>
            </w:r>
          </w:p>
        </w:tc>
      </w:tr>
    </w:tbl>
    <w:p w14:paraId="5AF8C9C0" w14:textId="77777777" w:rsidR="00EB21F6" w:rsidRDefault="00EB21F6">
      <w:pPr>
        <w:spacing w:before="280" w:after="280"/>
        <w:ind w:left="798"/>
        <w:jc w:val="both"/>
        <w:rPr>
          <w:rFonts w:ascii="Arial" w:eastAsia="Arial" w:hAnsi="Arial" w:cs="Arial"/>
        </w:rPr>
      </w:pPr>
    </w:p>
    <w:p w14:paraId="1560C33D"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 xml:space="preserve">Table 2. presents the prevalence of malaria among three different demographic groups: adult males, adult females, and children in </w:t>
      </w:r>
      <w:proofErr w:type="spellStart"/>
      <w:r>
        <w:rPr>
          <w:rFonts w:ascii="Arial" w:eastAsia="Arial" w:hAnsi="Arial" w:cs="Arial"/>
          <w:color w:val="000000"/>
        </w:rPr>
        <w:t>Akinima</w:t>
      </w:r>
      <w:proofErr w:type="spellEnd"/>
      <w:r>
        <w:rPr>
          <w:rFonts w:ascii="Arial" w:eastAsia="Arial" w:hAnsi="Arial" w:cs="Arial"/>
          <w:color w:val="000000"/>
        </w:rPr>
        <w:t xml:space="preserve">, </w:t>
      </w:r>
      <w:proofErr w:type="spellStart"/>
      <w:r>
        <w:rPr>
          <w:rFonts w:ascii="Arial" w:eastAsia="Arial" w:hAnsi="Arial" w:cs="Arial"/>
          <w:color w:val="000000"/>
        </w:rPr>
        <w:t>Ahoada</w:t>
      </w:r>
      <w:proofErr w:type="spellEnd"/>
      <w:r>
        <w:rPr>
          <w:rFonts w:ascii="Arial" w:eastAsia="Arial" w:hAnsi="Arial" w:cs="Arial"/>
          <w:color w:val="000000"/>
        </w:rPr>
        <w:t xml:space="preserve"> West, Rivers State, Nigeria. Adult Males (n = 44): Out of the 44 adult males, 34 individuals (77.3%) tested positive for malaria, while 10 individuals (22.7%) tested negative. Adult Females (n = 66): Among the 66 adult females, 49 individuals (74.2%) tested positive for malaria, and 17 individuals (25.8%) tested negative. Children (n = 81): In the group of 81 children, 63 individuals (77.8%) tested positive for malaria, while 18 individuals (22.2%) tested negative. The highest prevalence of malaria was observed among children. The table indicates that malaria is present across all demographic groups, with children showing the highest rate of observed infection. The differences in observed prevalence between adult males, adult females, and children are small. These results describe the distribution of malaria in the study population.</w:t>
      </w:r>
    </w:p>
    <w:tbl>
      <w:tblPr>
        <w:tblStyle w:val="a0"/>
        <w:tblW w:w="9034" w:type="dxa"/>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9"/>
        <w:gridCol w:w="2433"/>
        <w:gridCol w:w="2335"/>
        <w:gridCol w:w="2367"/>
      </w:tblGrid>
      <w:tr w:rsidR="00EB21F6" w14:paraId="66616FB6" w14:textId="77777777">
        <w:trPr>
          <w:trHeight w:val="650"/>
        </w:trPr>
        <w:tc>
          <w:tcPr>
            <w:tcW w:w="9034" w:type="dxa"/>
            <w:gridSpan w:val="4"/>
            <w:tcBorders>
              <w:top w:val="single" w:sz="4" w:space="0" w:color="000000"/>
              <w:left w:val="single" w:sz="4" w:space="0" w:color="000000"/>
              <w:bottom w:val="single" w:sz="4" w:space="0" w:color="000000"/>
              <w:right w:val="single" w:sz="4" w:space="0" w:color="000000"/>
            </w:tcBorders>
            <w:vAlign w:val="center"/>
          </w:tcPr>
          <w:p w14:paraId="3C2EB1A2" w14:textId="77777777" w:rsidR="00EB21F6" w:rsidRDefault="000176C0">
            <w:pPr>
              <w:pStyle w:val="Heading3"/>
              <w:ind w:left="798"/>
              <w:jc w:val="both"/>
              <w:rPr>
                <w:rFonts w:ascii="Arial" w:eastAsia="Arial" w:hAnsi="Arial" w:cs="Arial"/>
                <w:sz w:val="20"/>
                <w:szCs w:val="20"/>
              </w:rPr>
            </w:pPr>
            <w:r>
              <w:rPr>
                <w:rFonts w:ascii="Arial" w:eastAsia="Arial" w:hAnsi="Arial" w:cs="Arial"/>
                <w:sz w:val="20"/>
                <w:szCs w:val="20"/>
              </w:rPr>
              <w:t>Table 2. Malaria Prevalence Across Demographic Groups</w:t>
            </w:r>
          </w:p>
        </w:tc>
      </w:tr>
      <w:tr w:rsidR="00EB21F6" w14:paraId="54338C58" w14:textId="77777777">
        <w:trPr>
          <w:trHeight w:val="650"/>
        </w:trPr>
        <w:tc>
          <w:tcPr>
            <w:tcW w:w="1899" w:type="dxa"/>
            <w:tcBorders>
              <w:left w:val="single" w:sz="4" w:space="0" w:color="000000"/>
              <w:bottom w:val="single" w:sz="4" w:space="0" w:color="000000"/>
              <w:right w:val="single" w:sz="4" w:space="0" w:color="000000"/>
            </w:tcBorders>
            <w:vAlign w:val="center"/>
          </w:tcPr>
          <w:p w14:paraId="43078D7B" w14:textId="77777777" w:rsidR="00EB21F6" w:rsidRDefault="000176C0">
            <w:pPr>
              <w:widowControl w:val="0"/>
              <w:pBdr>
                <w:top w:val="nil"/>
                <w:left w:val="nil"/>
                <w:bottom w:val="nil"/>
                <w:right w:val="nil"/>
                <w:between w:val="nil"/>
              </w:pBdr>
              <w:ind w:left="418" w:hanging="17"/>
              <w:jc w:val="both"/>
              <w:rPr>
                <w:rFonts w:ascii="Arial" w:eastAsia="Arial" w:hAnsi="Arial" w:cs="Arial"/>
                <w:b/>
                <w:color w:val="000000"/>
              </w:rPr>
            </w:pPr>
            <w:r>
              <w:rPr>
                <w:rFonts w:ascii="Arial" w:eastAsia="Arial" w:hAnsi="Arial" w:cs="Arial"/>
                <w:b/>
                <w:color w:val="000000"/>
              </w:rPr>
              <w:t>Group</w:t>
            </w:r>
          </w:p>
        </w:tc>
        <w:tc>
          <w:tcPr>
            <w:tcW w:w="2433" w:type="dxa"/>
            <w:tcBorders>
              <w:left w:val="single" w:sz="4" w:space="0" w:color="000000"/>
              <w:bottom w:val="single" w:sz="4" w:space="0" w:color="000000"/>
              <w:right w:val="single" w:sz="4" w:space="0" w:color="000000"/>
            </w:tcBorders>
            <w:vAlign w:val="center"/>
          </w:tcPr>
          <w:p w14:paraId="13CB84E6" w14:textId="77777777" w:rsidR="00EB21F6" w:rsidRDefault="000176C0">
            <w:pPr>
              <w:widowControl w:val="0"/>
              <w:pBdr>
                <w:top w:val="nil"/>
                <w:left w:val="nil"/>
                <w:bottom w:val="nil"/>
                <w:right w:val="nil"/>
                <w:between w:val="nil"/>
              </w:pBdr>
              <w:ind w:left="418" w:hanging="17"/>
              <w:jc w:val="both"/>
              <w:rPr>
                <w:rFonts w:ascii="Arial" w:eastAsia="Arial" w:hAnsi="Arial" w:cs="Arial"/>
                <w:b/>
                <w:color w:val="000000"/>
              </w:rPr>
            </w:pPr>
            <w:r>
              <w:rPr>
                <w:rFonts w:ascii="Arial" w:eastAsia="Arial" w:hAnsi="Arial" w:cs="Arial"/>
                <w:b/>
                <w:color w:val="000000"/>
              </w:rPr>
              <w:t>Sample Size (n)</w:t>
            </w:r>
          </w:p>
        </w:tc>
        <w:tc>
          <w:tcPr>
            <w:tcW w:w="2335" w:type="dxa"/>
            <w:tcBorders>
              <w:left w:val="single" w:sz="4" w:space="0" w:color="000000"/>
              <w:bottom w:val="single" w:sz="4" w:space="0" w:color="000000"/>
              <w:right w:val="single" w:sz="4" w:space="0" w:color="000000"/>
            </w:tcBorders>
            <w:vAlign w:val="center"/>
          </w:tcPr>
          <w:p w14:paraId="01B61D89" w14:textId="77777777" w:rsidR="00EB21F6" w:rsidRDefault="000176C0">
            <w:pPr>
              <w:widowControl w:val="0"/>
              <w:pBdr>
                <w:top w:val="nil"/>
                <w:left w:val="nil"/>
                <w:bottom w:val="nil"/>
                <w:right w:val="nil"/>
                <w:between w:val="nil"/>
              </w:pBdr>
              <w:ind w:left="418" w:hanging="17"/>
              <w:jc w:val="both"/>
              <w:rPr>
                <w:rFonts w:ascii="Arial" w:eastAsia="Arial" w:hAnsi="Arial" w:cs="Arial"/>
                <w:b/>
                <w:color w:val="000000"/>
              </w:rPr>
            </w:pPr>
            <w:r>
              <w:rPr>
                <w:rFonts w:ascii="Arial" w:eastAsia="Arial" w:hAnsi="Arial" w:cs="Arial"/>
                <w:b/>
                <w:color w:val="000000"/>
              </w:rPr>
              <w:t>Malaria Positive (n, %)</w:t>
            </w:r>
          </w:p>
        </w:tc>
        <w:tc>
          <w:tcPr>
            <w:tcW w:w="2367" w:type="dxa"/>
            <w:tcBorders>
              <w:left w:val="single" w:sz="4" w:space="0" w:color="000000"/>
              <w:bottom w:val="single" w:sz="4" w:space="0" w:color="000000"/>
              <w:right w:val="single" w:sz="4" w:space="0" w:color="000000"/>
            </w:tcBorders>
            <w:vAlign w:val="center"/>
          </w:tcPr>
          <w:p w14:paraId="4297CA2A" w14:textId="77777777" w:rsidR="00EB21F6" w:rsidRDefault="000176C0">
            <w:pPr>
              <w:widowControl w:val="0"/>
              <w:pBdr>
                <w:top w:val="nil"/>
                <w:left w:val="nil"/>
                <w:bottom w:val="nil"/>
                <w:right w:val="nil"/>
                <w:between w:val="nil"/>
              </w:pBdr>
              <w:ind w:left="418" w:hanging="17"/>
              <w:jc w:val="both"/>
              <w:rPr>
                <w:rFonts w:ascii="Arial" w:eastAsia="Arial" w:hAnsi="Arial" w:cs="Arial"/>
                <w:b/>
                <w:color w:val="000000"/>
              </w:rPr>
            </w:pPr>
            <w:r>
              <w:rPr>
                <w:rFonts w:ascii="Arial" w:eastAsia="Arial" w:hAnsi="Arial" w:cs="Arial"/>
                <w:b/>
                <w:color w:val="000000"/>
              </w:rPr>
              <w:t>Malaria Negative (n, %)</w:t>
            </w:r>
          </w:p>
        </w:tc>
      </w:tr>
      <w:tr w:rsidR="00EB21F6" w14:paraId="131FD4C1" w14:textId="77777777">
        <w:trPr>
          <w:trHeight w:val="330"/>
        </w:trPr>
        <w:tc>
          <w:tcPr>
            <w:tcW w:w="1899" w:type="dxa"/>
            <w:tcBorders>
              <w:top w:val="single" w:sz="4" w:space="0" w:color="000000"/>
              <w:left w:val="single" w:sz="4" w:space="0" w:color="000000"/>
              <w:bottom w:val="single" w:sz="4" w:space="0" w:color="000000"/>
              <w:right w:val="single" w:sz="4" w:space="0" w:color="000000"/>
            </w:tcBorders>
            <w:vAlign w:val="center"/>
          </w:tcPr>
          <w:p w14:paraId="589BE9B4"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Adult Males</w:t>
            </w:r>
          </w:p>
        </w:tc>
        <w:tc>
          <w:tcPr>
            <w:tcW w:w="2433" w:type="dxa"/>
            <w:tcBorders>
              <w:top w:val="single" w:sz="4" w:space="0" w:color="000000"/>
              <w:left w:val="single" w:sz="4" w:space="0" w:color="000000"/>
              <w:bottom w:val="single" w:sz="4" w:space="0" w:color="000000"/>
              <w:right w:val="single" w:sz="4" w:space="0" w:color="000000"/>
            </w:tcBorders>
            <w:vAlign w:val="center"/>
          </w:tcPr>
          <w:p w14:paraId="70618125"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44</w:t>
            </w:r>
          </w:p>
        </w:tc>
        <w:tc>
          <w:tcPr>
            <w:tcW w:w="2335" w:type="dxa"/>
            <w:tcBorders>
              <w:top w:val="single" w:sz="4" w:space="0" w:color="000000"/>
              <w:left w:val="single" w:sz="4" w:space="0" w:color="000000"/>
              <w:bottom w:val="single" w:sz="4" w:space="0" w:color="000000"/>
              <w:right w:val="single" w:sz="4" w:space="0" w:color="000000"/>
            </w:tcBorders>
            <w:vAlign w:val="center"/>
          </w:tcPr>
          <w:p w14:paraId="67A451B7"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34 (77.3%)</w:t>
            </w:r>
          </w:p>
        </w:tc>
        <w:tc>
          <w:tcPr>
            <w:tcW w:w="2367" w:type="dxa"/>
            <w:tcBorders>
              <w:top w:val="single" w:sz="4" w:space="0" w:color="000000"/>
              <w:left w:val="single" w:sz="4" w:space="0" w:color="000000"/>
              <w:bottom w:val="single" w:sz="4" w:space="0" w:color="000000"/>
              <w:right w:val="single" w:sz="4" w:space="0" w:color="000000"/>
            </w:tcBorders>
            <w:vAlign w:val="center"/>
          </w:tcPr>
          <w:p w14:paraId="25DFBB44"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10 (22.7%)</w:t>
            </w:r>
          </w:p>
        </w:tc>
      </w:tr>
      <w:tr w:rsidR="00EB21F6" w14:paraId="188FBBA1" w14:textId="77777777">
        <w:trPr>
          <w:trHeight w:val="330"/>
        </w:trPr>
        <w:tc>
          <w:tcPr>
            <w:tcW w:w="1899" w:type="dxa"/>
            <w:tcBorders>
              <w:top w:val="single" w:sz="4" w:space="0" w:color="000000"/>
              <w:left w:val="single" w:sz="4" w:space="0" w:color="000000"/>
              <w:bottom w:val="single" w:sz="4" w:space="0" w:color="000000"/>
              <w:right w:val="single" w:sz="4" w:space="0" w:color="000000"/>
            </w:tcBorders>
            <w:vAlign w:val="center"/>
          </w:tcPr>
          <w:p w14:paraId="4731BAAB"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Adult Females</w:t>
            </w:r>
          </w:p>
        </w:tc>
        <w:tc>
          <w:tcPr>
            <w:tcW w:w="2433" w:type="dxa"/>
            <w:tcBorders>
              <w:top w:val="single" w:sz="4" w:space="0" w:color="000000"/>
              <w:left w:val="single" w:sz="4" w:space="0" w:color="000000"/>
              <w:bottom w:val="single" w:sz="4" w:space="0" w:color="000000"/>
              <w:right w:val="single" w:sz="4" w:space="0" w:color="000000"/>
            </w:tcBorders>
            <w:vAlign w:val="center"/>
          </w:tcPr>
          <w:p w14:paraId="59D301B2"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66</w:t>
            </w:r>
          </w:p>
        </w:tc>
        <w:tc>
          <w:tcPr>
            <w:tcW w:w="2335" w:type="dxa"/>
            <w:tcBorders>
              <w:top w:val="single" w:sz="4" w:space="0" w:color="000000"/>
              <w:left w:val="single" w:sz="4" w:space="0" w:color="000000"/>
              <w:bottom w:val="single" w:sz="4" w:space="0" w:color="000000"/>
              <w:right w:val="single" w:sz="4" w:space="0" w:color="000000"/>
            </w:tcBorders>
            <w:vAlign w:val="center"/>
          </w:tcPr>
          <w:p w14:paraId="0EF4DFC3"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49 (74.2%)</w:t>
            </w:r>
          </w:p>
        </w:tc>
        <w:tc>
          <w:tcPr>
            <w:tcW w:w="2367" w:type="dxa"/>
            <w:tcBorders>
              <w:top w:val="single" w:sz="4" w:space="0" w:color="000000"/>
              <w:left w:val="single" w:sz="4" w:space="0" w:color="000000"/>
              <w:bottom w:val="single" w:sz="4" w:space="0" w:color="000000"/>
              <w:right w:val="single" w:sz="4" w:space="0" w:color="000000"/>
            </w:tcBorders>
            <w:vAlign w:val="center"/>
          </w:tcPr>
          <w:p w14:paraId="6338E400"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17 (25.8%)</w:t>
            </w:r>
          </w:p>
        </w:tc>
      </w:tr>
      <w:tr w:rsidR="00EB21F6" w14:paraId="66ABDFD5" w14:textId="77777777">
        <w:trPr>
          <w:trHeight w:val="343"/>
        </w:trPr>
        <w:tc>
          <w:tcPr>
            <w:tcW w:w="1899" w:type="dxa"/>
            <w:tcBorders>
              <w:top w:val="single" w:sz="4" w:space="0" w:color="000000"/>
              <w:left w:val="single" w:sz="4" w:space="0" w:color="000000"/>
              <w:bottom w:val="single" w:sz="4" w:space="0" w:color="000000"/>
              <w:right w:val="single" w:sz="4" w:space="0" w:color="000000"/>
            </w:tcBorders>
            <w:vAlign w:val="center"/>
          </w:tcPr>
          <w:p w14:paraId="5D1DCAFB"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Children</w:t>
            </w:r>
          </w:p>
        </w:tc>
        <w:tc>
          <w:tcPr>
            <w:tcW w:w="2433" w:type="dxa"/>
            <w:tcBorders>
              <w:top w:val="single" w:sz="4" w:space="0" w:color="000000"/>
              <w:left w:val="single" w:sz="4" w:space="0" w:color="000000"/>
              <w:bottom w:val="single" w:sz="4" w:space="0" w:color="000000"/>
              <w:right w:val="single" w:sz="4" w:space="0" w:color="000000"/>
            </w:tcBorders>
            <w:vAlign w:val="center"/>
          </w:tcPr>
          <w:p w14:paraId="5B00E190"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81</w:t>
            </w:r>
          </w:p>
        </w:tc>
        <w:tc>
          <w:tcPr>
            <w:tcW w:w="2335" w:type="dxa"/>
            <w:tcBorders>
              <w:top w:val="single" w:sz="4" w:space="0" w:color="000000"/>
              <w:left w:val="single" w:sz="4" w:space="0" w:color="000000"/>
              <w:bottom w:val="single" w:sz="4" w:space="0" w:color="000000"/>
              <w:right w:val="single" w:sz="4" w:space="0" w:color="000000"/>
            </w:tcBorders>
            <w:vAlign w:val="center"/>
          </w:tcPr>
          <w:p w14:paraId="4BDA3E1C"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63 (77.8%)</w:t>
            </w:r>
          </w:p>
        </w:tc>
        <w:tc>
          <w:tcPr>
            <w:tcW w:w="2367" w:type="dxa"/>
            <w:tcBorders>
              <w:top w:val="single" w:sz="4" w:space="0" w:color="000000"/>
              <w:left w:val="single" w:sz="4" w:space="0" w:color="000000"/>
              <w:bottom w:val="single" w:sz="4" w:space="0" w:color="000000"/>
              <w:right w:val="single" w:sz="4" w:space="0" w:color="000000"/>
            </w:tcBorders>
            <w:vAlign w:val="center"/>
          </w:tcPr>
          <w:p w14:paraId="0E8D8820"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18 (22.2%)</w:t>
            </w:r>
          </w:p>
        </w:tc>
      </w:tr>
    </w:tbl>
    <w:p w14:paraId="6AB6CEA9" w14:textId="77777777" w:rsidR="00EB21F6" w:rsidRDefault="00EB21F6">
      <w:pPr>
        <w:spacing w:before="280" w:after="280"/>
        <w:ind w:left="798"/>
        <w:jc w:val="both"/>
        <w:rPr>
          <w:rFonts w:ascii="Arial" w:eastAsia="Arial" w:hAnsi="Arial" w:cs="Arial"/>
        </w:rPr>
      </w:pPr>
    </w:p>
    <w:p w14:paraId="022312E6" w14:textId="77777777" w:rsidR="00EB21F6" w:rsidRDefault="00EB21F6">
      <w:pPr>
        <w:pBdr>
          <w:top w:val="nil"/>
          <w:left w:val="nil"/>
          <w:bottom w:val="nil"/>
          <w:right w:val="nil"/>
          <w:between w:val="nil"/>
        </w:pBdr>
        <w:spacing w:before="280" w:after="280"/>
        <w:ind w:left="798"/>
        <w:jc w:val="both"/>
        <w:rPr>
          <w:rFonts w:ascii="Arial" w:eastAsia="Arial" w:hAnsi="Arial" w:cs="Arial"/>
          <w:color w:val="000000"/>
        </w:rPr>
      </w:pPr>
    </w:p>
    <w:p w14:paraId="1698AB71" w14:textId="77777777" w:rsidR="00EB21F6" w:rsidRDefault="00EB21F6">
      <w:pPr>
        <w:pStyle w:val="Heading3"/>
        <w:ind w:left="798"/>
        <w:jc w:val="both"/>
        <w:rPr>
          <w:rFonts w:ascii="Arial" w:eastAsia="Arial" w:hAnsi="Arial" w:cs="Arial"/>
          <w:sz w:val="20"/>
          <w:szCs w:val="20"/>
        </w:rPr>
      </w:pPr>
    </w:p>
    <w:p w14:paraId="79F5D622" w14:textId="77777777" w:rsidR="00EB21F6" w:rsidRDefault="00EB21F6">
      <w:pPr>
        <w:spacing w:before="280" w:after="280"/>
        <w:ind w:left="798"/>
        <w:jc w:val="both"/>
        <w:rPr>
          <w:rFonts w:ascii="Arial" w:eastAsia="Arial" w:hAnsi="Arial" w:cs="Arial"/>
        </w:rPr>
      </w:pPr>
    </w:p>
    <w:p w14:paraId="6724BD27" w14:textId="77777777" w:rsidR="00EB21F6" w:rsidRDefault="000176C0">
      <w:pPr>
        <w:pBdr>
          <w:top w:val="nil"/>
          <w:left w:val="nil"/>
          <w:bottom w:val="nil"/>
          <w:right w:val="nil"/>
          <w:between w:val="nil"/>
        </w:pBdr>
        <w:spacing w:before="280" w:after="280"/>
        <w:ind w:left="720"/>
        <w:jc w:val="both"/>
        <w:rPr>
          <w:rFonts w:ascii="Times New Roman" w:eastAsia="Times New Roman" w:hAnsi="Times New Roman" w:cs="Times New Roman"/>
          <w:color w:val="000000"/>
        </w:rPr>
      </w:pPr>
      <w:r>
        <w:rPr>
          <w:rFonts w:ascii="Arial" w:eastAsia="Arial" w:hAnsi="Arial" w:cs="Arial"/>
          <w:color w:val="000000"/>
        </w:rPr>
        <w:tab/>
        <w:t xml:space="preserve">Table 3. presents the prevalence of typhoid antigen among the three demographic groups: adult males, adult females, and children in </w:t>
      </w:r>
      <w:proofErr w:type="spellStart"/>
      <w:r>
        <w:rPr>
          <w:rFonts w:ascii="Arial" w:eastAsia="Arial" w:hAnsi="Arial" w:cs="Arial"/>
          <w:color w:val="000000"/>
        </w:rPr>
        <w:t>Akinima</w:t>
      </w:r>
      <w:proofErr w:type="spellEnd"/>
      <w:r>
        <w:rPr>
          <w:rFonts w:ascii="Arial" w:eastAsia="Arial" w:hAnsi="Arial" w:cs="Arial"/>
          <w:color w:val="000000"/>
        </w:rPr>
        <w:t xml:space="preserve">, </w:t>
      </w:r>
      <w:proofErr w:type="spellStart"/>
      <w:r>
        <w:rPr>
          <w:rFonts w:ascii="Arial" w:eastAsia="Arial" w:hAnsi="Arial" w:cs="Arial"/>
          <w:color w:val="000000"/>
        </w:rPr>
        <w:t>Ahoada</w:t>
      </w:r>
      <w:proofErr w:type="spellEnd"/>
      <w:r>
        <w:rPr>
          <w:rFonts w:ascii="Arial" w:eastAsia="Arial" w:hAnsi="Arial" w:cs="Arial"/>
          <w:color w:val="000000"/>
        </w:rPr>
        <w:t xml:space="preserve"> West, Rivers State, Nigeria. Adult Males (n = 44): Among the 44 adult male participants, 17 (38.6%) tested positive for typhoid antigen, while 27 (61.4%) tested negative. Adult Females (n = 66): Of the 66 adult female participants, 27 (40.9%) were typhoid-positive, and 39 (59.1%) were typhoid-negative. Children (n = 81): Out of the 81 </w:t>
      </w:r>
      <w:r>
        <w:rPr>
          <w:rFonts w:ascii="Arial" w:eastAsia="Arial" w:hAnsi="Arial" w:cs="Arial"/>
          <w:color w:val="000000"/>
        </w:rPr>
        <w:lastRenderedPageBreak/>
        <w:t>children included in the study, 37 (45.7%) tested positive for typhoid antigen, while 44 (54.3%) tested negative. This group showed the highest prevalence of typhoid antigen. Overall, the data indicate that typhoid antigen is present across all demographic groups, with children showing the highest observed prevalence.</w:t>
      </w:r>
    </w:p>
    <w:tbl>
      <w:tblPr>
        <w:tblStyle w:val="a1"/>
        <w:tblW w:w="8888" w:type="dxa"/>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4"/>
        <w:gridCol w:w="2115"/>
        <w:gridCol w:w="2417"/>
        <w:gridCol w:w="2422"/>
      </w:tblGrid>
      <w:tr w:rsidR="00EB21F6" w14:paraId="56DB9F6E" w14:textId="77777777">
        <w:tc>
          <w:tcPr>
            <w:tcW w:w="8888" w:type="dxa"/>
            <w:gridSpan w:val="4"/>
            <w:tcBorders>
              <w:top w:val="single" w:sz="4" w:space="0" w:color="000000"/>
              <w:left w:val="single" w:sz="4" w:space="0" w:color="000000"/>
              <w:bottom w:val="single" w:sz="4" w:space="0" w:color="000000"/>
              <w:right w:val="single" w:sz="4" w:space="0" w:color="000000"/>
            </w:tcBorders>
            <w:vAlign w:val="center"/>
          </w:tcPr>
          <w:p w14:paraId="0779631A" w14:textId="77777777" w:rsidR="00EB21F6" w:rsidRDefault="000176C0">
            <w:pPr>
              <w:pStyle w:val="Heading3"/>
              <w:ind w:left="798"/>
              <w:jc w:val="both"/>
              <w:rPr>
                <w:rFonts w:ascii="Arial" w:eastAsia="Arial" w:hAnsi="Arial" w:cs="Arial"/>
                <w:sz w:val="20"/>
                <w:szCs w:val="20"/>
              </w:rPr>
            </w:pPr>
            <w:r>
              <w:rPr>
                <w:rFonts w:ascii="Arial" w:eastAsia="Arial" w:hAnsi="Arial" w:cs="Arial"/>
                <w:sz w:val="20"/>
                <w:szCs w:val="20"/>
              </w:rPr>
              <w:t>Table 3. Typhoid Antigen Prevalence Across Demographic Groups</w:t>
            </w:r>
          </w:p>
        </w:tc>
      </w:tr>
      <w:tr w:rsidR="00EB21F6" w14:paraId="4D699C46" w14:textId="77777777">
        <w:tc>
          <w:tcPr>
            <w:tcW w:w="1934" w:type="dxa"/>
            <w:tcBorders>
              <w:left w:val="single" w:sz="4" w:space="0" w:color="000000"/>
              <w:bottom w:val="single" w:sz="4" w:space="0" w:color="000000"/>
              <w:right w:val="single" w:sz="4" w:space="0" w:color="000000"/>
            </w:tcBorders>
            <w:vAlign w:val="center"/>
          </w:tcPr>
          <w:p w14:paraId="428027A3" w14:textId="77777777" w:rsidR="00EB21F6" w:rsidRDefault="000176C0">
            <w:pPr>
              <w:widowControl w:val="0"/>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Group</w:t>
            </w:r>
          </w:p>
        </w:tc>
        <w:tc>
          <w:tcPr>
            <w:tcW w:w="2115" w:type="dxa"/>
            <w:tcBorders>
              <w:left w:val="single" w:sz="4" w:space="0" w:color="000000"/>
              <w:bottom w:val="single" w:sz="4" w:space="0" w:color="000000"/>
              <w:right w:val="single" w:sz="4" w:space="0" w:color="000000"/>
            </w:tcBorders>
            <w:vAlign w:val="center"/>
          </w:tcPr>
          <w:p w14:paraId="497D688A" w14:textId="77777777" w:rsidR="00EB21F6" w:rsidRDefault="000176C0">
            <w:pPr>
              <w:widowControl w:val="0"/>
              <w:pBdr>
                <w:top w:val="nil"/>
                <w:left w:val="nil"/>
                <w:bottom w:val="nil"/>
                <w:right w:val="nil"/>
                <w:between w:val="nil"/>
              </w:pBdr>
              <w:ind w:left="798"/>
              <w:jc w:val="both"/>
              <w:rPr>
                <w:rFonts w:ascii="Arial" w:eastAsia="Arial" w:hAnsi="Arial" w:cs="Arial"/>
                <w:b/>
                <w:color w:val="000000"/>
              </w:rPr>
            </w:pPr>
            <w:r>
              <w:rPr>
                <w:rFonts w:ascii="Arial" w:eastAsia="Arial" w:hAnsi="Arial" w:cs="Arial"/>
                <w:b/>
                <w:color w:val="000000"/>
              </w:rPr>
              <w:t>Sample Size (n)</w:t>
            </w:r>
          </w:p>
        </w:tc>
        <w:tc>
          <w:tcPr>
            <w:tcW w:w="2417" w:type="dxa"/>
            <w:tcBorders>
              <w:left w:val="single" w:sz="4" w:space="0" w:color="000000"/>
              <w:bottom w:val="single" w:sz="4" w:space="0" w:color="000000"/>
              <w:right w:val="single" w:sz="4" w:space="0" w:color="000000"/>
            </w:tcBorders>
            <w:vAlign w:val="center"/>
          </w:tcPr>
          <w:p w14:paraId="6B20452E" w14:textId="77777777" w:rsidR="00EB21F6" w:rsidRDefault="000176C0">
            <w:pPr>
              <w:widowControl w:val="0"/>
              <w:pBdr>
                <w:top w:val="nil"/>
                <w:left w:val="nil"/>
                <w:bottom w:val="nil"/>
                <w:right w:val="nil"/>
                <w:between w:val="nil"/>
              </w:pBdr>
              <w:ind w:left="798"/>
              <w:jc w:val="both"/>
              <w:rPr>
                <w:rFonts w:ascii="Arial" w:eastAsia="Arial" w:hAnsi="Arial" w:cs="Arial"/>
                <w:b/>
                <w:color w:val="000000"/>
              </w:rPr>
            </w:pPr>
            <w:r>
              <w:rPr>
                <w:rFonts w:ascii="Arial" w:eastAsia="Arial" w:hAnsi="Arial" w:cs="Arial"/>
                <w:b/>
                <w:color w:val="000000"/>
              </w:rPr>
              <w:t>Typhi Positive (n, %)</w:t>
            </w:r>
          </w:p>
        </w:tc>
        <w:tc>
          <w:tcPr>
            <w:tcW w:w="2422" w:type="dxa"/>
            <w:tcBorders>
              <w:left w:val="single" w:sz="4" w:space="0" w:color="000000"/>
              <w:bottom w:val="single" w:sz="4" w:space="0" w:color="000000"/>
              <w:right w:val="single" w:sz="4" w:space="0" w:color="000000"/>
            </w:tcBorders>
            <w:vAlign w:val="center"/>
          </w:tcPr>
          <w:p w14:paraId="500AE7C0" w14:textId="77777777" w:rsidR="00EB21F6" w:rsidRDefault="000176C0">
            <w:pPr>
              <w:widowControl w:val="0"/>
              <w:pBdr>
                <w:top w:val="nil"/>
                <w:left w:val="nil"/>
                <w:bottom w:val="nil"/>
                <w:right w:val="nil"/>
                <w:between w:val="nil"/>
              </w:pBdr>
              <w:ind w:left="798"/>
              <w:jc w:val="both"/>
              <w:rPr>
                <w:rFonts w:ascii="Arial" w:eastAsia="Arial" w:hAnsi="Arial" w:cs="Arial"/>
                <w:b/>
                <w:color w:val="000000"/>
              </w:rPr>
            </w:pPr>
            <w:r>
              <w:rPr>
                <w:rFonts w:ascii="Arial" w:eastAsia="Arial" w:hAnsi="Arial" w:cs="Arial"/>
                <w:b/>
                <w:color w:val="000000"/>
              </w:rPr>
              <w:t>Typhi Negative (n, %)</w:t>
            </w:r>
          </w:p>
        </w:tc>
      </w:tr>
      <w:tr w:rsidR="00EB21F6" w14:paraId="51BFD4B8" w14:textId="77777777">
        <w:tc>
          <w:tcPr>
            <w:tcW w:w="1934" w:type="dxa"/>
            <w:tcBorders>
              <w:top w:val="single" w:sz="4" w:space="0" w:color="000000"/>
              <w:left w:val="single" w:sz="4" w:space="0" w:color="000000"/>
              <w:bottom w:val="single" w:sz="4" w:space="0" w:color="000000"/>
              <w:right w:val="single" w:sz="4" w:space="0" w:color="000000"/>
            </w:tcBorders>
            <w:vAlign w:val="center"/>
          </w:tcPr>
          <w:p w14:paraId="679CF601" w14:textId="77777777" w:rsidR="00EB21F6" w:rsidRDefault="000176C0">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Adult Males</w:t>
            </w:r>
          </w:p>
        </w:tc>
        <w:tc>
          <w:tcPr>
            <w:tcW w:w="2115" w:type="dxa"/>
            <w:tcBorders>
              <w:top w:val="single" w:sz="4" w:space="0" w:color="000000"/>
              <w:left w:val="single" w:sz="4" w:space="0" w:color="000000"/>
              <w:bottom w:val="single" w:sz="4" w:space="0" w:color="000000"/>
              <w:right w:val="single" w:sz="4" w:space="0" w:color="000000"/>
            </w:tcBorders>
            <w:vAlign w:val="center"/>
          </w:tcPr>
          <w:p w14:paraId="0B9676A2" w14:textId="77777777" w:rsidR="00EB21F6" w:rsidRDefault="000176C0">
            <w:pPr>
              <w:widowControl w:val="0"/>
              <w:pBdr>
                <w:top w:val="nil"/>
                <w:left w:val="nil"/>
                <w:bottom w:val="nil"/>
                <w:right w:val="nil"/>
                <w:between w:val="nil"/>
              </w:pBdr>
              <w:ind w:left="798"/>
              <w:jc w:val="both"/>
              <w:rPr>
                <w:rFonts w:ascii="Arial" w:eastAsia="Arial" w:hAnsi="Arial" w:cs="Arial"/>
                <w:color w:val="000000"/>
              </w:rPr>
            </w:pPr>
            <w:r>
              <w:rPr>
                <w:rFonts w:ascii="Arial" w:eastAsia="Arial" w:hAnsi="Arial" w:cs="Arial"/>
                <w:color w:val="000000"/>
              </w:rPr>
              <w:t>44</w:t>
            </w:r>
          </w:p>
        </w:tc>
        <w:tc>
          <w:tcPr>
            <w:tcW w:w="2417" w:type="dxa"/>
            <w:tcBorders>
              <w:top w:val="single" w:sz="4" w:space="0" w:color="000000"/>
              <w:left w:val="single" w:sz="4" w:space="0" w:color="000000"/>
              <w:bottom w:val="single" w:sz="4" w:space="0" w:color="000000"/>
              <w:right w:val="single" w:sz="4" w:space="0" w:color="000000"/>
            </w:tcBorders>
            <w:vAlign w:val="center"/>
          </w:tcPr>
          <w:p w14:paraId="2651D867" w14:textId="77777777" w:rsidR="00EB21F6" w:rsidRDefault="000176C0">
            <w:pPr>
              <w:widowControl w:val="0"/>
              <w:pBdr>
                <w:top w:val="nil"/>
                <w:left w:val="nil"/>
                <w:bottom w:val="nil"/>
                <w:right w:val="nil"/>
                <w:between w:val="nil"/>
              </w:pBdr>
              <w:ind w:left="798"/>
              <w:jc w:val="both"/>
              <w:rPr>
                <w:rFonts w:ascii="Arial" w:eastAsia="Arial" w:hAnsi="Arial" w:cs="Arial"/>
                <w:color w:val="000000"/>
              </w:rPr>
            </w:pPr>
            <w:r>
              <w:rPr>
                <w:rFonts w:ascii="Arial" w:eastAsia="Arial" w:hAnsi="Arial" w:cs="Arial"/>
                <w:color w:val="000000"/>
              </w:rPr>
              <w:t>17 (38.6%)</w:t>
            </w:r>
          </w:p>
        </w:tc>
        <w:tc>
          <w:tcPr>
            <w:tcW w:w="2422" w:type="dxa"/>
            <w:tcBorders>
              <w:top w:val="single" w:sz="4" w:space="0" w:color="000000"/>
              <w:left w:val="single" w:sz="4" w:space="0" w:color="000000"/>
              <w:bottom w:val="single" w:sz="4" w:space="0" w:color="000000"/>
              <w:right w:val="single" w:sz="4" w:space="0" w:color="000000"/>
            </w:tcBorders>
            <w:vAlign w:val="center"/>
          </w:tcPr>
          <w:p w14:paraId="2CE7C00F" w14:textId="77777777" w:rsidR="00EB21F6" w:rsidRDefault="000176C0">
            <w:pPr>
              <w:widowControl w:val="0"/>
              <w:pBdr>
                <w:top w:val="nil"/>
                <w:left w:val="nil"/>
                <w:bottom w:val="nil"/>
                <w:right w:val="nil"/>
                <w:between w:val="nil"/>
              </w:pBdr>
              <w:ind w:left="798"/>
              <w:jc w:val="both"/>
              <w:rPr>
                <w:rFonts w:ascii="Arial" w:eastAsia="Arial" w:hAnsi="Arial" w:cs="Arial"/>
                <w:color w:val="000000"/>
              </w:rPr>
            </w:pPr>
            <w:r>
              <w:rPr>
                <w:rFonts w:ascii="Arial" w:eastAsia="Arial" w:hAnsi="Arial" w:cs="Arial"/>
                <w:color w:val="000000"/>
              </w:rPr>
              <w:t>27 (61.4%)</w:t>
            </w:r>
          </w:p>
        </w:tc>
      </w:tr>
      <w:tr w:rsidR="00EB21F6" w14:paraId="297B6518" w14:textId="77777777">
        <w:tc>
          <w:tcPr>
            <w:tcW w:w="1934" w:type="dxa"/>
            <w:tcBorders>
              <w:top w:val="single" w:sz="4" w:space="0" w:color="000000"/>
              <w:left w:val="single" w:sz="4" w:space="0" w:color="000000"/>
              <w:bottom w:val="single" w:sz="4" w:space="0" w:color="000000"/>
              <w:right w:val="single" w:sz="4" w:space="0" w:color="000000"/>
            </w:tcBorders>
            <w:vAlign w:val="center"/>
          </w:tcPr>
          <w:p w14:paraId="47506572" w14:textId="77777777" w:rsidR="00EB21F6" w:rsidRDefault="000176C0">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Adult Females</w:t>
            </w:r>
          </w:p>
        </w:tc>
        <w:tc>
          <w:tcPr>
            <w:tcW w:w="2115" w:type="dxa"/>
            <w:tcBorders>
              <w:top w:val="single" w:sz="4" w:space="0" w:color="000000"/>
              <w:left w:val="single" w:sz="4" w:space="0" w:color="000000"/>
              <w:bottom w:val="single" w:sz="4" w:space="0" w:color="000000"/>
              <w:right w:val="single" w:sz="4" w:space="0" w:color="000000"/>
            </w:tcBorders>
            <w:vAlign w:val="center"/>
          </w:tcPr>
          <w:p w14:paraId="72508EA4" w14:textId="77777777" w:rsidR="00EB21F6" w:rsidRDefault="000176C0">
            <w:pPr>
              <w:widowControl w:val="0"/>
              <w:pBdr>
                <w:top w:val="nil"/>
                <w:left w:val="nil"/>
                <w:bottom w:val="nil"/>
                <w:right w:val="nil"/>
                <w:between w:val="nil"/>
              </w:pBdr>
              <w:ind w:left="798"/>
              <w:jc w:val="both"/>
              <w:rPr>
                <w:rFonts w:ascii="Arial" w:eastAsia="Arial" w:hAnsi="Arial" w:cs="Arial"/>
                <w:color w:val="000000"/>
              </w:rPr>
            </w:pPr>
            <w:r>
              <w:rPr>
                <w:rFonts w:ascii="Arial" w:eastAsia="Arial" w:hAnsi="Arial" w:cs="Arial"/>
                <w:color w:val="000000"/>
              </w:rPr>
              <w:t>66</w:t>
            </w:r>
          </w:p>
        </w:tc>
        <w:tc>
          <w:tcPr>
            <w:tcW w:w="2417" w:type="dxa"/>
            <w:tcBorders>
              <w:top w:val="single" w:sz="4" w:space="0" w:color="000000"/>
              <w:left w:val="single" w:sz="4" w:space="0" w:color="000000"/>
              <w:bottom w:val="single" w:sz="4" w:space="0" w:color="000000"/>
              <w:right w:val="single" w:sz="4" w:space="0" w:color="000000"/>
            </w:tcBorders>
            <w:vAlign w:val="center"/>
          </w:tcPr>
          <w:p w14:paraId="177D2DAE" w14:textId="77777777" w:rsidR="00EB21F6" w:rsidRDefault="000176C0">
            <w:pPr>
              <w:widowControl w:val="0"/>
              <w:pBdr>
                <w:top w:val="nil"/>
                <w:left w:val="nil"/>
                <w:bottom w:val="nil"/>
                <w:right w:val="nil"/>
                <w:between w:val="nil"/>
              </w:pBdr>
              <w:ind w:left="798"/>
              <w:jc w:val="both"/>
              <w:rPr>
                <w:rFonts w:ascii="Arial" w:eastAsia="Arial" w:hAnsi="Arial" w:cs="Arial"/>
                <w:color w:val="000000"/>
              </w:rPr>
            </w:pPr>
            <w:r>
              <w:rPr>
                <w:rFonts w:ascii="Arial" w:eastAsia="Arial" w:hAnsi="Arial" w:cs="Arial"/>
                <w:color w:val="000000"/>
              </w:rPr>
              <w:t>27 (40.9%)</w:t>
            </w:r>
          </w:p>
        </w:tc>
        <w:tc>
          <w:tcPr>
            <w:tcW w:w="2422" w:type="dxa"/>
            <w:tcBorders>
              <w:top w:val="single" w:sz="4" w:space="0" w:color="000000"/>
              <w:left w:val="single" w:sz="4" w:space="0" w:color="000000"/>
              <w:bottom w:val="single" w:sz="4" w:space="0" w:color="000000"/>
              <w:right w:val="single" w:sz="4" w:space="0" w:color="000000"/>
            </w:tcBorders>
            <w:vAlign w:val="center"/>
          </w:tcPr>
          <w:p w14:paraId="384E28AE" w14:textId="77777777" w:rsidR="00EB21F6" w:rsidRDefault="000176C0">
            <w:pPr>
              <w:widowControl w:val="0"/>
              <w:pBdr>
                <w:top w:val="nil"/>
                <w:left w:val="nil"/>
                <w:bottom w:val="nil"/>
                <w:right w:val="nil"/>
                <w:between w:val="nil"/>
              </w:pBdr>
              <w:ind w:left="798"/>
              <w:jc w:val="both"/>
              <w:rPr>
                <w:rFonts w:ascii="Arial" w:eastAsia="Arial" w:hAnsi="Arial" w:cs="Arial"/>
                <w:color w:val="000000"/>
              </w:rPr>
            </w:pPr>
            <w:r>
              <w:rPr>
                <w:rFonts w:ascii="Arial" w:eastAsia="Arial" w:hAnsi="Arial" w:cs="Arial"/>
                <w:color w:val="000000"/>
              </w:rPr>
              <w:t>39 (59.1%)</w:t>
            </w:r>
          </w:p>
        </w:tc>
      </w:tr>
      <w:tr w:rsidR="00EB21F6" w14:paraId="0D5D331F" w14:textId="77777777">
        <w:tc>
          <w:tcPr>
            <w:tcW w:w="1934" w:type="dxa"/>
            <w:tcBorders>
              <w:top w:val="single" w:sz="4" w:space="0" w:color="000000"/>
              <w:left w:val="single" w:sz="4" w:space="0" w:color="000000"/>
              <w:bottom w:val="single" w:sz="4" w:space="0" w:color="000000"/>
              <w:right w:val="single" w:sz="4" w:space="0" w:color="000000"/>
            </w:tcBorders>
            <w:vAlign w:val="center"/>
          </w:tcPr>
          <w:p w14:paraId="7DE200F0" w14:textId="77777777" w:rsidR="00EB21F6" w:rsidRDefault="000176C0">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Children</w:t>
            </w:r>
          </w:p>
        </w:tc>
        <w:tc>
          <w:tcPr>
            <w:tcW w:w="2115" w:type="dxa"/>
            <w:tcBorders>
              <w:top w:val="single" w:sz="4" w:space="0" w:color="000000"/>
              <w:left w:val="single" w:sz="4" w:space="0" w:color="000000"/>
              <w:bottom w:val="single" w:sz="4" w:space="0" w:color="000000"/>
              <w:right w:val="single" w:sz="4" w:space="0" w:color="000000"/>
            </w:tcBorders>
            <w:vAlign w:val="center"/>
          </w:tcPr>
          <w:p w14:paraId="624AF25E" w14:textId="77777777" w:rsidR="00EB21F6" w:rsidRDefault="000176C0">
            <w:pPr>
              <w:widowControl w:val="0"/>
              <w:pBdr>
                <w:top w:val="nil"/>
                <w:left w:val="nil"/>
                <w:bottom w:val="nil"/>
                <w:right w:val="nil"/>
                <w:between w:val="nil"/>
              </w:pBdr>
              <w:ind w:left="798"/>
              <w:jc w:val="both"/>
              <w:rPr>
                <w:rFonts w:ascii="Arial" w:eastAsia="Arial" w:hAnsi="Arial" w:cs="Arial"/>
                <w:color w:val="000000"/>
              </w:rPr>
            </w:pPr>
            <w:r>
              <w:rPr>
                <w:rFonts w:ascii="Arial" w:eastAsia="Arial" w:hAnsi="Arial" w:cs="Arial"/>
                <w:color w:val="000000"/>
              </w:rPr>
              <w:t>81</w:t>
            </w:r>
          </w:p>
        </w:tc>
        <w:tc>
          <w:tcPr>
            <w:tcW w:w="2417" w:type="dxa"/>
            <w:tcBorders>
              <w:top w:val="single" w:sz="4" w:space="0" w:color="000000"/>
              <w:left w:val="single" w:sz="4" w:space="0" w:color="000000"/>
              <w:bottom w:val="single" w:sz="4" w:space="0" w:color="000000"/>
              <w:right w:val="single" w:sz="4" w:space="0" w:color="000000"/>
            </w:tcBorders>
            <w:vAlign w:val="center"/>
          </w:tcPr>
          <w:p w14:paraId="7040F1AA" w14:textId="77777777" w:rsidR="00EB21F6" w:rsidRDefault="000176C0">
            <w:pPr>
              <w:widowControl w:val="0"/>
              <w:pBdr>
                <w:top w:val="nil"/>
                <w:left w:val="nil"/>
                <w:bottom w:val="nil"/>
                <w:right w:val="nil"/>
                <w:between w:val="nil"/>
              </w:pBdr>
              <w:ind w:left="798"/>
              <w:jc w:val="both"/>
              <w:rPr>
                <w:rFonts w:ascii="Arial" w:eastAsia="Arial" w:hAnsi="Arial" w:cs="Arial"/>
                <w:color w:val="000000"/>
              </w:rPr>
            </w:pPr>
            <w:r>
              <w:rPr>
                <w:rFonts w:ascii="Arial" w:eastAsia="Arial" w:hAnsi="Arial" w:cs="Arial"/>
                <w:color w:val="000000"/>
              </w:rPr>
              <w:t>37 (45.7%)</w:t>
            </w:r>
          </w:p>
        </w:tc>
        <w:tc>
          <w:tcPr>
            <w:tcW w:w="2422" w:type="dxa"/>
            <w:tcBorders>
              <w:top w:val="single" w:sz="4" w:space="0" w:color="000000"/>
              <w:left w:val="single" w:sz="4" w:space="0" w:color="000000"/>
              <w:bottom w:val="single" w:sz="4" w:space="0" w:color="000000"/>
              <w:right w:val="single" w:sz="4" w:space="0" w:color="000000"/>
            </w:tcBorders>
            <w:vAlign w:val="center"/>
          </w:tcPr>
          <w:p w14:paraId="0683E7B8" w14:textId="77777777" w:rsidR="00EB21F6" w:rsidRDefault="000176C0">
            <w:pPr>
              <w:widowControl w:val="0"/>
              <w:pBdr>
                <w:top w:val="nil"/>
                <w:left w:val="nil"/>
                <w:bottom w:val="nil"/>
                <w:right w:val="nil"/>
                <w:between w:val="nil"/>
              </w:pBdr>
              <w:ind w:left="798"/>
              <w:jc w:val="both"/>
              <w:rPr>
                <w:rFonts w:ascii="Arial" w:eastAsia="Arial" w:hAnsi="Arial" w:cs="Arial"/>
                <w:color w:val="000000"/>
              </w:rPr>
            </w:pPr>
            <w:r>
              <w:rPr>
                <w:rFonts w:ascii="Arial" w:eastAsia="Arial" w:hAnsi="Arial" w:cs="Arial"/>
                <w:color w:val="000000"/>
              </w:rPr>
              <w:t>44 (54.3%)</w:t>
            </w:r>
          </w:p>
        </w:tc>
      </w:tr>
    </w:tbl>
    <w:p w14:paraId="4B7EE55B" w14:textId="77777777" w:rsidR="00EB21F6" w:rsidRDefault="00EB21F6">
      <w:pPr>
        <w:spacing w:before="280" w:after="280"/>
        <w:ind w:left="798"/>
        <w:jc w:val="both"/>
      </w:pPr>
    </w:p>
    <w:p w14:paraId="5E31BDA2" w14:textId="77777777" w:rsidR="00EB21F6" w:rsidRDefault="000176C0">
      <w:pPr>
        <w:pBdr>
          <w:top w:val="nil"/>
          <w:left w:val="nil"/>
          <w:bottom w:val="nil"/>
          <w:right w:val="nil"/>
          <w:between w:val="nil"/>
        </w:pBdr>
        <w:spacing w:before="280" w:after="280"/>
        <w:ind w:left="815" w:hanging="15"/>
        <w:jc w:val="both"/>
        <w:rPr>
          <w:rFonts w:ascii="Arial" w:eastAsia="Arial" w:hAnsi="Arial" w:cs="Arial"/>
          <w:color w:val="000000"/>
        </w:rPr>
      </w:pPr>
      <w:r>
        <w:rPr>
          <w:rFonts w:ascii="Arial Unicode MS" w:eastAsia="Arial Unicode MS" w:hAnsi="Arial Unicode MS" w:cs="Arial Unicode MS"/>
          <w:color w:val="000000"/>
        </w:rPr>
        <w:tab/>
      </w:r>
      <w:r>
        <w:rPr>
          <w:rFonts w:ascii="Arial Unicode MS" w:eastAsia="Arial Unicode MS" w:hAnsi="Arial Unicode MS" w:cs="Arial Unicode MS"/>
          <w:color w:val="000000"/>
        </w:rPr>
        <w:tab/>
        <w:t>Table 4 shows the Analysis and Interpretation: Adult males recorded a mean packed cell volume (PCV) of 45.0%, which falls within the normal hematological range for their group. In contrast, adult females had a mean PCV of 34.0%, which is below their normal reference range. This observation is consistent with the abstract, indicating lower PCV values among adult females. Children exhibited a mean PCV of 34.2%, which is at the lower threshold of their normal pediatric range (34%−40%). This observation is consistent with the abstract's statement regarding lower PCV values in children. Overall, adult males showed the highest mean PCV (45.0%), while adult females and children had lower mean values (34.0% and 34.2%, respectively). These observed differences present the varying PCV distributions among females and children in the study population.</w:t>
      </w:r>
    </w:p>
    <w:tbl>
      <w:tblPr>
        <w:tblStyle w:val="a2"/>
        <w:tblW w:w="8715"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2100"/>
        <w:gridCol w:w="2250"/>
        <w:gridCol w:w="2220"/>
      </w:tblGrid>
      <w:tr w:rsidR="00EB21F6" w14:paraId="2A95C180" w14:textId="77777777">
        <w:tc>
          <w:tcPr>
            <w:tcW w:w="8715" w:type="dxa"/>
            <w:gridSpan w:val="4"/>
            <w:tcBorders>
              <w:top w:val="single" w:sz="4" w:space="0" w:color="000000"/>
              <w:left w:val="single" w:sz="4" w:space="0" w:color="000000"/>
              <w:bottom w:val="single" w:sz="4" w:space="0" w:color="000000"/>
              <w:right w:val="single" w:sz="4" w:space="0" w:color="000000"/>
            </w:tcBorders>
            <w:vAlign w:val="center"/>
          </w:tcPr>
          <w:p w14:paraId="3544C712" w14:textId="77777777" w:rsidR="00EB21F6" w:rsidRDefault="000176C0">
            <w:pPr>
              <w:pStyle w:val="Heading3"/>
              <w:ind w:left="798"/>
              <w:jc w:val="both"/>
              <w:rPr>
                <w:rFonts w:ascii="Arial" w:eastAsia="Arial" w:hAnsi="Arial" w:cs="Arial"/>
                <w:sz w:val="20"/>
                <w:szCs w:val="20"/>
              </w:rPr>
            </w:pPr>
            <w:r>
              <w:rPr>
                <w:rFonts w:ascii="Arial" w:eastAsia="Arial" w:hAnsi="Arial" w:cs="Arial"/>
                <w:sz w:val="20"/>
                <w:szCs w:val="20"/>
              </w:rPr>
              <w:t>Table 4. Packed Cell Volume Analysis by Demographic Group</w:t>
            </w:r>
          </w:p>
        </w:tc>
      </w:tr>
      <w:tr w:rsidR="00EB21F6" w14:paraId="44894520" w14:textId="77777777">
        <w:tc>
          <w:tcPr>
            <w:tcW w:w="2145" w:type="dxa"/>
            <w:tcBorders>
              <w:left w:val="single" w:sz="4" w:space="0" w:color="000000"/>
              <w:bottom w:val="single" w:sz="4" w:space="0" w:color="000000"/>
              <w:right w:val="single" w:sz="4" w:space="0" w:color="000000"/>
            </w:tcBorders>
            <w:vAlign w:val="center"/>
          </w:tcPr>
          <w:p w14:paraId="4E2D1BAC" w14:textId="77777777" w:rsidR="00EB21F6" w:rsidRDefault="000176C0">
            <w:pPr>
              <w:widowControl w:val="0"/>
              <w:pBdr>
                <w:top w:val="nil"/>
                <w:left w:val="nil"/>
                <w:bottom w:val="nil"/>
                <w:right w:val="nil"/>
                <w:between w:val="nil"/>
              </w:pBdr>
              <w:ind w:left="418" w:hanging="17"/>
              <w:jc w:val="both"/>
              <w:rPr>
                <w:rFonts w:ascii="Arial" w:eastAsia="Arial" w:hAnsi="Arial" w:cs="Arial"/>
                <w:b/>
                <w:color w:val="000000"/>
              </w:rPr>
            </w:pPr>
            <w:r>
              <w:rPr>
                <w:rFonts w:ascii="Arial" w:eastAsia="Arial" w:hAnsi="Arial" w:cs="Arial"/>
                <w:b/>
                <w:color w:val="000000"/>
              </w:rPr>
              <w:t>Group</w:t>
            </w:r>
          </w:p>
        </w:tc>
        <w:tc>
          <w:tcPr>
            <w:tcW w:w="2100" w:type="dxa"/>
            <w:tcBorders>
              <w:left w:val="single" w:sz="4" w:space="0" w:color="000000"/>
              <w:bottom w:val="single" w:sz="4" w:space="0" w:color="000000"/>
              <w:right w:val="single" w:sz="4" w:space="0" w:color="000000"/>
            </w:tcBorders>
            <w:vAlign w:val="center"/>
          </w:tcPr>
          <w:p w14:paraId="338B7CF6" w14:textId="77777777" w:rsidR="00EB21F6" w:rsidRDefault="000176C0">
            <w:pPr>
              <w:widowControl w:val="0"/>
              <w:pBdr>
                <w:top w:val="nil"/>
                <w:left w:val="nil"/>
                <w:bottom w:val="nil"/>
                <w:right w:val="nil"/>
                <w:between w:val="nil"/>
              </w:pBdr>
              <w:ind w:left="418" w:hanging="17"/>
              <w:jc w:val="both"/>
              <w:rPr>
                <w:rFonts w:ascii="Arial" w:eastAsia="Arial" w:hAnsi="Arial" w:cs="Arial"/>
                <w:b/>
                <w:color w:val="000000"/>
              </w:rPr>
            </w:pPr>
            <w:r>
              <w:rPr>
                <w:rFonts w:ascii="Arial" w:eastAsia="Arial" w:hAnsi="Arial" w:cs="Arial"/>
                <w:b/>
                <w:color w:val="000000"/>
              </w:rPr>
              <w:t>Mean PCV (%)</w:t>
            </w:r>
          </w:p>
        </w:tc>
        <w:tc>
          <w:tcPr>
            <w:tcW w:w="2250" w:type="dxa"/>
            <w:tcBorders>
              <w:left w:val="single" w:sz="4" w:space="0" w:color="000000"/>
              <w:bottom w:val="single" w:sz="4" w:space="0" w:color="000000"/>
              <w:right w:val="single" w:sz="4" w:space="0" w:color="000000"/>
            </w:tcBorders>
            <w:vAlign w:val="center"/>
          </w:tcPr>
          <w:p w14:paraId="0945BD4A" w14:textId="77777777" w:rsidR="00EB21F6" w:rsidRDefault="000176C0">
            <w:pPr>
              <w:widowControl w:val="0"/>
              <w:pBdr>
                <w:top w:val="nil"/>
                <w:left w:val="nil"/>
                <w:bottom w:val="nil"/>
                <w:right w:val="nil"/>
                <w:between w:val="nil"/>
              </w:pBdr>
              <w:ind w:left="418" w:hanging="17"/>
              <w:jc w:val="both"/>
              <w:rPr>
                <w:rFonts w:ascii="Arial" w:eastAsia="Arial" w:hAnsi="Arial" w:cs="Arial"/>
                <w:b/>
                <w:color w:val="000000"/>
              </w:rPr>
            </w:pPr>
            <w:r>
              <w:rPr>
                <w:rFonts w:ascii="Arial" w:eastAsia="Arial" w:hAnsi="Arial" w:cs="Arial"/>
                <w:b/>
                <w:color w:val="000000"/>
              </w:rPr>
              <w:t>Normal Range</w:t>
            </w:r>
          </w:p>
        </w:tc>
        <w:tc>
          <w:tcPr>
            <w:tcW w:w="2220" w:type="dxa"/>
            <w:tcBorders>
              <w:left w:val="single" w:sz="4" w:space="0" w:color="000000"/>
              <w:bottom w:val="single" w:sz="4" w:space="0" w:color="000000"/>
              <w:right w:val="single" w:sz="4" w:space="0" w:color="000000"/>
            </w:tcBorders>
            <w:vAlign w:val="center"/>
          </w:tcPr>
          <w:p w14:paraId="537B8424" w14:textId="77777777" w:rsidR="00EB21F6" w:rsidRDefault="000176C0">
            <w:pPr>
              <w:widowControl w:val="0"/>
              <w:pBdr>
                <w:top w:val="nil"/>
                <w:left w:val="nil"/>
                <w:bottom w:val="nil"/>
                <w:right w:val="nil"/>
                <w:between w:val="nil"/>
              </w:pBdr>
              <w:ind w:left="418" w:hanging="17"/>
              <w:jc w:val="both"/>
              <w:rPr>
                <w:rFonts w:ascii="Arial" w:eastAsia="Arial" w:hAnsi="Arial" w:cs="Arial"/>
                <w:b/>
                <w:color w:val="000000"/>
              </w:rPr>
            </w:pPr>
            <w:r>
              <w:rPr>
                <w:rFonts w:ascii="Arial" w:eastAsia="Arial" w:hAnsi="Arial" w:cs="Arial"/>
                <w:b/>
                <w:color w:val="000000"/>
              </w:rPr>
              <w:t>Observation</w:t>
            </w:r>
          </w:p>
        </w:tc>
      </w:tr>
      <w:tr w:rsidR="00EB21F6" w14:paraId="11902EFB" w14:textId="77777777">
        <w:tc>
          <w:tcPr>
            <w:tcW w:w="2145" w:type="dxa"/>
            <w:tcBorders>
              <w:top w:val="single" w:sz="4" w:space="0" w:color="000000"/>
              <w:left w:val="single" w:sz="4" w:space="0" w:color="000000"/>
              <w:bottom w:val="single" w:sz="4" w:space="0" w:color="000000"/>
              <w:right w:val="single" w:sz="4" w:space="0" w:color="000000"/>
            </w:tcBorders>
            <w:vAlign w:val="center"/>
          </w:tcPr>
          <w:p w14:paraId="612DB39D"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Adult Males</w:t>
            </w:r>
          </w:p>
        </w:tc>
        <w:tc>
          <w:tcPr>
            <w:tcW w:w="2100" w:type="dxa"/>
            <w:tcBorders>
              <w:top w:val="single" w:sz="4" w:space="0" w:color="000000"/>
              <w:left w:val="single" w:sz="4" w:space="0" w:color="000000"/>
              <w:bottom w:val="single" w:sz="4" w:space="0" w:color="000000"/>
              <w:right w:val="single" w:sz="4" w:space="0" w:color="000000"/>
            </w:tcBorders>
            <w:vAlign w:val="center"/>
          </w:tcPr>
          <w:p w14:paraId="315089D1"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45.0%</w:t>
            </w:r>
          </w:p>
        </w:tc>
        <w:tc>
          <w:tcPr>
            <w:tcW w:w="2250" w:type="dxa"/>
            <w:tcBorders>
              <w:top w:val="single" w:sz="4" w:space="0" w:color="000000"/>
              <w:left w:val="single" w:sz="4" w:space="0" w:color="000000"/>
              <w:bottom w:val="single" w:sz="4" w:space="0" w:color="000000"/>
              <w:right w:val="single" w:sz="4" w:space="0" w:color="000000"/>
            </w:tcBorders>
            <w:vAlign w:val="center"/>
          </w:tcPr>
          <w:p w14:paraId="79C3F376"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40–54%</w:t>
            </w:r>
          </w:p>
        </w:tc>
        <w:tc>
          <w:tcPr>
            <w:tcW w:w="2220" w:type="dxa"/>
            <w:tcBorders>
              <w:top w:val="single" w:sz="4" w:space="0" w:color="000000"/>
              <w:left w:val="single" w:sz="4" w:space="0" w:color="000000"/>
              <w:bottom w:val="single" w:sz="4" w:space="0" w:color="000000"/>
              <w:right w:val="single" w:sz="4" w:space="0" w:color="000000"/>
            </w:tcBorders>
            <w:vAlign w:val="center"/>
          </w:tcPr>
          <w:p w14:paraId="6D5FDC38"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Within normal range</w:t>
            </w:r>
          </w:p>
        </w:tc>
      </w:tr>
      <w:tr w:rsidR="00EB21F6" w14:paraId="39F117E6" w14:textId="77777777">
        <w:tc>
          <w:tcPr>
            <w:tcW w:w="2145" w:type="dxa"/>
            <w:tcBorders>
              <w:top w:val="single" w:sz="4" w:space="0" w:color="000000"/>
              <w:left w:val="single" w:sz="4" w:space="0" w:color="000000"/>
              <w:bottom w:val="single" w:sz="4" w:space="0" w:color="000000"/>
              <w:right w:val="single" w:sz="4" w:space="0" w:color="000000"/>
            </w:tcBorders>
            <w:vAlign w:val="center"/>
          </w:tcPr>
          <w:p w14:paraId="6367168B"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Adult Females</w:t>
            </w:r>
          </w:p>
        </w:tc>
        <w:tc>
          <w:tcPr>
            <w:tcW w:w="2100" w:type="dxa"/>
            <w:tcBorders>
              <w:top w:val="single" w:sz="4" w:space="0" w:color="000000"/>
              <w:left w:val="single" w:sz="4" w:space="0" w:color="000000"/>
              <w:bottom w:val="single" w:sz="4" w:space="0" w:color="000000"/>
              <w:right w:val="single" w:sz="4" w:space="0" w:color="000000"/>
            </w:tcBorders>
            <w:vAlign w:val="center"/>
          </w:tcPr>
          <w:p w14:paraId="04D8B7A7"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34.0%</w:t>
            </w:r>
          </w:p>
        </w:tc>
        <w:tc>
          <w:tcPr>
            <w:tcW w:w="2250" w:type="dxa"/>
            <w:tcBorders>
              <w:top w:val="single" w:sz="4" w:space="0" w:color="000000"/>
              <w:left w:val="single" w:sz="4" w:space="0" w:color="000000"/>
              <w:bottom w:val="single" w:sz="4" w:space="0" w:color="000000"/>
              <w:right w:val="single" w:sz="4" w:space="0" w:color="000000"/>
            </w:tcBorders>
            <w:vAlign w:val="center"/>
          </w:tcPr>
          <w:p w14:paraId="090A3D64"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35–45%</w:t>
            </w:r>
          </w:p>
        </w:tc>
        <w:tc>
          <w:tcPr>
            <w:tcW w:w="2220" w:type="dxa"/>
            <w:tcBorders>
              <w:top w:val="single" w:sz="4" w:space="0" w:color="000000"/>
              <w:left w:val="single" w:sz="4" w:space="0" w:color="000000"/>
              <w:bottom w:val="single" w:sz="4" w:space="0" w:color="000000"/>
              <w:right w:val="single" w:sz="4" w:space="0" w:color="000000"/>
            </w:tcBorders>
            <w:vAlign w:val="center"/>
          </w:tcPr>
          <w:p w14:paraId="68E1CFE3"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Below normal reference range</w:t>
            </w:r>
          </w:p>
        </w:tc>
      </w:tr>
      <w:tr w:rsidR="00EB21F6" w14:paraId="6CAFABDF" w14:textId="77777777">
        <w:tc>
          <w:tcPr>
            <w:tcW w:w="2145" w:type="dxa"/>
            <w:tcBorders>
              <w:top w:val="single" w:sz="4" w:space="0" w:color="000000"/>
              <w:left w:val="single" w:sz="4" w:space="0" w:color="000000"/>
              <w:bottom w:val="single" w:sz="4" w:space="0" w:color="000000"/>
              <w:right w:val="single" w:sz="4" w:space="0" w:color="000000"/>
            </w:tcBorders>
            <w:vAlign w:val="center"/>
          </w:tcPr>
          <w:p w14:paraId="712EA3A0"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Children</w:t>
            </w:r>
          </w:p>
        </w:tc>
        <w:tc>
          <w:tcPr>
            <w:tcW w:w="2100" w:type="dxa"/>
            <w:tcBorders>
              <w:top w:val="single" w:sz="4" w:space="0" w:color="000000"/>
              <w:left w:val="single" w:sz="4" w:space="0" w:color="000000"/>
              <w:bottom w:val="single" w:sz="4" w:space="0" w:color="000000"/>
              <w:right w:val="single" w:sz="4" w:space="0" w:color="000000"/>
            </w:tcBorders>
            <w:vAlign w:val="center"/>
          </w:tcPr>
          <w:p w14:paraId="25481F7F"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34.2%</w:t>
            </w:r>
          </w:p>
        </w:tc>
        <w:tc>
          <w:tcPr>
            <w:tcW w:w="2250" w:type="dxa"/>
            <w:tcBorders>
              <w:top w:val="single" w:sz="4" w:space="0" w:color="000000"/>
              <w:left w:val="single" w:sz="4" w:space="0" w:color="000000"/>
              <w:bottom w:val="single" w:sz="4" w:space="0" w:color="000000"/>
              <w:right w:val="single" w:sz="4" w:space="0" w:color="000000"/>
            </w:tcBorders>
            <w:vAlign w:val="center"/>
          </w:tcPr>
          <w:p w14:paraId="5AED140A"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34–40% (1–10 years)</w:t>
            </w:r>
          </w:p>
        </w:tc>
        <w:tc>
          <w:tcPr>
            <w:tcW w:w="2220" w:type="dxa"/>
            <w:tcBorders>
              <w:top w:val="single" w:sz="4" w:space="0" w:color="000000"/>
              <w:left w:val="single" w:sz="4" w:space="0" w:color="000000"/>
              <w:bottom w:val="single" w:sz="4" w:space="0" w:color="000000"/>
              <w:right w:val="single" w:sz="4" w:space="0" w:color="000000"/>
            </w:tcBorders>
            <w:vAlign w:val="center"/>
          </w:tcPr>
          <w:p w14:paraId="5426B9B8"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At the lower threshold of normal range</w:t>
            </w:r>
          </w:p>
        </w:tc>
      </w:tr>
    </w:tbl>
    <w:p w14:paraId="2A6176A9" w14:textId="77777777" w:rsidR="00EB21F6" w:rsidRDefault="00EB21F6">
      <w:pPr>
        <w:spacing w:before="280" w:after="280"/>
        <w:jc w:val="both"/>
        <w:rPr>
          <w:rFonts w:ascii="Arial" w:eastAsia="Arial" w:hAnsi="Arial" w:cs="Arial"/>
        </w:rPr>
      </w:pPr>
    </w:p>
    <w:p w14:paraId="7811F38E"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 xml:space="preserve">Table 5 is based on the dataset of 44 adult males, 66 adult females, and 81 children, the analysis of malaria-typhoid co-infection revealed distinct patterns across the demographic categories. These observations are consistent with reports by </w:t>
      </w:r>
      <w:r>
        <w:rPr>
          <w:rFonts w:ascii="Arial" w:eastAsia="Arial" w:hAnsi="Arial" w:cs="Arial"/>
        </w:rPr>
        <w:t>Danso-Appiah et al., (2022)</w:t>
      </w:r>
      <w:r>
        <w:rPr>
          <w:rFonts w:ascii="Arial" w:eastAsia="Arial" w:hAnsi="Arial" w:cs="Arial"/>
          <w:color w:val="000000"/>
        </w:rPr>
        <w:t xml:space="preserve">. </w:t>
      </w:r>
      <w:r>
        <w:rPr>
          <w:rFonts w:ascii="Arial" w:eastAsia="Arial" w:hAnsi="Arial" w:cs="Arial"/>
          <w:color w:val="000000"/>
        </w:rPr>
        <w:br/>
        <w:t xml:space="preserve"> Interpretation: Children exhibited the highest rate of malaria-typhoid co-infection, with a prevalence of 38.3%. Adult females recorded the second highest prevalence at 34.8%. Adult males showed the lowest co-infection rate at 27.3%. Overall, the results show that malaria and typhoid co-infection occur most frequently among children.</w:t>
      </w:r>
    </w:p>
    <w:tbl>
      <w:tblPr>
        <w:tblStyle w:val="a3"/>
        <w:tblW w:w="8767" w:type="dxa"/>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7"/>
        <w:gridCol w:w="2249"/>
        <w:gridCol w:w="2251"/>
        <w:gridCol w:w="2200"/>
      </w:tblGrid>
      <w:tr w:rsidR="00EB21F6" w14:paraId="5D23F5AF" w14:textId="77777777">
        <w:tc>
          <w:tcPr>
            <w:tcW w:w="8767" w:type="dxa"/>
            <w:gridSpan w:val="4"/>
            <w:tcBorders>
              <w:top w:val="single" w:sz="4" w:space="0" w:color="000000"/>
              <w:left w:val="single" w:sz="4" w:space="0" w:color="000000"/>
              <w:bottom w:val="single" w:sz="4" w:space="0" w:color="000000"/>
              <w:right w:val="single" w:sz="4" w:space="0" w:color="000000"/>
            </w:tcBorders>
            <w:vAlign w:val="center"/>
          </w:tcPr>
          <w:p w14:paraId="63B97755" w14:textId="77777777" w:rsidR="00EB21F6" w:rsidRDefault="000176C0">
            <w:pPr>
              <w:pStyle w:val="Heading3"/>
              <w:jc w:val="both"/>
              <w:rPr>
                <w:rFonts w:ascii="Arial" w:eastAsia="Arial" w:hAnsi="Arial" w:cs="Arial"/>
                <w:sz w:val="20"/>
                <w:szCs w:val="20"/>
              </w:rPr>
            </w:pPr>
            <w:r>
              <w:rPr>
                <w:rFonts w:ascii="Arial" w:eastAsia="Arial" w:hAnsi="Arial" w:cs="Arial"/>
                <w:sz w:val="20"/>
                <w:szCs w:val="20"/>
              </w:rPr>
              <w:t>Table 5. Prevalence of Malaria-Typhoid Co-infection by Demographic Group</w:t>
            </w:r>
          </w:p>
        </w:tc>
      </w:tr>
      <w:tr w:rsidR="00EB21F6" w14:paraId="6855AF70" w14:textId="77777777">
        <w:tc>
          <w:tcPr>
            <w:tcW w:w="2067" w:type="dxa"/>
            <w:tcBorders>
              <w:left w:val="single" w:sz="4" w:space="0" w:color="000000"/>
              <w:bottom w:val="single" w:sz="4" w:space="0" w:color="000000"/>
              <w:right w:val="single" w:sz="4" w:space="0" w:color="000000"/>
            </w:tcBorders>
            <w:vAlign w:val="center"/>
          </w:tcPr>
          <w:p w14:paraId="47951370" w14:textId="77777777" w:rsidR="00EB21F6" w:rsidRDefault="000176C0">
            <w:pPr>
              <w:widowControl w:val="0"/>
              <w:pBdr>
                <w:top w:val="nil"/>
                <w:left w:val="nil"/>
                <w:bottom w:val="nil"/>
                <w:right w:val="nil"/>
                <w:between w:val="nil"/>
              </w:pBdr>
              <w:ind w:left="720"/>
              <w:jc w:val="both"/>
              <w:rPr>
                <w:rFonts w:ascii="Arial" w:eastAsia="Arial" w:hAnsi="Arial" w:cs="Arial"/>
                <w:b/>
                <w:color w:val="000000"/>
              </w:rPr>
            </w:pPr>
            <w:r>
              <w:rPr>
                <w:rFonts w:ascii="Arial" w:eastAsia="Arial" w:hAnsi="Arial" w:cs="Arial"/>
                <w:b/>
                <w:color w:val="000000"/>
              </w:rPr>
              <w:lastRenderedPageBreak/>
              <w:t>Group</w:t>
            </w:r>
          </w:p>
        </w:tc>
        <w:tc>
          <w:tcPr>
            <w:tcW w:w="2249" w:type="dxa"/>
            <w:tcBorders>
              <w:left w:val="single" w:sz="4" w:space="0" w:color="000000"/>
              <w:bottom w:val="single" w:sz="4" w:space="0" w:color="000000"/>
              <w:right w:val="single" w:sz="4" w:space="0" w:color="000000"/>
            </w:tcBorders>
            <w:vAlign w:val="center"/>
          </w:tcPr>
          <w:p w14:paraId="3D1799DD" w14:textId="77777777" w:rsidR="00EB21F6" w:rsidRDefault="000176C0">
            <w:pPr>
              <w:widowControl w:val="0"/>
              <w:pBdr>
                <w:top w:val="nil"/>
                <w:left w:val="nil"/>
                <w:bottom w:val="nil"/>
                <w:right w:val="nil"/>
                <w:between w:val="nil"/>
              </w:pBdr>
              <w:ind w:left="418" w:hanging="17"/>
              <w:jc w:val="both"/>
              <w:rPr>
                <w:rFonts w:ascii="Arial" w:eastAsia="Arial" w:hAnsi="Arial" w:cs="Arial"/>
                <w:b/>
                <w:color w:val="000000"/>
              </w:rPr>
            </w:pPr>
            <w:r>
              <w:rPr>
                <w:rFonts w:ascii="Arial" w:eastAsia="Arial" w:hAnsi="Arial" w:cs="Arial"/>
                <w:b/>
                <w:color w:val="000000"/>
              </w:rPr>
              <w:t>Sample Size (n)</w:t>
            </w:r>
          </w:p>
        </w:tc>
        <w:tc>
          <w:tcPr>
            <w:tcW w:w="2251" w:type="dxa"/>
            <w:tcBorders>
              <w:left w:val="single" w:sz="4" w:space="0" w:color="000000"/>
              <w:bottom w:val="single" w:sz="4" w:space="0" w:color="000000"/>
              <w:right w:val="single" w:sz="4" w:space="0" w:color="000000"/>
            </w:tcBorders>
            <w:vAlign w:val="center"/>
          </w:tcPr>
          <w:p w14:paraId="4D767585" w14:textId="77777777" w:rsidR="00EB21F6" w:rsidRDefault="000176C0">
            <w:pPr>
              <w:widowControl w:val="0"/>
              <w:pBdr>
                <w:top w:val="nil"/>
                <w:left w:val="nil"/>
                <w:bottom w:val="nil"/>
                <w:right w:val="nil"/>
                <w:between w:val="nil"/>
              </w:pBdr>
              <w:ind w:left="418" w:hanging="17"/>
              <w:jc w:val="both"/>
              <w:rPr>
                <w:rFonts w:ascii="Arial" w:eastAsia="Arial" w:hAnsi="Arial" w:cs="Arial"/>
                <w:b/>
                <w:color w:val="000000"/>
              </w:rPr>
            </w:pPr>
            <w:r>
              <w:rPr>
                <w:rFonts w:ascii="Arial" w:eastAsia="Arial" w:hAnsi="Arial" w:cs="Arial"/>
                <w:b/>
                <w:color w:val="000000"/>
              </w:rPr>
              <w:t>Co-infected (n)</w:t>
            </w:r>
          </w:p>
        </w:tc>
        <w:tc>
          <w:tcPr>
            <w:tcW w:w="2200" w:type="dxa"/>
            <w:tcBorders>
              <w:left w:val="single" w:sz="4" w:space="0" w:color="000000"/>
              <w:bottom w:val="single" w:sz="4" w:space="0" w:color="000000"/>
              <w:right w:val="single" w:sz="4" w:space="0" w:color="000000"/>
            </w:tcBorders>
            <w:vAlign w:val="center"/>
          </w:tcPr>
          <w:p w14:paraId="54875F09" w14:textId="77777777" w:rsidR="00EB21F6" w:rsidRDefault="000176C0">
            <w:pPr>
              <w:widowControl w:val="0"/>
              <w:pBdr>
                <w:top w:val="nil"/>
                <w:left w:val="nil"/>
                <w:bottom w:val="nil"/>
                <w:right w:val="nil"/>
                <w:between w:val="nil"/>
              </w:pBdr>
              <w:ind w:left="418" w:hanging="17"/>
              <w:jc w:val="both"/>
              <w:rPr>
                <w:rFonts w:ascii="Arial" w:eastAsia="Arial" w:hAnsi="Arial" w:cs="Arial"/>
                <w:b/>
                <w:color w:val="000000"/>
              </w:rPr>
            </w:pPr>
            <w:r>
              <w:rPr>
                <w:rFonts w:ascii="Arial" w:eastAsia="Arial" w:hAnsi="Arial" w:cs="Arial"/>
                <w:b/>
                <w:color w:val="000000"/>
              </w:rPr>
              <w:t>Co-infection Prevalence (%)</w:t>
            </w:r>
          </w:p>
        </w:tc>
      </w:tr>
      <w:tr w:rsidR="00EB21F6" w14:paraId="1DECDA41" w14:textId="77777777">
        <w:tc>
          <w:tcPr>
            <w:tcW w:w="2067" w:type="dxa"/>
            <w:tcBorders>
              <w:top w:val="single" w:sz="4" w:space="0" w:color="000000"/>
              <w:left w:val="single" w:sz="4" w:space="0" w:color="000000"/>
              <w:bottom w:val="single" w:sz="4" w:space="0" w:color="000000"/>
              <w:right w:val="single" w:sz="4" w:space="0" w:color="000000"/>
            </w:tcBorders>
            <w:vAlign w:val="center"/>
          </w:tcPr>
          <w:p w14:paraId="3A384D5B"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Adult Males</w:t>
            </w:r>
          </w:p>
        </w:tc>
        <w:tc>
          <w:tcPr>
            <w:tcW w:w="2249" w:type="dxa"/>
            <w:tcBorders>
              <w:top w:val="single" w:sz="4" w:space="0" w:color="000000"/>
              <w:left w:val="single" w:sz="4" w:space="0" w:color="000000"/>
              <w:bottom w:val="single" w:sz="4" w:space="0" w:color="000000"/>
              <w:right w:val="single" w:sz="4" w:space="0" w:color="000000"/>
            </w:tcBorders>
            <w:vAlign w:val="center"/>
          </w:tcPr>
          <w:p w14:paraId="1CFC6497"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44</w:t>
            </w:r>
          </w:p>
        </w:tc>
        <w:tc>
          <w:tcPr>
            <w:tcW w:w="2251" w:type="dxa"/>
            <w:tcBorders>
              <w:top w:val="single" w:sz="4" w:space="0" w:color="000000"/>
              <w:left w:val="single" w:sz="4" w:space="0" w:color="000000"/>
              <w:bottom w:val="single" w:sz="4" w:space="0" w:color="000000"/>
              <w:right w:val="single" w:sz="4" w:space="0" w:color="000000"/>
            </w:tcBorders>
            <w:vAlign w:val="center"/>
          </w:tcPr>
          <w:p w14:paraId="19ABC81A"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12</w:t>
            </w:r>
          </w:p>
        </w:tc>
        <w:tc>
          <w:tcPr>
            <w:tcW w:w="2200" w:type="dxa"/>
            <w:tcBorders>
              <w:top w:val="single" w:sz="4" w:space="0" w:color="000000"/>
              <w:left w:val="single" w:sz="4" w:space="0" w:color="000000"/>
              <w:bottom w:val="single" w:sz="4" w:space="0" w:color="000000"/>
              <w:right w:val="single" w:sz="4" w:space="0" w:color="000000"/>
            </w:tcBorders>
            <w:vAlign w:val="center"/>
          </w:tcPr>
          <w:p w14:paraId="6E285FB7"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27.3%</w:t>
            </w:r>
          </w:p>
        </w:tc>
      </w:tr>
      <w:tr w:rsidR="00EB21F6" w14:paraId="0E0E7626" w14:textId="77777777">
        <w:tc>
          <w:tcPr>
            <w:tcW w:w="2067" w:type="dxa"/>
            <w:tcBorders>
              <w:top w:val="single" w:sz="4" w:space="0" w:color="000000"/>
              <w:left w:val="single" w:sz="4" w:space="0" w:color="000000"/>
              <w:bottom w:val="single" w:sz="4" w:space="0" w:color="000000"/>
              <w:right w:val="single" w:sz="4" w:space="0" w:color="000000"/>
            </w:tcBorders>
            <w:vAlign w:val="center"/>
          </w:tcPr>
          <w:p w14:paraId="227DC34F"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Adult Females</w:t>
            </w:r>
          </w:p>
        </w:tc>
        <w:tc>
          <w:tcPr>
            <w:tcW w:w="2249" w:type="dxa"/>
            <w:tcBorders>
              <w:top w:val="single" w:sz="4" w:space="0" w:color="000000"/>
              <w:left w:val="single" w:sz="4" w:space="0" w:color="000000"/>
              <w:bottom w:val="single" w:sz="4" w:space="0" w:color="000000"/>
              <w:right w:val="single" w:sz="4" w:space="0" w:color="000000"/>
            </w:tcBorders>
            <w:vAlign w:val="center"/>
          </w:tcPr>
          <w:p w14:paraId="4DBA836B"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66</w:t>
            </w:r>
          </w:p>
        </w:tc>
        <w:tc>
          <w:tcPr>
            <w:tcW w:w="2251" w:type="dxa"/>
            <w:tcBorders>
              <w:top w:val="single" w:sz="4" w:space="0" w:color="000000"/>
              <w:left w:val="single" w:sz="4" w:space="0" w:color="000000"/>
              <w:bottom w:val="single" w:sz="4" w:space="0" w:color="000000"/>
              <w:right w:val="single" w:sz="4" w:space="0" w:color="000000"/>
            </w:tcBorders>
            <w:vAlign w:val="center"/>
          </w:tcPr>
          <w:p w14:paraId="075071EC"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23</w:t>
            </w:r>
          </w:p>
        </w:tc>
        <w:tc>
          <w:tcPr>
            <w:tcW w:w="2200" w:type="dxa"/>
            <w:tcBorders>
              <w:top w:val="single" w:sz="4" w:space="0" w:color="000000"/>
              <w:left w:val="single" w:sz="4" w:space="0" w:color="000000"/>
              <w:bottom w:val="single" w:sz="4" w:space="0" w:color="000000"/>
              <w:right w:val="single" w:sz="4" w:space="0" w:color="000000"/>
            </w:tcBorders>
            <w:vAlign w:val="center"/>
          </w:tcPr>
          <w:p w14:paraId="342F1A3D"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34.8%</w:t>
            </w:r>
          </w:p>
        </w:tc>
      </w:tr>
      <w:tr w:rsidR="00EB21F6" w14:paraId="4BBB1355" w14:textId="77777777">
        <w:tc>
          <w:tcPr>
            <w:tcW w:w="2067" w:type="dxa"/>
            <w:tcBorders>
              <w:top w:val="single" w:sz="4" w:space="0" w:color="000000"/>
              <w:left w:val="single" w:sz="4" w:space="0" w:color="000000"/>
              <w:bottom w:val="single" w:sz="4" w:space="0" w:color="000000"/>
              <w:right w:val="single" w:sz="4" w:space="0" w:color="000000"/>
            </w:tcBorders>
            <w:vAlign w:val="center"/>
          </w:tcPr>
          <w:p w14:paraId="5BD73711"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Children</w:t>
            </w:r>
          </w:p>
        </w:tc>
        <w:tc>
          <w:tcPr>
            <w:tcW w:w="2249" w:type="dxa"/>
            <w:tcBorders>
              <w:top w:val="single" w:sz="4" w:space="0" w:color="000000"/>
              <w:left w:val="single" w:sz="4" w:space="0" w:color="000000"/>
              <w:bottom w:val="single" w:sz="4" w:space="0" w:color="000000"/>
              <w:right w:val="single" w:sz="4" w:space="0" w:color="000000"/>
            </w:tcBorders>
            <w:vAlign w:val="center"/>
          </w:tcPr>
          <w:p w14:paraId="6A6867E8"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81</w:t>
            </w:r>
          </w:p>
        </w:tc>
        <w:tc>
          <w:tcPr>
            <w:tcW w:w="2251" w:type="dxa"/>
            <w:tcBorders>
              <w:top w:val="single" w:sz="4" w:space="0" w:color="000000"/>
              <w:left w:val="single" w:sz="4" w:space="0" w:color="000000"/>
              <w:bottom w:val="single" w:sz="4" w:space="0" w:color="000000"/>
              <w:right w:val="single" w:sz="4" w:space="0" w:color="000000"/>
            </w:tcBorders>
            <w:vAlign w:val="center"/>
          </w:tcPr>
          <w:p w14:paraId="42671C3A"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31</w:t>
            </w:r>
          </w:p>
        </w:tc>
        <w:tc>
          <w:tcPr>
            <w:tcW w:w="2200" w:type="dxa"/>
            <w:tcBorders>
              <w:top w:val="single" w:sz="4" w:space="0" w:color="000000"/>
              <w:left w:val="single" w:sz="4" w:space="0" w:color="000000"/>
              <w:bottom w:val="single" w:sz="4" w:space="0" w:color="000000"/>
              <w:right w:val="single" w:sz="4" w:space="0" w:color="000000"/>
            </w:tcBorders>
            <w:vAlign w:val="center"/>
          </w:tcPr>
          <w:p w14:paraId="08B2BAF6" w14:textId="77777777" w:rsidR="00EB21F6" w:rsidRDefault="000176C0">
            <w:pPr>
              <w:widowControl w:val="0"/>
              <w:pBdr>
                <w:top w:val="nil"/>
                <w:left w:val="nil"/>
                <w:bottom w:val="nil"/>
                <w:right w:val="nil"/>
                <w:between w:val="nil"/>
              </w:pBdr>
              <w:ind w:left="418" w:hanging="17"/>
              <w:jc w:val="both"/>
              <w:rPr>
                <w:rFonts w:ascii="Arial" w:eastAsia="Arial" w:hAnsi="Arial" w:cs="Arial"/>
                <w:color w:val="000000"/>
              </w:rPr>
            </w:pPr>
            <w:r>
              <w:rPr>
                <w:rFonts w:ascii="Arial" w:eastAsia="Arial" w:hAnsi="Arial" w:cs="Arial"/>
                <w:color w:val="000000"/>
              </w:rPr>
              <w:t>38.3%</w:t>
            </w:r>
          </w:p>
        </w:tc>
      </w:tr>
    </w:tbl>
    <w:p w14:paraId="62E184E9" w14:textId="77777777" w:rsidR="00EB21F6" w:rsidRDefault="000176C0">
      <w:pPr>
        <w:pStyle w:val="Heading2"/>
        <w:jc w:val="both"/>
        <w:rPr>
          <w:rFonts w:ascii="Arial" w:eastAsia="Arial" w:hAnsi="Arial" w:cs="Arial"/>
          <w:sz w:val="20"/>
          <w:szCs w:val="20"/>
        </w:rPr>
      </w:pPr>
      <w:r>
        <w:rPr>
          <w:rFonts w:ascii="Arial" w:eastAsia="Arial" w:hAnsi="Arial" w:cs="Arial"/>
          <w:sz w:val="20"/>
          <w:szCs w:val="20"/>
        </w:rPr>
        <w:tab/>
        <w:t>Discussion</w:t>
      </w:r>
    </w:p>
    <w:p w14:paraId="00B4C11B"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 xml:space="preserve">The study’s findings on malaria parasitemia, typhoid antigen prevalence, and packed cell volume (PCV) values provide insights into the observed disease burden across different age and sex groups in </w:t>
      </w:r>
      <w:proofErr w:type="spellStart"/>
      <w:r>
        <w:rPr>
          <w:rFonts w:ascii="Arial" w:eastAsia="Arial" w:hAnsi="Arial" w:cs="Arial"/>
          <w:color w:val="000000"/>
        </w:rPr>
        <w:t>Akinima</w:t>
      </w:r>
      <w:proofErr w:type="spellEnd"/>
      <w:r>
        <w:rPr>
          <w:rFonts w:ascii="Arial" w:eastAsia="Arial" w:hAnsi="Arial" w:cs="Arial"/>
          <w:color w:val="000000"/>
        </w:rPr>
        <w:t xml:space="preserve">, </w:t>
      </w:r>
      <w:proofErr w:type="spellStart"/>
      <w:r>
        <w:rPr>
          <w:rFonts w:ascii="Arial" w:eastAsia="Arial" w:hAnsi="Arial" w:cs="Arial"/>
          <w:color w:val="000000"/>
        </w:rPr>
        <w:t>Ahoada</w:t>
      </w:r>
      <w:proofErr w:type="spellEnd"/>
      <w:r>
        <w:rPr>
          <w:rFonts w:ascii="Arial" w:eastAsia="Arial" w:hAnsi="Arial" w:cs="Arial"/>
          <w:color w:val="000000"/>
        </w:rPr>
        <w:t xml:space="preserve"> West, Rivers State, Nigeria. The results highlight the public health characteristics presented by these infectious diseases.</w:t>
      </w:r>
    </w:p>
    <w:p w14:paraId="3160CFD9" w14:textId="77777777" w:rsidR="00EB21F6" w:rsidRDefault="000176C0">
      <w:pPr>
        <w:pStyle w:val="Heading3"/>
        <w:ind w:left="798"/>
        <w:jc w:val="both"/>
        <w:rPr>
          <w:rFonts w:ascii="Arial" w:eastAsia="Arial" w:hAnsi="Arial" w:cs="Arial"/>
          <w:sz w:val="20"/>
          <w:szCs w:val="20"/>
        </w:rPr>
      </w:pPr>
      <w:r>
        <w:rPr>
          <w:rFonts w:ascii="Arial" w:eastAsia="Arial" w:hAnsi="Arial" w:cs="Arial"/>
          <w:sz w:val="20"/>
          <w:szCs w:val="20"/>
        </w:rPr>
        <w:t>Malaria Parasitemia</w:t>
      </w:r>
    </w:p>
    <w:p w14:paraId="6A1283A9" w14:textId="77777777" w:rsidR="00EB21F6" w:rsidRDefault="000176C0">
      <w:pPr>
        <w:pBdr>
          <w:top w:val="nil"/>
          <w:left w:val="nil"/>
          <w:bottom w:val="nil"/>
          <w:right w:val="nil"/>
          <w:between w:val="nil"/>
        </w:pBdr>
        <w:spacing w:before="280" w:after="280"/>
        <w:ind w:left="798"/>
        <w:jc w:val="both"/>
        <w:rPr>
          <w:rFonts w:ascii="Arial" w:eastAsia="Arial" w:hAnsi="Arial" w:cs="Arial"/>
        </w:rPr>
      </w:pPr>
      <w:r>
        <w:rPr>
          <w:rFonts w:ascii="Arial" w:eastAsia="Arial" w:hAnsi="Arial" w:cs="Arial"/>
          <w:color w:val="000000"/>
        </w:rPr>
        <w:tab/>
      </w:r>
      <w:r>
        <w:rPr>
          <w:rFonts w:ascii="Arial" w:eastAsia="Arial" w:hAnsi="Arial" w:cs="Arial"/>
        </w:rPr>
        <w:t xml:space="preserve">The data revealed a high prevalence of malaria across all demographic groups, with the highest rate observed among children (77.8%), followed by adult males (77.3%) and adult females (74.2%). The present study is in keeping with the findings of Orok et al. (2016), which revealed that malaria was prevalent across all age groups. Among these groups, children had the highest prevalence of malaria, followed by adults. Also in agreement with the present study are the findings of </w:t>
      </w:r>
      <w:proofErr w:type="spellStart"/>
      <w:r>
        <w:rPr>
          <w:rFonts w:ascii="Arial" w:eastAsia="Arial" w:hAnsi="Arial" w:cs="Arial"/>
        </w:rPr>
        <w:t>Olowolafe</w:t>
      </w:r>
      <w:proofErr w:type="spellEnd"/>
      <w:r>
        <w:rPr>
          <w:rFonts w:ascii="Arial" w:eastAsia="Arial" w:hAnsi="Arial" w:cs="Arial"/>
        </w:rPr>
        <w:t xml:space="preserve"> et al. (2024), which indicate that malaria was prevalent across all groups but most common in adult females, followed by children. This finding is consistent with previous research indicating that children may experience more severe outcomes such as anemia (WHO, 2020; Murray et al., 2012). The observed highest prevalence in children supports the general notion that this age group is more vulnerable to the disease, as partial immunity to malaria develops gradually with age and repeated exposure to the parasite.</w:t>
      </w:r>
    </w:p>
    <w:p w14:paraId="6351C8D7" w14:textId="77777777" w:rsidR="00EB21F6" w:rsidRDefault="000176C0">
      <w:pPr>
        <w:spacing w:before="240" w:after="240"/>
        <w:ind w:left="720" w:firstLine="720"/>
        <w:jc w:val="both"/>
        <w:rPr>
          <w:rFonts w:ascii="Arial" w:eastAsia="Arial" w:hAnsi="Arial" w:cs="Arial"/>
        </w:rPr>
      </w:pPr>
      <w:r>
        <w:rPr>
          <w:rFonts w:ascii="Arial" w:eastAsia="Arial" w:hAnsi="Arial" w:cs="Arial"/>
        </w:rPr>
        <w:t xml:space="preserve">Aside from the citations from previous studies, the high prevalence of malaria across all demographic groups in the present study can also be attributed to the endemic nature of the disease in the region. Breeding sites of the mosquito vector, such as the </w:t>
      </w:r>
      <w:proofErr w:type="spellStart"/>
      <w:r>
        <w:rPr>
          <w:rFonts w:ascii="Arial" w:eastAsia="Arial" w:hAnsi="Arial" w:cs="Arial"/>
        </w:rPr>
        <w:t>Akinima</w:t>
      </w:r>
      <w:proofErr w:type="spellEnd"/>
      <w:r>
        <w:rPr>
          <w:rFonts w:ascii="Arial" w:eastAsia="Arial" w:hAnsi="Arial" w:cs="Arial"/>
        </w:rPr>
        <w:t xml:space="preserve"> annual flooding, river overflowing, water retained in plant axils, and stagnant water in drainage systems, are common in the area. According to the Centers for Disease Control and Prevention (2024), after feeding on human or animal blood, the female Anopheles mosquito rests for a few days to digest the blood and then lays eggs in water, where the larvae develop into adult mosquitoes. Furthermore, the female mosquito tends to bite at dusk or during the night due to its nocturnal nature, as light suppresses its activity. The local environment in </w:t>
      </w:r>
      <w:proofErr w:type="spellStart"/>
      <w:r>
        <w:rPr>
          <w:rFonts w:ascii="Arial" w:eastAsia="Arial" w:hAnsi="Arial" w:cs="Arial"/>
        </w:rPr>
        <w:t>Akinima</w:t>
      </w:r>
      <w:proofErr w:type="spellEnd"/>
      <w:r>
        <w:rPr>
          <w:rFonts w:ascii="Arial" w:eastAsia="Arial" w:hAnsi="Arial" w:cs="Arial"/>
        </w:rPr>
        <w:t xml:space="preserve"> is conducive to nighttime mosquito activity, possibly due to poor or inconsistent lighting. This lack of adequate light sources may have contributed to the widespread exposure and high malaria prevalence observed across the different demographic groups.</w:t>
      </w:r>
    </w:p>
    <w:p w14:paraId="5392CB8D" w14:textId="77777777" w:rsidR="00EB21F6" w:rsidRDefault="00EB21F6">
      <w:pPr>
        <w:pBdr>
          <w:top w:val="nil"/>
          <w:left w:val="nil"/>
          <w:bottom w:val="nil"/>
          <w:right w:val="nil"/>
          <w:between w:val="nil"/>
        </w:pBdr>
        <w:spacing w:before="280" w:after="280"/>
        <w:ind w:left="798"/>
        <w:jc w:val="both"/>
        <w:rPr>
          <w:rFonts w:ascii="Arial" w:eastAsia="Arial" w:hAnsi="Arial" w:cs="Arial"/>
        </w:rPr>
      </w:pPr>
    </w:p>
    <w:p w14:paraId="4197CC32" w14:textId="77777777" w:rsidR="00EB21F6" w:rsidRDefault="000176C0">
      <w:pPr>
        <w:pStyle w:val="Heading3"/>
        <w:ind w:left="798"/>
        <w:jc w:val="both"/>
        <w:rPr>
          <w:rFonts w:ascii="Arial" w:eastAsia="Arial" w:hAnsi="Arial" w:cs="Arial"/>
          <w:sz w:val="20"/>
          <w:szCs w:val="20"/>
        </w:rPr>
      </w:pPr>
      <w:r>
        <w:rPr>
          <w:rFonts w:ascii="Arial" w:eastAsia="Arial" w:hAnsi="Arial" w:cs="Arial"/>
          <w:sz w:val="20"/>
          <w:szCs w:val="20"/>
        </w:rPr>
        <w:t>Typhoid Antigen Prevalence</w:t>
      </w:r>
    </w:p>
    <w:p w14:paraId="77816A2F" w14:textId="77777777" w:rsidR="00EB21F6" w:rsidRDefault="000176C0">
      <w:pPr>
        <w:pBdr>
          <w:top w:val="nil"/>
          <w:left w:val="nil"/>
          <w:bottom w:val="nil"/>
          <w:right w:val="nil"/>
          <w:between w:val="nil"/>
        </w:pBdr>
        <w:spacing w:before="280" w:after="280"/>
        <w:ind w:left="798"/>
        <w:jc w:val="both"/>
        <w:rPr>
          <w:rFonts w:ascii="Times New Roman" w:eastAsia="Times New Roman" w:hAnsi="Times New Roman" w:cs="Times New Roman"/>
          <w:color w:val="000000"/>
        </w:rPr>
      </w:pPr>
      <w:r>
        <w:rPr>
          <w:rFonts w:ascii="Arial" w:eastAsia="Arial" w:hAnsi="Arial" w:cs="Arial"/>
          <w:color w:val="000000"/>
        </w:rPr>
        <w:tab/>
        <w:t xml:space="preserve">The study also demonstrated a notable presence of typhoid antigen across all groups, with the highest prevalence in children (45.7%), followed by adult females (40.9%) and adult males (38.6%). This trend aligns with the study of </w:t>
      </w:r>
      <w:r>
        <w:rPr>
          <w:rFonts w:ascii="Arial" w:eastAsia="Arial" w:hAnsi="Arial" w:cs="Arial"/>
        </w:rPr>
        <w:t>Liu et al., (2025)</w:t>
      </w:r>
      <w:r>
        <w:rPr>
          <w:rFonts w:ascii="Arial" w:eastAsia="Arial" w:hAnsi="Arial" w:cs="Arial"/>
          <w:color w:val="000000"/>
        </w:rPr>
        <w:t xml:space="preserve"> and describes that children are observed to be vulnerable to typhoid fever due to factors such as hygiene practices, exposure to contaminated water and food, and developing immunity (</w:t>
      </w:r>
      <w:r>
        <w:rPr>
          <w:rFonts w:ascii="Arial" w:eastAsia="Arial" w:hAnsi="Arial" w:cs="Arial"/>
        </w:rPr>
        <w:t>Liu et al., 2025</w:t>
      </w:r>
      <w:r>
        <w:rPr>
          <w:rFonts w:ascii="Arial" w:eastAsia="Arial" w:hAnsi="Arial" w:cs="Arial"/>
          <w:color w:val="000000"/>
        </w:rPr>
        <w:t>; WHO, 2018). On the other hand, the study is not in keeping with the finding of (</w:t>
      </w:r>
      <w:proofErr w:type="spellStart"/>
      <w:r>
        <w:rPr>
          <w:rFonts w:ascii="Arial" w:eastAsia="Arial" w:hAnsi="Arial" w:cs="Arial"/>
          <w:color w:val="000000"/>
        </w:rPr>
        <w:t>Olowolafe</w:t>
      </w:r>
      <w:proofErr w:type="spellEnd"/>
      <w:r>
        <w:rPr>
          <w:rFonts w:ascii="Arial" w:eastAsia="Arial" w:hAnsi="Arial" w:cs="Arial"/>
          <w:color w:val="000000"/>
        </w:rPr>
        <w:t xml:space="preserve"> et al., 2024) wherein the prevalence was lower across all </w:t>
      </w:r>
      <w:r>
        <w:rPr>
          <w:rFonts w:ascii="Arial" w:eastAsia="Arial" w:hAnsi="Arial" w:cs="Arial"/>
        </w:rPr>
        <w:t>groups</w:t>
      </w:r>
      <w:r>
        <w:rPr>
          <w:rFonts w:ascii="Arial" w:eastAsia="Arial" w:hAnsi="Arial" w:cs="Arial"/>
          <w:color w:val="000000"/>
        </w:rPr>
        <w:t xml:space="preserve"> and gender prevalence was equal. This can be explained on the basis that the previous study relied on hospital </w:t>
      </w:r>
      <w:r>
        <w:rPr>
          <w:rFonts w:ascii="Arial" w:eastAsia="Arial" w:hAnsi="Arial" w:cs="Arial"/>
        </w:rPr>
        <w:t>records</w:t>
      </w:r>
      <w:r>
        <w:rPr>
          <w:rFonts w:ascii="Arial" w:eastAsia="Arial" w:hAnsi="Arial" w:cs="Arial"/>
          <w:color w:val="000000"/>
        </w:rPr>
        <w:t xml:space="preserve"> as compared to the present study. Furthermore, the findings of the present study </w:t>
      </w:r>
      <w:r>
        <w:rPr>
          <w:rFonts w:ascii="Arial" w:eastAsia="Arial" w:hAnsi="Arial" w:cs="Arial"/>
        </w:rPr>
        <w:t>is in contrast</w:t>
      </w:r>
      <w:r>
        <w:rPr>
          <w:rFonts w:ascii="Arial" w:eastAsia="Arial" w:hAnsi="Arial" w:cs="Arial"/>
          <w:color w:val="000000"/>
        </w:rPr>
        <w:t xml:space="preserve"> with the report of Orok et al., (2016), which showed that young adults irrespective of their gender, had the highest prevalence rate of typhoid fever. This is suggestive of individuals within these </w:t>
      </w:r>
      <w:r>
        <w:rPr>
          <w:rFonts w:ascii="Arial" w:eastAsia="Arial" w:hAnsi="Arial" w:cs="Arial"/>
        </w:rPr>
        <w:t>groups</w:t>
      </w:r>
      <w:r>
        <w:rPr>
          <w:rFonts w:ascii="Arial" w:eastAsia="Arial" w:hAnsi="Arial" w:cs="Arial"/>
          <w:color w:val="000000"/>
        </w:rPr>
        <w:t xml:space="preserve"> patronizing restaurants where they buy food from food vendors which may have not been prepared in a hygienic environment.</w:t>
      </w:r>
    </w:p>
    <w:p w14:paraId="3AD38CFA" w14:textId="77777777" w:rsidR="00EB21F6" w:rsidRDefault="00EB21F6">
      <w:pPr>
        <w:pBdr>
          <w:top w:val="nil"/>
          <w:left w:val="nil"/>
          <w:bottom w:val="nil"/>
          <w:right w:val="nil"/>
          <w:between w:val="nil"/>
        </w:pBdr>
        <w:spacing w:before="280" w:after="280"/>
        <w:ind w:left="798"/>
        <w:jc w:val="both"/>
        <w:rPr>
          <w:rFonts w:ascii="Arial" w:eastAsia="Arial" w:hAnsi="Arial" w:cs="Arial"/>
          <w:color w:val="000000"/>
        </w:rPr>
      </w:pPr>
    </w:p>
    <w:p w14:paraId="60D42F0E" w14:textId="77777777" w:rsidR="00EB21F6" w:rsidRDefault="000176C0">
      <w:pPr>
        <w:pStyle w:val="Heading3"/>
        <w:ind w:left="798"/>
        <w:jc w:val="both"/>
        <w:rPr>
          <w:rFonts w:ascii="Arial" w:eastAsia="Arial" w:hAnsi="Arial" w:cs="Arial"/>
          <w:sz w:val="20"/>
          <w:szCs w:val="20"/>
        </w:rPr>
      </w:pPr>
      <w:r>
        <w:rPr>
          <w:rFonts w:ascii="Arial" w:eastAsia="Arial" w:hAnsi="Arial" w:cs="Arial"/>
          <w:sz w:val="20"/>
          <w:szCs w:val="20"/>
        </w:rPr>
        <w:lastRenderedPageBreak/>
        <w:t>Packed Cell Volume (PCV) and Anemia</w:t>
      </w:r>
    </w:p>
    <w:p w14:paraId="471E1CEE"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Analysis of PCV values showed that PCV was lowest among adult females (mean PCV 34.0%) and children (mean PCV 34.2%), compared to adult males (mean PCV 45.0%). These results correspond with the observed prevalence of malaria and typhoid infections. The destruction of red blood cells by malaria parasites and the hematologic observations associated with chronic typhoid infections (such as bone marrow suppression) are factors that can contribute to changes in PCV (</w:t>
      </w:r>
      <w:r>
        <w:rPr>
          <w:rFonts w:ascii="Arial" w:eastAsia="Arial" w:hAnsi="Arial" w:cs="Arial"/>
        </w:rPr>
        <w:t>American Red Cross, 2025</w:t>
      </w:r>
      <w:r>
        <w:rPr>
          <w:rFonts w:ascii="Arial" w:eastAsia="Arial" w:hAnsi="Arial" w:cs="Arial"/>
          <w:color w:val="000000"/>
        </w:rPr>
        <w:t xml:space="preserve">; Ananya &amp; </w:t>
      </w:r>
      <w:proofErr w:type="spellStart"/>
      <w:r>
        <w:rPr>
          <w:rFonts w:ascii="Arial" w:eastAsia="Arial" w:hAnsi="Arial" w:cs="Arial"/>
          <w:color w:val="000000"/>
        </w:rPr>
        <w:t>Brundha</w:t>
      </w:r>
      <w:proofErr w:type="spellEnd"/>
      <w:r>
        <w:rPr>
          <w:rFonts w:ascii="Arial" w:eastAsia="Arial" w:hAnsi="Arial" w:cs="Arial"/>
          <w:color w:val="000000"/>
        </w:rPr>
        <w:t>, 2020</w:t>
      </w:r>
      <w:r>
        <w:rPr>
          <w:rFonts w:ascii="Arial" w:eastAsia="Arial" w:hAnsi="Arial" w:cs="Arial"/>
        </w:rPr>
        <w:t>;</w:t>
      </w:r>
      <w:r>
        <w:rPr>
          <w:rFonts w:ascii="Arial" w:eastAsia="Arial" w:hAnsi="Arial" w:cs="Arial"/>
          <w:color w:val="000000"/>
        </w:rPr>
        <w:t xml:space="preserve"> </w:t>
      </w:r>
      <w:proofErr w:type="spellStart"/>
      <w:r>
        <w:rPr>
          <w:rFonts w:ascii="Arial" w:eastAsia="Arial" w:hAnsi="Arial" w:cs="Arial"/>
          <w:color w:val="000000"/>
        </w:rPr>
        <w:t>Ndako</w:t>
      </w:r>
      <w:proofErr w:type="spellEnd"/>
      <w:r>
        <w:rPr>
          <w:rFonts w:ascii="Arial" w:eastAsia="Arial" w:hAnsi="Arial" w:cs="Arial"/>
          <w:color w:val="000000"/>
        </w:rPr>
        <w:t xml:space="preserve"> et al., 2020). In adult females, additional factors like menstrual blood loss and dietary iron intake may also be associated with PCV levels. Children are observed to have additional considerations due to nutritional factors, physiological demands during growth, and a higher burden of infections.</w:t>
      </w:r>
    </w:p>
    <w:p w14:paraId="69489F10" w14:textId="77777777" w:rsidR="00EB21F6" w:rsidRDefault="000176C0">
      <w:pPr>
        <w:pStyle w:val="Heading3"/>
        <w:ind w:left="798"/>
        <w:jc w:val="both"/>
        <w:rPr>
          <w:rFonts w:ascii="Arial" w:eastAsia="Arial" w:hAnsi="Arial" w:cs="Arial"/>
          <w:sz w:val="20"/>
          <w:szCs w:val="20"/>
        </w:rPr>
      </w:pPr>
      <w:r>
        <w:rPr>
          <w:rFonts w:ascii="Arial" w:eastAsia="Arial" w:hAnsi="Arial" w:cs="Arial"/>
          <w:sz w:val="20"/>
          <w:szCs w:val="20"/>
        </w:rPr>
        <w:t>Co-infection Prevalence and Hematological Impact</w:t>
      </w:r>
    </w:p>
    <w:p w14:paraId="220B2964" w14:textId="77777777" w:rsidR="00EB21F6" w:rsidRDefault="000176C0">
      <w:pPr>
        <w:pBdr>
          <w:top w:val="nil"/>
          <w:left w:val="nil"/>
          <w:bottom w:val="nil"/>
          <w:right w:val="nil"/>
          <w:between w:val="nil"/>
        </w:pBdr>
        <w:spacing w:before="280" w:after="280"/>
        <w:ind w:left="798"/>
        <w:jc w:val="both"/>
        <w:rPr>
          <w:rFonts w:ascii="Arial" w:eastAsia="Arial" w:hAnsi="Arial" w:cs="Arial"/>
        </w:rPr>
      </w:pPr>
      <w:r>
        <w:rPr>
          <w:rFonts w:ascii="Arial" w:eastAsia="Arial" w:hAnsi="Arial" w:cs="Arial"/>
          <w:color w:val="000000"/>
        </w:rPr>
        <w:tab/>
      </w:r>
      <w:r>
        <w:rPr>
          <w:rFonts w:ascii="Arial" w:eastAsia="Arial" w:hAnsi="Arial" w:cs="Arial"/>
        </w:rPr>
        <w:t xml:space="preserve">The prevalence of malaria-typhoid co-infection was highest in children (38.3%), followed by adult females (34.8%) and adult males (27.3%). These findings are consistent with those of Orok et al. (2016), who reported the highest co-infection rate (37.5%) in children. The present study also agrees with </w:t>
      </w:r>
      <w:proofErr w:type="spellStart"/>
      <w:r>
        <w:rPr>
          <w:rFonts w:ascii="Arial" w:eastAsia="Arial" w:hAnsi="Arial" w:cs="Arial"/>
        </w:rPr>
        <w:t>Onyido</w:t>
      </w:r>
      <w:proofErr w:type="spellEnd"/>
      <w:r>
        <w:rPr>
          <w:rFonts w:ascii="Arial" w:eastAsia="Arial" w:hAnsi="Arial" w:cs="Arial"/>
        </w:rPr>
        <w:t xml:space="preserve"> et al. (2014), who recorded the highest co-infection rate (11%) among children. On the contrary, these findings contradict the results of </w:t>
      </w:r>
      <w:proofErr w:type="spellStart"/>
      <w:r>
        <w:rPr>
          <w:rFonts w:ascii="Arial" w:eastAsia="Arial" w:hAnsi="Arial" w:cs="Arial"/>
        </w:rPr>
        <w:t>Olowolafe</w:t>
      </w:r>
      <w:proofErr w:type="spellEnd"/>
      <w:r>
        <w:rPr>
          <w:rFonts w:ascii="Arial" w:eastAsia="Arial" w:hAnsi="Arial" w:cs="Arial"/>
        </w:rPr>
        <w:t xml:space="preserve"> et al. (2024), who reported that females had a higher co-infection rate than males and children. Similarly, </w:t>
      </w:r>
      <w:proofErr w:type="spellStart"/>
      <w:r>
        <w:rPr>
          <w:rFonts w:ascii="Arial" w:eastAsia="Arial" w:hAnsi="Arial" w:cs="Arial"/>
        </w:rPr>
        <w:t>Nodem</w:t>
      </w:r>
      <w:proofErr w:type="spellEnd"/>
      <w:r>
        <w:rPr>
          <w:rFonts w:ascii="Arial" w:eastAsia="Arial" w:hAnsi="Arial" w:cs="Arial"/>
        </w:rPr>
        <w:t xml:space="preserve"> et al. (2023) also reported a higher co-infection rate (30.3%) among females. The higher prevalence in females, as reported by these studies, may be attributed to their increased exposure due to spending more time outdoors and having limited access to clean drinking water.</w:t>
      </w:r>
    </w:p>
    <w:p w14:paraId="213FAF7B" w14:textId="77777777" w:rsidR="00EB21F6" w:rsidRDefault="000176C0">
      <w:pPr>
        <w:spacing w:before="240" w:after="240"/>
        <w:ind w:left="720" w:firstLine="720"/>
        <w:jc w:val="both"/>
        <w:rPr>
          <w:rFonts w:ascii="Arial" w:eastAsia="Arial" w:hAnsi="Arial" w:cs="Arial"/>
        </w:rPr>
      </w:pPr>
      <w:r>
        <w:rPr>
          <w:rFonts w:ascii="Arial" w:eastAsia="Arial" w:hAnsi="Arial" w:cs="Arial"/>
        </w:rPr>
        <w:t xml:space="preserve">Meanwhile, the present study attributes the higher co-infection rate in children to their more pronounced clinical symptoms and lower PCV levels, which reflect greater vulnerability. This study presents a comparative analysis of the prevalence and hematological effects, specifically on packed cell volume (PCV) of malaria, typhoid fever, and their co-infection among adults and children in </w:t>
      </w:r>
      <w:proofErr w:type="spellStart"/>
      <w:r>
        <w:rPr>
          <w:rFonts w:ascii="Arial" w:eastAsia="Arial" w:hAnsi="Arial" w:cs="Arial"/>
        </w:rPr>
        <w:t>Akinima</w:t>
      </w:r>
      <w:proofErr w:type="spellEnd"/>
      <w:r>
        <w:rPr>
          <w:rFonts w:ascii="Arial" w:eastAsia="Arial" w:hAnsi="Arial" w:cs="Arial"/>
        </w:rPr>
        <w:t xml:space="preserve">, </w:t>
      </w:r>
      <w:proofErr w:type="spellStart"/>
      <w:r>
        <w:rPr>
          <w:rFonts w:ascii="Arial" w:eastAsia="Arial" w:hAnsi="Arial" w:cs="Arial"/>
        </w:rPr>
        <w:t>Ahoada</w:t>
      </w:r>
      <w:proofErr w:type="spellEnd"/>
      <w:r>
        <w:rPr>
          <w:rFonts w:ascii="Arial" w:eastAsia="Arial" w:hAnsi="Arial" w:cs="Arial"/>
        </w:rPr>
        <w:t xml:space="preserve"> West, Rivers State, Nigeria. Recognizing the endemic nature of both diseases in sub-Saharan Africa, the research aimed to identify infection patterns across age and gender and to evaluate how co-infection correlates with PCV levels.</w:t>
      </w:r>
    </w:p>
    <w:p w14:paraId="233BC678" w14:textId="77777777" w:rsidR="00EB21F6" w:rsidRDefault="000176C0">
      <w:pPr>
        <w:spacing w:before="240" w:after="240"/>
        <w:ind w:left="720" w:firstLine="720"/>
        <w:jc w:val="both"/>
        <w:rPr>
          <w:rFonts w:ascii="Arial" w:eastAsia="Arial" w:hAnsi="Arial" w:cs="Arial"/>
        </w:rPr>
      </w:pPr>
      <w:r>
        <w:rPr>
          <w:rFonts w:ascii="Arial" w:eastAsia="Arial" w:hAnsi="Arial" w:cs="Arial"/>
        </w:rPr>
        <w:t xml:space="preserve">A retrospective cross-sectional design was used, examining clinical data from 191 participants, comprising 44 adult males, 66 adult females, and 81 children aged 10 years and below. Laboratory investigations included malaria detection through microscopy, typhoid diagnosis via the </w:t>
      </w:r>
      <w:proofErr w:type="spellStart"/>
      <w:r>
        <w:rPr>
          <w:rFonts w:ascii="Arial" w:eastAsia="Arial" w:hAnsi="Arial" w:cs="Arial"/>
        </w:rPr>
        <w:t>Widal</w:t>
      </w:r>
      <w:proofErr w:type="spellEnd"/>
      <w:r>
        <w:rPr>
          <w:rFonts w:ascii="Arial" w:eastAsia="Arial" w:hAnsi="Arial" w:cs="Arial"/>
        </w:rPr>
        <w:t xml:space="preserve"> agglutination test, and PCV estimation using the microhematocrit method. Data were analyzed using descriptive statistics in SPSS and Excel.</w:t>
      </w:r>
    </w:p>
    <w:p w14:paraId="4739B9B1" w14:textId="77777777" w:rsidR="00EB21F6" w:rsidRDefault="000176C0">
      <w:pPr>
        <w:spacing w:before="240" w:after="240"/>
        <w:ind w:left="720" w:firstLine="720"/>
        <w:jc w:val="both"/>
        <w:rPr>
          <w:rFonts w:ascii="Arial" w:eastAsia="Arial" w:hAnsi="Arial" w:cs="Arial"/>
        </w:rPr>
      </w:pPr>
      <w:r>
        <w:rPr>
          <w:rFonts w:ascii="Arial" w:eastAsia="Arial" w:hAnsi="Arial" w:cs="Arial"/>
        </w:rPr>
        <w:t>The results showed high malaria prevalence across all groups: adult males (77.3%), adult females (74.2%), and children (77.8%). Typhoid fever was also notable, with children again showing the highest positivity rate (45.7%), followed by adult females (40.9%) and adult males (38.6%). Co-infection was most frequent in children (38.3%), followed by adult females (34.8%) and adult males (27.3%). Hematological analysis revealed differences in PCV values. Adult males had the highest mean PCV (45.0%), while adult females (34.0%) and children (34.2%) exhibited lower mean PCV values. This trend indicates lower PCV levels among children and adult females, and co-infection was observed to be associated with reduced PCV values. The findings illustrate the co-occurrence of malaria and typhoid and their observed relationship with PCV, particularly among children.</w:t>
      </w:r>
    </w:p>
    <w:p w14:paraId="0C959BD0" w14:textId="77777777" w:rsidR="00EB21F6" w:rsidRDefault="000176C0">
      <w:pPr>
        <w:spacing w:before="240" w:after="240"/>
        <w:ind w:left="720" w:firstLine="720"/>
        <w:jc w:val="both"/>
        <w:rPr>
          <w:rFonts w:ascii="Arial" w:eastAsia="Arial" w:hAnsi="Arial" w:cs="Arial"/>
        </w:rPr>
      </w:pPr>
      <w:r>
        <w:rPr>
          <w:rFonts w:ascii="Arial" w:eastAsia="Arial" w:hAnsi="Arial" w:cs="Arial"/>
        </w:rPr>
        <w:t xml:space="preserve">Aside from the conclusions already stated, some of which are supported by previous studies, anemia is a common finding in both malaria and typhoid fever due to overlapping mechanisms. Both diseases suppress bone marrow activity, resulting in decreased red blood cell production and, consequently, anemia. However, typhoid fever has an additional mechanism that may explain the development of anemia: </w:t>
      </w:r>
      <w:proofErr w:type="spellStart"/>
      <w:r>
        <w:rPr>
          <w:rFonts w:ascii="Arial" w:eastAsia="Arial" w:hAnsi="Arial" w:cs="Arial"/>
        </w:rPr>
        <w:t>hemophagocytosis</w:t>
      </w:r>
      <w:proofErr w:type="spellEnd"/>
      <w:r>
        <w:rPr>
          <w:rFonts w:ascii="Arial" w:eastAsia="Arial" w:hAnsi="Arial" w:cs="Arial"/>
        </w:rPr>
        <w:t>, a condition where activated macrophages engulf red blood cells, white blood cells, and platelets. This process further contributes to the observed hematological decline, especially in co-infected individuals.</w:t>
      </w:r>
    </w:p>
    <w:p w14:paraId="62872C3D" w14:textId="77777777" w:rsidR="00EB21F6" w:rsidRDefault="000176C0">
      <w:pPr>
        <w:spacing w:before="240" w:after="240"/>
        <w:ind w:left="720" w:firstLine="720"/>
        <w:jc w:val="both"/>
        <w:rPr>
          <w:rFonts w:ascii="Arial" w:eastAsia="Arial" w:hAnsi="Arial" w:cs="Arial"/>
        </w:rPr>
      </w:pPr>
      <w:r>
        <w:rPr>
          <w:rFonts w:ascii="Arial" w:eastAsia="Arial" w:hAnsi="Arial" w:cs="Arial"/>
        </w:rPr>
        <w:t>In addition to positivity rates, malaria parasitemia was graded semi-quantitatively using a conventional microscopy-based scoring system (+, ++, +++, ++++), a widely accepted method for estimating parasite density in field settings (</w:t>
      </w:r>
      <w:proofErr w:type="spellStart"/>
      <w:r>
        <w:rPr>
          <w:rFonts w:ascii="Arial" w:eastAsia="Arial" w:hAnsi="Arial" w:cs="Arial"/>
        </w:rPr>
        <w:t>Cheesbrough</w:t>
      </w:r>
      <w:proofErr w:type="spellEnd"/>
      <w:r>
        <w:rPr>
          <w:rFonts w:ascii="Arial" w:eastAsia="Arial" w:hAnsi="Arial" w:cs="Arial"/>
        </w:rPr>
        <w:t>, 2006;(</w:t>
      </w:r>
      <w:proofErr w:type="spellStart"/>
      <w:r>
        <w:rPr>
          <w:rFonts w:ascii="Arial" w:eastAsia="Arial" w:hAnsi="Arial" w:cs="Arial"/>
        </w:rPr>
        <w:t>Sahu</w:t>
      </w:r>
      <w:proofErr w:type="spellEnd"/>
      <w:r>
        <w:rPr>
          <w:rFonts w:ascii="Arial" w:eastAsia="Arial" w:hAnsi="Arial" w:cs="Arial"/>
        </w:rPr>
        <w:t xml:space="preserve">, Gunasekaran, &amp; </w:t>
      </w:r>
      <w:proofErr w:type="spellStart"/>
      <w:r>
        <w:rPr>
          <w:rFonts w:ascii="Arial" w:eastAsia="Arial" w:hAnsi="Arial" w:cs="Arial"/>
        </w:rPr>
        <w:lastRenderedPageBreak/>
        <w:t>Jambulingam</w:t>
      </w:r>
      <w:proofErr w:type="spellEnd"/>
      <w:r>
        <w:rPr>
          <w:rFonts w:ascii="Arial" w:eastAsia="Arial" w:hAnsi="Arial" w:cs="Arial"/>
        </w:rPr>
        <w:t xml:space="preserve">, 2015; </w:t>
      </w:r>
      <w:proofErr w:type="spellStart"/>
      <w:r>
        <w:rPr>
          <w:rFonts w:ascii="Arial" w:eastAsia="Arial" w:hAnsi="Arial" w:cs="Arial"/>
        </w:rPr>
        <w:t>Fitri</w:t>
      </w:r>
      <w:proofErr w:type="spellEnd"/>
      <w:r>
        <w:rPr>
          <w:rFonts w:ascii="Arial" w:eastAsia="Arial" w:hAnsi="Arial" w:cs="Arial"/>
        </w:rPr>
        <w:t xml:space="preserve"> et al., 2022). This grading, as shown in Table 5, serves as a proxy for parasite density and provides insight into infection intensity. A notable observation is the trend of lower PCV values in participants with higher parasitemia scores, particularly among children and adult females. Although this study did not statistically correlate parasite density scores with PCV due to its descriptive design, future analyses may explore this relationship to better understand the hematologic burden of varying infection intensities.</w:t>
      </w:r>
    </w:p>
    <w:p w14:paraId="76B90A68" w14:textId="77777777" w:rsidR="00EB21F6" w:rsidRDefault="00EB21F6">
      <w:pPr>
        <w:spacing w:before="240" w:after="240"/>
        <w:ind w:left="720" w:firstLine="720"/>
        <w:jc w:val="both"/>
        <w:rPr>
          <w:rFonts w:ascii="Arial" w:eastAsia="Arial" w:hAnsi="Arial" w:cs="Arial"/>
        </w:rPr>
      </w:pPr>
    </w:p>
    <w:p w14:paraId="33D1275A" w14:textId="77777777" w:rsidR="00EB21F6" w:rsidRDefault="000176C0">
      <w:pPr>
        <w:pStyle w:val="Heading2"/>
        <w:ind w:left="798"/>
        <w:jc w:val="both"/>
        <w:rPr>
          <w:rFonts w:ascii="Arial" w:eastAsia="Arial" w:hAnsi="Arial" w:cs="Arial"/>
          <w:sz w:val="20"/>
          <w:szCs w:val="20"/>
        </w:rPr>
      </w:pPr>
      <w:r>
        <w:rPr>
          <w:rFonts w:ascii="Arial" w:eastAsia="Arial" w:hAnsi="Arial" w:cs="Arial"/>
          <w:sz w:val="20"/>
          <w:szCs w:val="20"/>
        </w:rPr>
        <w:t>Conclusion</w:t>
      </w:r>
    </w:p>
    <w:p w14:paraId="79DF6D00" w14:textId="77777777" w:rsidR="00EB21F6" w:rsidRDefault="000176C0">
      <w:pPr>
        <w:pStyle w:val="Heading2"/>
        <w:ind w:left="798"/>
        <w:jc w:val="both"/>
        <w:rPr>
          <w:rFonts w:ascii="Arial" w:eastAsia="Arial" w:hAnsi="Arial" w:cs="Arial"/>
          <w:sz w:val="20"/>
          <w:szCs w:val="20"/>
        </w:rPr>
      </w:pPr>
      <w:r>
        <w:rPr>
          <w:rFonts w:ascii="Arial" w:eastAsia="Arial" w:hAnsi="Arial" w:cs="Arial"/>
          <w:sz w:val="20"/>
          <w:szCs w:val="20"/>
        </w:rPr>
        <w:br/>
      </w:r>
      <w:r>
        <w:rPr>
          <w:rFonts w:ascii="Arial" w:eastAsia="Arial" w:hAnsi="Arial" w:cs="Arial"/>
          <w:sz w:val="20"/>
          <w:szCs w:val="20"/>
        </w:rPr>
        <w:tab/>
      </w:r>
      <w:r>
        <w:rPr>
          <w:rFonts w:ascii="Arial" w:eastAsia="Arial" w:hAnsi="Arial" w:cs="Arial"/>
          <w:b w:val="0"/>
          <w:sz w:val="20"/>
          <w:szCs w:val="20"/>
        </w:rPr>
        <w:t xml:space="preserve">This study provides a comprehensive analysis of malaria parasitemia, typhoid antigen prevalence, and packed cell volume (PCV) levels across three demographic groups, adult males, adult females, and children in </w:t>
      </w:r>
      <w:proofErr w:type="spellStart"/>
      <w:r>
        <w:rPr>
          <w:rFonts w:ascii="Arial" w:eastAsia="Arial" w:hAnsi="Arial" w:cs="Arial"/>
          <w:b w:val="0"/>
          <w:sz w:val="20"/>
          <w:szCs w:val="20"/>
        </w:rPr>
        <w:t>Akinima</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Ahoada</w:t>
      </w:r>
      <w:proofErr w:type="spellEnd"/>
      <w:r>
        <w:rPr>
          <w:rFonts w:ascii="Arial" w:eastAsia="Arial" w:hAnsi="Arial" w:cs="Arial"/>
          <w:b w:val="0"/>
          <w:sz w:val="20"/>
          <w:szCs w:val="20"/>
        </w:rPr>
        <w:t xml:space="preserve"> West, Rivers State, Nigeria. The findings reveal that malaria is highly prevalent in all groups, with children exhibiting the highest infection rate (77.8%), followed by adult males (77.3%) and adult females (74.2%). This indicates that while malaria is widespread, children are observed to have the highest infection rates. Similarly, typhoid antigen prevalence was most common among children (45.7%), showing their higher observed prevalence. Adult females had a slightly higher typhoid rate (40.9%) than adult males (38.6%).Packed cell volume (PCV) analysis showed that adult males maintained PCV values within the normal range (mean PCV = 45.0%), whereas adult females (34.0%) and children (34.2%) displayed lower mean PCV levels, suggesting lower PCV observations in these groups.</w:t>
      </w:r>
    </w:p>
    <w:p w14:paraId="0B6599E1" w14:textId="77777777" w:rsidR="00EB21F6" w:rsidRDefault="000176C0">
      <w:pPr>
        <w:pBdr>
          <w:top w:val="nil"/>
          <w:left w:val="nil"/>
          <w:bottom w:val="nil"/>
          <w:right w:val="nil"/>
          <w:between w:val="nil"/>
        </w:pBdr>
        <w:spacing w:before="280" w:after="280"/>
        <w:ind w:left="798"/>
        <w:jc w:val="both"/>
        <w:rPr>
          <w:rFonts w:ascii="Arial" w:eastAsia="Arial" w:hAnsi="Arial" w:cs="Arial"/>
          <w:color w:val="000000"/>
        </w:rPr>
      </w:pPr>
      <w:r>
        <w:rPr>
          <w:rFonts w:ascii="Arial" w:eastAsia="Arial" w:hAnsi="Arial" w:cs="Arial"/>
          <w:color w:val="000000"/>
        </w:rPr>
        <w:tab/>
        <w:t>Furthermore, co-infection analysis demonstrated that children had the highest malaria-typhoid co-infection rate (38.3%), followed by adult females (34.8%) and adult males (27.3%). This pattern presents the observed vulnerability of children, who show not only higher infection rates but also more pronounced hematologic observations when co-infected. This study presents the dual burden of malaria and typhoid fever in the population, particularly among children and adult females, and describes the observed associations.</w:t>
      </w:r>
    </w:p>
    <w:p w14:paraId="53CD1066" w14:textId="77777777" w:rsidR="00EB21F6" w:rsidRDefault="00EB21F6">
      <w:pPr>
        <w:pBdr>
          <w:top w:val="nil"/>
          <w:left w:val="nil"/>
          <w:bottom w:val="nil"/>
          <w:right w:val="nil"/>
          <w:between w:val="nil"/>
        </w:pBdr>
        <w:spacing w:before="280" w:after="280"/>
        <w:ind w:left="798"/>
        <w:jc w:val="both"/>
        <w:rPr>
          <w:rFonts w:ascii="Arial" w:eastAsia="Arial" w:hAnsi="Arial" w:cs="Arial"/>
        </w:rPr>
      </w:pPr>
    </w:p>
    <w:p w14:paraId="7CFAF3B7" w14:textId="77777777" w:rsidR="00EB21F6" w:rsidRDefault="00EB21F6">
      <w:pPr>
        <w:pBdr>
          <w:top w:val="nil"/>
          <w:left w:val="nil"/>
          <w:bottom w:val="nil"/>
          <w:right w:val="nil"/>
          <w:between w:val="nil"/>
        </w:pBdr>
        <w:spacing w:before="280" w:after="280"/>
        <w:ind w:left="798"/>
        <w:jc w:val="both"/>
        <w:rPr>
          <w:rFonts w:ascii="Arial" w:eastAsia="Arial" w:hAnsi="Arial" w:cs="Arial"/>
        </w:rPr>
      </w:pPr>
    </w:p>
    <w:p w14:paraId="4264AB71" w14:textId="77777777" w:rsidR="00EB21F6" w:rsidRDefault="00EB21F6">
      <w:pPr>
        <w:pBdr>
          <w:top w:val="nil"/>
          <w:left w:val="nil"/>
          <w:bottom w:val="nil"/>
          <w:right w:val="nil"/>
          <w:between w:val="nil"/>
        </w:pBdr>
        <w:spacing w:before="280" w:after="280"/>
        <w:ind w:left="798"/>
        <w:jc w:val="both"/>
        <w:rPr>
          <w:rFonts w:ascii="Arial" w:eastAsia="Arial" w:hAnsi="Arial" w:cs="Arial"/>
        </w:rPr>
      </w:pPr>
    </w:p>
    <w:p w14:paraId="2B11E08C" w14:textId="77777777" w:rsidR="00EB21F6" w:rsidRDefault="000176C0">
      <w:pPr>
        <w:spacing w:before="280" w:after="280"/>
        <w:ind w:left="798"/>
        <w:jc w:val="both"/>
        <w:rPr>
          <w:rFonts w:ascii="Arial" w:eastAsia="Arial" w:hAnsi="Arial" w:cs="Arial"/>
          <w:b/>
        </w:rPr>
      </w:pPr>
      <w:r>
        <w:rPr>
          <w:rFonts w:ascii="Arial" w:eastAsia="Arial" w:hAnsi="Arial" w:cs="Arial"/>
          <w:b/>
        </w:rPr>
        <w:t>Limitations</w:t>
      </w:r>
    </w:p>
    <w:p w14:paraId="67E0342C" w14:textId="77777777" w:rsidR="00EB21F6" w:rsidRDefault="000176C0">
      <w:pPr>
        <w:pBdr>
          <w:top w:val="nil"/>
          <w:left w:val="nil"/>
          <w:bottom w:val="nil"/>
          <w:right w:val="nil"/>
          <w:between w:val="nil"/>
        </w:pBdr>
        <w:spacing w:before="280" w:after="280"/>
        <w:ind w:left="798"/>
        <w:jc w:val="both"/>
        <w:rPr>
          <w:rFonts w:ascii="Arial" w:eastAsia="Arial" w:hAnsi="Arial" w:cs="Arial"/>
        </w:rPr>
      </w:pPr>
      <w:r>
        <w:rPr>
          <w:rFonts w:ascii="Arial" w:eastAsia="Arial" w:hAnsi="Arial" w:cs="Arial"/>
        </w:rPr>
        <w:t>This study is the use of an assumed average white blood cell (WBC) count of 8,000 cells/</w:t>
      </w:r>
      <w:proofErr w:type="spellStart"/>
      <w:r>
        <w:rPr>
          <w:rFonts w:ascii="Arial" w:eastAsia="Arial" w:hAnsi="Arial" w:cs="Arial"/>
        </w:rPr>
        <w:t>μL</w:t>
      </w:r>
      <w:proofErr w:type="spellEnd"/>
      <w:r>
        <w:rPr>
          <w:rFonts w:ascii="Arial" w:eastAsia="Arial" w:hAnsi="Arial" w:cs="Arial"/>
        </w:rPr>
        <w:t xml:space="preserve"> for estimating malaria parasite density. While this approach aligns with standard protocols in resource-limited settings, it may not reflect individual variations in leukocyte counts among participants. The unavailability of equipment and reagents for conducting actual WBC counts at the study site restricted our ability to obtain more precise parasitemia measurements. This may have introduced a degree of variability in parasite quantification. Future studies should aim to include individualized hematological parameters to enhance diagnostic accuracy and data reliability.</w:t>
      </w:r>
    </w:p>
    <w:p w14:paraId="1F3E699B" w14:textId="77777777" w:rsidR="00EB21F6" w:rsidRDefault="00EB21F6">
      <w:pPr>
        <w:pBdr>
          <w:top w:val="nil"/>
          <w:left w:val="nil"/>
          <w:bottom w:val="nil"/>
          <w:right w:val="nil"/>
          <w:between w:val="nil"/>
        </w:pBdr>
        <w:spacing w:before="280" w:after="280"/>
        <w:jc w:val="both"/>
        <w:rPr>
          <w:rFonts w:ascii="Arial" w:eastAsia="Arial" w:hAnsi="Arial" w:cs="Arial"/>
          <w:color w:val="000000"/>
        </w:rPr>
      </w:pPr>
    </w:p>
    <w:p w14:paraId="38662F2F" w14:textId="77777777" w:rsidR="00EB21F6" w:rsidRDefault="00EB21F6">
      <w:pPr>
        <w:spacing w:before="280" w:after="280"/>
        <w:jc w:val="both"/>
        <w:rPr>
          <w:rFonts w:ascii="Times New Roman" w:eastAsia="Times New Roman" w:hAnsi="Times New Roman" w:cs="Times New Roman"/>
        </w:rPr>
      </w:pPr>
    </w:p>
    <w:tbl>
      <w:tblPr>
        <w:tblStyle w:val="a4"/>
        <w:tblpPr w:leftFromText="180" w:rightFromText="180" w:topFromText="180" w:bottomFromText="180" w:vertAnchor="text" w:tblpX="690"/>
        <w:tblW w:w="8490" w:type="dxa"/>
        <w:tblInd w:w="0" w:type="dxa"/>
        <w:tblBorders>
          <w:top w:val="single" w:sz="4" w:space="0" w:color="000000"/>
          <w:left w:val="single" w:sz="4" w:space="0" w:color="000000"/>
          <w:right w:val="single" w:sz="4" w:space="0" w:color="000000"/>
          <w:insideV w:val="single" w:sz="4" w:space="0" w:color="000000"/>
        </w:tblBorders>
        <w:tblLayout w:type="fixed"/>
        <w:tblLook w:val="0000" w:firstRow="0" w:lastRow="0" w:firstColumn="0" w:lastColumn="0" w:noHBand="0" w:noVBand="0"/>
      </w:tblPr>
      <w:tblGrid>
        <w:gridCol w:w="794"/>
        <w:gridCol w:w="720"/>
        <w:gridCol w:w="780"/>
        <w:gridCol w:w="1051"/>
        <w:gridCol w:w="704"/>
        <w:gridCol w:w="796"/>
        <w:gridCol w:w="1004"/>
        <w:gridCol w:w="811"/>
        <w:gridCol w:w="779"/>
        <w:gridCol w:w="1051"/>
      </w:tblGrid>
      <w:tr w:rsidR="00EB21F6" w14:paraId="2D0D7641" w14:textId="77777777">
        <w:trPr>
          <w:trHeight w:val="296"/>
        </w:trPr>
        <w:tc>
          <w:tcPr>
            <w:tcW w:w="8490" w:type="dxa"/>
            <w:gridSpan w:val="10"/>
            <w:tcBorders>
              <w:bottom w:val="single" w:sz="4" w:space="0" w:color="000000"/>
            </w:tcBorders>
            <w:vAlign w:val="center"/>
          </w:tcPr>
          <w:p w14:paraId="432CE9AD" w14:textId="2850B81C" w:rsidR="00EB21F6" w:rsidRDefault="003745BB">
            <w:pPr>
              <w:pStyle w:val="Heading3"/>
              <w:spacing w:before="0" w:after="0"/>
              <w:jc w:val="both"/>
              <w:rPr>
                <w:rFonts w:ascii="Arial" w:eastAsia="Arial" w:hAnsi="Arial" w:cs="Arial"/>
                <w:sz w:val="20"/>
                <w:szCs w:val="20"/>
              </w:rPr>
            </w:pPr>
            <w:bookmarkStart w:id="1" w:name="_sractyxivpki" w:colFirst="0" w:colLast="0"/>
            <w:bookmarkEnd w:id="1"/>
            <w:r>
              <w:rPr>
                <w:rFonts w:ascii="Arial" w:eastAsia="Arial" w:hAnsi="Arial" w:cs="Arial"/>
                <w:sz w:val="20"/>
                <w:szCs w:val="20"/>
              </w:rPr>
              <w:lastRenderedPageBreak/>
              <w:t>Table 6</w:t>
            </w:r>
            <w:r w:rsidR="000176C0">
              <w:rPr>
                <w:rFonts w:ascii="Arial" w:eastAsia="Arial" w:hAnsi="Arial" w:cs="Arial"/>
                <w:sz w:val="20"/>
                <w:szCs w:val="20"/>
              </w:rPr>
              <w:t xml:space="preserve">. Raw Data from the Cross-Sectional Study Showing Malaria Parasite Load, Typhoid Antigen Titers, and Packed Cell Volume (PCV) Variations Among Adult Males, Adult Females, and Children in </w:t>
            </w:r>
            <w:proofErr w:type="spellStart"/>
            <w:r w:rsidR="000176C0">
              <w:rPr>
                <w:rFonts w:ascii="Arial" w:eastAsia="Arial" w:hAnsi="Arial" w:cs="Arial"/>
                <w:sz w:val="20"/>
                <w:szCs w:val="20"/>
              </w:rPr>
              <w:t>Akinima</w:t>
            </w:r>
            <w:proofErr w:type="spellEnd"/>
            <w:r w:rsidR="000176C0">
              <w:rPr>
                <w:rFonts w:ascii="Arial" w:eastAsia="Arial" w:hAnsi="Arial" w:cs="Arial"/>
                <w:sz w:val="20"/>
                <w:szCs w:val="20"/>
              </w:rPr>
              <w:t>, Nigeria.</w:t>
            </w:r>
          </w:p>
        </w:tc>
      </w:tr>
      <w:tr w:rsidR="00EB21F6" w14:paraId="06AA02C8" w14:textId="77777777">
        <w:trPr>
          <w:trHeight w:val="296"/>
        </w:trPr>
        <w:tc>
          <w:tcPr>
            <w:tcW w:w="8490" w:type="dxa"/>
            <w:gridSpan w:val="10"/>
            <w:tcBorders>
              <w:top w:val="single" w:sz="4" w:space="0" w:color="000000"/>
              <w:bottom w:val="single" w:sz="4" w:space="0" w:color="000000"/>
            </w:tcBorders>
            <w:vAlign w:val="center"/>
          </w:tcPr>
          <w:p w14:paraId="787E5E5F" w14:textId="77777777" w:rsidR="00EB21F6" w:rsidRDefault="000176C0">
            <w:pPr>
              <w:jc w:val="both"/>
            </w:pPr>
            <w:r>
              <w:rPr>
                <w:rFonts w:ascii="Arial" w:eastAsia="Arial" w:hAnsi="Arial" w:cs="Arial"/>
              </w:rPr>
              <w:t xml:space="preserve">Malaria parasite presence is reported as Not Seen, +, ++, +++, or ++++. Typhoid infection is indicated by </w:t>
            </w:r>
            <w:proofErr w:type="spellStart"/>
            <w:r>
              <w:rPr>
                <w:rFonts w:ascii="Arial" w:eastAsia="Arial" w:hAnsi="Arial" w:cs="Arial"/>
              </w:rPr>
              <w:t>Widal</w:t>
            </w:r>
            <w:proofErr w:type="spellEnd"/>
            <w:r>
              <w:rPr>
                <w:rFonts w:ascii="Arial" w:eastAsia="Arial" w:hAnsi="Arial" w:cs="Arial"/>
              </w:rPr>
              <w:t xml:space="preserve"> agglutination titers (1:20 to 1:360). Packed Cell Volume (PCV) is expressed in percentage (%), with normal reference ranges as follows: Adult Males (40–54%), Adult Females (35–45%), and Children aged 1–10 years (34–40%)</w:t>
            </w:r>
          </w:p>
          <w:p w14:paraId="22F75CA6" w14:textId="77777777" w:rsidR="00EB21F6" w:rsidRDefault="00EB21F6">
            <w:pPr>
              <w:jc w:val="both"/>
              <w:rPr>
                <w:rFonts w:ascii="Arial" w:eastAsia="Arial" w:hAnsi="Arial" w:cs="Arial"/>
              </w:rPr>
            </w:pPr>
          </w:p>
        </w:tc>
      </w:tr>
      <w:tr w:rsidR="00EB21F6" w14:paraId="527F157E" w14:textId="77777777">
        <w:trPr>
          <w:trHeight w:val="296"/>
        </w:trPr>
        <w:tc>
          <w:tcPr>
            <w:tcW w:w="794" w:type="dxa"/>
            <w:tcBorders>
              <w:top w:val="single" w:sz="4" w:space="0" w:color="000000"/>
              <w:bottom w:val="single" w:sz="8" w:space="0" w:color="000000"/>
            </w:tcBorders>
            <w:vAlign w:val="center"/>
          </w:tcPr>
          <w:p w14:paraId="43396828" w14:textId="77777777" w:rsidR="00EB21F6" w:rsidRDefault="00EB21F6">
            <w:pPr>
              <w:jc w:val="both"/>
              <w:rPr>
                <w:rFonts w:ascii="Arial" w:eastAsia="Arial" w:hAnsi="Arial" w:cs="Arial"/>
              </w:rPr>
            </w:pPr>
          </w:p>
        </w:tc>
        <w:tc>
          <w:tcPr>
            <w:tcW w:w="2551" w:type="dxa"/>
            <w:gridSpan w:val="3"/>
            <w:tcBorders>
              <w:top w:val="single" w:sz="4" w:space="0" w:color="000000"/>
              <w:bottom w:val="single" w:sz="8" w:space="0" w:color="000000"/>
            </w:tcBorders>
            <w:vAlign w:val="center"/>
          </w:tcPr>
          <w:p w14:paraId="0C5D9489" w14:textId="77777777" w:rsidR="00EB21F6" w:rsidRDefault="000176C0">
            <w:pPr>
              <w:jc w:val="both"/>
              <w:rPr>
                <w:rFonts w:ascii="Arial" w:eastAsia="Arial" w:hAnsi="Arial" w:cs="Arial"/>
              </w:rPr>
            </w:pPr>
            <w:r>
              <w:rPr>
                <w:rFonts w:ascii="Arial" w:eastAsia="Arial" w:hAnsi="Arial" w:cs="Arial"/>
              </w:rPr>
              <w:t>ADULT MALE</w:t>
            </w:r>
          </w:p>
        </w:tc>
        <w:tc>
          <w:tcPr>
            <w:tcW w:w="2504" w:type="dxa"/>
            <w:gridSpan w:val="3"/>
            <w:tcBorders>
              <w:top w:val="single" w:sz="4" w:space="0" w:color="000000"/>
              <w:bottom w:val="single" w:sz="8" w:space="0" w:color="000000"/>
            </w:tcBorders>
            <w:vAlign w:val="center"/>
          </w:tcPr>
          <w:p w14:paraId="7D18029D" w14:textId="77777777" w:rsidR="00EB21F6" w:rsidRDefault="000176C0">
            <w:pPr>
              <w:jc w:val="both"/>
              <w:rPr>
                <w:rFonts w:ascii="Arial" w:eastAsia="Arial" w:hAnsi="Arial" w:cs="Arial"/>
              </w:rPr>
            </w:pPr>
            <w:r>
              <w:rPr>
                <w:rFonts w:ascii="Arial" w:eastAsia="Arial" w:hAnsi="Arial" w:cs="Arial"/>
              </w:rPr>
              <w:t>ADULT FEMALE</w:t>
            </w:r>
          </w:p>
        </w:tc>
        <w:tc>
          <w:tcPr>
            <w:tcW w:w="2641" w:type="dxa"/>
            <w:gridSpan w:val="3"/>
            <w:tcBorders>
              <w:top w:val="single" w:sz="4" w:space="0" w:color="000000"/>
              <w:bottom w:val="single" w:sz="8" w:space="0" w:color="000000"/>
            </w:tcBorders>
            <w:vAlign w:val="center"/>
          </w:tcPr>
          <w:p w14:paraId="1D293FBE" w14:textId="77777777" w:rsidR="00EB21F6" w:rsidRDefault="000176C0">
            <w:pPr>
              <w:jc w:val="both"/>
              <w:rPr>
                <w:rFonts w:ascii="Arial" w:eastAsia="Arial" w:hAnsi="Arial" w:cs="Arial"/>
              </w:rPr>
            </w:pPr>
            <w:r>
              <w:rPr>
                <w:rFonts w:ascii="Arial" w:eastAsia="Arial" w:hAnsi="Arial" w:cs="Arial"/>
              </w:rPr>
              <w:t>CHILDREN 1-10yrs</w:t>
            </w:r>
          </w:p>
        </w:tc>
      </w:tr>
      <w:tr w:rsidR="00EB21F6" w14:paraId="1F492D5C" w14:textId="77777777">
        <w:trPr>
          <w:trHeight w:val="300"/>
        </w:trPr>
        <w:tc>
          <w:tcPr>
            <w:tcW w:w="794" w:type="dxa"/>
            <w:tcBorders>
              <w:top w:val="single" w:sz="8" w:space="0" w:color="000000"/>
              <w:left w:val="single" w:sz="8" w:space="0" w:color="000000"/>
              <w:bottom w:val="single" w:sz="4" w:space="0" w:color="000000"/>
              <w:right w:val="single" w:sz="8" w:space="0" w:color="000000"/>
            </w:tcBorders>
            <w:vAlign w:val="center"/>
          </w:tcPr>
          <w:p w14:paraId="706868D3" w14:textId="77777777" w:rsidR="00EB21F6" w:rsidRDefault="000176C0">
            <w:pPr>
              <w:jc w:val="both"/>
              <w:rPr>
                <w:rFonts w:ascii="Arial" w:eastAsia="Arial" w:hAnsi="Arial" w:cs="Arial"/>
              </w:rPr>
            </w:pPr>
            <w:r>
              <w:rPr>
                <w:rFonts w:ascii="Arial" w:eastAsia="Arial" w:hAnsi="Arial" w:cs="Arial"/>
              </w:rPr>
              <w:t>TEST</w:t>
            </w:r>
          </w:p>
        </w:tc>
        <w:tc>
          <w:tcPr>
            <w:tcW w:w="720" w:type="dxa"/>
            <w:tcBorders>
              <w:top w:val="single" w:sz="8" w:space="0" w:color="000000"/>
              <w:left w:val="single" w:sz="8" w:space="0" w:color="000000"/>
              <w:bottom w:val="single" w:sz="4" w:space="0" w:color="000000"/>
            </w:tcBorders>
            <w:vAlign w:val="center"/>
          </w:tcPr>
          <w:p w14:paraId="708A4FA0" w14:textId="77777777" w:rsidR="00EB21F6" w:rsidRDefault="000176C0">
            <w:pPr>
              <w:jc w:val="both"/>
              <w:rPr>
                <w:rFonts w:ascii="Arial" w:eastAsia="Arial" w:hAnsi="Arial" w:cs="Arial"/>
              </w:rPr>
            </w:pPr>
            <w:r>
              <w:rPr>
                <w:rFonts w:ascii="Arial" w:eastAsia="Arial" w:hAnsi="Arial" w:cs="Arial"/>
              </w:rPr>
              <w:t>MP</w:t>
            </w:r>
          </w:p>
        </w:tc>
        <w:tc>
          <w:tcPr>
            <w:tcW w:w="780" w:type="dxa"/>
            <w:tcBorders>
              <w:top w:val="single" w:sz="8" w:space="0" w:color="000000"/>
              <w:bottom w:val="single" w:sz="4" w:space="0" w:color="000000"/>
            </w:tcBorders>
            <w:vAlign w:val="center"/>
          </w:tcPr>
          <w:p w14:paraId="051D9966" w14:textId="77777777" w:rsidR="00EB21F6" w:rsidRDefault="000176C0">
            <w:pPr>
              <w:jc w:val="both"/>
              <w:rPr>
                <w:rFonts w:ascii="Arial" w:eastAsia="Arial" w:hAnsi="Arial" w:cs="Arial"/>
              </w:rPr>
            </w:pPr>
            <w:r>
              <w:rPr>
                <w:rFonts w:ascii="Arial" w:eastAsia="Arial" w:hAnsi="Arial" w:cs="Arial"/>
              </w:rPr>
              <w:t>Typhi</w:t>
            </w:r>
          </w:p>
        </w:tc>
        <w:tc>
          <w:tcPr>
            <w:tcW w:w="1051" w:type="dxa"/>
            <w:tcBorders>
              <w:top w:val="single" w:sz="8" w:space="0" w:color="000000"/>
              <w:bottom w:val="single" w:sz="4" w:space="0" w:color="000000"/>
              <w:right w:val="single" w:sz="8" w:space="0" w:color="000000"/>
            </w:tcBorders>
            <w:vAlign w:val="center"/>
          </w:tcPr>
          <w:p w14:paraId="5B92A3A9" w14:textId="77777777" w:rsidR="00EB21F6" w:rsidRDefault="000176C0">
            <w:pPr>
              <w:jc w:val="both"/>
              <w:rPr>
                <w:rFonts w:ascii="Arial" w:eastAsia="Arial" w:hAnsi="Arial" w:cs="Arial"/>
              </w:rPr>
            </w:pPr>
            <w:r>
              <w:rPr>
                <w:rFonts w:ascii="Arial" w:eastAsia="Arial" w:hAnsi="Arial" w:cs="Arial"/>
              </w:rPr>
              <w:t>PCV</w:t>
            </w:r>
          </w:p>
        </w:tc>
        <w:tc>
          <w:tcPr>
            <w:tcW w:w="704" w:type="dxa"/>
            <w:tcBorders>
              <w:top w:val="single" w:sz="8" w:space="0" w:color="000000"/>
              <w:left w:val="single" w:sz="8" w:space="0" w:color="000000"/>
              <w:bottom w:val="single" w:sz="4" w:space="0" w:color="000000"/>
            </w:tcBorders>
            <w:vAlign w:val="center"/>
          </w:tcPr>
          <w:p w14:paraId="239D80C9" w14:textId="77777777" w:rsidR="00EB21F6" w:rsidRDefault="000176C0">
            <w:pPr>
              <w:jc w:val="both"/>
              <w:rPr>
                <w:rFonts w:ascii="Arial" w:eastAsia="Arial" w:hAnsi="Arial" w:cs="Arial"/>
              </w:rPr>
            </w:pPr>
            <w:r>
              <w:rPr>
                <w:rFonts w:ascii="Arial" w:eastAsia="Arial" w:hAnsi="Arial" w:cs="Arial"/>
              </w:rPr>
              <w:t>MP</w:t>
            </w:r>
          </w:p>
        </w:tc>
        <w:tc>
          <w:tcPr>
            <w:tcW w:w="796" w:type="dxa"/>
            <w:tcBorders>
              <w:top w:val="single" w:sz="8" w:space="0" w:color="000000"/>
              <w:bottom w:val="single" w:sz="4" w:space="0" w:color="000000"/>
            </w:tcBorders>
            <w:vAlign w:val="center"/>
          </w:tcPr>
          <w:p w14:paraId="6C625231" w14:textId="77777777" w:rsidR="00EB21F6" w:rsidRDefault="000176C0">
            <w:pPr>
              <w:jc w:val="both"/>
              <w:rPr>
                <w:rFonts w:ascii="Arial" w:eastAsia="Arial" w:hAnsi="Arial" w:cs="Arial"/>
              </w:rPr>
            </w:pPr>
            <w:r>
              <w:rPr>
                <w:rFonts w:ascii="Arial" w:eastAsia="Arial" w:hAnsi="Arial" w:cs="Arial"/>
              </w:rPr>
              <w:t>Typhi</w:t>
            </w:r>
          </w:p>
        </w:tc>
        <w:tc>
          <w:tcPr>
            <w:tcW w:w="1004" w:type="dxa"/>
            <w:tcBorders>
              <w:top w:val="single" w:sz="8" w:space="0" w:color="000000"/>
              <w:bottom w:val="single" w:sz="4" w:space="0" w:color="000000"/>
              <w:right w:val="single" w:sz="8" w:space="0" w:color="000000"/>
            </w:tcBorders>
            <w:vAlign w:val="center"/>
          </w:tcPr>
          <w:p w14:paraId="12F82454" w14:textId="77777777" w:rsidR="00EB21F6" w:rsidRDefault="000176C0">
            <w:pPr>
              <w:jc w:val="both"/>
              <w:rPr>
                <w:rFonts w:ascii="Arial" w:eastAsia="Arial" w:hAnsi="Arial" w:cs="Arial"/>
              </w:rPr>
            </w:pPr>
            <w:r>
              <w:rPr>
                <w:rFonts w:ascii="Arial" w:eastAsia="Arial" w:hAnsi="Arial" w:cs="Arial"/>
              </w:rPr>
              <w:t>PCV</w:t>
            </w:r>
          </w:p>
        </w:tc>
        <w:tc>
          <w:tcPr>
            <w:tcW w:w="811" w:type="dxa"/>
            <w:tcBorders>
              <w:top w:val="single" w:sz="8" w:space="0" w:color="000000"/>
              <w:left w:val="single" w:sz="8" w:space="0" w:color="000000"/>
              <w:bottom w:val="single" w:sz="4" w:space="0" w:color="000000"/>
            </w:tcBorders>
            <w:vAlign w:val="center"/>
          </w:tcPr>
          <w:p w14:paraId="54966E2D" w14:textId="77777777" w:rsidR="00EB21F6" w:rsidRDefault="000176C0">
            <w:pPr>
              <w:jc w:val="both"/>
              <w:rPr>
                <w:rFonts w:ascii="Arial" w:eastAsia="Arial" w:hAnsi="Arial" w:cs="Arial"/>
              </w:rPr>
            </w:pPr>
            <w:r>
              <w:rPr>
                <w:rFonts w:ascii="Arial" w:eastAsia="Arial" w:hAnsi="Arial" w:cs="Arial"/>
              </w:rPr>
              <w:t>MP</w:t>
            </w:r>
          </w:p>
        </w:tc>
        <w:tc>
          <w:tcPr>
            <w:tcW w:w="779" w:type="dxa"/>
            <w:tcBorders>
              <w:top w:val="single" w:sz="8" w:space="0" w:color="000000"/>
              <w:bottom w:val="single" w:sz="4" w:space="0" w:color="000000"/>
            </w:tcBorders>
            <w:vAlign w:val="center"/>
          </w:tcPr>
          <w:p w14:paraId="2A0D8F03" w14:textId="77777777" w:rsidR="00EB21F6" w:rsidRDefault="000176C0">
            <w:pPr>
              <w:jc w:val="both"/>
              <w:rPr>
                <w:rFonts w:ascii="Arial" w:eastAsia="Arial" w:hAnsi="Arial" w:cs="Arial"/>
              </w:rPr>
            </w:pPr>
            <w:r>
              <w:rPr>
                <w:rFonts w:ascii="Arial" w:eastAsia="Arial" w:hAnsi="Arial" w:cs="Arial"/>
              </w:rPr>
              <w:t>Typhi</w:t>
            </w:r>
          </w:p>
        </w:tc>
        <w:tc>
          <w:tcPr>
            <w:tcW w:w="1051" w:type="dxa"/>
            <w:tcBorders>
              <w:top w:val="single" w:sz="8" w:space="0" w:color="000000"/>
              <w:bottom w:val="single" w:sz="4" w:space="0" w:color="000000"/>
              <w:right w:val="single" w:sz="8" w:space="0" w:color="000000"/>
            </w:tcBorders>
            <w:vAlign w:val="center"/>
          </w:tcPr>
          <w:p w14:paraId="653437AF" w14:textId="77777777" w:rsidR="00EB21F6" w:rsidRDefault="000176C0">
            <w:pPr>
              <w:jc w:val="both"/>
              <w:rPr>
                <w:rFonts w:ascii="Arial" w:eastAsia="Arial" w:hAnsi="Arial" w:cs="Arial"/>
              </w:rPr>
            </w:pPr>
            <w:r>
              <w:rPr>
                <w:rFonts w:ascii="Arial" w:eastAsia="Arial" w:hAnsi="Arial" w:cs="Arial"/>
              </w:rPr>
              <w:t>PCV</w:t>
            </w:r>
          </w:p>
        </w:tc>
      </w:tr>
      <w:tr w:rsidR="00EB21F6" w14:paraId="009E4572"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555DF4C4" w14:textId="77777777" w:rsidR="00EB21F6" w:rsidRDefault="000176C0">
            <w:pPr>
              <w:jc w:val="both"/>
              <w:rPr>
                <w:rFonts w:ascii="Arial" w:eastAsia="Arial" w:hAnsi="Arial" w:cs="Arial"/>
              </w:rPr>
            </w:pPr>
            <w:r>
              <w:rPr>
                <w:rFonts w:ascii="Arial" w:eastAsia="Arial" w:hAnsi="Arial" w:cs="Arial"/>
              </w:rPr>
              <w:t>NR</w:t>
            </w:r>
          </w:p>
        </w:tc>
        <w:tc>
          <w:tcPr>
            <w:tcW w:w="720" w:type="dxa"/>
            <w:tcBorders>
              <w:top w:val="single" w:sz="4" w:space="0" w:color="000000"/>
              <w:left w:val="single" w:sz="8" w:space="0" w:color="000000"/>
              <w:bottom w:val="single" w:sz="4" w:space="0" w:color="000000"/>
            </w:tcBorders>
            <w:vAlign w:val="center"/>
          </w:tcPr>
          <w:p w14:paraId="1083F4F3"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3158B76A"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33812CA2" w14:textId="77777777" w:rsidR="00EB21F6" w:rsidRDefault="000176C0">
            <w:pPr>
              <w:jc w:val="both"/>
              <w:rPr>
                <w:rFonts w:ascii="Arial" w:eastAsia="Arial" w:hAnsi="Arial" w:cs="Arial"/>
              </w:rPr>
            </w:pPr>
            <w:r>
              <w:rPr>
                <w:rFonts w:ascii="Arial" w:eastAsia="Arial" w:hAnsi="Arial" w:cs="Arial"/>
              </w:rPr>
              <w:t>40-54%</w:t>
            </w:r>
          </w:p>
        </w:tc>
        <w:tc>
          <w:tcPr>
            <w:tcW w:w="704" w:type="dxa"/>
            <w:tcBorders>
              <w:top w:val="single" w:sz="4" w:space="0" w:color="000000"/>
              <w:left w:val="single" w:sz="8" w:space="0" w:color="000000"/>
              <w:bottom w:val="single" w:sz="4" w:space="0" w:color="000000"/>
            </w:tcBorders>
            <w:vAlign w:val="center"/>
          </w:tcPr>
          <w:p w14:paraId="7D9A157E"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1B379064"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3DAB0B7E" w14:textId="77777777" w:rsidR="00EB21F6" w:rsidRDefault="000176C0">
            <w:pPr>
              <w:jc w:val="both"/>
              <w:rPr>
                <w:rFonts w:ascii="Arial" w:eastAsia="Arial" w:hAnsi="Arial" w:cs="Arial"/>
              </w:rPr>
            </w:pPr>
            <w:r>
              <w:rPr>
                <w:rFonts w:ascii="Arial" w:eastAsia="Arial" w:hAnsi="Arial" w:cs="Arial"/>
              </w:rPr>
              <w:t>35-45%</w:t>
            </w:r>
          </w:p>
        </w:tc>
        <w:tc>
          <w:tcPr>
            <w:tcW w:w="811" w:type="dxa"/>
            <w:tcBorders>
              <w:top w:val="single" w:sz="4" w:space="0" w:color="000000"/>
              <w:left w:val="single" w:sz="8" w:space="0" w:color="000000"/>
              <w:bottom w:val="single" w:sz="4" w:space="0" w:color="000000"/>
            </w:tcBorders>
            <w:vAlign w:val="center"/>
          </w:tcPr>
          <w:p w14:paraId="65E4BF55" w14:textId="77777777" w:rsidR="00EB21F6" w:rsidRDefault="00EB21F6">
            <w:pPr>
              <w:jc w:val="both"/>
              <w:rPr>
                <w:rFonts w:ascii="Arial" w:eastAsia="Arial" w:hAnsi="Arial" w:cs="Arial"/>
              </w:rPr>
            </w:pPr>
          </w:p>
        </w:tc>
        <w:tc>
          <w:tcPr>
            <w:tcW w:w="779" w:type="dxa"/>
            <w:tcBorders>
              <w:top w:val="single" w:sz="4" w:space="0" w:color="000000"/>
              <w:bottom w:val="single" w:sz="4" w:space="0" w:color="000000"/>
            </w:tcBorders>
            <w:vAlign w:val="center"/>
          </w:tcPr>
          <w:p w14:paraId="138D0290"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23A80A42" w14:textId="77777777" w:rsidR="00EB21F6" w:rsidRDefault="000176C0">
            <w:pPr>
              <w:jc w:val="both"/>
              <w:rPr>
                <w:rFonts w:ascii="Arial" w:eastAsia="Arial" w:hAnsi="Arial" w:cs="Arial"/>
              </w:rPr>
            </w:pPr>
            <w:r>
              <w:rPr>
                <w:rFonts w:ascii="Arial" w:eastAsia="Arial" w:hAnsi="Arial" w:cs="Arial"/>
              </w:rPr>
              <w:t>34-40%</w:t>
            </w:r>
          </w:p>
        </w:tc>
      </w:tr>
      <w:tr w:rsidR="00EB21F6" w14:paraId="38F9F727"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52DAD41F" w14:textId="77777777" w:rsidR="00EB21F6" w:rsidRDefault="000176C0">
            <w:pPr>
              <w:jc w:val="both"/>
              <w:rPr>
                <w:rFonts w:ascii="Arial" w:eastAsia="Arial" w:hAnsi="Arial" w:cs="Arial"/>
              </w:rPr>
            </w:pPr>
            <w:r>
              <w:rPr>
                <w:rFonts w:ascii="Arial" w:eastAsia="Arial" w:hAnsi="Arial" w:cs="Arial"/>
              </w:rPr>
              <w:t>1</w:t>
            </w:r>
          </w:p>
        </w:tc>
        <w:tc>
          <w:tcPr>
            <w:tcW w:w="720" w:type="dxa"/>
            <w:tcBorders>
              <w:top w:val="single" w:sz="4" w:space="0" w:color="000000"/>
              <w:left w:val="single" w:sz="8" w:space="0" w:color="000000"/>
              <w:bottom w:val="single" w:sz="4" w:space="0" w:color="000000"/>
            </w:tcBorders>
            <w:vAlign w:val="center"/>
          </w:tcPr>
          <w:p w14:paraId="30087B76"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507526C6"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395D49A7" w14:textId="77777777" w:rsidR="00EB21F6" w:rsidRDefault="000176C0">
            <w:pPr>
              <w:jc w:val="both"/>
              <w:rPr>
                <w:rFonts w:ascii="Arial" w:eastAsia="Arial" w:hAnsi="Arial" w:cs="Arial"/>
              </w:rPr>
            </w:pPr>
            <w:r>
              <w:rPr>
                <w:rFonts w:ascii="Arial" w:eastAsia="Arial" w:hAnsi="Arial" w:cs="Arial"/>
              </w:rPr>
              <w:t>41%</w:t>
            </w:r>
          </w:p>
        </w:tc>
        <w:tc>
          <w:tcPr>
            <w:tcW w:w="704" w:type="dxa"/>
            <w:tcBorders>
              <w:top w:val="single" w:sz="4" w:space="0" w:color="000000"/>
              <w:left w:val="single" w:sz="8" w:space="0" w:color="000000"/>
              <w:bottom w:val="single" w:sz="4" w:space="0" w:color="000000"/>
            </w:tcBorders>
            <w:vAlign w:val="center"/>
          </w:tcPr>
          <w:p w14:paraId="4ADF6FB2"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78CCEC4F"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68927B12" w14:textId="77777777" w:rsidR="00EB21F6" w:rsidRDefault="000176C0">
            <w:pPr>
              <w:jc w:val="both"/>
              <w:rPr>
                <w:rFonts w:ascii="Arial" w:eastAsia="Arial" w:hAnsi="Arial" w:cs="Arial"/>
              </w:rPr>
            </w:pPr>
            <w:r>
              <w:rPr>
                <w:rFonts w:ascii="Arial" w:eastAsia="Arial" w:hAnsi="Arial" w:cs="Arial"/>
              </w:rPr>
              <w:t>36%</w:t>
            </w:r>
          </w:p>
        </w:tc>
        <w:tc>
          <w:tcPr>
            <w:tcW w:w="811" w:type="dxa"/>
            <w:tcBorders>
              <w:top w:val="single" w:sz="4" w:space="0" w:color="000000"/>
              <w:left w:val="single" w:sz="8" w:space="0" w:color="000000"/>
              <w:bottom w:val="single" w:sz="4" w:space="0" w:color="000000"/>
            </w:tcBorders>
            <w:vAlign w:val="center"/>
          </w:tcPr>
          <w:p w14:paraId="568862CA"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942C5E2"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21AE5B86" w14:textId="77777777" w:rsidR="00EB21F6" w:rsidRDefault="000176C0">
            <w:pPr>
              <w:jc w:val="both"/>
              <w:rPr>
                <w:rFonts w:ascii="Arial" w:eastAsia="Arial" w:hAnsi="Arial" w:cs="Arial"/>
              </w:rPr>
            </w:pPr>
            <w:r>
              <w:rPr>
                <w:rFonts w:ascii="Arial" w:eastAsia="Arial" w:hAnsi="Arial" w:cs="Arial"/>
              </w:rPr>
              <w:t>35%</w:t>
            </w:r>
          </w:p>
        </w:tc>
      </w:tr>
      <w:tr w:rsidR="00EB21F6" w14:paraId="60E40983"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88B53FB" w14:textId="77777777" w:rsidR="00EB21F6" w:rsidRDefault="000176C0">
            <w:pPr>
              <w:jc w:val="both"/>
              <w:rPr>
                <w:rFonts w:ascii="Arial" w:eastAsia="Arial" w:hAnsi="Arial" w:cs="Arial"/>
              </w:rPr>
            </w:pPr>
            <w:r>
              <w:rPr>
                <w:rFonts w:ascii="Arial" w:eastAsia="Arial" w:hAnsi="Arial" w:cs="Arial"/>
              </w:rPr>
              <w:t>2</w:t>
            </w:r>
          </w:p>
        </w:tc>
        <w:tc>
          <w:tcPr>
            <w:tcW w:w="720" w:type="dxa"/>
            <w:tcBorders>
              <w:top w:val="single" w:sz="4" w:space="0" w:color="000000"/>
              <w:left w:val="single" w:sz="8" w:space="0" w:color="000000"/>
              <w:bottom w:val="single" w:sz="4" w:space="0" w:color="000000"/>
            </w:tcBorders>
            <w:vAlign w:val="center"/>
          </w:tcPr>
          <w:p w14:paraId="4421A298" w14:textId="77777777" w:rsidR="00EB21F6" w:rsidRDefault="000176C0">
            <w:pPr>
              <w:jc w:val="both"/>
              <w:rPr>
                <w:rFonts w:ascii="Arial" w:eastAsia="Arial" w:hAnsi="Arial" w:cs="Arial"/>
              </w:rPr>
            </w:pPr>
            <w:r>
              <w:rPr>
                <w:rFonts w:ascii="Arial" w:eastAsia="Arial" w:hAnsi="Arial" w:cs="Arial"/>
              </w:rPr>
              <w:t>Not seen</w:t>
            </w:r>
          </w:p>
        </w:tc>
        <w:tc>
          <w:tcPr>
            <w:tcW w:w="780" w:type="dxa"/>
            <w:tcBorders>
              <w:top w:val="single" w:sz="4" w:space="0" w:color="000000"/>
              <w:bottom w:val="single" w:sz="4" w:space="0" w:color="000000"/>
            </w:tcBorders>
            <w:vAlign w:val="center"/>
          </w:tcPr>
          <w:p w14:paraId="596775F6"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712548EA" w14:textId="77777777" w:rsidR="00EB21F6" w:rsidRDefault="000176C0">
            <w:pPr>
              <w:jc w:val="both"/>
              <w:rPr>
                <w:rFonts w:ascii="Arial" w:eastAsia="Arial" w:hAnsi="Arial" w:cs="Arial"/>
              </w:rPr>
            </w:pPr>
            <w:r>
              <w:rPr>
                <w:rFonts w:ascii="Arial" w:eastAsia="Arial" w:hAnsi="Arial" w:cs="Arial"/>
              </w:rPr>
              <w:t>45%</w:t>
            </w:r>
          </w:p>
        </w:tc>
        <w:tc>
          <w:tcPr>
            <w:tcW w:w="704" w:type="dxa"/>
            <w:tcBorders>
              <w:top w:val="single" w:sz="4" w:space="0" w:color="000000"/>
              <w:left w:val="single" w:sz="8" w:space="0" w:color="000000"/>
              <w:bottom w:val="single" w:sz="4" w:space="0" w:color="000000"/>
            </w:tcBorders>
            <w:vAlign w:val="center"/>
          </w:tcPr>
          <w:p w14:paraId="3E6B1E16" w14:textId="77777777" w:rsidR="00EB21F6" w:rsidRDefault="000176C0">
            <w:pPr>
              <w:jc w:val="both"/>
              <w:rPr>
                <w:rFonts w:ascii="Arial" w:eastAsia="Arial" w:hAnsi="Arial" w:cs="Arial"/>
              </w:rPr>
            </w:pPr>
            <w:r>
              <w:rPr>
                <w:rFonts w:ascii="Arial" w:eastAsia="Arial" w:hAnsi="Arial" w:cs="Arial"/>
              </w:rPr>
              <w:t>Not seen</w:t>
            </w:r>
          </w:p>
        </w:tc>
        <w:tc>
          <w:tcPr>
            <w:tcW w:w="796" w:type="dxa"/>
            <w:tcBorders>
              <w:top w:val="single" w:sz="4" w:space="0" w:color="000000"/>
              <w:bottom w:val="single" w:sz="4" w:space="0" w:color="000000"/>
            </w:tcBorders>
            <w:vAlign w:val="center"/>
          </w:tcPr>
          <w:p w14:paraId="2E6E0D2E"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4EFC79B9"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46D68A25"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2F7E8269"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235DCF3D" w14:textId="77777777" w:rsidR="00EB21F6" w:rsidRDefault="000176C0">
            <w:pPr>
              <w:jc w:val="both"/>
              <w:rPr>
                <w:rFonts w:ascii="Arial" w:eastAsia="Arial" w:hAnsi="Arial" w:cs="Arial"/>
              </w:rPr>
            </w:pPr>
            <w:r>
              <w:rPr>
                <w:rFonts w:ascii="Arial" w:eastAsia="Arial" w:hAnsi="Arial" w:cs="Arial"/>
              </w:rPr>
              <w:t>37%</w:t>
            </w:r>
          </w:p>
        </w:tc>
      </w:tr>
      <w:tr w:rsidR="00EB21F6" w14:paraId="5DFA6F12"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274DC2D4" w14:textId="77777777" w:rsidR="00EB21F6" w:rsidRDefault="000176C0">
            <w:pPr>
              <w:jc w:val="both"/>
              <w:rPr>
                <w:rFonts w:ascii="Arial" w:eastAsia="Arial" w:hAnsi="Arial" w:cs="Arial"/>
              </w:rPr>
            </w:pPr>
            <w:r>
              <w:rPr>
                <w:rFonts w:ascii="Arial" w:eastAsia="Arial" w:hAnsi="Arial" w:cs="Arial"/>
              </w:rPr>
              <w:t>3</w:t>
            </w:r>
          </w:p>
        </w:tc>
        <w:tc>
          <w:tcPr>
            <w:tcW w:w="720" w:type="dxa"/>
            <w:tcBorders>
              <w:top w:val="single" w:sz="4" w:space="0" w:color="000000"/>
              <w:left w:val="single" w:sz="8" w:space="0" w:color="000000"/>
              <w:bottom w:val="single" w:sz="4" w:space="0" w:color="000000"/>
            </w:tcBorders>
            <w:vAlign w:val="center"/>
          </w:tcPr>
          <w:p w14:paraId="6D38097E"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19D115BF"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053BF451" w14:textId="77777777" w:rsidR="00EB21F6" w:rsidRDefault="000176C0">
            <w:pPr>
              <w:jc w:val="both"/>
              <w:rPr>
                <w:rFonts w:ascii="Arial" w:eastAsia="Arial" w:hAnsi="Arial" w:cs="Arial"/>
              </w:rPr>
            </w:pPr>
            <w:r>
              <w:rPr>
                <w:rFonts w:ascii="Arial" w:eastAsia="Arial" w:hAnsi="Arial" w:cs="Arial"/>
              </w:rPr>
              <w:t>45%</w:t>
            </w:r>
          </w:p>
        </w:tc>
        <w:tc>
          <w:tcPr>
            <w:tcW w:w="704" w:type="dxa"/>
            <w:tcBorders>
              <w:top w:val="single" w:sz="4" w:space="0" w:color="000000"/>
              <w:left w:val="single" w:sz="8" w:space="0" w:color="000000"/>
              <w:bottom w:val="single" w:sz="4" w:space="0" w:color="000000"/>
            </w:tcBorders>
            <w:vAlign w:val="center"/>
          </w:tcPr>
          <w:p w14:paraId="6818762E"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0D7AA9BE"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35CE8822" w14:textId="77777777" w:rsidR="00EB21F6" w:rsidRDefault="000176C0">
            <w:pPr>
              <w:jc w:val="both"/>
              <w:rPr>
                <w:rFonts w:ascii="Arial" w:eastAsia="Arial" w:hAnsi="Arial" w:cs="Arial"/>
              </w:rPr>
            </w:pPr>
            <w:r>
              <w:rPr>
                <w:rFonts w:ascii="Arial" w:eastAsia="Arial" w:hAnsi="Arial" w:cs="Arial"/>
              </w:rPr>
              <w:t>30%</w:t>
            </w:r>
          </w:p>
        </w:tc>
        <w:tc>
          <w:tcPr>
            <w:tcW w:w="811" w:type="dxa"/>
            <w:tcBorders>
              <w:top w:val="single" w:sz="4" w:space="0" w:color="000000"/>
              <w:left w:val="single" w:sz="8" w:space="0" w:color="000000"/>
              <w:bottom w:val="single" w:sz="4" w:space="0" w:color="000000"/>
            </w:tcBorders>
            <w:vAlign w:val="center"/>
          </w:tcPr>
          <w:p w14:paraId="4F495D56"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C8E960A"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151EE9C2" w14:textId="77777777" w:rsidR="00EB21F6" w:rsidRDefault="000176C0">
            <w:pPr>
              <w:jc w:val="both"/>
              <w:rPr>
                <w:rFonts w:ascii="Arial" w:eastAsia="Arial" w:hAnsi="Arial" w:cs="Arial"/>
              </w:rPr>
            </w:pPr>
            <w:r>
              <w:rPr>
                <w:rFonts w:ascii="Arial" w:eastAsia="Arial" w:hAnsi="Arial" w:cs="Arial"/>
              </w:rPr>
              <w:t>30%</w:t>
            </w:r>
          </w:p>
        </w:tc>
      </w:tr>
      <w:tr w:rsidR="00EB21F6" w14:paraId="0D2F5D12"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B83FD32" w14:textId="77777777" w:rsidR="00EB21F6" w:rsidRDefault="000176C0">
            <w:pPr>
              <w:jc w:val="both"/>
              <w:rPr>
                <w:rFonts w:ascii="Arial" w:eastAsia="Arial" w:hAnsi="Arial" w:cs="Arial"/>
              </w:rPr>
            </w:pPr>
            <w:r>
              <w:rPr>
                <w:rFonts w:ascii="Arial" w:eastAsia="Arial" w:hAnsi="Arial" w:cs="Arial"/>
              </w:rPr>
              <w:t>4</w:t>
            </w:r>
          </w:p>
        </w:tc>
        <w:tc>
          <w:tcPr>
            <w:tcW w:w="720" w:type="dxa"/>
            <w:tcBorders>
              <w:top w:val="single" w:sz="4" w:space="0" w:color="000000"/>
              <w:left w:val="single" w:sz="8" w:space="0" w:color="000000"/>
              <w:bottom w:val="single" w:sz="4" w:space="0" w:color="000000"/>
            </w:tcBorders>
            <w:vAlign w:val="center"/>
          </w:tcPr>
          <w:p w14:paraId="41956A70"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1C212D85"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3FDC1132" w14:textId="77777777" w:rsidR="00EB21F6" w:rsidRDefault="000176C0">
            <w:pPr>
              <w:jc w:val="both"/>
              <w:rPr>
                <w:rFonts w:ascii="Arial" w:eastAsia="Arial" w:hAnsi="Arial" w:cs="Arial"/>
              </w:rPr>
            </w:pPr>
            <w:r>
              <w:rPr>
                <w:rFonts w:ascii="Arial" w:eastAsia="Arial" w:hAnsi="Arial" w:cs="Arial"/>
              </w:rPr>
              <w:t>40%</w:t>
            </w:r>
          </w:p>
        </w:tc>
        <w:tc>
          <w:tcPr>
            <w:tcW w:w="704" w:type="dxa"/>
            <w:tcBorders>
              <w:top w:val="single" w:sz="4" w:space="0" w:color="000000"/>
              <w:left w:val="single" w:sz="8" w:space="0" w:color="000000"/>
              <w:bottom w:val="single" w:sz="4" w:space="0" w:color="000000"/>
            </w:tcBorders>
            <w:vAlign w:val="center"/>
          </w:tcPr>
          <w:p w14:paraId="788C88BF"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42670292"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04DA6632" w14:textId="77777777" w:rsidR="00EB21F6" w:rsidRDefault="000176C0">
            <w:pPr>
              <w:jc w:val="both"/>
              <w:rPr>
                <w:rFonts w:ascii="Arial" w:eastAsia="Arial" w:hAnsi="Arial" w:cs="Arial"/>
              </w:rPr>
            </w:pPr>
            <w:r>
              <w:rPr>
                <w:rFonts w:ascii="Arial" w:eastAsia="Arial" w:hAnsi="Arial" w:cs="Arial"/>
              </w:rPr>
              <w:t>34%</w:t>
            </w:r>
          </w:p>
        </w:tc>
        <w:tc>
          <w:tcPr>
            <w:tcW w:w="811" w:type="dxa"/>
            <w:tcBorders>
              <w:top w:val="single" w:sz="4" w:space="0" w:color="000000"/>
              <w:left w:val="single" w:sz="8" w:space="0" w:color="000000"/>
              <w:bottom w:val="single" w:sz="4" w:space="0" w:color="000000"/>
            </w:tcBorders>
            <w:vAlign w:val="center"/>
          </w:tcPr>
          <w:p w14:paraId="498F46C2"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189A5BF7"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74C6E440" w14:textId="77777777" w:rsidR="00EB21F6" w:rsidRDefault="000176C0">
            <w:pPr>
              <w:jc w:val="both"/>
              <w:rPr>
                <w:rFonts w:ascii="Arial" w:eastAsia="Arial" w:hAnsi="Arial" w:cs="Arial"/>
              </w:rPr>
            </w:pPr>
            <w:r>
              <w:rPr>
                <w:rFonts w:ascii="Arial" w:eastAsia="Arial" w:hAnsi="Arial" w:cs="Arial"/>
              </w:rPr>
              <w:t>34%</w:t>
            </w:r>
          </w:p>
        </w:tc>
      </w:tr>
      <w:tr w:rsidR="00EB21F6" w14:paraId="67B06318"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D122BB7" w14:textId="77777777" w:rsidR="00EB21F6" w:rsidRDefault="000176C0">
            <w:pPr>
              <w:jc w:val="both"/>
              <w:rPr>
                <w:rFonts w:ascii="Arial" w:eastAsia="Arial" w:hAnsi="Arial" w:cs="Arial"/>
              </w:rPr>
            </w:pPr>
            <w:r>
              <w:rPr>
                <w:rFonts w:ascii="Arial" w:eastAsia="Arial" w:hAnsi="Arial" w:cs="Arial"/>
              </w:rPr>
              <w:t>5</w:t>
            </w:r>
          </w:p>
        </w:tc>
        <w:tc>
          <w:tcPr>
            <w:tcW w:w="720" w:type="dxa"/>
            <w:tcBorders>
              <w:top w:val="single" w:sz="4" w:space="0" w:color="000000"/>
              <w:left w:val="single" w:sz="8" w:space="0" w:color="000000"/>
              <w:bottom w:val="single" w:sz="4" w:space="0" w:color="000000"/>
            </w:tcBorders>
            <w:vAlign w:val="center"/>
          </w:tcPr>
          <w:p w14:paraId="6D2403D0"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19B337FA"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0B773D94" w14:textId="77777777" w:rsidR="00EB21F6" w:rsidRDefault="000176C0">
            <w:pPr>
              <w:jc w:val="both"/>
              <w:rPr>
                <w:rFonts w:ascii="Arial" w:eastAsia="Arial" w:hAnsi="Arial" w:cs="Arial"/>
              </w:rPr>
            </w:pPr>
            <w:r>
              <w:rPr>
                <w:rFonts w:ascii="Arial" w:eastAsia="Arial" w:hAnsi="Arial" w:cs="Arial"/>
              </w:rPr>
              <w:t>45%</w:t>
            </w:r>
          </w:p>
        </w:tc>
        <w:tc>
          <w:tcPr>
            <w:tcW w:w="704" w:type="dxa"/>
            <w:tcBorders>
              <w:top w:val="single" w:sz="4" w:space="0" w:color="000000"/>
              <w:left w:val="single" w:sz="8" w:space="0" w:color="000000"/>
              <w:bottom w:val="single" w:sz="4" w:space="0" w:color="000000"/>
            </w:tcBorders>
            <w:vAlign w:val="center"/>
          </w:tcPr>
          <w:p w14:paraId="7881FC60"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2DBBF61F"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1EDDD7DC" w14:textId="77777777" w:rsidR="00EB21F6" w:rsidRDefault="000176C0">
            <w:pPr>
              <w:jc w:val="both"/>
              <w:rPr>
                <w:rFonts w:ascii="Arial" w:eastAsia="Arial" w:hAnsi="Arial" w:cs="Arial"/>
              </w:rPr>
            </w:pPr>
            <w:r>
              <w:rPr>
                <w:rFonts w:ascii="Arial" w:eastAsia="Arial" w:hAnsi="Arial" w:cs="Arial"/>
              </w:rPr>
              <w:t>34%</w:t>
            </w:r>
          </w:p>
        </w:tc>
        <w:tc>
          <w:tcPr>
            <w:tcW w:w="811" w:type="dxa"/>
            <w:tcBorders>
              <w:top w:val="single" w:sz="4" w:space="0" w:color="000000"/>
              <w:left w:val="single" w:sz="8" w:space="0" w:color="000000"/>
              <w:bottom w:val="single" w:sz="4" w:space="0" w:color="000000"/>
            </w:tcBorders>
            <w:vAlign w:val="center"/>
          </w:tcPr>
          <w:p w14:paraId="3FAEC92C"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2F6863F1"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52CEEEEA" w14:textId="77777777" w:rsidR="00EB21F6" w:rsidRDefault="000176C0">
            <w:pPr>
              <w:jc w:val="both"/>
              <w:rPr>
                <w:rFonts w:ascii="Arial" w:eastAsia="Arial" w:hAnsi="Arial" w:cs="Arial"/>
              </w:rPr>
            </w:pPr>
            <w:r>
              <w:rPr>
                <w:rFonts w:ascii="Arial" w:eastAsia="Arial" w:hAnsi="Arial" w:cs="Arial"/>
              </w:rPr>
              <w:t>33%</w:t>
            </w:r>
          </w:p>
        </w:tc>
      </w:tr>
      <w:tr w:rsidR="00EB21F6" w14:paraId="54514B07"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74D6729F" w14:textId="77777777" w:rsidR="00EB21F6" w:rsidRDefault="000176C0">
            <w:pPr>
              <w:jc w:val="both"/>
              <w:rPr>
                <w:rFonts w:ascii="Arial" w:eastAsia="Arial" w:hAnsi="Arial" w:cs="Arial"/>
              </w:rPr>
            </w:pPr>
            <w:r>
              <w:rPr>
                <w:rFonts w:ascii="Arial" w:eastAsia="Arial" w:hAnsi="Arial" w:cs="Arial"/>
              </w:rPr>
              <w:t>6</w:t>
            </w:r>
          </w:p>
        </w:tc>
        <w:tc>
          <w:tcPr>
            <w:tcW w:w="720" w:type="dxa"/>
            <w:tcBorders>
              <w:top w:val="single" w:sz="4" w:space="0" w:color="000000"/>
              <w:left w:val="single" w:sz="8" w:space="0" w:color="000000"/>
              <w:bottom w:val="single" w:sz="4" w:space="0" w:color="000000"/>
            </w:tcBorders>
            <w:vAlign w:val="center"/>
          </w:tcPr>
          <w:p w14:paraId="61F834F9"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0A150E00"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64C6CBCC" w14:textId="77777777" w:rsidR="00EB21F6" w:rsidRDefault="000176C0">
            <w:pPr>
              <w:jc w:val="both"/>
              <w:rPr>
                <w:rFonts w:ascii="Arial" w:eastAsia="Arial" w:hAnsi="Arial" w:cs="Arial"/>
              </w:rPr>
            </w:pPr>
            <w:r>
              <w:rPr>
                <w:rFonts w:ascii="Arial" w:eastAsia="Arial" w:hAnsi="Arial" w:cs="Arial"/>
              </w:rPr>
              <w:t>46%</w:t>
            </w:r>
          </w:p>
        </w:tc>
        <w:tc>
          <w:tcPr>
            <w:tcW w:w="704" w:type="dxa"/>
            <w:tcBorders>
              <w:top w:val="single" w:sz="4" w:space="0" w:color="000000"/>
              <w:left w:val="single" w:sz="8" w:space="0" w:color="000000"/>
              <w:bottom w:val="single" w:sz="4" w:space="0" w:color="000000"/>
            </w:tcBorders>
            <w:vAlign w:val="center"/>
          </w:tcPr>
          <w:p w14:paraId="39853AFC"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4734A246"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49423145"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0B68F5BE"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54A82D0C"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52D519F2" w14:textId="77777777" w:rsidR="00EB21F6" w:rsidRDefault="000176C0">
            <w:pPr>
              <w:jc w:val="both"/>
              <w:rPr>
                <w:rFonts w:ascii="Arial" w:eastAsia="Arial" w:hAnsi="Arial" w:cs="Arial"/>
              </w:rPr>
            </w:pPr>
            <w:r>
              <w:rPr>
                <w:rFonts w:ascii="Arial" w:eastAsia="Arial" w:hAnsi="Arial" w:cs="Arial"/>
              </w:rPr>
              <w:t>39%</w:t>
            </w:r>
          </w:p>
        </w:tc>
      </w:tr>
      <w:tr w:rsidR="00EB21F6" w14:paraId="56821732"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4DB83DE2" w14:textId="77777777" w:rsidR="00EB21F6" w:rsidRDefault="000176C0">
            <w:pPr>
              <w:jc w:val="both"/>
              <w:rPr>
                <w:rFonts w:ascii="Arial" w:eastAsia="Arial" w:hAnsi="Arial" w:cs="Arial"/>
              </w:rPr>
            </w:pPr>
            <w:r>
              <w:rPr>
                <w:rFonts w:ascii="Arial" w:eastAsia="Arial" w:hAnsi="Arial" w:cs="Arial"/>
              </w:rPr>
              <w:t>7</w:t>
            </w:r>
          </w:p>
        </w:tc>
        <w:tc>
          <w:tcPr>
            <w:tcW w:w="720" w:type="dxa"/>
            <w:tcBorders>
              <w:top w:val="single" w:sz="4" w:space="0" w:color="000000"/>
              <w:left w:val="single" w:sz="8" w:space="0" w:color="000000"/>
              <w:bottom w:val="single" w:sz="4" w:space="0" w:color="000000"/>
            </w:tcBorders>
            <w:vAlign w:val="center"/>
          </w:tcPr>
          <w:p w14:paraId="302AE7FC"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79128310"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563AF8D1" w14:textId="77777777" w:rsidR="00EB21F6" w:rsidRDefault="000176C0">
            <w:pPr>
              <w:jc w:val="both"/>
              <w:rPr>
                <w:rFonts w:ascii="Arial" w:eastAsia="Arial" w:hAnsi="Arial" w:cs="Arial"/>
              </w:rPr>
            </w:pPr>
            <w:r>
              <w:rPr>
                <w:rFonts w:ascii="Arial" w:eastAsia="Arial" w:hAnsi="Arial" w:cs="Arial"/>
              </w:rPr>
              <w:t>47%</w:t>
            </w:r>
          </w:p>
        </w:tc>
        <w:tc>
          <w:tcPr>
            <w:tcW w:w="704" w:type="dxa"/>
            <w:tcBorders>
              <w:top w:val="single" w:sz="4" w:space="0" w:color="000000"/>
              <w:left w:val="single" w:sz="8" w:space="0" w:color="000000"/>
              <w:bottom w:val="single" w:sz="4" w:space="0" w:color="000000"/>
            </w:tcBorders>
            <w:vAlign w:val="center"/>
          </w:tcPr>
          <w:p w14:paraId="2F685B72"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5188DF02"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0AE02B38" w14:textId="77777777" w:rsidR="00EB21F6" w:rsidRDefault="000176C0">
            <w:pPr>
              <w:jc w:val="both"/>
              <w:rPr>
                <w:rFonts w:ascii="Arial" w:eastAsia="Arial" w:hAnsi="Arial" w:cs="Arial"/>
              </w:rPr>
            </w:pPr>
            <w:r>
              <w:rPr>
                <w:rFonts w:ascii="Arial" w:eastAsia="Arial" w:hAnsi="Arial" w:cs="Arial"/>
              </w:rPr>
              <w:t>31%</w:t>
            </w:r>
          </w:p>
        </w:tc>
        <w:tc>
          <w:tcPr>
            <w:tcW w:w="811" w:type="dxa"/>
            <w:tcBorders>
              <w:top w:val="single" w:sz="4" w:space="0" w:color="000000"/>
              <w:left w:val="single" w:sz="8" w:space="0" w:color="000000"/>
              <w:bottom w:val="single" w:sz="4" w:space="0" w:color="000000"/>
            </w:tcBorders>
            <w:vAlign w:val="center"/>
          </w:tcPr>
          <w:p w14:paraId="54E6AE80"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30C15651"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041937E6" w14:textId="77777777" w:rsidR="00EB21F6" w:rsidRDefault="000176C0">
            <w:pPr>
              <w:jc w:val="both"/>
              <w:rPr>
                <w:rFonts w:ascii="Arial" w:eastAsia="Arial" w:hAnsi="Arial" w:cs="Arial"/>
              </w:rPr>
            </w:pPr>
            <w:r>
              <w:rPr>
                <w:rFonts w:ascii="Arial" w:eastAsia="Arial" w:hAnsi="Arial" w:cs="Arial"/>
              </w:rPr>
              <w:t>32%</w:t>
            </w:r>
          </w:p>
        </w:tc>
      </w:tr>
      <w:tr w:rsidR="00EB21F6" w14:paraId="47D062F9"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57C0AC2F" w14:textId="77777777" w:rsidR="00EB21F6" w:rsidRDefault="000176C0">
            <w:pPr>
              <w:jc w:val="both"/>
              <w:rPr>
                <w:rFonts w:ascii="Arial" w:eastAsia="Arial" w:hAnsi="Arial" w:cs="Arial"/>
              </w:rPr>
            </w:pPr>
            <w:r>
              <w:rPr>
                <w:rFonts w:ascii="Arial" w:eastAsia="Arial" w:hAnsi="Arial" w:cs="Arial"/>
              </w:rPr>
              <w:t>8</w:t>
            </w:r>
          </w:p>
        </w:tc>
        <w:tc>
          <w:tcPr>
            <w:tcW w:w="720" w:type="dxa"/>
            <w:tcBorders>
              <w:top w:val="single" w:sz="4" w:space="0" w:color="000000"/>
              <w:left w:val="single" w:sz="8" w:space="0" w:color="000000"/>
              <w:bottom w:val="single" w:sz="4" w:space="0" w:color="000000"/>
            </w:tcBorders>
            <w:vAlign w:val="center"/>
          </w:tcPr>
          <w:p w14:paraId="159A6ACF"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6000319B"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027C002C" w14:textId="77777777" w:rsidR="00EB21F6" w:rsidRDefault="000176C0">
            <w:pPr>
              <w:jc w:val="both"/>
              <w:rPr>
                <w:rFonts w:ascii="Arial" w:eastAsia="Arial" w:hAnsi="Arial" w:cs="Arial"/>
              </w:rPr>
            </w:pPr>
            <w:r>
              <w:rPr>
                <w:rFonts w:ascii="Arial" w:eastAsia="Arial" w:hAnsi="Arial" w:cs="Arial"/>
              </w:rPr>
              <w:t>45%</w:t>
            </w:r>
          </w:p>
        </w:tc>
        <w:tc>
          <w:tcPr>
            <w:tcW w:w="704" w:type="dxa"/>
            <w:tcBorders>
              <w:top w:val="single" w:sz="4" w:space="0" w:color="000000"/>
              <w:left w:val="single" w:sz="8" w:space="0" w:color="000000"/>
              <w:bottom w:val="single" w:sz="4" w:space="0" w:color="000000"/>
            </w:tcBorders>
            <w:vAlign w:val="center"/>
          </w:tcPr>
          <w:p w14:paraId="6A1F4AEF"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4D8AA072"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5A3A1C4A" w14:textId="77777777" w:rsidR="00EB21F6" w:rsidRDefault="000176C0">
            <w:pPr>
              <w:jc w:val="both"/>
              <w:rPr>
                <w:rFonts w:ascii="Arial" w:eastAsia="Arial" w:hAnsi="Arial" w:cs="Arial"/>
              </w:rPr>
            </w:pPr>
            <w:r>
              <w:rPr>
                <w:rFonts w:ascii="Arial" w:eastAsia="Arial" w:hAnsi="Arial" w:cs="Arial"/>
              </w:rPr>
              <w:t>33%</w:t>
            </w:r>
          </w:p>
        </w:tc>
        <w:tc>
          <w:tcPr>
            <w:tcW w:w="811" w:type="dxa"/>
            <w:tcBorders>
              <w:top w:val="single" w:sz="4" w:space="0" w:color="000000"/>
              <w:left w:val="single" w:sz="8" w:space="0" w:color="000000"/>
              <w:bottom w:val="single" w:sz="4" w:space="0" w:color="000000"/>
            </w:tcBorders>
            <w:vAlign w:val="center"/>
          </w:tcPr>
          <w:p w14:paraId="025C2BC9"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25087CE3"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51ABD327" w14:textId="77777777" w:rsidR="00EB21F6" w:rsidRDefault="000176C0">
            <w:pPr>
              <w:jc w:val="both"/>
              <w:rPr>
                <w:rFonts w:ascii="Arial" w:eastAsia="Arial" w:hAnsi="Arial" w:cs="Arial"/>
              </w:rPr>
            </w:pPr>
            <w:r>
              <w:rPr>
                <w:rFonts w:ascii="Arial" w:eastAsia="Arial" w:hAnsi="Arial" w:cs="Arial"/>
              </w:rPr>
              <w:t>33%</w:t>
            </w:r>
          </w:p>
        </w:tc>
      </w:tr>
      <w:tr w:rsidR="00EB21F6" w14:paraId="4D64E493"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2071C233" w14:textId="77777777" w:rsidR="00EB21F6" w:rsidRDefault="000176C0">
            <w:pPr>
              <w:jc w:val="both"/>
              <w:rPr>
                <w:rFonts w:ascii="Arial" w:eastAsia="Arial" w:hAnsi="Arial" w:cs="Arial"/>
              </w:rPr>
            </w:pPr>
            <w:r>
              <w:rPr>
                <w:rFonts w:ascii="Arial" w:eastAsia="Arial" w:hAnsi="Arial" w:cs="Arial"/>
              </w:rPr>
              <w:t>9</w:t>
            </w:r>
          </w:p>
        </w:tc>
        <w:tc>
          <w:tcPr>
            <w:tcW w:w="720" w:type="dxa"/>
            <w:tcBorders>
              <w:top w:val="single" w:sz="4" w:space="0" w:color="000000"/>
              <w:left w:val="single" w:sz="8" w:space="0" w:color="000000"/>
              <w:bottom w:val="single" w:sz="4" w:space="0" w:color="000000"/>
            </w:tcBorders>
            <w:vAlign w:val="center"/>
          </w:tcPr>
          <w:p w14:paraId="4733ECE7" w14:textId="77777777" w:rsidR="00EB21F6" w:rsidRDefault="000176C0">
            <w:pPr>
              <w:jc w:val="both"/>
              <w:rPr>
                <w:rFonts w:ascii="Arial" w:eastAsia="Arial" w:hAnsi="Arial" w:cs="Arial"/>
              </w:rPr>
            </w:pPr>
            <w:r>
              <w:rPr>
                <w:rFonts w:ascii="Arial" w:eastAsia="Arial" w:hAnsi="Arial" w:cs="Arial"/>
              </w:rPr>
              <w:t>Not seen</w:t>
            </w:r>
          </w:p>
        </w:tc>
        <w:tc>
          <w:tcPr>
            <w:tcW w:w="780" w:type="dxa"/>
            <w:tcBorders>
              <w:top w:val="single" w:sz="4" w:space="0" w:color="000000"/>
              <w:bottom w:val="single" w:sz="4" w:space="0" w:color="000000"/>
            </w:tcBorders>
            <w:vAlign w:val="center"/>
          </w:tcPr>
          <w:p w14:paraId="2E14339C"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580CAB68" w14:textId="77777777" w:rsidR="00EB21F6" w:rsidRDefault="000176C0">
            <w:pPr>
              <w:jc w:val="both"/>
              <w:rPr>
                <w:rFonts w:ascii="Arial" w:eastAsia="Arial" w:hAnsi="Arial" w:cs="Arial"/>
              </w:rPr>
            </w:pPr>
            <w:r>
              <w:rPr>
                <w:rFonts w:ascii="Arial" w:eastAsia="Arial" w:hAnsi="Arial" w:cs="Arial"/>
              </w:rPr>
              <w:t>50%</w:t>
            </w:r>
          </w:p>
        </w:tc>
        <w:tc>
          <w:tcPr>
            <w:tcW w:w="704" w:type="dxa"/>
            <w:tcBorders>
              <w:top w:val="single" w:sz="4" w:space="0" w:color="000000"/>
              <w:left w:val="single" w:sz="8" w:space="0" w:color="000000"/>
              <w:bottom w:val="single" w:sz="4" w:space="0" w:color="000000"/>
            </w:tcBorders>
            <w:vAlign w:val="center"/>
          </w:tcPr>
          <w:p w14:paraId="79189669"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3F4F2DFC"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5BA3EF7E" w14:textId="77777777" w:rsidR="00EB21F6" w:rsidRDefault="000176C0">
            <w:pPr>
              <w:jc w:val="both"/>
              <w:rPr>
                <w:rFonts w:ascii="Arial" w:eastAsia="Arial" w:hAnsi="Arial" w:cs="Arial"/>
              </w:rPr>
            </w:pPr>
            <w:r>
              <w:rPr>
                <w:rFonts w:ascii="Arial" w:eastAsia="Arial" w:hAnsi="Arial" w:cs="Arial"/>
              </w:rPr>
              <w:t>38%</w:t>
            </w:r>
          </w:p>
        </w:tc>
        <w:tc>
          <w:tcPr>
            <w:tcW w:w="811" w:type="dxa"/>
            <w:tcBorders>
              <w:top w:val="single" w:sz="4" w:space="0" w:color="000000"/>
              <w:left w:val="single" w:sz="8" w:space="0" w:color="000000"/>
              <w:bottom w:val="single" w:sz="4" w:space="0" w:color="000000"/>
            </w:tcBorders>
            <w:vAlign w:val="center"/>
          </w:tcPr>
          <w:p w14:paraId="3B279189"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780709A9"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410A90E1" w14:textId="77777777" w:rsidR="00EB21F6" w:rsidRDefault="000176C0">
            <w:pPr>
              <w:jc w:val="both"/>
              <w:rPr>
                <w:rFonts w:ascii="Arial" w:eastAsia="Arial" w:hAnsi="Arial" w:cs="Arial"/>
              </w:rPr>
            </w:pPr>
            <w:r>
              <w:rPr>
                <w:rFonts w:ascii="Arial" w:eastAsia="Arial" w:hAnsi="Arial" w:cs="Arial"/>
              </w:rPr>
              <w:t>36%</w:t>
            </w:r>
          </w:p>
        </w:tc>
      </w:tr>
      <w:tr w:rsidR="00EB21F6" w14:paraId="59F8F4B0"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2A1B744" w14:textId="77777777" w:rsidR="00EB21F6" w:rsidRDefault="000176C0">
            <w:pPr>
              <w:jc w:val="both"/>
              <w:rPr>
                <w:rFonts w:ascii="Arial" w:eastAsia="Arial" w:hAnsi="Arial" w:cs="Arial"/>
              </w:rPr>
            </w:pPr>
            <w:r>
              <w:rPr>
                <w:rFonts w:ascii="Arial" w:eastAsia="Arial" w:hAnsi="Arial" w:cs="Arial"/>
              </w:rPr>
              <w:t>10</w:t>
            </w:r>
          </w:p>
        </w:tc>
        <w:tc>
          <w:tcPr>
            <w:tcW w:w="720" w:type="dxa"/>
            <w:tcBorders>
              <w:top w:val="single" w:sz="4" w:space="0" w:color="000000"/>
              <w:left w:val="single" w:sz="8" w:space="0" w:color="000000"/>
              <w:bottom w:val="single" w:sz="4" w:space="0" w:color="000000"/>
            </w:tcBorders>
            <w:vAlign w:val="center"/>
          </w:tcPr>
          <w:p w14:paraId="010079B5"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0A49CB9B"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4C14AB49" w14:textId="77777777" w:rsidR="00EB21F6" w:rsidRDefault="000176C0">
            <w:pPr>
              <w:jc w:val="both"/>
              <w:rPr>
                <w:rFonts w:ascii="Arial" w:eastAsia="Arial" w:hAnsi="Arial" w:cs="Arial"/>
              </w:rPr>
            </w:pPr>
            <w:r>
              <w:rPr>
                <w:rFonts w:ascii="Arial" w:eastAsia="Arial" w:hAnsi="Arial" w:cs="Arial"/>
              </w:rPr>
              <w:t>55%</w:t>
            </w:r>
          </w:p>
        </w:tc>
        <w:tc>
          <w:tcPr>
            <w:tcW w:w="704" w:type="dxa"/>
            <w:tcBorders>
              <w:top w:val="single" w:sz="4" w:space="0" w:color="000000"/>
              <w:left w:val="single" w:sz="8" w:space="0" w:color="000000"/>
              <w:bottom w:val="single" w:sz="4" w:space="0" w:color="000000"/>
            </w:tcBorders>
            <w:vAlign w:val="center"/>
          </w:tcPr>
          <w:p w14:paraId="4FFBFAC7"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10D091FE"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2C7D6DC1"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62E84C98"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04CF4800"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1F09E73E" w14:textId="77777777" w:rsidR="00EB21F6" w:rsidRDefault="000176C0">
            <w:pPr>
              <w:jc w:val="both"/>
              <w:rPr>
                <w:rFonts w:ascii="Arial" w:eastAsia="Arial" w:hAnsi="Arial" w:cs="Arial"/>
              </w:rPr>
            </w:pPr>
            <w:r>
              <w:rPr>
                <w:rFonts w:ascii="Arial" w:eastAsia="Arial" w:hAnsi="Arial" w:cs="Arial"/>
              </w:rPr>
              <w:t>35%</w:t>
            </w:r>
          </w:p>
        </w:tc>
      </w:tr>
      <w:tr w:rsidR="00EB21F6" w14:paraId="0AD4E55E"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ECFE27F" w14:textId="77777777" w:rsidR="00EB21F6" w:rsidRDefault="000176C0">
            <w:pPr>
              <w:jc w:val="both"/>
              <w:rPr>
                <w:rFonts w:ascii="Arial" w:eastAsia="Arial" w:hAnsi="Arial" w:cs="Arial"/>
              </w:rPr>
            </w:pPr>
            <w:r>
              <w:rPr>
                <w:rFonts w:ascii="Arial" w:eastAsia="Arial" w:hAnsi="Arial" w:cs="Arial"/>
              </w:rPr>
              <w:t>11</w:t>
            </w:r>
          </w:p>
        </w:tc>
        <w:tc>
          <w:tcPr>
            <w:tcW w:w="720" w:type="dxa"/>
            <w:tcBorders>
              <w:top w:val="single" w:sz="4" w:space="0" w:color="000000"/>
              <w:left w:val="single" w:sz="8" w:space="0" w:color="000000"/>
              <w:bottom w:val="single" w:sz="4" w:space="0" w:color="000000"/>
            </w:tcBorders>
            <w:vAlign w:val="center"/>
          </w:tcPr>
          <w:p w14:paraId="483104D1"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1B92A83C"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644CC542" w14:textId="77777777" w:rsidR="00EB21F6" w:rsidRDefault="000176C0">
            <w:pPr>
              <w:jc w:val="both"/>
              <w:rPr>
                <w:rFonts w:ascii="Arial" w:eastAsia="Arial" w:hAnsi="Arial" w:cs="Arial"/>
              </w:rPr>
            </w:pPr>
            <w:r>
              <w:rPr>
                <w:rFonts w:ascii="Arial" w:eastAsia="Arial" w:hAnsi="Arial" w:cs="Arial"/>
              </w:rPr>
              <w:t>48%</w:t>
            </w:r>
          </w:p>
        </w:tc>
        <w:tc>
          <w:tcPr>
            <w:tcW w:w="704" w:type="dxa"/>
            <w:tcBorders>
              <w:top w:val="single" w:sz="4" w:space="0" w:color="000000"/>
              <w:left w:val="single" w:sz="8" w:space="0" w:color="000000"/>
              <w:bottom w:val="single" w:sz="4" w:space="0" w:color="000000"/>
            </w:tcBorders>
            <w:vAlign w:val="center"/>
          </w:tcPr>
          <w:p w14:paraId="70386F68"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4016E157"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48CFAA7C"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61CC35C1"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72371DBA"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477C68FF" w14:textId="77777777" w:rsidR="00EB21F6" w:rsidRDefault="000176C0">
            <w:pPr>
              <w:jc w:val="both"/>
              <w:rPr>
                <w:rFonts w:ascii="Arial" w:eastAsia="Arial" w:hAnsi="Arial" w:cs="Arial"/>
              </w:rPr>
            </w:pPr>
            <w:r>
              <w:rPr>
                <w:rFonts w:ascii="Arial" w:eastAsia="Arial" w:hAnsi="Arial" w:cs="Arial"/>
              </w:rPr>
              <w:t>36%</w:t>
            </w:r>
          </w:p>
        </w:tc>
      </w:tr>
      <w:tr w:rsidR="00EB21F6" w14:paraId="1B1A04ED"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246FFBC0" w14:textId="77777777" w:rsidR="00EB21F6" w:rsidRDefault="000176C0">
            <w:pPr>
              <w:jc w:val="both"/>
              <w:rPr>
                <w:rFonts w:ascii="Arial" w:eastAsia="Arial" w:hAnsi="Arial" w:cs="Arial"/>
              </w:rPr>
            </w:pPr>
            <w:r>
              <w:rPr>
                <w:rFonts w:ascii="Arial" w:eastAsia="Arial" w:hAnsi="Arial" w:cs="Arial"/>
              </w:rPr>
              <w:t>12</w:t>
            </w:r>
          </w:p>
        </w:tc>
        <w:tc>
          <w:tcPr>
            <w:tcW w:w="720" w:type="dxa"/>
            <w:tcBorders>
              <w:top w:val="single" w:sz="4" w:space="0" w:color="000000"/>
              <w:left w:val="single" w:sz="8" w:space="0" w:color="000000"/>
              <w:bottom w:val="single" w:sz="4" w:space="0" w:color="000000"/>
            </w:tcBorders>
            <w:vAlign w:val="center"/>
          </w:tcPr>
          <w:p w14:paraId="7719BBDB" w14:textId="77777777" w:rsidR="00EB21F6" w:rsidRDefault="000176C0">
            <w:pPr>
              <w:jc w:val="both"/>
              <w:rPr>
                <w:rFonts w:ascii="Arial" w:eastAsia="Arial" w:hAnsi="Arial" w:cs="Arial"/>
              </w:rPr>
            </w:pPr>
            <w:r>
              <w:rPr>
                <w:rFonts w:ascii="Arial" w:eastAsia="Arial" w:hAnsi="Arial" w:cs="Arial"/>
              </w:rPr>
              <w:t>Not seen</w:t>
            </w:r>
          </w:p>
        </w:tc>
        <w:tc>
          <w:tcPr>
            <w:tcW w:w="780" w:type="dxa"/>
            <w:tcBorders>
              <w:top w:val="single" w:sz="4" w:space="0" w:color="000000"/>
              <w:bottom w:val="single" w:sz="4" w:space="0" w:color="000000"/>
            </w:tcBorders>
            <w:vAlign w:val="center"/>
          </w:tcPr>
          <w:p w14:paraId="3148A8DC"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4B82D3C4" w14:textId="77777777" w:rsidR="00EB21F6" w:rsidRDefault="000176C0">
            <w:pPr>
              <w:jc w:val="both"/>
              <w:rPr>
                <w:rFonts w:ascii="Arial" w:eastAsia="Arial" w:hAnsi="Arial" w:cs="Arial"/>
              </w:rPr>
            </w:pPr>
            <w:r>
              <w:rPr>
                <w:rFonts w:ascii="Arial" w:eastAsia="Arial" w:hAnsi="Arial" w:cs="Arial"/>
              </w:rPr>
              <w:t>49%</w:t>
            </w:r>
          </w:p>
        </w:tc>
        <w:tc>
          <w:tcPr>
            <w:tcW w:w="704" w:type="dxa"/>
            <w:tcBorders>
              <w:top w:val="single" w:sz="4" w:space="0" w:color="000000"/>
              <w:left w:val="single" w:sz="8" w:space="0" w:color="000000"/>
              <w:bottom w:val="single" w:sz="4" w:space="0" w:color="000000"/>
            </w:tcBorders>
            <w:vAlign w:val="center"/>
          </w:tcPr>
          <w:p w14:paraId="7502E9DB" w14:textId="77777777" w:rsidR="00EB21F6" w:rsidRDefault="000176C0">
            <w:pPr>
              <w:jc w:val="both"/>
              <w:rPr>
                <w:rFonts w:ascii="Arial" w:eastAsia="Arial" w:hAnsi="Arial" w:cs="Arial"/>
              </w:rPr>
            </w:pPr>
            <w:r>
              <w:rPr>
                <w:rFonts w:ascii="Arial" w:eastAsia="Arial" w:hAnsi="Arial" w:cs="Arial"/>
              </w:rPr>
              <w:t>Not seen</w:t>
            </w:r>
          </w:p>
        </w:tc>
        <w:tc>
          <w:tcPr>
            <w:tcW w:w="796" w:type="dxa"/>
            <w:tcBorders>
              <w:top w:val="single" w:sz="4" w:space="0" w:color="000000"/>
              <w:bottom w:val="single" w:sz="4" w:space="0" w:color="000000"/>
            </w:tcBorders>
            <w:vAlign w:val="center"/>
          </w:tcPr>
          <w:p w14:paraId="0BD266BB"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21BBC444" w14:textId="77777777" w:rsidR="00EB21F6" w:rsidRDefault="000176C0">
            <w:pPr>
              <w:jc w:val="both"/>
              <w:rPr>
                <w:rFonts w:ascii="Arial" w:eastAsia="Arial" w:hAnsi="Arial" w:cs="Arial"/>
              </w:rPr>
            </w:pPr>
            <w:r>
              <w:rPr>
                <w:rFonts w:ascii="Arial" w:eastAsia="Arial" w:hAnsi="Arial" w:cs="Arial"/>
              </w:rPr>
              <w:t>38%</w:t>
            </w:r>
          </w:p>
        </w:tc>
        <w:tc>
          <w:tcPr>
            <w:tcW w:w="811" w:type="dxa"/>
            <w:tcBorders>
              <w:top w:val="single" w:sz="4" w:space="0" w:color="000000"/>
              <w:left w:val="single" w:sz="8" w:space="0" w:color="000000"/>
              <w:bottom w:val="single" w:sz="4" w:space="0" w:color="000000"/>
            </w:tcBorders>
            <w:vAlign w:val="center"/>
          </w:tcPr>
          <w:p w14:paraId="3B651E40"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314643E9"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6FA80022" w14:textId="77777777" w:rsidR="00EB21F6" w:rsidRDefault="000176C0">
            <w:pPr>
              <w:jc w:val="both"/>
              <w:rPr>
                <w:rFonts w:ascii="Arial" w:eastAsia="Arial" w:hAnsi="Arial" w:cs="Arial"/>
              </w:rPr>
            </w:pPr>
            <w:r>
              <w:rPr>
                <w:rFonts w:ascii="Arial" w:eastAsia="Arial" w:hAnsi="Arial" w:cs="Arial"/>
              </w:rPr>
              <w:t>33%</w:t>
            </w:r>
          </w:p>
        </w:tc>
      </w:tr>
      <w:tr w:rsidR="00EB21F6" w14:paraId="7BB6A9C1"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503BB337" w14:textId="77777777" w:rsidR="00EB21F6" w:rsidRDefault="000176C0">
            <w:pPr>
              <w:jc w:val="both"/>
              <w:rPr>
                <w:rFonts w:ascii="Arial" w:eastAsia="Arial" w:hAnsi="Arial" w:cs="Arial"/>
              </w:rPr>
            </w:pPr>
            <w:r>
              <w:rPr>
                <w:rFonts w:ascii="Arial" w:eastAsia="Arial" w:hAnsi="Arial" w:cs="Arial"/>
              </w:rPr>
              <w:t>13</w:t>
            </w:r>
          </w:p>
        </w:tc>
        <w:tc>
          <w:tcPr>
            <w:tcW w:w="720" w:type="dxa"/>
            <w:tcBorders>
              <w:top w:val="single" w:sz="4" w:space="0" w:color="000000"/>
              <w:left w:val="single" w:sz="8" w:space="0" w:color="000000"/>
              <w:bottom w:val="single" w:sz="4" w:space="0" w:color="000000"/>
            </w:tcBorders>
            <w:vAlign w:val="center"/>
          </w:tcPr>
          <w:p w14:paraId="1D572AE3"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3414FB24"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23F36228" w14:textId="77777777" w:rsidR="00EB21F6" w:rsidRDefault="000176C0">
            <w:pPr>
              <w:jc w:val="both"/>
              <w:rPr>
                <w:rFonts w:ascii="Arial" w:eastAsia="Arial" w:hAnsi="Arial" w:cs="Arial"/>
              </w:rPr>
            </w:pPr>
            <w:r>
              <w:rPr>
                <w:rFonts w:ascii="Arial" w:eastAsia="Arial" w:hAnsi="Arial" w:cs="Arial"/>
              </w:rPr>
              <w:t>41%</w:t>
            </w:r>
          </w:p>
        </w:tc>
        <w:tc>
          <w:tcPr>
            <w:tcW w:w="704" w:type="dxa"/>
            <w:tcBorders>
              <w:top w:val="single" w:sz="4" w:space="0" w:color="000000"/>
              <w:left w:val="single" w:sz="8" w:space="0" w:color="000000"/>
              <w:bottom w:val="single" w:sz="4" w:space="0" w:color="000000"/>
            </w:tcBorders>
            <w:vAlign w:val="center"/>
          </w:tcPr>
          <w:p w14:paraId="4B095659"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4042688D"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4EB1C95B" w14:textId="77777777" w:rsidR="00EB21F6" w:rsidRDefault="000176C0">
            <w:pPr>
              <w:jc w:val="both"/>
              <w:rPr>
                <w:rFonts w:ascii="Arial" w:eastAsia="Arial" w:hAnsi="Arial" w:cs="Arial"/>
              </w:rPr>
            </w:pPr>
            <w:r>
              <w:rPr>
                <w:rFonts w:ascii="Arial" w:eastAsia="Arial" w:hAnsi="Arial" w:cs="Arial"/>
              </w:rPr>
              <w:t>29%</w:t>
            </w:r>
          </w:p>
        </w:tc>
        <w:tc>
          <w:tcPr>
            <w:tcW w:w="811" w:type="dxa"/>
            <w:tcBorders>
              <w:top w:val="single" w:sz="4" w:space="0" w:color="000000"/>
              <w:left w:val="single" w:sz="8" w:space="0" w:color="000000"/>
              <w:bottom w:val="single" w:sz="4" w:space="0" w:color="000000"/>
            </w:tcBorders>
            <w:vAlign w:val="center"/>
          </w:tcPr>
          <w:p w14:paraId="158683A0"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64744340"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5B44DBF2" w14:textId="77777777" w:rsidR="00EB21F6" w:rsidRDefault="000176C0">
            <w:pPr>
              <w:jc w:val="both"/>
              <w:rPr>
                <w:rFonts w:ascii="Arial" w:eastAsia="Arial" w:hAnsi="Arial" w:cs="Arial"/>
              </w:rPr>
            </w:pPr>
            <w:r>
              <w:rPr>
                <w:rFonts w:ascii="Arial" w:eastAsia="Arial" w:hAnsi="Arial" w:cs="Arial"/>
              </w:rPr>
              <w:t>29%</w:t>
            </w:r>
          </w:p>
        </w:tc>
      </w:tr>
      <w:tr w:rsidR="00EB21F6" w14:paraId="3C7C3C58"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299B3EF6" w14:textId="77777777" w:rsidR="00EB21F6" w:rsidRDefault="000176C0">
            <w:pPr>
              <w:jc w:val="both"/>
              <w:rPr>
                <w:rFonts w:ascii="Arial" w:eastAsia="Arial" w:hAnsi="Arial" w:cs="Arial"/>
              </w:rPr>
            </w:pPr>
            <w:r>
              <w:rPr>
                <w:rFonts w:ascii="Arial" w:eastAsia="Arial" w:hAnsi="Arial" w:cs="Arial"/>
              </w:rPr>
              <w:t>14</w:t>
            </w:r>
          </w:p>
        </w:tc>
        <w:tc>
          <w:tcPr>
            <w:tcW w:w="720" w:type="dxa"/>
            <w:tcBorders>
              <w:top w:val="single" w:sz="4" w:space="0" w:color="000000"/>
              <w:left w:val="single" w:sz="8" w:space="0" w:color="000000"/>
              <w:bottom w:val="single" w:sz="4" w:space="0" w:color="000000"/>
            </w:tcBorders>
            <w:vAlign w:val="center"/>
          </w:tcPr>
          <w:p w14:paraId="43CB21EF"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62E19B00"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04042C4A" w14:textId="77777777" w:rsidR="00EB21F6" w:rsidRDefault="000176C0">
            <w:pPr>
              <w:jc w:val="both"/>
              <w:rPr>
                <w:rFonts w:ascii="Arial" w:eastAsia="Arial" w:hAnsi="Arial" w:cs="Arial"/>
              </w:rPr>
            </w:pPr>
            <w:r>
              <w:rPr>
                <w:rFonts w:ascii="Arial" w:eastAsia="Arial" w:hAnsi="Arial" w:cs="Arial"/>
              </w:rPr>
              <w:t>47%</w:t>
            </w:r>
          </w:p>
        </w:tc>
        <w:tc>
          <w:tcPr>
            <w:tcW w:w="704" w:type="dxa"/>
            <w:tcBorders>
              <w:top w:val="single" w:sz="4" w:space="0" w:color="000000"/>
              <w:left w:val="single" w:sz="8" w:space="0" w:color="000000"/>
              <w:bottom w:val="single" w:sz="4" w:space="0" w:color="000000"/>
            </w:tcBorders>
            <w:vAlign w:val="center"/>
          </w:tcPr>
          <w:p w14:paraId="2F23CBD4"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0B4F5FA8"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7F156920" w14:textId="77777777" w:rsidR="00EB21F6" w:rsidRDefault="000176C0">
            <w:pPr>
              <w:jc w:val="both"/>
              <w:rPr>
                <w:rFonts w:ascii="Arial" w:eastAsia="Arial" w:hAnsi="Arial" w:cs="Arial"/>
              </w:rPr>
            </w:pPr>
            <w:r>
              <w:rPr>
                <w:rFonts w:ascii="Arial" w:eastAsia="Arial" w:hAnsi="Arial" w:cs="Arial"/>
              </w:rPr>
              <w:t>30%</w:t>
            </w:r>
          </w:p>
        </w:tc>
        <w:tc>
          <w:tcPr>
            <w:tcW w:w="811" w:type="dxa"/>
            <w:tcBorders>
              <w:top w:val="single" w:sz="4" w:space="0" w:color="000000"/>
              <w:left w:val="single" w:sz="8" w:space="0" w:color="000000"/>
              <w:bottom w:val="single" w:sz="4" w:space="0" w:color="000000"/>
            </w:tcBorders>
            <w:vAlign w:val="center"/>
          </w:tcPr>
          <w:p w14:paraId="736EDA32"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7EB5ADD1"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1ADA1C4B" w14:textId="77777777" w:rsidR="00EB21F6" w:rsidRDefault="000176C0">
            <w:pPr>
              <w:jc w:val="both"/>
            </w:pPr>
            <w:r>
              <w:rPr>
                <w:rFonts w:ascii="Arial" w:eastAsia="Arial" w:hAnsi="Arial" w:cs="Arial"/>
              </w:rPr>
              <w:t>34%</w:t>
            </w:r>
          </w:p>
        </w:tc>
      </w:tr>
      <w:tr w:rsidR="00EB21F6" w14:paraId="75A0B10C"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0523C04F" w14:textId="77777777" w:rsidR="00EB21F6" w:rsidRDefault="000176C0">
            <w:pPr>
              <w:jc w:val="both"/>
              <w:rPr>
                <w:rFonts w:ascii="Arial" w:eastAsia="Arial" w:hAnsi="Arial" w:cs="Arial"/>
              </w:rPr>
            </w:pPr>
            <w:r>
              <w:rPr>
                <w:rFonts w:ascii="Arial" w:eastAsia="Arial" w:hAnsi="Arial" w:cs="Arial"/>
              </w:rPr>
              <w:t>15</w:t>
            </w:r>
          </w:p>
        </w:tc>
        <w:tc>
          <w:tcPr>
            <w:tcW w:w="720" w:type="dxa"/>
            <w:tcBorders>
              <w:top w:val="single" w:sz="4" w:space="0" w:color="000000"/>
              <w:left w:val="single" w:sz="8" w:space="0" w:color="000000"/>
              <w:bottom w:val="single" w:sz="4" w:space="0" w:color="000000"/>
            </w:tcBorders>
            <w:vAlign w:val="center"/>
          </w:tcPr>
          <w:p w14:paraId="47953CFD"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435188C8"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29F93673" w14:textId="77777777" w:rsidR="00EB21F6" w:rsidRDefault="000176C0">
            <w:pPr>
              <w:jc w:val="both"/>
              <w:rPr>
                <w:rFonts w:ascii="Arial" w:eastAsia="Arial" w:hAnsi="Arial" w:cs="Arial"/>
              </w:rPr>
            </w:pPr>
            <w:r>
              <w:rPr>
                <w:rFonts w:ascii="Arial" w:eastAsia="Arial" w:hAnsi="Arial" w:cs="Arial"/>
              </w:rPr>
              <w:t>43%</w:t>
            </w:r>
          </w:p>
        </w:tc>
        <w:tc>
          <w:tcPr>
            <w:tcW w:w="704" w:type="dxa"/>
            <w:tcBorders>
              <w:top w:val="single" w:sz="4" w:space="0" w:color="000000"/>
              <w:left w:val="single" w:sz="8" w:space="0" w:color="000000"/>
              <w:bottom w:val="single" w:sz="4" w:space="0" w:color="000000"/>
            </w:tcBorders>
            <w:vAlign w:val="center"/>
          </w:tcPr>
          <w:p w14:paraId="58AAB2CA"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2799E77F"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5652AD21" w14:textId="77777777" w:rsidR="00EB21F6" w:rsidRDefault="000176C0">
            <w:pPr>
              <w:jc w:val="both"/>
              <w:rPr>
                <w:rFonts w:ascii="Arial" w:eastAsia="Arial" w:hAnsi="Arial" w:cs="Arial"/>
              </w:rPr>
            </w:pPr>
            <w:r>
              <w:rPr>
                <w:rFonts w:ascii="Arial" w:eastAsia="Arial" w:hAnsi="Arial" w:cs="Arial"/>
              </w:rPr>
              <w:t>31%</w:t>
            </w:r>
          </w:p>
        </w:tc>
        <w:tc>
          <w:tcPr>
            <w:tcW w:w="811" w:type="dxa"/>
            <w:tcBorders>
              <w:top w:val="single" w:sz="4" w:space="0" w:color="000000"/>
              <w:left w:val="single" w:sz="8" w:space="0" w:color="000000"/>
              <w:bottom w:val="single" w:sz="4" w:space="0" w:color="000000"/>
            </w:tcBorders>
            <w:vAlign w:val="center"/>
          </w:tcPr>
          <w:p w14:paraId="3CC8BB75"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7BCC43A1"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664B664E" w14:textId="77777777" w:rsidR="00EB21F6" w:rsidRDefault="000176C0">
            <w:pPr>
              <w:jc w:val="both"/>
              <w:rPr>
                <w:rFonts w:ascii="Arial" w:eastAsia="Arial" w:hAnsi="Arial" w:cs="Arial"/>
              </w:rPr>
            </w:pPr>
            <w:r>
              <w:rPr>
                <w:rFonts w:ascii="Arial" w:eastAsia="Arial" w:hAnsi="Arial" w:cs="Arial"/>
              </w:rPr>
              <w:t>30%</w:t>
            </w:r>
          </w:p>
        </w:tc>
      </w:tr>
      <w:tr w:rsidR="00EB21F6" w14:paraId="5C743E82"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0B51D16" w14:textId="77777777" w:rsidR="00EB21F6" w:rsidRDefault="000176C0">
            <w:pPr>
              <w:jc w:val="both"/>
              <w:rPr>
                <w:rFonts w:ascii="Arial" w:eastAsia="Arial" w:hAnsi="Arial" w:cs="Arial"/>
              </w:rPr>
            </w:pPr>
            <w:r>
              <w:rPr>
                <w:rFonts w:ascii="Arial" w:eastAsia="Arial" w:hAnsi="Arial" w:cs="Arial"/>
              </w:rPr>
              <w:t>16</w:t>
            </w:r>
          </w:p>
        </w:tc>
        <w:tc>
          <w:tcPr>
            <w:tcW w:w="720" w:type="dxa"/>
            <w:tcBorders>
              <w:top w:val="single" w:sz="4" w:space="0" w:color="000000"/>
              <w:left w:val="single" w:sz="8" w:space="0" w:color="000000"/>
              <w:bottom w:val="single" w:sz="4" w:space="0" w:color="000000"/>
            </w:tcBorders>
            <w:vAlign w:val="center"/>
          </w:tcPr>
          <w:p w14:paraId="2F29950F"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69481F89"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0EEEC8BA" w14:textId="77777777" w:rsidR="00EB21F6" w:rsidRDefault="000176C0">
            <w:pPr>
              <w:jc w:val="both"/>
              <w:rPr>
                <w:rFonts w:ascii="Arial" w:eastAsia="Arial" w:hAnsi="Arial" w:cs="Arial"/>
              </w:rPr>
            </w:pPr>
            <w:r>
              <w:rPr>
                <w:rFonts w:ascii="Arial" w:eastAsia="Arial" w:hAnsi="Arial" w:cs="Arial"/>
              </w:rPr>
              <w:t>41%</w:t>
            </w:r>
          </w:p>
        </w:tc>
        <w:tc>
          <w:tcPr>
            <w:tcW w:w="704" w:type="dxa"/>
            <w:tcBorders>
              <w:top w:val="single" w:sz="4" w:space="0" w:color="000000"/>
              <w:left w:val="single" w:sz="8" w:space="0" w:color="000000"/>
              <w:bottom w:val="single" w:sz="4" w:space="0" w:color="000000"/>
            </w:tcBorders>
            <w:vAlign w:val="center"/>
          </w:tcPr>
          <w:p w14:paraId="79974801"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3BB256A9"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43B35475" w14:textId="77777777" w:rsidR="00EB21F6" w:rsidRDefault="000176C0">
            <w:pPr>
              <w:jc w:val="both"/>
              <w:rPr>
                <w:rFonts w:ascii="Arial" w:eastAsia="Arial" w:hAnsi="Arial" w:cs="Arial"/>
              </w:rPr>
            </w:pPr>
            <w:r>
              <w:rPr>
                <w:rFonts w:ascii="Arial" w:eastAsia="Arial" w:hAnsi="Arial" w:cs="Arial"/>
              </w:rPr>
              <w:t>30%</w:t>
            </w:r>
          </w:p>
        </w:tc>
        <w:tc>
          <w:tcPr>
            <w:tcW w:w="811" w:type="dxa"/>
            <w:tcBorders>
              <w:top w:val="single" w:sz="4" w:space="0" w:color="000000"/>
              <w:left w:val="single" w:sz="8" w:space="0" w:color="000000"/>
              <w:bottom w:val="single" w:sz="4" w:space="0" w:color="000000"/>
            </w:tcBorders>
            <w:vAlign w:val="center"/>
          </w:tcPr>
          <w:p w14:paraId="51BBD5C8"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2E054C39"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1C49F622" w14:textId="77777777" w:rsidR="00EB21F6" w:rsidRDefault="000176C0">
            <w:pPr>
              <w:jc w:val="both"/>
              <w:rPr>
                <w:rFonts w:ascii="Arial" w:eastAsia="Arial" w:hAnsi="Arial" w:cs="Arial"/>
              </w:rPr>
            </w:pPr>
            <w:r>
              <w:rPr>
                <w:rFonts w:ascii="Arial" w:eastAsia="Arial" w:hAnsi="Arial" w:cs="Arial"/>
              </w:rPr>
              <w:t>30%</w:t>
            </w:r>
          </w:p>
        </w:tc>
      </w:tr>
      <w:tr w:rsidR="00EB21F6" w14:paraId="52518310"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728ED7FE" w14:textId="77777777" w:rsidR="00EB21F6" w:rsidRDefault="000176C0">
            <w:pPr>
              <w:jc w:val="both"/>
              <w:rPr>
                <w:rFonts w:ascii="Arial" w:eastAsia="Arial" w:hAnsi="Arial" w:cs="Arial"/>
              </w:rPr>
            </w:pPr>
            <w:r>
              <w:rPr>
                <w:rFonts w:ascii="Arial" w:eastAsia="Arial" w:hAnsi="Arial" w:cs="Arial"/>
              </w:rPr>
              <w:t>17</w:t>
            </w:r>
          </w:p>
        </w:tc>
        <w:tc>
          <w:tcPr>
            <w:tcW w:w="720" w:type="dxa"/>
            <w:tcBorders>
              <w:top w:val="single" w:sz="4" w:space="0" w:color="000000"/>
              <w:left w:val="single" w:sz="8" w:space="0" w:color="000000"/>
              <w:bottom w:val="single" w:sz="4" w:space="0" w:color="000000"/>
            </w:tcBorders>
            <w:vAlign w:val="center"/>
          </w:tcPr>
          <w:p w14:paraId="6D011226"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5D2224C7"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01E9D292" w14:textId="77777777" w:rsidR="00EB21F6" w:rsidRDefault="000176C0">
            <w:pPr>
              <w:jc w:val="both"/>
              <w:rPr>
                <w:rFonts w:ascii="Arial" w:eastAsia="Arial" w:hAnsi="Arial" w:cs="Arial"/>
              </w:rPr>
            </w:pPr>
            <w:r>
              <w:rPr>
                <w:rFonts w:ascii="Arial" w:eastAsia="Arial" w:hAnsi="Arial" w:cs="Arial"/>
              </w:rPr>
              <w:t>46%</w:t>
            </w:r>
          </w:p>
        </w:tc>
        <w:tc>
          <w:tcPr>
            <w:tcW w:w="704" w:type="dxa"/>
            <w:tcBorders>
              <w:top w:val="single" w:sz="4" w:space="0" w:color="000000"/>
              <w:left w:val="single" w:sz="8" w:space="0" w:color="000000"/>
              <w:bottom w:val="single" w:sz="4" w:space="0" w:color="000000"/>
            </w:tcBorders>
            <w:vAlign w:val="center"/>
          </w:tcPr>
          <w:p w14:paraId="023FCA37"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643D42AC"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1D33B525" w14:textId="77777777" w:rsidR="00EB21F6" w:rsidRDefault="000176C0">
            <w:pPr>
              <w:jc w:val="both"/>
              <w:rPr>
                <w:rFonts w:ascii="Arial" w:eastAsia="Arial" w:hAnsi="Arial" w:cs="Arial"/>
              </w:rPr>
            </w:pPr>
            <w:r>
              <w:rPr>
                <w:rFonts w:ascii="Arial" w:eastAsia="Arial" w:hAnsi="Arial" w:cs="Arial"/>
              </w:rPr>
              <w:t>33%</w:t>
            </w:r>
          </w:p>
        </w:tc>
        <w:tc>
          <w:tcPr>
            <w:tcW w:w="811" w:type="dxa"/>
            <w:tcBorders>
              <w:top w:val="single" w:sz="4" w:space="0" w:color="000000"/>
              <w:left w:val="single" w:sz="8" w:space="0" w:color="000000"/>
              <w:bottom w:val="single" w:sz="4" w:space="0" w:color="000000"/>
            </w:tcBorders>
            <w:vAlign w:val="center"/>
          </w:tcPr>
          <w:p w14:paraId="63B91785"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EC8234E"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6EFF46F1" w14:textId="77777777" w:rsidR="00EB21F6" w:rsidRDefault="000176C0">
            <w:pPr>
              <w:jc w:val="both"/>
              <w:rPr>
                <w:rFonts w:ascii="Arial" w:eastAsia="Arial" w:hAnsi="Arial" w:cs="Arial"/>
              </w:rPr>
            </w:pPr>
            <w:r>
              <w:rPr>
                <w:rFonts w:ascii="Arial" w:eastAsia="Arial" w:hAnsi="Arial" w:cs="Arial"/>
              </w:rPr>
              <w:t>31%</w:t>
            </w:r>
          </w:p>
        </w:tc>
      </w:tr>
      <w:tr w:rsidR="00EB21F6" w14:paraId="7EE6C998"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1C1DCBDD" w14:textId="77777777" w:rsidR="00EB21F6" w:rsidRDefault="000176C0">
            <w:pPr>
              <w:jc w:val="both"/>
              <w:rPr>
                <w:rFonts w:ascii="Arial" w:eastAsia="Arial" w:hAnsi="Arial" w:cs="Arial"/>
              </w:rPr>
            </w:pPr>
            <w:r>
              <w:rPr>
                <w:rFonts w:ascii="Arial" w:eastAsia="Arial" w:hAnsi="Arial" w:cs="Arial"/>
              </w:rPr>
              <w:t>18</w:t>
            </w:r>
          </w:p>
        </w:tc>
        <w:tc>
          <w:tcPr>
            <w:tcW w:w="720" w:type="dxa"/>
            <w:tcBorders>
              <w:top w:val="single" w:sz="4" w:space="0" w:color="000000"/>
              <w:left w:val="single" w:sz="8" w:space="0" w:color="000000"/>
              <w:bottom w:val="single" w:sz="4" w:space="0" w:color="000000"/>
            </w:tcBorders>
            <w:vAlign w:val="center"/>
          </w:tcPr>
          <w:p w14:paraId="3E22A8F7"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52B8D0BD"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172CC7AB" w14:textId="77777777" w:rsidR="00EB21F6" w:rsidRDefault="000176C0">
            <w:pPr>
              <w:jc w:val="both"/>
              <w:rPr>
                <w:rFonts w:ascii="Arial" w:eastAsia="Arial" w:hAnsi="Arial" w:cs="Arial"/>
              </w:rPr>
            </w:pPr>
            <w:r>
              <w:rPr>
                <w:rFonts w:ascii="Arial" w:eastAsia="Arial" w:hAnsi="Arial" w:cs="Arial"/>
              </w:rPr>
              <w:t>46%</w:t>
            </w:r>
          </w:p>
        </w:tc>
        <w:tc>
          <w:tcPr>
            <w:tcW w:w="704" w:type="dxa"/>
            <w:tcBorders>
              <w:top w:val="single" w:sz="4" w:space="0" w:color="000000"/>
              <w:left w:val="single" w:sz="8" w:space="0" w:color="000000"/>
              <w:bottom w:val="single" w:sz="4" w:space="0" w:color="000000"/>
            </w:tcBorders>
            <w:vAlign w:val="center"/>
          </w:tcPr>
          <w:p w14:paraId="2BF498E7"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619AAF15"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063B9851" w14:textId="77777777" w:rsidR="00EB21F6" w:rsidRDefault="000176C0">
            <w:pPr>
              <w:jc w:val="both"/>
              <w:rPr>
                <w:rFonts w:ascii="Arial" w:eastAsia="Arial" w:hAnsi="Arial" w:cs="Arial"/>
              </w:rPr>
            </w:pPr>
            <w:r>
              <w:rPr>
                <w:rFonts w:ascii="Arial" w:eastAsia="Arial" w:hAnsi="Arial" w:cs="Arial"/>
              </w:rPr>
              <w:t>34%</w:t>
            </w:r>
          </w:p>
        </w:tc>
        <w:tc>
          <w:tcPr>
            <w:tcW w:w="811" w:type="dxa"/>
            <w:tcBorders>
              <w:top w:val="single" w:sz="4" w:space="0" w:color="000000"/>
              <w:left w:val="single" w:sz="8" w:space="0" w:color="000000"/>
              <w:bottom w:val="single" w:sz="4" w:space="0" w:color="000000"/>
            </w:tcBorders>
            <w:vAlign w:val="center"/>
          </w:tcPr>
          <w:p w14:paraId="374F0D2E"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6EB96890"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59ED47C2" w14:textId="77777777" w:rsidR="00EB21F6" w:rsidRDefault="000176C0">
            <w:pPr>
              <w:jc w:val="both"/>
              <w:rPr>
                <w:rFonts w:ascii="Arial" w:eastAsia="Arial" w:hAnsi="Arial" w:cs="Arial"/>
              </w:rPr>
            </w:pPr>
            <w:r>
              <w:rPr>
                <w:rFonts w:ascii="Arial" w:eastAsia="Arial" w:hAnsi="Arial" w:cs="Arial"/>
              </w:rPr>
              <w:t>34%</w:t>
            </w:r>
          </w:p>
        </w:tc>
      </w:tr>
      <w:tr w:rsidR="00EB21F6" w14:paraId="2A8E4539"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76D0D08A" w14:textId="77777777" w:rsidR="00EB21F6" w:rsidRDefault="000176C0">
            <w:pPr>
              <w:jc w:val="both"/>
              <w:rPr>
                <w:rFonts w:ascii="Arial" w:eastAsia="Arial" w:hAnsi="Arial" w:cs="Arial"/>
              </w:rPr>
            </w:pPr>
            <w:r>
              <w:rPr>
                <w:rFonts w:ascii="Arial" w:eastAsia="Arial" w:hAnsi="Arial" w:cs="Arial"/>
              </w:rPr>
              <w:t>19</w:t>
            </w:r>
          </w:p>
        </w:tc>
        <w:tc>
          <w:tcPr>
            <w:tcW w:w="720" w:type="dxa"/>
            <w:tcBorders>
              <w:top w:val="single" w:sz="4" w:space="0" w:color="000000"/>
              <w:left w:val="single" w:sz="8" w:space="0" w:color="000000"/>
              <w:bottom w:val="single" w:sz="4" w:space="0" w:color="000000"/>
            </w:tcBorders>
            <w:vAlign w:val="center"/>
          </w:tcPr>
          <w:p w14:paraId="43DD35F1"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186B497A"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66EE8883" w14:textId="77777777" w:rsidR="00EB21F6" w:rsidRDefault="000176C0">
            <w:pPr>
              <w:jc w:val="both"/>
              <w:rPr>
                <w:rFonts w:ascii="Arial" w:eastAsia="Arial" w:hAnsi="Arial" w:cs="Arial"/>
              </w:rPr>
            </w:pPr>
            <w:r>
              <w:rPr>
                <w:rFonts w:ascii="Arial" w:eastAsia="Arial" w:hAnsi="Arial" w:cs="Arial"/>
              </w:rPr>
              <w:t>40%</w:t>
            </w:r>
          </w:p>
        </w:tc>
        <w:tc>
          <w:tcPr>
            <w:tcW w:w="704" w:type="dxa"/>
            <w:tcBorders>
              <w:top w:val="single" w:sz="4" w:space="0" w:color="000000"/>
              <w:left w:val="single" w:sz="8" w:space="0" w:color="000000"/>
              <w:bottom w:val="single" w:sz="4" w:space="0" w:color="000000"/>
            </w:tcBorders>
            <w:vAlign w:val="center"/>
          </w:tcPr>
          <w:p w14:paraId="67F7F675"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2EB6E3C9"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394D6478" w14:textId="77777777" w:rsidR="00EB21F6" w:rsidRDefault="000176C0">
            <w:pPr>
              <w:jc w:val="both"/>
              <w:rPr>
                <w:rFonts w:ascii="Arial" w:eastAsia="Arial" w:hAnsi="Arial" w:cs="Arial"/>
              </w:rPr>
            </w:pPr>
            <w:r>
              <w:rPr>
                <w:rFonts w:ascii="Arial" w:eastAsia="Arial" w:hAnsi="Arial" w:cs="Arial"/>
              </w:rPr>
              <w:t>34%</w:t>
            </w:r>
          </w:p>
        </w:tc>
        <w:tc>
          <w:tcPr>
            <w:tcW w:w="811" w:type="dxa"/>
            <w:tcBorders>
              <w:top w:val="single" w:sz="4" w:space="0" w:color="000000"/>
              <w:left w:val="single" w:sz="8" w:space="0" w:color="000000"/>
              <w:bottom w:val="single" w:sz="4" w:space="0" w:color="000000"/>
            </w:tcBorders>
            <w:vAlign w:val="center"/>
          </w:tcPr>
          <w:p w14:paraId="69143040"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68BED3A"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0118AC15" w14:textId="77777777" w:rsidR="00EB21F6" w:rsidRDefault="000176C0">
            <w:pPr>
              <w:jc w:val="both"/>
              <w:rPr>
                <w:rFonts w:ascii="Arial" w:eastAsia="Arial" w:hAnsi="Arial" w:cs="Arial"/>
              </w:rPr>
            </w:pPr>
            <w:r>
              <w:rPr>
                <w:rFonts w:ascii="Arial" w:eastAsia="Arial" w:hAnsi="Arial" w:cs="Arial"/>
              </w:rPr>
              <w:t>34%</w:t>
            </w:r>
          </w:p>
        </w:tc>
      </w:tr>
      <w:tr w:rsidR="00EB21F6" w14:paraId="3CD4566C"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2F0259E6" w14:textId="77777777" w:rsidR="00EB21F6" w:rsidRDefault="000176C0">
            <w:pPr>
              <w:jc w:val="both"/>
              <w:rPr>
                <w:rFonts w:ascii="Arial" w:eastAsia="Arial" w:hAnsi="Arial" w:cs="Arial"/>
              </w:rPr>
            </w:pPr>
            <w:r>
              <w:rPr>
                <w:rFonts w:ascii="Arial" w:eastAsia="Arial" w:hAnsi="Arial" w:cs="Arial"/>
              </w:rPr>
              <w:t>20</w:t>
            </w:r>
          </w:p>
        </w:tc>
        <w:tc>
          <w:tcPr>
            <w:tcW w:w="720" w:type="dxa"/>
            <w:tcBorders>
              <w:top w:val="single" w:sz="4" w:space="0" w:color="000000"/>
              <w:left w:val="single" w:sz="8" w:space="0" w:color="000000"/>
              <w:bottom w:val="single" w:sz="4" w:space="0" w:color="000000"/>
            </w:tcBorders>
            <w:vAlign w:val="center"/>
          </w:tcPr>
          <w:p w14:paraId="083FA8C2"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0D39CE4B" w14:textId="77777777" w:rsidR="00EB21F6" w:rsidRDefault="000176C0">
            <w:pPr>
              <w:jc w:val="both"/>
              <w:rPr>
                <w:rFonts w:ascii="Arial" w:eastAsia="Arial" w:hAnsi="Arial" w:cs="Arial"/>
              </w:rPr>
            </w:pPr>
            <w:r>
              <w:rPr>
                <w:rFonts w:ascii="Arial" w:eastAsia="Arial" w:hAnsi="Arial" w:cs="Arial"/>
              </w:rPr>
              <w:t>360</w:t>
            </w:r>
          </w:p>
        </w:tc>
        <w:tc>
          <w:tcPr>
            <w:tcW w:w="1051" w:type="dxa"/>
            <w:tcBorders>
              <w:top w:val="single" w:sz="4" w:space="0" w:color="000000"/>
              <w:bottom w:val="single" w:sz="4" w:space="0" w:color="000000"/>
              <w:right w:val="single" w:sz="8" w:space="0" w:color="000000"/>
            </w:tcBorders>
            <w:vAlign w:val="center"/>
          </w:tcPr>
          <w:p w14:paraId="7DABCABA" w14:textId="77777777" w:rsidR="00EB21F6" w:rsidRDefault="000176C0">
            <w:pPr>
              <w:jc w:val="both"/>
              <w:rPr>
                <w:rFonts w:ascii="Arial" w:eastAsia="Arial" w:hAnsi="Arial" w:cs="Arial"/>
              </w:rPr>
            </w:pPr>
            <w:r>
              <w:rPr>
                <w:rFonts w:ascii="Arial" w:eastAsia="Arial" w:hAnsi="Arial" w:cs="Arial"/>
              </w:rPr>
              <w:t>39%</w:t>
            </w:r>
          </w:p>
        </w:tc>
        <w:tc>
          <w:tcPr>
            <w:tcW w:w="704" w:type="dxa"/>
            <w:tcBorders>
              <w:top w:val="single" w:sz="4" w:space="0" w:color="000000"/>
              <w:left w:val="single" w:sz="8" w:space="0" w:color="000000"/>
              <w:bottom w:val="single" w:sz="4" w:space="0" w:color="000000"/>
            </w:tcBorders>
            <w:vAlign w:val="center"/>
          </w:tcPr>
          <w:p w14:paraId="428D41F6"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40284A51" w14:textId="77777777" w:rsidR="00EB21F6" w:rsidRDefault="000176C0">
            <w:pPr>
              <w:jc w:val="both"/>
              <w:rPr>
                <w:rFonts w:ascii="Arial" w:eastAsia="Arial" w:hAnsi="Arial" w:cs="Arial"/>
              </w:rPr>
            </w:pPr>
            <w:r>
              <w:rPr>
                <w:rFonts w:ascii="Arial" w:eastAsia="Arial" w:hAnsi="Arial" w:cs="Arial"/>
              </w:rPr>
              <w:t>120</w:t>
            </w:r>
          </w:p>
        </w:tc>
        <w:tc>
          <w:tcPr>
            <w:tcW w:w="1004" w:type="dxa"/>
            <w:tcBorders>
              <w:top w:val="single" w:sz="4" w:space="0" w:color="000000"/>
              <w:bottom w:val="single" w:sz="4" w:space="0" w:color="000000"/>
              <w:right w:val="single" w:sz="8" w:space="0" w:color="000000"/>
            </w:tcBorders>
            <w:vAlign w:val="center"/>
          </w:tcPr>
          <w:p w14:paraId="64B7D7FF" w14:textId="77777777" w:rsidR="00EB21F6" w:rsidRDefault="000176C0">
            <w:pPr>
              <w:jc w:val="both"/>
              <w:rPr>
                <w:rFonts w:ascii="Arial" w:eastAsia="Arial" w:hAnsi="Arial" w:cs="Arial"/>
              </w:rPr>
            </w:pPr>
            <w:r>
              <w:rPr>
                <w:rFonts w:ascii="Arial" w:eastAsia="Arial" w:hAnsi="Arial" w:cs="Arial"/>
              </w:rPr>
              <w:t>28%</w:t>
            </w:r>
          </w:p>
        </w:tc>
        <w:tc>
          <w:tcPr>
            <w:tcW w:w="811" w:type="dxa"/>
            <w:tcBorders>
              <w:top w:val="single" w:sz="4" w:space="0" w:color="000000"/>
              <w:left w:val="single" w:sz="8" w:space="0" w:color="000000"/>
              <w:bottom w:val="single" w:sz="4" w:space="0" w:color="000000"/>
            </w:tcBorders>
            <w:vAlign w:val="center"/>
          </w:tcPr>
          <w:p w14:paraId="7BE631EB"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915EDDF" w14:textId="77777777" w:rsidR="00EB21F6" w:rsidRDefault="000176C0">
            <w:pPr>
              <w:jc w:val="both"/>
              <w:rPr>
                <w:rFonts w:ascii="Arial" w:eastAsia="Arial" w:hAnsi="Arial" w:cs="Arial"/>
              </w:rPr>
            </w:pPr>
            <w:r>
              <w:rPr>
                <w:rFonts w:ascii="Arial" w:eastAsia="Arial" w:hAnsi="Arial" w:cs="Arial"/>
              </w:rPr>
              <w:t>360</w:t>
            </w:r>
          </w:p>
        </w:tc>
        <w:tc>
          <w:tcPr>
            <w:tcW w:w="1051" w:type="dxa"/>
            <w:tcBorders>
              <w:top w:val="single" w:sz="4" w:space="0" w:color="000000"/>
              <w:bottom w:val="single" w:sz="4" w:space="0" w:color="000000"/>
              <w:right w:val="single" w:sz="8" w:space="0" w:color="000000"/>
            </w:tcBorders>
            <w:vAlign w:val="center"/>
          </w:tcPr>
          <w:p w14:paraId="69535442" w14:textId="77777777" w:rsidR="00EB21F6" w:rsidRDefault="000176C0">
            <w:pPr>
              <w:jc w:val="both"/>
              <w:rPr>
                <w:rFonts w:ascii="Arial" w:eastAsia="Arial" w:hAnsi="Arial" w:cs="Arial"/>
              </w:rPr>
            </w:pPr>
            <w:r>
              <w:rPr>
                <w:rFonts w:ascii="Arial" w:eastAsia="Arial" w:hAnsi="Arial" w:cs="Arial"/>
              </w:rPr>
              <w:t>33%</w:t>
            </w:r>
          </w:p>
        </w:tc>
      </w:tr>
      <w:tr w:rsidR="00EB21F6" w14:paraId="5BB3A129"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9043D09" w14:textId="77777777" w:rsidR="00EB21F6" w:rsidRDefault="000176C0">
            <w:pPr>
              <w:jc w:val="both"/>
              <w:rPr>
                <w:rFonts w:ascii="Arial" w:eastAsia="Arial" w:hAnsi="Arial" w:cs="Arial"/>
              </w:rPr>
            </w:pPr>
            <w:r>
              <w:rPr>
                <w:rFonts w:ascii="Arial" w:eastAsia="Arial" w:hAnsi="Arial" w:cs="Arial"/>
              </w:rPr>
              <w:t>21</w:t>
            </w:r>
          </w:p>
        </w:tc>
        <w:tc>
          <w:tcPr>
            <w:tcW w:w="720" w:type="dxa"/>
            <w:tcBorders>
              <w:top w:val="single" w:sz="4" w:space="0" w:color="000000"/>
              <w:left w:val="single" w:sz="8" w:space="0" w:color="000000"/>
              <w:bottom w:val="single" w:sz="4" w:space="0" w:color="000000"/>
            </w:tcBorders>
            <w:vAlign w:val="center"/>
          </w:tcPr>
          <w:p w14:paraId="72A646E7"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6FFAF471"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09807BE1" w14:textId="77777777" w:rsidR="00EB21F6" w:rsidRDefault="000176C0">
            <w:pPr>
              <w:jc w:val="both"/>
              <w:rPr>
                <w:rFonts w:ascii="Arial" w:eastAsia="Arial" w:hAnsi="Arial" w:cs="Arial"/>
              </w:rPr>
            </w:pPr>
            <w:r>
              <w:rPr>
                <w:rFonts w:ascii="Arial" w:eastAsia="Arial" w:hAnsi="Arial" w:cs="Arial"/>
              </w:rPr>
              <w:t>45%</w:t>
            </w:r>
          </w:p>
        </w:tc>
        <w:tc>
          <w:tcPr>
            <w:tcW w:w="704" w:type="dxa"/>
            <w:tcBorders>
              <w:top w:val="single" w:sz="4" w:space="0" w:color="000000"/>
              <w:left w:val="single" w:sz="8" w:space="0" w:color="000000"/>
              <w:bottom w:val="single" w:sz="4" w:space="0" w:color="000000"/>
            </w:tcBorders>
            <w:vAlign w:val="center"/>
          </w:tcPr>
          <w:p w14:paraId="211D1EB6"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752FF9E4"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4C928E7F" w14:textId="77777777" w:rsidR="00EB21F6" w:rsidRDefault="000176C0">
            <w:pPr>
              <w:jc w:val="both"/>
              <w:rPr>
                <w:rFonts w:ascii="Arial" w:eastAsia="Arial" w:hAnsi="Arial" w:cs="Arial"/>
              </w:rPr>
            </w:pPr>
            <w:r>
              <w:rPr>
                <w:rFonts w:ascii="Arial" w:eastAsia="Arial" w:hAnsi="Arial" w:cs="Arial"/>
              </w:rPr>
              <w:t>37%</w:t>
            </w:r>
          </w:p>
        </w:tc>
        <w:tc>
          <w:tcPr>
            <w:tcW w:w="811" w:type="dxa"/>
            <w:tcBorders>
              <w:top w:val="single" w:sz="4" w:space="0" w:color="000000"/>
              <w:left w:val="single" w:sz="8" w:space="0" w:color="000000"/>
              <w:bottom w:val="single" w:sz="4" w:space="0" w:color="000000"/>
            </w:tcBorders>
            <w:vAlign w:val="center"/>
          </w:tcPr>
          <w:p w14:paraId="2D7182EB"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76B8309C"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132DB634" w14:textId="77777777" w:rsidR="00EB21F6" w:rsidRDefault="000176C0">
            <w:pPr>
              <w:jc w:val="both"/>
              <w:rPr>
                <w:rFonts w:ascii="Arial" w:eastAsia="Arial" w:hAnsi="Arial" w:cs="Arial"/>
              </w:rPr>
            </w:pPr>
            <w:r>
              <w:rPr>
                <w:rFonts w:ascii="Arial" w:eastAsia="Arial" w:hAnsi="Arial" w:cs="Arial"/>
              </w:rPr>
              <w:t>36%</w:t>
            </w:r>
          </w:p>
        </w:tc>
      </w:tr>
      <w:tr w:rsidR="00EB21F6" w14:paraId="224E8DA5"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153A8B8C" w14:textId="77777777" w:rsidR="00EB21F6" w:rsidRDefault="000176C0">
            <w:pPr>
              <w:jc w:val="both"/>
              <w:rPr>
                <w:rFonts w:ascii="Arial" w:eastAsia="Arial" w:hAnsi="Arial" w:cs="Arial"/>
              </w:rPr>
            </w:pPr>
            <w:r>
              <w:rPr>
                <w:rFonts w:ascii="Arial" w:eastAsia="Arial" w:hAnsi="Arial" w:cs="Arial"/>
              </w:rPr>
              <w:t>22</w:t>
            </w:r>
          </w:p>
        </w:tc>
        <w:tc>
          <w:tcPr>
            <w:tcW w:w="720" w:type="dxa"/>
            <w:tcBorders>
              <w:top w:val="single" w:sz="4" w:space="0" w:color="000000"/>
              <w:left w:val="single" w:sz="8" w:space="0" w:color="000000"/>
              <w:bottom w:val="single" w:sz="4" w:space="0" w:color="000000"/>
            </w:tcBorders>
            <w:vAlign w:val="center"/>
          </w:tcPr>
          <w:p w14:paraId="020831AF" w14:textId="77777777" w:rsidR="00EB21F6" w:rsidRDefault="000176C0">
            <w:pPr>
              <w:jc w:val="both"/>
              <w:rPr>
                <w:rFonts w:ascii="Arial" w:eastAsia="Arial" w:hAnsi="Arial" w:cs="Arial"/>
              </w:rPr>
            </w:pPr>
            <w:r>
              <w:rPr>
                <w:rFonts w:ascii="Arial" w:eastAsia="Arial" w:hAnsi="Arial" w:cs="Arial"/>
              </w:rPr>
              <w:t>Not seen</w:t>
            </w:r>
          </w:p>
        </w:tc>
        <w:tc>
          <w:tcPr>
            <w:tcW w:w="780" w:type="dxa"/>
            <w:tcBorders>
              <w:top w:val="single" w:sz="4" w:space="0" w:color="000000"/>
              <w:bottom w:val="single" w:sz="4" w:space="0" w:color="000000"/>
            </w:tcBorders>
            <w:vAlign w:val="center"/>
          </w:tcPr>
          <w:p w14:paraId="0F66C66B"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74D6A10E" w14:textId="77777777" w:rsidR="00EB21F6" w:rsidRDefault="000176C0">
            <w:pPr>
              <w:jc w:val="both"/>
              <w:rPr>
                <w:rFonts w:ascii="Arial" w:eastAsia="Arial" w:hAnsi="Arial" w:cs="Arial"/>
              </w:rPr>
            </w:pPr>
            <w:r>
              <w:rPr>
                <w:rFonts w:ascii="Arial" w:eastAsia="Arial" w:hAnsi="Arial" w:cs="Arial"/>
              </w:rPr>
              <w:t>40%</w:t>
            </w:r>
          </w:p>
        </w:tc>
        <w:tc>
          <w:tcPr>
            <w:tcW w:w="704" w:type="dxa"/>
            <w:tcBorders>
              <w:top w:val="single" w:sz="4" w:space="0" w:color="000000"/>
              <w:left w:val="single" w:sz="8" w:space="0" w:color="000000"/>
              <w:bottom w:val="single" w:sz="4" w:space="0" w:color="000000"/>
            </w:tcBorders>
            <w:vAlign w:val="center"/>
          </w:tcPr>
          <w:p w14:paraId="68ED910B" w14:textId="77777777" w:rsidR="00EB21F6" w:rsidRDefault="000176C0">
            <w:pPr>
              <w:jc w:val="both"/>
              <w:rPr>
                <w:rFonts w:ascii="Arial" w:eastAsia="Arial" w:hAnsi="Arial" w:cs="Arial"/>
              </w:rPr>
            </w:pPr>
            <w:r>
              <w:rPr>
                <w:rFonts w:ascii="Arial" w:eastAsia="Arial" w:hAnsi="Arial" w:cs="Arial"/>
              </w:rPr>
              <w:t>Not seen</w:t>
            </w:r>
          </w:p>
        </w:tc>
        <w:tc>
          <w:tcPr>
            <w:tcW w:w="796" w:type="dxa"/>
            <w:tcBorders>
              <w:top w:val="single" w:sz="4" w:space="0" w:color="000000"/>
              <w:bottom w:val="single" w:sz="4" w:space="0" w:color="000000"/>
            </w:tcBorders>
            <w:vAlign w:val="center"/>
          </w:tcPr>
          <w:p w14:paraId="7CE22FAE"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0C4C1A81"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5EA176BE"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7355337B"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26A4FB6F" w14:textId="77777777" w:rsidR="00EB21F6" w:rsidRDefault="000176C0">
            <w:pPr>
              <w:jc w:val="both"/>
              <w:rPr>
                <w:rFonts w:ascii="Arial" w:eastAsia="Arial" w:hAnsi="Arial" w:cs="Arial"/>
              </w:rPr>
            </w:pPr>
            <w:r>
              <w:rPr>
                <w:rFonts w:ascii="Arial" w:eastAsia="Arial" w:hAnsi="Arial" w:cs="Arial"/>
              </w:rPr>
              <w:t>35%</w:t>
            </w:r>
          </w:p>
        </w:tc>
      </w:tr>
      <w:tr w:rsidR="00EB21F6" w14:paraId="26C3BC48"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A9CAEE2" w14:textId="77777777" w:rsidR="00EB21F6" w:rsidRDefault="000176C0">
            <w:pPr>
              <w:jc w:val="both"/>
              <w:rPr>
                <w:rFonts w:ascii="Arial" w:eastAsia="Arial" w:hAnsi="Arial" w:cs="Arial"/>
              </w:rPr>
            </w:pPr>
            <w:r>
              <w:rPr>
                <w:rFonts w:ascii="Arial" w:eastAsia="Arial" w:hAnsi="Arial" w:cs="Arial"/>
              </w:rPr>
              <w:t>23</w:t>
            </w:r>
          </w:p>
        </w:tc>
        <w:tc>
          <w:tcPr>
            <w:tcW w:w="720" w:type="dxa"/>
            <w:tcBorders>
              <w:top w:val="single" w:sz="4" w:space="0" w:color="000000"/>
              <w:left w:val="single" w:sz="8" w:space="0" w:color="000000"/>
              <w:bottom w:val="single" w:sz="4" w:space="0" w:color="000000"/>
            </w:tcBorders>
            <w:vAlign w:val="center"/>
          </w:tcPr>
          <w:p w14:paraId="27EDF9EE" w14:textId="77777777" w:rsidR="00EB21F6" w:rsidRDefault="000176C0">
            <w:pPr>
              <w:jc w:val="both"/>
              <w:rPr>
                <w:rFonts w:ascii="Arial" w:eastAsia="Arial" w:hAnsi="Arial" w:cs="Arial"/>
              </w:rPr>
            </w:pPr>
            <w:r>
              <w:rPr>
                <w:rFonts w:ascii="Arial" w:eastAsia="Arial" w:hAnsi="Arial" w:cs="Arial"/>
              </w:rPr>
              <w:t>Not seen</w:t>
            </w:r>
          </w:p>
        </w:tc>
        <w:tc>
          <w:tcPr>
            <w:tcW w:w="780" w:type="dxa"/>
            <w:tcBorders>
              <w:top w:val="single" w:sz="4" w:space="0" w:color="000000"/>
              <w:bottom w:val="single" w:sz="4" w:space="0" w:color="000000"/>
            </w:tcBorders>
            <w:vAlign w:val="center"/>
          </w:tcPr>
          <w:p w14:paraId="6F99F387"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00207A9B" w14:textId="77777777" w:rsidR="00EB21F6" w:rsidRDefault="000176C0">
            <w:pPr>
              <w:jc w:val="both"/>
              <w:rPr>
                <w:rFonts w:ascii="Arial" w:eastAsia="Arial" w:hAnsi="Arial" w:cs="Arial"/>
              </w:rPr>
            </w:pPr>
            <w:r>
              <w:rPr>
                <w:rFonts w:ascii="Arial" w:eastAsia="Arial" w:hAnsi="Arial" w:cs="Arial"/>
              </w:rPr>
              <w:t>48%</w:t>
            </w:r>
          </w:p>
        </w:tc>
        <w:tc>
          <w:tcPr>
            <w:tcW w:w="704" w:type="dxa"/>
            <w:tcBorders>
              <w:top w:val="single" w:sz="4" w:space="0" w:color="000000"/>
              <w:left w:val="single" w:sz="8" w:space="0" w:color="000000"/>
              <w:bottom w:val="single" w:sz="4" w:space="0" w:color="000000"/>
            </w:tcBorders>
            <w:vAlign w:val="center"/>
          </w:tcPr>
          <w:p w14:paraId="790C49D2"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6779025C"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285C826D"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000464DF"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439E6740"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2EEBCA7C" w14:textId="77777777" w:rsidR="00EB21F6" w:rsidRDefault="000176C0">
            <w:pPr>
              <w:jc w:val="both"/>
              <w:rPr>
                <w:rFonts w:ascii="Arial" w:eastAsia="Arial" w:hAnsi="Arial" w:cs="Arial"/>
              </w:rPr>
            </w:pPr>
            <w:r>
              <w:rPr>
                <w:rFonts w:ascii="Arial" w:eastAsia="Arial" w:hAnsi="Arial" w:cs="Arial"/>
              </w:rPr>
              <w:t>35%</w:t>
            </w:r>
          </w:p>
        </w:tc>
      </w:tr>
      <w:tr w:rsidR="00EB21F6" w14:paraId="531072C8"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E1AE9B4" w14:textId="77777777" w:rsidR="00EB21F6" w:rsidRDefault="000176C0">
            <w:pPr>
              <w:jc w:val="both"/>
              <w:rPr>
                <w:rFonts w:ascii="Arial" w:eastAsia="Arial" w:hAnsi="Arial" w:cs="Arial"/>
              </w:rPr>
            </w:pPr>
            <w:r>
              <w:rPr>
                <w:rFonts w:ascii="Arial" w:eastAsia="Arial" w:hAnsi="Arial" w:cs="Arial"/>
              </w:rPr>
              <w:t>24</w:t>
            </w:r>
          </w:p>
        </w:tc>
        <w:tc>
          <w:tcPr>
            <w:tcW w:w="720" w:type="dxa"/>
            <w:tcBorders>
              <w:top w:val="single" w:sz="4" w:space="0" w:color="000000"/>
              <w:left w:val="single" w:sz="8" w:space="0" w:color="000000"/>
              <w:bottom w:val="single" w:sz="4" w:space="0" w:color="000000"/>
            </w:tcBorders>
            <w:vAlign w:val="center"/>
          </w:tcPr>
          <w:p w14:paraId="2984662C" w14:textId="77777777" w:rsidR="00EB21F6" w:rsidRDefault="000176C0">
            <w:pPr>
              <w:jc w:val="both"/>
              <w:rPr>
                <w:rFonts w:ascii="Arial" w:eastAsia="Arial" w:hAnsi="Arial" w:cs="Arial"/>
              </w:rPr>
            </w:pPr>
            <w:r>
              <w:rPr>
                <w:rFonts w:ascii="Arial" w:eastAsia="Arial" w:hAnsi="Arial" w:cs="Arial"/>
              </w:rPr>
              <w:t>Not seen</w:t>
            </w:r>
          </w:p>
        </w:tc>
        <w:tc>
          <w:tcPr>
            <w:tcW w:w="780" w:type="dxa"/>
            <w:tcBorders>
              <w:top w:val="single" w:sz="4" w:space="0" w:color="000000"/>
              <w:bottom w:val="single" w:sz="4" w:space="0" w:color="000000"/>
            </w:tcBorders>
            <w:vAlign w:val="center"/>
          </w:tcPr>
          <w:p w14:paraId="57508046"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4655D28C" w14:textId="77777777" w:rsidR="00EB21F6" w:rsidRDefault="000176C0">
            <w:pPr>
              <w:jc w:val="both"/>
              <w:rPr>
                <w:rFonts w:ascii="Arial" w:eastAsia="Arial" w:hAnsi="Arial" w:cs="Arial"/>
              </w:rPr>
            </w:pPr>
            <w:r>
              <w:rPr>
                <w:rFonts w:ascii="Arial" w:eastAsia="Arial" w:hAnsi="Arial" w:cs="Arial"/>
              </w:rPr>
              <w:t>40%</w:t>
            </w:r>
          </w:p>
        </w:tc>
        <w:tc>
          <w:tcPr>
            <w:tcW w:w="704" w:type="dxa"/>
            <w:tcBorders>
              <w:top w:val="single" w:sz="4" w:space="0" w:color="000000"/>
              <w:left w:val="single" w:sz="8" w:space="0" w:color="000000"/>
              <w:bottom w:val="single" w:sz="4" w:space="0" w:color="000000"/>
            </w:tcBorders>
            <w:vAlign w:val="center"/>
          </w:tcPr>
          <w:p w14:paraId="657B2BE2" w14:textId="77777777" w:rsidR="00EB21F6" w:rsidRDefault="000176C0">
            <w:pPr>
              <w:jc w:val="both"/>
              <w:rPr>
                <w:rFonts w:ascii="Arial" w:eastAsia="Arial" w:hAnsi="Arial" w:cs="Arial"/>
              </w:rPr>
            </w:pPr>
            <w:r>
              <w:rPr>
                <w:rFonts w:ascii="Arial" w:eastAsia="Arial" w:hAnsi="Arial" w:cs="Arial"/>
              </w:rPr>
              <w:t>Not seen</w:t>
            </w:r>
          </w:p>
        </w:tc>
        <w:tc>
          <w:tcPr>
            <w:tcW w:w="796" w:type="dxa"/>
            <w:tcBorders>
              <w:top w:val="single" w:sz="4" w:space="0" w:color="000000"/>
              <w:bottom w:val="single" w:sz="4" w:space="0" w:color="000000"/>
            </w:tcBorders>
            <w:vAlign w:val="center"/>
          </w:tcPr>
          <w:p w14:paraId="414F73F0"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201F9B2D"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7790D0C8"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09A674C8"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51DAD454" w14:textId="77777777" w:rsidR="00EB21F6" w:rsidRDefault="000176C0">
            <w:pPr>
              <w:jc w:val="both"/>
              <w:rPr>
                <w:rFonts w:ascii="Arial" w:eastAsia="Arial" w:hAnsi="Arial" w:cs="Arial"/>
              </w:rPr>
            </w:pPr>
            <w:r>
              <w:rPr>
                <w:rFonts w:ascii="Arial" w:eastAsia="Arial" w:hAnsi="Arial" w:cs="Arial"/>
              </w:rPr>
              <w:t>33%</w:t>
            </w:r>
          </w:p>
        </w:tc>
      </w:tr>
      <w:tr w:rsidR="00EB21F6" w14:paraId="3D51C9D7"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9103B72" w14:textId="77777777" w:rsidR="00EB21F6" w:rsidRDefault="000176C0">
            <w:pPr>
              <w:jc w:val="both"/>
              <w:rPr>
                <w:rFonts w:ascii="Arial" w:eastAsia="Arial" w:hAnsi="Arial" w:cs="Arial"/>
              </w:rPr>
            </w:pPr>
            <w:r>
              <w:rPr>
                <w:rFonts w:ascii="Arial" w:eastAsia="Arial" w:hAnsi="Arial" w:cs="Arial"/>
              </w:rPr>
              <w:t>25</w:t>
            </w:r>
          </w:p>
        </w:tc>
        <w:tc>
          <w:tcPr>
            <w:tcW w:w="720" w:type="dxa"/>
            <w:tcBorders>
              <w:top w:val="single" w:sz="4" w:space="0" w:color="000000"/>
              <w:left w:val="single" w:sz="8" w:space="0" w:color="000000"/>
              <w:bottom w:val="single" w:sz="4" w:space="0" w:color="000000"/>
            </w:tcBorders>
            <w:vAlign w:val="center"/>
          </w:tcPr>
          <w:p w14:paraId="3EC5679F" w14:textId="77777777" w:rsidR="00EB21F6" w:rsidRDefault="000176C0">
            <w:pPr>
              <w:jc w:val="both"/>
              <w:rPr>
                <w:rFonts w:ascii="Arial" w:eastAsia="Arial" w:hAnsi="Arial" w:cs="Arial"/>
              </w:rPr>
            </w:pPr>
            <w:r>
              <w:rPr>
                <w:rFonts w:ascii="Arial" w:eastAsia="Arial" w:hAnsi="Arial" w:cs="Arial"/>
              </w:rPr>
              <w:t>Not seen</w:t>
            </w:r>
          </w:p>
        </w:tc>
        <w:tc>
          <w:tcPr>
            <w:tcW w:w="780" w:type="dxa"/>
            <w:tcBorders>
              <w:top w:val="single" w:sz="4" w:space="0" w:color="000000"/>
              <w:bottom w:val="single" w:sz="4" w:space="0" w:color="000000"/>
            </w:tcBorders>
            <w:vAlign w:val="center"/>
          </w:tcPr>
          <w:p w14:paraId="3625051F"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45423F3E" w14:textId="77777777" w:rsidR="00EB21F6" w:rsidRDefault="000176C0">
            <w:pPr>
              <w:jc w:val="both"/>
              <w:rPr>
                <w:rFonts w:ascii="Arial" w:eastAsia="Arial" w:hAnsi="Arial" w:cs="Arial"/>
              </w:rPr>
            </w:pPr>
            <w:r>
              <w:rPr>
                <w:rFonts w:ascii="Arial" w:eastAsia="Arial" w:hAnsi="Arial" w:cs="Arial"/>
              </w:rPr>
              <w:t>51%</w:t>
            </w:r>
          </w:p>
        </w:tc>
        <w:tc>
          <w:tcPr>
            <w:tcW w:w="704" w:type="dxa"/>
            <w:tcBorders>
              <w:top w:val="single" w:sz="4" w:space="0" w:color="000000"/>
              <w:left w:val="single" w:sz="8" w:space="0" w:color="000000"/>
              <w:bottom w:val="single" w:sz="4" w:space="0" w:color="000000"/>
            </w:tcBorders>
            <w:vAlign w:val="center"/>
          </w:tcPr>
          <w:p w14:paraId="19810438"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058B91E4"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56689E7C" w14:textId="77777777" w:rsidR="00EB21F6" w:rsidRDefault="000176C0">
            <w:pPr>
              <w:jc w:val="both"/>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0694DFE7"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185E6721"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78A71807" w14:textId="77777777" w:rsidR="00EB21F6" w:rsidRDefault="000176C0">
            <w:pPr>
              <w:jc w:val="both"/>
              <w:rPr>
                <w:rFonts w:ascii="Arial" w:eastAsia="Arial" w:hAnsi="Arial" w:cs="Arial"/>
              </w:rPr>
            </w:pPr>
            <w:r>
              <w:rPr>
                <w:rFonts w:ascii="Arial" w:eastAsia="Arial" w:hAnsi="Arial" w:cs="Arial"/>
              </w:rPr>
              <w:t>40%</w:t>
            </w:r>
          </w:p>
        </w:tc>
      </w:tr>
      <w:tr w:rsidR="00EB21F6" w14:paraId="7C092CA0"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05B91C58" w14:textId="77777777" w:rsidR="00EB21F6" w:rsidRDefault="000176C0">
            <w:pPr>
              <w:jc w:val="both"/>
              <w:rPr>
                <w:rFonts w:ascii="Arial" w:eastAsia="Arial" w:hAnsi="Arial" w:cs="Arial"/>
              </w:rPr>
            </w:pPr>
            <w:r>
              <w:rPr>
                <w:rFonts w:ascii="Arial" w:eastAsia="Arial" w:hAnsi="Arial" w:cs="Arial"/>
              </w:rPr>
              <w:t>26</w:t>
            </w:r>
          </w:p>
        </w:tc>
        <w:tc>
          <w:tcPr>
            <w:tcW w:w="720" w:type="dxa"/>
            <w:tcBorders>
              <w:top w:val="single" w:sz="4" w:space="0" w:color="000000"/>
              <w:left w:val="single" w:sz="8" w:space="0" w:color="000000"/>
              <w:bottom w:val="single" w:sz="4" w:space="0" w:color="000000"/>
            </w:tcBorders>
            <w:vAlign w:val="center"/>
          </w:tcPr>
          <w:p w14:paraId="29810A47"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56740302"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3BA44CED" w14:textId="77777777" w:rsidR="00EB21F6" w:rsidRDefault="000176C0">
            <w:pPr>
              <w:jc w:val="both"/>
              <w:rPr>
                <w:rFonts w:ascii="Arial" w:eastAsia="Arial" w:hAnsi="Arial" w:cs="Arial"/>
              </w:rPr>
            </w:pPr>
            <w:r>
              <w:rPr>
                <w:rFonts w:ascii="Arial" w:eastAsia="Arial" w:hAnsi="Arial" w:cs="Arial"/>
              </w:rPr>
              <w:t>47%</w:t>
            </w:r>
          </w:p>
        </w:tc>
        <w:tc>
          <w:tcPr>
            <w:tcW w:w="704" w:type="dxa"/>
            <w:tcBorders>
              <w:top w:val="single" w:sz="4" w:space="0" w:color="000000"/>
              <w:left w:val="single" w:sz="8" w:space="0" w:color="000000"/>
              <w:bottom w:val="single" w:sz="4" w:space="0" w:color="000000"/>
            </w:tcBorders>
            <w:vAlign w:val="center"/>
          </w:tcPr>
          <w:p w14:paraId="2927FAD6" w14:textId="77777777" w:rsidR="00EB21F6" w:rsidRDefault="000176C0">
            <w:pPr>
              <w:jc w:val="both"/>
              <w:rPr>
                <w:rFonts w:ascii="Arial" w:eastAsia="Arial" w:hAnsi="Arial" w:cs="Arial"/>
              </w:rPr>
            </w:pPr>
            <w:r>
              <w:rPr>
                <w:rFonts w:ascii="Arial" w:eastAsia="Arial" w:hAnsi="Arial" w:cs="Arial"/>
              </w:rPr>
              <w:t>Not seen</w:t>
            </w:r>
          </w:p>
        </w:tc>
        <w:tc>
          <w:tcPr>
            <w:tcW w:w="796" w:type="dxa"/>
            <w:tcBorders>
              <w:top w:val="single" w:sz="4" w:space="0" w:color="000000"/>
              <w:bottom w:val="single" w:sz="4" w:space="0" w:color="000000"/>
            </w:tcBorders>
            <w:vAlign w:val="center"/>
          </w:tcPr>
          <w:p w14:paraId="7DCEBC4E"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7F1AF0FF"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479C5FCC"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5513E402"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771F04D4" w14:textId="77777777" w:rsidR="00EB21F6" w:rsidRDefault="000176C0">
            <w:pPr>
              <w:jc w:val="both"/>
              <w:rPr>
                <w:rFonts w:ascii="Arial" w:eastAsia="Arial" w:hAnsi="Arial" w:cs="Arial"/>
              </w:rPr>
            </w:pPr>
            <w:r>
              <w:rPr>
                <w:rFonts w:ascii="Arial" w:eastAsia="Arial" w:hAnsi="Arial" w:cs="Arial"/>
              </w:rPr>
              <w:t>35%</w:t>
            </w:r>
          </w:p>
        </w:tc>
      </w:tr>
      <w:tr w:rsidR="00EB21F6" w14:paraId="7F794C82"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070200D2" w14:textId="77777777" w:rsidR="00EB21F6" w:rsidRDefault="000176C0">
            <w:pPr>
              <w:jc w:val="both"/>
              <w:rPr>
                <w:rFonts w:ascii="Arial" w:eastAsia="Arial" w:hAnsi="Arial" w:cs="Arial"/>
              </w:rPr>
            </w:pPr>
            <w:r>
              <w:rPr>
                <w:rFonts w:ascii="Arial" w:eastAsia="Arial" w:hAnsi="Arial" w:cs="Arial"/>
              </w:rPr>
              <w:t>27</w:t>
            </w:r>
          </w:p>
        </w:tc>
        <w:tc>
          <w:tcPr>
            <w:tcW w:w="720" w:type="dxa"/>
            <w:tcBorders>
              <w:top w:val="single" w:sz="4" w:space="0" w:color="000000"/>
              <w:left w:val="single" w:sz="8" w:space="0" w:color="000000"/>
              <w:bottom w:val="single" w:sz="4" w:space="0" w:color="000000"/>
            </w:tcBorders>
            <w:vAlign w:val="center"/>
          </w:tcPr>
          <w:p w14:paraId="72E63427"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046BC165"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34E6F1AB" w14:textId="77777777" w:rsidR="00EB21F6" w:rsidRDefault="000176C0">
            <w:pPr>
              <w:jc w:val="both"/>
              <w:rPr>
                <w:rFonts w:ascii="Arial" w:eastAsia="Arial" w:hAnsi="Arial" w:cs="Arial"/>
              </w:rPr>
            </w:pPr>
            <w:r>
              <w:rPr>
                <w:rFonts w:ascii="Arial" w:eastAsia="Arial" w:hAnsi="Arial" w:cs="Arial"/>
              </w:rPr>
              <w:t>46%</w:t>
            </w:r>
          </w:p>
        </w:tc>
        <w:tc>
          <w:tcPr>
            <w:tcW w:w="704" w:type="dxa"/>
            <w:tcBorders>
              <w:top w:val="single" w:sz="4" w:space="0" w:color="000000"/>
              <w:left w:val="single" w:sz="8" w:space="0" w:color="000000"/>
              <w:bottom w:val="single" w:sz="4" w:space="0" w:color="000000"/>
            </w:tcBorders>
            <w:vAlign w:val="center"/>
          </w:tcPr>
          <w:p w14:paraId="1AD20CE2"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0744F2D3"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7B244F62" w14:textId="77777777" w:rsidR="00EB21F6" w:rsidRDefault="000176C0">
            <w:pPr>
              <w:jc w:val="both"/>
              <w:rPr>
                <w:rFonts w:ascii="Arial" w:eastAsia="Arial" w:hAnsi="Arial" w:cs="Arial"/>
              </w:rPr>
            </w:pPr>
            <w:r>
              <w:rPr>
                <w:rFonts w:ascii="Arial" w:eastAsia="Arial" w:hAnsi="Arial" w:cs="Arial"/>
              </w:rPr>
              <w:t>36%</w:t>
            </w:r>
          </w:p>
        </w:tc>
        <w:tc>
          <w:tcPr>
            <w:tcW w:w="811" w:type="dxa"/>
            <w:tcBorders>
              <w:top w:val="single" w:sz="4" w:space="0" w:color="000000"/>
              <w:left w:val="single" w:sz="8" w:space="0" w:color="000000"/>
              <w:bottom w:val="single" w:sz="4" w:space="0" w:color="000000"/>
            </w:tcBorders>
            <w:vAlign w:val="center"/>
          </w:tcPr>
          <w:p w14:paraId="3B064E6D"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7BFB6DC2"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77AE9439" w14:textId="77777777" w:rsidR="00EB21F6" w:rsidRDefault="000176C0">
            <w:pPr>
              <w:jc w:val="both"/>
              <w:rPr>
                <w:rFonts w:ascii="Arial" w:eastAsia="Arial" w:hAnsi="Arial" w:cs="Arial"/>
              </w:rPr>
            </w:pPr>
            <w:r>
              <w:rPr>
                <w:rFonts w:ascii="Arial" w:eastAsia="Arial" w:hAnsi="Arial" w:cs="Arial"/>
              </w:rPr>
              <w:t>36%</w:t>
            </w:r>
          </w:p>
        </w:tc>
      </w:tr>
      <w:tr w:rsidR="00EB21F6" w14:paraId="3038AAF0"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B791687" w14:textId="77777777" w:rsidR="00EB21F6" w:rsidRDefault="000176C0">
            <w:pPr>
              <w:jc w:val="both"/>
              <w:rPr>
                <w:rFonts w:ascii="Arial" w:eastAsia="Arial" w:hAnsi="Arial" w:cs="Arial"/>
              </w:rPr>
            </w:pPr>
            <w:r>
              <w:rPr>
                <w:rFonts w:ascii="Arial" w:eastAsia="Arial" w:hAnsi="Arial" w:cs="Arial"/>
              </w:rPr>
              <w:t>28</w:t>
            </w:r>
          </w:p>
        </w:tc>
        <w:tc>
          <w:tcPr>
            <w:tcW w:w="720" w:type="dxa"/>
            <w:tcBorders>
              <w:top w:val="single" w:sz="4" w:space="0" w:color="000000"/>
              <w:left w:val="single" w:sz="8" w:space="0" w:color="000000"/>
              <w:bottom w:val="single" w:sz="4" w:space="0" w:color="000000"/>
            </w:tcBorders>
            <w:vAlign w:val="center"/>
          </w:tcPr>
          <w:p w14:paraId="1F622A43"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13FC1180"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48382814" w14:textId="77777777" w:rsidR="00EB21F6" w:rsidRDefault="000176C0">
            <w:pPr>
              <w:jc w:val="both"/>
              <w:rPr>
                <w:rFonts w:ascii="Arial" w:eastAsia="Arial" w:hAnsi="Arial" w:cs="Arial"/>
              </w:rPr>
            </w:pPr>
            <w:r>
              <w:rPr>
                <w:rFonts w:ascii="Arial" w:eastAsia="Arial" w:hAnsi="Arial" w:cs="Arial"/>
              </w:rPr>
              <w:t>35%</w:t>
            </w:r>
          </w:p>
        </w:tc>
        <w:tc>
          <w:tcPr>
            <w:tcW w:w="704" w:type="dxa"/>
            <w:tcBorders>
              <w:top w:val="single" w:sz="4" w:space="0" w:color="000000"/>
              <w:left w:val="single" w:sz="8" w:space="0" w:color="000000"/>
              <w:bottom w:val="single" w:sz="4" w:space="0" w:color="000000"/>
            </w:tcBorders>
            <w:vAlign w:val="center"/>
          </w:tcPr>
          <w:p w14:paraId="2D66532B"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49917289"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6BE3CA68" w14:textId="77777777" w:rsidR="00EB21F6" w:rsidRDefault="000176C0">
            <w:pPr>
              <w:jc w:val="both"/>
              <w:rPr>
                <w:rFonts w:ascii="Arial" w:eastAsia="Arial" w:hAnsi="Arial" w:cs="Arial"/>
              </w:rPr>
            </w:pPr>
            <w:r>
              <w:rPr>
                <w:rFonts w:ascii="Arial" w:eastAsia="Arial" w:hAnsi="Arial" w:cs="Arial"/>
              </w:rPr>
              <w:t>38%</w:t>
            </w:r>
          </w:p>
        </w:tc>
        <w:tc>
          <w:tcPr>
            <w:tcW w:w="811" w:type="dxa"/>
            <w:tcBorders>
              <w:top w:val="single" w:sz="4" w:space="0" w:color="000000"/>
              <w:left w:val="single" w:sz="8" w:space="0" w:color="000000"/>
              <w:bottom w:val="single" w:sz="4" w:space="0" w:color="000000"/>
            </w:tcBorders>
            <w:vAlign w:val="center"/>
          </w:tcPr>
          <w:p w14:paraId="1CD8F36A"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9FEF842"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5586D225" w14:textId="77777777" w:rsidR="00EB21F6" w:rsidRDefault="000176C0">
            <w:pPr>
              <w:jc w:val="both"/>
              <w:rPr>
                <w:rFonts w:ascii="Arial" w:eastAsia="Arial" w:hAnsi="Arial" w:cs="Arial"/>
              </w:rPr>
            </w:pPr>
            <w:r>
              <w:rPr>
                <w:rFonts w:ascii="Arial" w:eastAsia="Arial" w:hAnsi="Arial" w:cs="Arial"/>
              </w:rPr>
              <w:t>38%</w:t>
            </w:r>
          </w:p>
        </w:tc>
      </w:tr>
      <w:tr w:rsidR="00EB21F6" w14:paraId="1C761EA7"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09027655" w14:textId="77777777" w:rsidR="00EB21F6" w:rsidRDefault="000176C0">
            <w:pPr>
              <w:jc w:val="both"/>
              <w:rPr>
                <w:rFonts w:ascii="Arial" w:eastAsia="Arial" w:hAnsi="Arial" w:cs="Arial"/>
              </w:rPr>
            </w:pPr>
            <w:r>
              <w:rPr>
                <w:rFonts w:ascii="Arial" w:eastAsia="Arial" w:hAnsi="Arial" w:cs="Arial"/>
              </w:rPr>
              <w:t>29</w:t>
            </w:r>
          </w:p>
        </w:tc>
        <w:tc>
          <w:tcPr>
            <w:tcW w:w="720" w:type="dxa"/>
            <w:tcBorders>
              <w:top w:val="single" w:sz="4" w:space="0" w:color="000000"/>
              <w:left w:val="single" w:sz="8" w:space="0" w:color="000000"/>
              <w:bottom w:val="single" w:sz="4" w:space="0" w:color="000000"/>
            </w:tcBorders>
            <w:vAlign w:val="center"/>
          </w:tcPr>
          <w:p w14:paraId="3E8256BF"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2946BC3F"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19B09514" w14:textId="77777777" w:rsidR="00EB21F6" w:rsidRDefault="000176C0">
            <w:pPr>
              <w:jc w:val="both"/>
              <w:rPr>
                <w:rFonts w:ascii="Arial" w:eastAsia="Arial" w:hAnsi="Arial" w:cs="Arial"/>
              </w:rPr>
            </w:pPr>
            <w:r>
              <w:rPr>
                <w:rFonts w:ascii="Arial" w:eastAsia="Arial" w:hAnsi="Arial" w:cs="Arial"/>
              </w:rPr>
              <w:t>46%</w:t>
            </w:r>
          </w:p>
        </w:tc>
        <w:tc>
          <w:tcPr>
            <w:tcW w:w="704" w:type="dxa"/>
            <w:tcBorders>
              <w:top w:val="single" w:sz="4" w:space="0" w:color="000000"/>
              <w:left w:val="single" w:sz="8" w:space="0" w:color="000000"/>
              <w:bottom w:val="single" w:sz="4" w:space="0" w:color="000000"/>
            </w:tcBorders>
            <w:vAlign w:val="center"/>
          </w:tcPr>
          <w:p w14:paraId="2653F217"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7D7B1D51"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772098C5" w14:textId="77777777" w:rsidR="00EB21F6" w:rsidRDefault="000176C0">
            <w:pPr>
              <w:jc w:val="both"/>
              <w:rPr>
                <w:rFonts w:ascii="Arial" w:eastAsia="Arial" w:hAnsi="Arial" w:cs="Arial"/>
              </w:rPr>
            </w:pPr>
            <w:r>
              <w:rPr>
                <w:rFonts w:ascii="Arial" w:eastAsia="Arial" w:hAnsi="Arial" w:cs="Arial"/>
              </w:rPr>
              <w:t>42%</w:t>
            </w:r>
          </w:p>
        </w:tc>
        <w:tc>
          <w:tcPr>
            <w:tcW w:w="811" w:type="dxa"/>
            <w:tcBorders>
              <w:top w:val="single" w:sz="4" w:space="0" w:color="000000"/>
              <w:left w:val="single" w:sz="8" w:space="0" w:color="000000"/>
              <w:bottom w:val="single" w:sz="4" w:space="0" w:color="000000"/>
            </w:tcBorders>
            <w:vAlign w:val="center"/>
          </w:tcPr>
          <w:p w14:paraId="3891B095"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8301713"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77F210A9" w14:textId="77777777" w:rsidR="00EB21F6" w:rsidRDefault="000176C0">
            <w:pPr>
              <w:jc w:val="both"/>
              <w:rPr>
                <w:rFonts w:ascii="Arial" w:eastAsia="Arial" w:hAnsi="Arial" w:cs="Arial"/>
              </w:rPr>
            </w:pPr>
            <w:r>
              <w:rPr>
                <w:rFonts w:ascii="Arial" w:eastAsia="Arial" w:hAnsi="Arial" w:cs="Arial"/>
              </w:rPr>
              <w:t>36%</w:t>
            </w:r>
          </w:p>
        </w:tc>
      </w:tr>
      <w:tr w:rsidR="00EB21F6" w14:paraId="6B718566"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7A82BEDC" w14:textId="77777777" w:rsidR="00EB21F6" w:rsidRDefault="000176C0">
            <w:pPr>
              <w:jc w:val="both"/>
              <w:rPr>
                <w:rFonts w:ascii="Arial" w:eastAsia="Arial" w:hAnsi="Arial" w:cs="Arial"/>
              </w:rPr>
            </w:pPr>
            <w:r>
              <w:rPr>
                <w:rFonts w:ascii="Arial" w:eastAsia="Arial" w:hAnsi="Arial" w:cs="Arial"/>
              </w:rPr>
              <w:t>30</w:t>
            </w:r>
          </w:p>
        </w:tc>
        <w:tc>
          <w:tcPr>
            <w:tcW w:w="720" w:type="dxa"/>
            <w:tcBorders>
              <w:top w:val="single" w:sz="4" w:space="0" w:color="000000"/>
              <w:left w:val="single" w:sz="8" w:space="0" w:color="000000"/>
              <w:bottom w:val="single" w:sz="4" w:space="0" w:color="000000"/>
            </w:tcBorders>
            <w:vAlign w:val="center"/>
          </w:tcPr>
          <w:p w14:paraId="04E10818"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48003219"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4A8EB775" w14:textId="77777777" w:rsidR="00EB21F6" w:rsidRDefault="000176C0">
            <w:pPr>
              <w:jc w:val="both"/>
              <w:rPr>
                <w:rFonts w:ascii="Arial" w:eastAsia="Arial" w:hAnsi="Arial" w:cs="Arial"/>
              </w:rPr>
            </w:pPr>
            <w:r>
              <w:rPr>
                <w:rFonts w:ascii="Arial" w:eastAsia="Arial" w:hAnsi="Arial" w:cs="Arial"/>
              </w:rPr>
              <w:t>45%</w:t>
            </w:r>
          </w:p>
        </w:tc>
        <w:tc>
          <w:tcPr>
            <w:tcW w:w="704" w:type="dxa"/>
            <w:tcBorders>
              <w:top w:val="single" w:sz="4" w:space="0" w:color="000000"/>
              <w:left w:val="single" w:sz="8" w:space="0" w:color="000000"/>
              <w:bottom w:val="single" w:sz="4" w:space="0" w:color="000000"/>
            </w:tcBorders>
            <w:vAlign w:val="center"/>
          </w:tcPr>
          <w:p w14:paraId="6020DD31"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67D28AE6"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13277B30" w14:textId="77777777" w:rsidR="00EB21F6" w:rsidRDefault="000176C0">
            <w:pPr>
              <w:jc w:val="both"/>
              <w:rPr>
                <w:rFonts w:ascii="Arial" w:eastAsia="Arial" w:hAnsi="Arial" w:cs="Arial"/>
              </w:rPr>
            </w:pPr>
            <w:r>
              <w:rPr>
                <w:rFonts w:ascii="Arial" w:eastAsia="Arial" w:hAnsi="Arial" w:cs="Arial"/>
              </w:rPr>
              <w:t>38%</w:t>
            </w:r>
          </w:p>
        </w:tc>
        <w:tc>
          <w:tcPr>
            <w:tcW w:w="811" w:type="dxa"/>
            <w:tcBorders>
              <w:top w:val="single" w:sz="4" w:space="0" w:color="000000"/>
              <w:left w:val="single" w:sz="8" w:space="0" w:color="000000"/>
              <w:bottom w:val="single" w:sz="4" w:space="0" w:color="000000"/>
            </w:tcBorders>
            <w:vAlign w:val="center"/>
          </w:tcPr>
          <w:p w14:paraId="6CADADE9"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5DF5BCCD"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3758F9BC" w14:textId="77777777" w:rsidR="00EB21F6" w:rsidRDefault="000176C0">
            <w:pPr>
              <w:jc w:val="both"/>
              <w:rPr>
                <w:rFonts w:ascii="Arial" w:eastAsia="Arial" w:hAnsi="Arial" w:cs="Arial"/>
              </w:rPr>
            </w:pPr>
            <w:r>
              <w:rPr>
                <w:rFonts w:ascii="Arial" w:eastAsia="Arial" w:hAnsi="Arial" w:cs="Arial"/>
              </w:rPr>
              <w:t>38%</w:t>
            </w:r>
          </w:p>
        </w:tc>
      </w:tr>
      <w:tr w:rsidR="00EB21F6" w14:paraId="5DDFAE32"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7D178DAA" w14:textId="77777777" w:rsidR="00EB21F6" w:rsidRDefault="000176C0">
            <w:pPr>
              <w:jc w:val="both"/>
              <w:rPr>
                <w:rFonts w:ascii="Arial" w:eastAsia="Arial" w:hAnsi="Arial" w:cs="Arial"/>
              </w:rPr>
            </w:pPr>
            <w:r>
              <w:rPr>
                <w:rFonts w:ascii="Arial" w:eastAsia="Arial" w:hAnsi="Arial" w:cs="Arial"/>
              </w:rPr>
              <w:t>31</w:t>
            </w:r>
          </w:p>
        </w:tc>
        <w:tc>
          <w:tcPr>
            <w:tcW w:w="720" w:type="dxa"/>
            <w:tcBorders>
              <w:top w:val="single" w:sz="4" w:space="0" w:color="000000"/>
              <w:left w:val="single" w:sz="8" w:space="0" w:color="000000"/>
              <w:bottom w:val="single" w:sz="4" w:space="0" w:color="000000"/>
            </w:tcBorders>
            <w:vAlign w:val="center"/>
          </w:tcPr>
          <w:p w14:paraId="0BA2BD74"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7D4AC701"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38C17696" w14:textId="77777777" w:rsidR="00EB21F6" w:rsidRDefault="000176C0">
            <w:pPr>
              <w:jc w:val="both"/>
              <w:rPr>
                <w:rFonts w:ascii="Arial" w:eastAsia="Arial" w:hAnsi="Arial" w:cs="Arial"/>
              </w:rPr>
            </w:pPr>
            <w:r>
              <w:rPr>
                <w:rFonts w:ascii="Arial" w:eastAsia="Arial" w:hAnsi="Arial" w:cs="Arial"/>
              </w:rPr>
              <w:t>38%</w:t>
            </w:r>
          </w:p>
        </w:tc>
        <w:tc>
          <w:tcPr>
            <w:tcW w:w="704" w:type="dxa"/>
            <w:tcBorders>
              <w:top w:val="single" w:sz="4" w:space="0" w:color="000000"/>
              <w:left w:val="single" w:sz="8" w:space="0" w:color="000000"/>
              <w:bottom w:val="single" w:sz="4" w:space="0" w:color="000000"/>
            </w:tcBorders>
            <w:vAlign w:val="center"/>
          </w:tcPr>
          <w:p w14:paraId="70EF30D4"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23313B24"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32B68CF3" w14:textId="77777777" w:rsidR="00EB21F6" w:rsidRDefault="000176C0">
            <w:pPr>
              <w:jc w:val="both"/>
              <w:rPr>
                <w:rFonts w:ascii="Arial" w:eastAsia="Arial" w:hAnsi="Arial" w:cs="Arial"/>
              </w:rPr>
            </w:pPr>
            <w:r>
              <w:rPr>
                <w:rFonts w:ascii="Arial" w:eastAsia="Arial" w:hAnsi="Arial" w:cs="Arial"/>
              </w:rPr>
              <w:t>36%</w:t>
            </w:r>
          </w:p>
        </w:tc>
        <w:tc>
          <w:tcPr>
            <w:tcW w:w="811" w:type="dxa"/>
            <w:tcBorders>
              <w:top w:val="single" w:sz="4" w:space="0" w:color="000000"/>
              <w:left w:val="single" w:sz="8" w:space="0" w:color="000000"/>
              <w:bottom w:val="single" w:sz="4" w:space="0" w:color="000000"/>
            </w:tcBorders>
            <w:vAlign w:val="center"/>
          </w:tcPr>
          <w:p w14:paraId="204A1AF3"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55F8997E"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3D255FF9" w14:textId="77777777" w:rsidR="00EB21F6" w:rsidRDefault="000176C0">
            <w:pPr>
              <w:jc w:val="both"/>
              <w:rPr>
                <w:rFonts w:ascii="Arial" w:eastAsia="Arial" w:hAnsi="Arial" w:cs="Arial"/>
              </w:rPr>
            </w:pPr>
            <w:r>
              <w:rPr>
                <w:rFonts w:ascii="Arial" w:eastAsia="Arial" w:hAnsi="Arial" w:cs="Arial"/>
              </w:rPr>
              <w:t>36%</w:t>
            </w:r>
          </w:p>
        </w:tc>
      </w:tr>
      <w:tr w:rsidR="00EB21F6" w14:paraId="5C98DD7C"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92A8CBA" w14:textId="77777777" w:rsidR="00EB21F6" w:rsidRDefault="000176C0">
            <w:pPr>
              <w:jc w:val="both"/>
              <w:rPr>
                <w:rFonts w:ascii="Arial" w:eastAsia="Arial" w:hAnsi="Arial" w:cs="Arial"/>
              </w:rPr>
            </w:pPr>
            <w:r>
              <w:rPr>
                <w:rFonts w:ascii="Arial" w:eastAsia="Arial" w:hAnsi="Arial" w:cs="Arial"/>
              </w:rPr>
              <w:lastRenderedPageBreak/>
              <w:t>32</w:t>
            </w:r>
          </w:p>
        </w:tc>
        <w:tc>
          <w:tcPr>
            <w:tcW w:w="720" w:type="dxa"/>
            <w:tcBorders>
              <w:top w:val="single" w:sz="4" w:space="0" w:color="000000"/>
              <w:left w:val="single" w:sz="8" w:space="0" w:color="000000"/>
              <w:bottom w:val="single" w:sz="4" w:space="0" w:color="000000"/>
            </w:tcBorders>
            <w:vAlign w:val="center"/>
          </w:tcPr>
          <w:p w14:paraId="2065B03C"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7826C084"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01B4762D" w14:textId="77777777" w:rsidR="00EB21F6" w:rsidRDefault="000176C0">
            <w:pPr>
              <w:jc w:val="both"/>
              <w:rPr>
                <w:rFonts w:ascii="Arial" w:eastAsia="Arial" w:hAnsi="Arial" w:cs="Arial"/>
              </w:rPr>
            </w:pPr>
            <w:r>
              <w:rPr>
                <w:rFonts w:ascii="Arial" w:eastAsia="Arial" w:hAnsi="Arial" w:cs="Arial"/>
              </w:rPr>
              <w:t>40%</w:t>
            </w:r>
          </w:p>
        </w:tc>
        <w:tc>
          <w:tcPr>
            <w:tcW w:w="704" w:type="dxa"/>
            <w:tcBorders>
              <w:top w:val="single" w:sz="4" w:space="0" w:color="000000"/>
              <w:left w:val="single" w:sz="8" w:space="0" w:color="000000"/>
              <w:bottom w:val="single" w:sz="4" w:space="0" w:color="000000"/>
            </w:tcBorders>
            <w:vAlign w:val="center"/>
          </w:tcPr>
          <w:p w14:paraId="03265752" w14:textId="77777777" w:rsidR="00EB21F6" w:rsidRDefault="000176C0">
            <w:pPr>
              <w:jc w:val="both"/>
              <w:rPr>
                <w:rFonts w:ascii="Arial" w:eastAsia="Arial" w:hAnsi="Arial" w:cs="Arial"/>
              </w:rPr>
            </w:pPr>
            <w:r>
              <w:rPr>
                <w:rFonts w:ascii="Arial" w:eastAsia="Arial" w:hAnsi="Arial" w:cs="Arial"/>
              </w:rPr>
              <w:t>Not seen</w:t>
            </w:r>
          </w:p>
        </w:tc>
        <w:tc>
          <w:tcPr>
            <w:tcW w:w="796" w:type="dxa"/>
            <w:tcBorders>
              <w:top w:val="single" w:sz="4" w:space="0" w:color="000000"/>
              <w:bottom w:val="single" w:sz="4" w:space="0" w:color="000000"/>
            </w:tcBorders>
            <w:vAlign w:val="center"/>
          </w:tcPr>
          <w:p w14:paraId="70F09664"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58C6749B" w14:textId="77777777" w:rsidR="00EB21F6" w:rsidRDefault="000176C0">
            <w:pPr>
              <w:jc w:val="both"/>
              <w:rPr>
                <w:rFonts w:ascii="Arial" w:eastAsia="Arial" w:hAnsi="Arial" w:cs="Arial"/>
              </w:rPr>
            </w:pPr>
            <w:r>
              <w:rPr>
                <w:rFonts w:ascii="Arial" w:eastAsia="Arial" w:hAnsi="Arial" w:cs="Arial"/>
              </w:rPr>
              <w:t>36%</w:t>
            </w:r>
          </w:p>
        </w:tc>
        <w:tc>
          <w:tcPr>
            <w:tcW w:w="811" w:type="dxa"/>
            <w:tcBorders>
              <w:top w:val="single" w:sz="4" w:space="0" w:color="000000"/>
              <w:left w:val="single" w:sz="8" w:space="0" w:color="000000"/>
              <w:bottom w:val="single" w:sz="4" w:space="0" w:color="000000"/>
            </w:tcBorders>
            <w:vAlign w:val="center"/>
          </w:tcPr>
          <w:p w14:paraId="50744170"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16FF4B71"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5AFDFB27" w14:textId="77777777" w:rsidR="00EB21F6" w:rsidRDefault="000176C0">
            <w:pPr>
              <w:jc w:val="both"/>
              <w:rPr>
                <w:rFonts w:ascii="Arial" w:eastAsia="Arial" w:hAnsi="Arial" w:cs="Arial"/>
              </w:rPr>
            </w:pPr>
            <w:r>
              <w:rPr>
                <w:rFonts w:ascii="Arial" w:eastAsia="Arial" w:hAnsi="Arial" w:cs="Arial"/>
              </w:rPr>
              <w:t>32%</w:t>
            </w:r>
          </w:p>
        </w:tc>
      </w:tr>
      <w:tr w:rsidR="00EB21F6" w14:paraId="0FA67C54"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F75C179" w14:textId="77777777" w:rsidR="00EB21F6" w:rsidRDefault="000176C0">
            <w:pPr>
              <w:jc w:val="both"/>
              <w:rPr>
                <w:rFonts w:ascii="Arial" w:eastAsia="Arial" w:hAnsi="Arial" w:cs="Arial"/>
              </w:rPr>
            </w:pPr>
            <w:r>
              <w:rPr>
                <w:rFonts w:ascii="Arial" w:eastAsia="Arial" w:hAnsi="Arial" w:cs="Arial"/>
              </w:rPr>
              <w:t>33</w:t>
            </w:r>
          </w:p>
        </w:tc>
        <w:tc>
          <w:tcPr>
            <w:tcW w:w="720" w:type="dxa"/>
            <w:tcBorders>
              <w:top w:val="single" w:sz="4" w:space="0" w:color="000000"/>
              <w:left w:val="single" w:sz="8" w:space="0" w:color="000000"/>
              <w:bottom w:val="single" w:sz="4" w:space="0" w:color="000000"/>
            </w:tcBorders>
            <w:vAlign w:val="center"/>
          </w:tcPr>
          <w:p w14:paraId="138C4096"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06967743"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556A04BA" w14:textId="77777777" w:rsidR="00EB21F6" w:rsidRDefault="000176C0">
            <w:pPr>
              <w:jc w:val="both"/>
              <w:rPr>
                <w:rFonts w:ascii="Arial" w:eastAsia="Arial" w:hAnsi="Arial" w:cs="Arial"/>
              </w:rPr>
            </w:pPr>
            <w:r>
              <w:rPr>
                <w:rFonts w:ascii="Arial" w:eastAsia="Arial" w:hAnsi="Arial" w:cs="Arial"/>
              </w:rPr>
              <w:t>47%</w:t>
            </w:r>
          </w:p>
        </w:tc>
        <w:tc>
          <w:tcPr>
            <w:tcW w:w="704" w:type="dxa"/>
            <w:tcBorders>
              <w:top w:val="single" w:sz="4" w:space="0" w:color="000000"/>
              <w:left w:val="single" w:sz="8" w:space="0" w:color="000000"/>
              <w:bottom w:val="single" w:sz="4" w:space="0" w:color="000000"/>
            </w:tcBorders>
            <w:vAlign w:val="center"/>
          </w:tcPr>
          <w:p w14:paraId="5F444709"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5965FA96"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384B2FEC"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377A4BFF"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69C2589D"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5FCE7D36" w14:textId="77777777" w:rsidR="00EB21F6" w:rsidRDefault="000176C0">
            <w:pPr>
              <w:jc w:val="both"/>
              <w:rPr>
                <w:rFonts w:ascii="Arial" w:eastAsia="Arial" w:hAnsi="Arial" w:cs="Arial"/>
              </w:rPr>
            </w:pPr>
            <w:r>
              <w:rPr>
                <w:rFonts w:ascii="Arial" w:eastAsia="Arial" w:hAnsi="Arial" w:cs="Arial"/>
              </w:rPr>
              <w:t>35%</w:t>
            </w:r>
          </w:p>
        </w:tc>
      </w:tr>
      <w:tr w:rsidR="00EB21F6" w14:paraId="52A69EFA"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00FC51BA" w14:textId="77777777" w:rsidR="00EB21F6" w:rsidRDefault="000176C0">
            <w:pPr>
              <w:jc w:val="both"/>
              <w:rPr>
                <w:rFonts w:ascii="Arial" w:eastAsia="Arial" w:hAnsi="Arial" w:cs="Arial"/>
              </w:rPr>
            </w:pPr>
            <w:r>
              <w:rPr>
                <w:rFonts w:ascii="Arial" w:eastAsia="Arial" w:hAnsi="Arial" w:cs="Arial"/>
              </w:rPr>
              <w:t>34</w:t>
            </w:r>
          </w:p>
        </w:tc>
        <w:tc>
          <w:tcPr>
            <w:tcW w:w="720" w:type="dxa"/>
            <w:tcBorders>
              <w:top w:val="single" w:sz="4" w:space="0" w:color="000000"/>
              <w:left w:val="single" w:sz="8" w:space="0" w:color="000000"/>
              <w:bottom w:val="single" w:sz="4" w:space="0" w:color="000000"/>
            </w:tcBorders>
            <w:vAlign w:val="center"/>
          </w:tcPr>
          <w:p w14:paraId="6AD7EA51"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78450389"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0AA5898C" w14:textId="77777777" w:rsidR="00EB21F6" w:rsidRDefault="000176C0">
            <w:pPr>
              <w:jc w:val="both"/>
              <w:rPr>
                <w:rFonts w:ascii="Arial" w:eastAsia="Arial" w:hAnsi="Arial" w:cs="Arial"/>
              </w:rPr>
            </w:pPr>
            <w:r>
              <w:rPr>
                <w:rFonts w:ascii="Arial" w:eastAsia="Arial" w:hAnsi="Arial" w:cs="Arial"/>
              </w:rPr>
              <w:t>49%</w:t>
            </w:r>
          </w:p>
        </w:tc>
        <w:tc>
          <w:tcPr>
            <w:tcW w:w="704" w:type="dxa"/>
            <w:tcBorders>
              <w:top w:val="single" w:sz="4" w:space="0" w:color="000000"/>
              <w:left w:val="single" w:sz="8" w:space="0" w:color="000000"/>
              <w:bottom w:val="single" w:sz="4" w:space="0" w:color="000000"/>
            </w:tcBorders>
            <w:vAlign w:val="center"/>
          </w:tcPr>
          <w:p w14:paraId="0B9A6D32"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3E5BC685" w14:textId="77777777" w:rsidR="00EB21F6" w:rsidRDefault="000176C0">
            <w:pPr>
              <w:jc w:val="both"/>
              <w:rPr>
                <w:rFonts w:ascii="Arial" w:eastAsia="Arial" w:hAnsi="Arial" w:cs="Arial"/>
              </w:rPr>
            </w:pPr>
            <w:r>
              <w:rPr>
                <w:rFonts w:ascii="Arial" w:eastAsia="Arial" w:hAnsi="Arial" w:cs="Arial"/>
              </w:rPr>
              <w:t>160</w:t>
            </w:r>
          </w:p>
        </w:tc>
        <w:tc>
          <w:tcPr>
            <w:tcW w:w="1004" w:type="dxa"/>
            <w:tcBorders>
              <w:top w:val="single" w:sz="4" w:space="0" w:color="000000"/>
              <w:bottom w:val="single" w:sz="4" w:space="0" w:color="000000"/>
              <w:right w:val="single" w:sz="8" w:space="0" w:color="000000"/>
            </w:tcBorders>
            <w:vAlign w:val="center"/>
          </w:tcPr>
          <w:p w14:paraId="61DBAE5C" w14:textId="77777777" w:rsidR="00EB21F6" w:rsidRDefault="000176C0">
            <w:pPr>
              <w:jc w:val="both"/>
              <w:rPr>
                <w:rFonts w:ascii="Arial" w:eastAsia="Arial" w:hAnsi="Arial" w:cs="Arial"/>
              </w:rPr>
            </w:pPr>
            <w:r>
              <w:rPr>
                <w:rFonts w:ascii="Arial" w:eastAsia="Arial" w:hAnsi="Arial" w:cs="Arial"/>
              </w:rPr>
              <w:t>33%</w:t>
            </w:r>
          </w:p>
        </w:tc>
        <w:tc>
          <w:tcPr>
            <w:tcW w:w="811" w:type="dxa"/>
            <w:tcBorders>
              <w:top w:val="single" w:sz="4" w:space="0" w:color="000000"/>
              <w:left w:val="single" w:sz="8" w:space="0" w:color="000000"/>
              <w:bottom w:val="single" w:sz="4" w:space="0" w:color="000000"/>
            </w:tcBorders>
            <w:vAlign w:val="center"/>
          </w:tcPr>
          <w:p w14:paraId="43BCFBA7"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40F15A7"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11BE754C" w14:textId="77777777" w:rsidR="00EB21F6" w:rsidRDefault="000176C0">
            <w:pPr>
              <w:jc w:val="both"/>
              <w:rPr>
                <w:rFonts w:ascii="Arial" w:eastAsia="Arial" w:hAnsi="Arial" w:cs="Arial"/>
              </w:rPr>
            </w:pPr>
            <w:r>
              <w:rPr>
                <w:rFonts w:ascii="Arial" w:eastAsia="Arial" w:hAnsi="Arial" w:cs="Arial"/>
              </w:rPr>
              <w:t>33%</w:t>
            </w:r>
          </w:p>
        </w:tc>
      </w:tr>
      <w:tr w:rsidR="00EB21F6" w14:paraId="484349B8"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5D2DC9C4" w14:textId="77777777" w:rsidR="00EB21F6" w:rsidRDefault="000176C0">
            <w:pPr>
              <w:jc w:val="both"/>
              <w:rPr>
                <w:rFonts w:ascii="Arial" w:eastAsia="Arial" w:hAnsi="Arial" w:cs="Arial"/>
              </w:rPr>
            </w:pPr>
            <w:r>
              <w:rPr>
                <w:rFonts w:ascii="Arial" w:eastAsia="Arial" w:hAnsi="Arial" w:cs="Arial"/>
              </w:rPr>
              <w:t>35</w:t>
            </w:r>
          </w:p>
        </w:tc>
        <w:tc>
          <w:tcPr>
            <w:tcW w:w="720" w:type="dxa"/>
            <w:tcBorders>
              <w:top w:val="single" w:sz="4" w:space="0" w:color="000000"/>
              <w:left w:val="single" w:sz="8" w:space="0" w:color="000000"/>
              <w:bottom w:val="single" w:sz="4" w:space="0" w:color="000000"/>
            </w:tcBorders>
            <w:vAlign w:val="center"/>
          </w:tcPr>
          <w:p w14:paraId="40A24217"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2BCE36B0"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2114B89C" w14:textId="77777777" w:rsidR="00EB21F6" w:rsidRDefault="000176C0">
            <w:pPr>
              <w:jc w:val="both"/>
              <w:rPr>
                <w:rFonts w:ascii="Arial" w:eastAsia="Arial" w:hAnsi="Arial" w:cs="Arial"/>
              </w:rPr>
            </w:pPr>
            <w:r>
              <w:rPr>
                <w:rFonts w:ascii="Arial" w:eastAsia="Arial" w:hAnsi="Arial" w:cs="Arial"/>
              </w:rPr>
              <w:t>48%</w:t>
            </w:r>
          </w:p>
        </w:tc>
        <w:tc>
          <w:tcPr>
            <w:tcW w:w="704" w:type="dxa"/>
            <w:tcBorders>
              <w:top w:val="single" w:sz="4" w:space="0" w:color="000000"/>
              <w:left w:val="single" w:sz="8" w:space="0" w:color="000000"/>
              <w:bottom w:val="single" w:sz="4" w:space="0" w:color="000000"/>
            </w:tcBorders>
            <w:vAlign w:val="center"/>
          </w:tcPr>
          <w:p w14:paraId="32FAF4C4"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608CD09A"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152B9624" w14:textId="77777777" w:rsidR="00EB21F6" w:rsidRDefault="000176C0">
            <w:pPr>
              <w:jc w:val="both"/>
              <w:rPr>
                <w:rFonts w:ascii="Arial" w:eastAsia="Arial" w:hAnsi="Arial" w:cs="Arial"/>
              </w:rPr>
            </w:pPr>
            <w:r>
              <w:rPr>
                <w:rFonts w:ascii="Arial" w:eastAsia="Arial" w:hAnsi="Arial" w:cs="Arial"/>
              </w:rPr>
              <w:t>56%</w:t>
            </w:r>
          </w:p>
        </w:tc>
        <w:tc>
          <w:tcPr>
            <w:tcW w:w="811" w:type="dxa"/>
            <w:tcBorders>
              <w:top w:val="single" w:sz="4" w:space="0" w:color="000000"/>
              <w:left w:val="single" w:sz="8" w:space="0" w:color="000000"/>
              <w:bottom w:val="single" w:sz="4" w:space="0" w:color="000000"/>
            </w:tcBorders>
            <w:vAlign w:val="center"/>
          </w:tcPr>
          <w:p w14:paraId="442B8FA9"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56332328"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02D88A6E" w14:textId="77777777" w:rsidR="00EB21F6" w:rsidRDefault="000176C0">
            <w:pPr>
              <w:jc w:val="both"/>
              <w:rPr>
                <w:rFonts w:ascii="Arial" w:eastAsia="Arial" w:hAnsi="Arial" w:cs="Arial"/>
              </w:rPr>
            </w:pPr>
            <w:r>
              <w:rPr>
                <w:rFonts w:ascii="Arial" w:eastAsia="Arial" w:hAnsi="Arial" w:cs="Arial"/>
              </w:rPr>
              <w:t>33%</w:t>
            </w:r>
          </w:p>
        </w:tc>
      </w:tr>
      <w:tr w:rsidR="00EB21F6" w14:paraId="1E7AA6D0"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586FF4AE" w14:textId="77777777" w:rsidR="00EB21F6" w:rsidRDefault="000176C0">
            <w:pPr>
              <w:jc w:val="both"/>
              <w:rPr>
                <w:rFonts w:ascii="Arial" w:eastAsia="Arial" w:hAnsi="Arial" w:cs="Arial"/>
              </w:rPr>
            </w:pPr>
            <w:r>
              <w:rPr>
                <w:rFonts w:ascii="Arial" w:eastAsia="Arial" w:hAnsi="Arial" w:cs="Arial"/>
              </w:rPr>
              <w:t>36</w:t>
            </w:r>
          </w:p>
        </w:tc>
        <w:tc>
          <w:tcPr>
            <w:tcW w:w="720" w:type="dxa"/>
            <w:tcBorders>
              <w:top w:val="single" w:sz="4" w:space="0" w:color="000000"/>
              <w:left w:val="single" w:sz="8" w:space="0" w:color="000000"/>
              <w:bottom w:val="single" w:sz="4" w:space="0" w:color="000000"/>
            </w:tcBorders>
            <w:vAlign w:val="center"/>
          </w:tcPr>
          <w:p w14:paraId="5A0AAA13"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662B8633"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2EC83090" w14:textId="77777777" w:rsidR="00EB21F6" w:rsidRDefault="000176C0">
            <w:pPr>
              <w:jc w:val="both"/>
              <w:rPr>
                <w:rFonts w:ascii="Arial" w:eastAsia="Arial" w:hAnsi="Arial" w:cs="Arial"/>
              </w:rPr>
            </w:pPr>
            <w:r>
              <w:rPr>
                <w:rFonts w:ascii="Arial" w:eastAsia="Arial" w:hAnsi="Arial" w:cs="Arial"/>
              </w:rPr>
              <w:t>45%</w:t>
            </w:r>
          </w:p>
        </w:tc>
        <w:tc>
          <w:tcPr>
            <w:tcW w:w="704" w:type="dxa"/>
            <w:tcBorders>
              <w:top w:val="single" w:sz="4" w:space="0" w:color="000000"/>
              <w:left w:val="single" w:sz="8" w:space="0" w:color="000000"/>
              <w:bottom w:val="single" w:sz="4" w:space="0" w:color="000000"/>
            </w:tcBorders>
            <w:vAlign w:val="center"/>
          </w:tcPr>
          <w:p w14:paraId="50FBDC94"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6949F28E"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54EB14CA" w14:textId="77777777" w:rsidR="00EB21F6" w:rsidRDefault="000176C0">
            <w:pPr>
              <w:jc w:val="both"/>
              <w:rPr>
                <w:rFonts w:ascii="Arial" w:eastAsia="Arial" w:hAnsi="Arial" w:cs="Arial"/>
              </w:rPr>
            </w:pPr>
            <w:r>
              <w:rPr>
                <w:rFonts w:ascii="Arial" w:eastAsia="Arial" w:hAnsi="Arial" w:cs="Arial"/>
              </w:rPr>
              <w:t>58%</w:t>
            </w:r>
          </w:p>
        </w:tc>
        <w:tc>
          <w:tcPr>
            <w:tcW w:w="811" w:type="dxa"/>
            <w:tcBorders>
              <w:top w:val="single" w:sz="4" w:space="0" w:color="000000"/>
              <w:left w:val="single" w:sz="8" w:space="0" w:color="000000"/>
              <w:bottom w:val="single" w:sz="4" w:space="0" w:color="000000"/>
            </w:tcBorders>
            <w:vAlign w:val="center"/>
          </w:tcPr>
          <w:p w14:paraId="5989761A"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0984B2CB"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42CBC613" w14:textId="77777777" w:rsidR="00EB21F6" w:rsidRDefault="000176C0">
            <w:pPr>
              <w:jc w:val="both"/>
              <w:rPr>
                <w:rFonts w:ascii="Arial" w:eastAsia="Arial" w:hAnsi="Arial" w:cs="Arial"/>
              </w:rPr>
            </w:pPr>
            <w:r>
              <w:rPr>
                <w:rFonts w:ascii="Arial" w:eastAsia="Arial" w:hAnsi="Arial" w:cs="Arial"/>
              </w:rPr>
              <w:t>30%</w:t>
            </w:r>
          </w:p>
        </w:tc>
      </w:tr>
      <w:tr w:rsidR="00EB21F6" w14:paraId="314D43A9"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25E4038" w14:textId="77777777" w:rsidR="00EB21F6" w:rsidRDefault="000176C0">
            <w:pPr>
              <w:jc w:val="both"/>
              <w:rPr>
                <w:rFonts w:ascii="Arial" w:eastAsia="Arial" w:hAnsi="Arial" w:cs="Arial"/>
              </w:rPr>
            </w:pPr>
            <w:r>
              <w:rPr>
                <w:rFonts w:ascii="Arial" w:eastAsia="Arial" w:hAnsi="Arial" w:cs="Arial"/>
              </w:rPr>
              <w:t>37</w:t>
            </w:r>
          </w:p>
        </w:tc>
        <w:tc>
          <w:tcPr>
            <w:tcW w:w="720" w:type="dxa"/>
            <w:tcBorders>
              <w:top w:val="single" w:sz="4" w:space="0" w:color="000000"/>
              <w:left w:val="single" w:sz="8" w:space="0" w:color="000000"/>
              <w:bottom w:val="single" w:sz="4" w:space="0" w:color="000000"/>
            </w:tcBorders>
            <w:vAlign w:val="center"/>
          </w:tcPr>
          <w:p w14:paraId="54D28932"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2BE62FBD"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38C220B4" w14:textId="77777777" w:rsidR="00EB21F6" w:rsidRDefault="000176C0">
            <w:pPr>
              <w:jc w:val="both"/>
              <w:rPr>
                <w:rFonts w:ascii="Arial" w:eastAsia="Arial" w:hAnsi="Arial" w:cs="Arial"/>
              </w:rPr>
            </w:pPr>
            <w:r>
              <w:rPr>
                <w:rFonts w:ascii="Arial" w:eastAsia="Arial" w:hAnsi="Arial" w:cs="Arial"/>
              </w:rPr>
              <w:t>49%</w:t>
            </w:r>
          </w:p>
        </w:tc>
        <w:tc>
          <w:tcPr>
            <w:tcW w:w="704" w:type="dxa"/>
            <w:tcBorders>
              <w:top w:val="single" w:sz="4" w:space="0" w:color="000000"/>
              <w:left w:val="single" w:sz="8" w:space="0" w:color="000000"/>
              <w:bottom w:val="single" w:sz="4" w:space="0" w:color="000000"/>
            </w:tcBorders>
            <w:vAlign w:val="center"/>
          </w:tcPr>
          <w:p w14:paraId="0A6D7854"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24ADE750"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3E8FB5C3"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2A3CE18B"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7CA553F4"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6D92BC43" w14:textId="77777777" w:rsidR="00EB21F6" w:rsidRDefault="000176C0">
            <w:pPr>
              <w:jc w:val="both"/>
              <w:rPr>
                <w:rFonts w:ascii="Arial" w:eastAsia="Arial" w:hAnsi="Arial" w:cs="Arial"/>
              </w:rPr>
            </w:pPr>
            <w:r>
              <w:rPr>
                <w:rFonts w:ascii="Arial" w:eastAsia="Arial" w:hAnsi="Arial" w:cs="Arial"/>
              </w:rPr>
              <w:t>33%</w:t>
            </w:r>
          </w:p>
        </w:tc>
      </w:tr>
      <w:tr w:rsidR="00EB21F6" w14:paraId="60B3C2BE"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7C2984D4" w14:textId="77777777" w:rsidR="00EB21F6" w:rsidRDefault="000176C0">
            <w:pPr>
              <w:jc w:val="both"/>
              <w:rPr>
                <w:rFonts w:ascii="Arial" w:eastAsia="Arial" w:hAnsi="Arial" w:cs="Arial"/>
              </w:rPr>
            </w:pPr>
            <w:r>
              <w:rPr>
                <w:rFonts w:ascii="Arial" w:eastAsia="Arial" w:hAnsi="Arial" w:cs="Arial"/>
              </w:rPr>
              <w:t>38</w:t>
            </w:r>
          </w:p>
        </w:tc>
        <w:tc>
          <w:tcPr>
            <w:tcW w:w="720" w:type="dxa"/>
            <w:tcBorders>
              <w:top w:val="single" w:sz="4" w:space="0" w:color="000000"/>
              <w:left w:val="single" w:sz="8" w:space="0" w:color="000000"/>
              <w:bottom w:val="single" w:sz="4" w:space="0" w:color="000000"/>
            </w:tcBorders>
            <w:vAlign w:val="center"/>
          </w:tcPr>
          <w:p w14:paraId="5FD9C26F" w14:textId="77777777" w:rsidR="00EB21F6" w:rsidRDefault="000176C0">
            <w:pPr>
              <w:jc w:val="both"/>
              <w:rPr>
                <w:rFonts w:ascii="Arial" w:eastAsia="Arial" w:hAnsi="Arial" w:cs="Arial"/>
              </w:rPr>
            </w:pPr>
            <w:r>
              <w:rPr>
                <w:rFonts w:ascii="Arial" w:eastAsia="Arial" w:hAnsi="Arial" w:cs="Arial"/>
              </w:rPr>
              <w:t>+</w:t>
            </w:r>
          </w:p>
        </w:tc>
        <w:tc>
          <w:tcPr>
            <w:tcW w:w="780" w:type="dxa"/>
            <w:tcBorders>
              <w:top w:val="single" w:sz="4" w:space="0" w:color="000000"/>
              <w:bottom w:val="single" w:sz="4" w:space="0" w:color="000000"/>
            </w:tcBorders>
            <w:vAlign w:val="center"/>
          </w:tcPr>
          <w:p w14:paraId="4004FB42"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1A27F223" w14:textId="77777777" w:rsidR="00EB21F6" w:rsidRDefault="000176C0">
            <w:pPr>
              <w:jc w:val="both"/>
              <w:rPr>
                <w:rFonts w:ascii="Arial" w:eastAsia="Arial" w:hAnsi="Arial" w:cs="Arial"/>
              </w:rPr>
            </w:pPr>
            <w:r>
              <w:rPr>
                <w:rFonts w:ascii="Arial" w:eastAsia="Arial" w:hAnsi="Arial" w:cs="Arial"/>
              </w:rPr>
              <w:t>48%</w:t>
            </w:r>
          </w:p>
        </w:tc>
        <w:tc>
          <w:tcPr>
            <w:tcW w:w="704" w:type="dxa"/>
            <w:tcBorders>
              <w:top w:val="single" w:sz="4" w:space="0" w:color="000000"/>
              <w:left w:val="single" w:sz="8" w:space="0" w:color="000000"/>
              <w:bottom w:val="single" w:sz="4" w:space="0" w:color="000000"/>
            </w:tcBorders>
            <w:vAlign w:val="center"/>
          </w:tcPr>
          <w:p w14:paraId="0980F66B" w14:textId="77777777" w:rsidR="00EB21F6" w:rsidRDefault="000176C0">
            <w:pPr>
              <w:jc w:val="both"/>
              <w:rPr>
                <w:rFonts w:ascii="Arial" w:eastAsia="Arial" w:hAnsi="Arial" w:cs="Arial"/>
              </w:rPr>
            </w:pPr>
            <w:r>
              <w:rPr>
                <w:rFonts w:ascii="Arial" w:eastAsia="Arial" w:hAnsi="Arial" w:cs="Arial"/>
              </w:rPr>
              <w:t>Not seen</w:t>
            </w:r>
          </w:p>
        </w:tc>
        <w:tc>
          <w:tcPr>
            <w:tcW w:w="796" w:type="dxa"/>
            <w:tcBorders>
              <w:top w:val="single" w:sz="4" w:space="0" w:color="000000"/>
              <w:bottom w:val="single" w:sz="4" w:space="0" w:color="000000"/>
            </w:tcBorders>
            <w:vAlign w:val="center"/>
          </w:tcPr>
          <w:p w14:paraId="337A2836"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70656213" w14:textId="77777777" w:rsidR="00EB21F6" w:rsidRDefault="000176C0">
            <w:pPr>
              <w:jc w:val="both"/>
              <w:rPr>
                <w:rFonts w:ascii="Arial" w:eastAsia="Arial" w:hAnsi="Arial" w:cs="Arial"/>
              </w:rPr>
            </w:pPr>
            <w:r>
              <w:rPr>
                <w:rFonts w:ascii="Arial" w:eastAsia="Arial" w:hAnsi="Arial" w:cs="Arial"/>
              </w:rPr>
              <w:t>30%</w:t>
            </w:r>
          </w:p>
        </w:tc>
        <w:tc>
          <w:tcPr>
            <w:tcW w:w="811" w:type="dxa"/>
            <w:tcBorders>
              <w:top w:val="single" w:sz="4" w:space="0" w:color="000000"/>
              <w:left w:val="single" w:sz="8" w:space="0" w:color="000000"/>
              <w:bottom w:val="single" w:sz="4" w:space="0" w:color="000000"/>
            </w:tcBorders>
            <w:vAlign w:val="center"/>
          </w:tcPr>
          <w:p w14:paraId="7C707786"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01A63D01"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617F0370" w14:textId="77777777" w:rsidR="00EB21F6" w:rsidRDefault="000176C0">
            <w:pPr>
              <w:jc w:val="both"/>
              <w:rPr>
                <w:rFonts w:ascii="Arial" w:eastAsia="Arial" w:hAnsi="Arial" w:cs="Arial"/>
              </w:rPr>
            </w:pPr>
            <w:r>
              <w:rPr>
                <w:rFonts w:ascii="Arial" w:eastAsia="Arial" w:hAnsi="Arial" w:cs="Arial"/>
              </w:rPr>
              <w:t>30%</w:t>
            </w:r>
          </w:p>
        </w:tc>
      </w:tr>
      <w:tr w:rsidR="00EB21F6" w14:paraId="57FDF71E"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B42DD45" w14:textId="77777777" w:rsidR="00EB21F6" w:rsidRDefault="000176C0">
            <w:pPr>
              <w:jc w:val="both"/>
              <w:rPr>
                <w:rFonts w:ascii="Arial" w:eastAsia="Arial" w:hAnsi="Arial" w:cs="Arial"/>
              </w:rPr>
            </w:pPr>
            <w:r>
              <w:rPr>
                <w:rFonts w:ascii="Arial" w:eastAsia="Arial" w:hAnsi="Arial" w:cs="Arial"/>
              </w:rPr>
              <w:t>39</w:t>
            </w:r>
          </w:p>
        </w:tc>
        <w:tc>
          <w:tcPr>
            <w:tcW w:w="720" w:type="dxa"/>
            <w:tcBorders>
              <w:top w:val="single" w:sz="4" w:space="0" w:color="000000"/>
              <w:left w:val="single" w:sz="8" w:space="0" w:color="000000"/>
              <w:bottom w:val="single" w:sz="4" w:space="0" w:color="000000"/>
            </w:tcBorders>
            <w:vAlign w:val="center"/>
          </w:tcPr>
          <w:p w14:paraId="7F2F8FA2" w14:textId="77777777" w:rsidR="00EB21F6" w:rsidRDefault="000176C0">
            <w:pPr>
              <w:jc w:val="both"/>
              <w:rPr>
                <w:rFonts w:ascii="Arial" w:eastAsia="Arial" w:hAnsi="Arial" w:cs="Arial"/>
              </w:rPr>
            </w:pPr>
            <w:r>
              <w:rPr>
                <w:rFonts w:ascii="Arial" w:eastAsia="Arial" w:hAnsi="Arial" w:cs="Arial"/>
              </w:rPr>
              <w:t>Not seen</w:t>
            </w:r>
          </w:p>
        </w:tc>
        <w:tc>
          <w:tcPr>
            <w:tcW w:w="780" w:type="dxa"/>
            <w:tcBorders>
              <w:top w:val="single" w:sz="4" w:space="0" w:color="000000"/>
              <w:bottom w:val="single" w:sz="4" w:space="0" w:color="000000"/>
            </w:tcBorders>
            <w:vAlign w:val="center"/>
          </w:tcPr>
          <w:p w14:paraId="5EA62586"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26FA6045" w14:textId="77777777" w:rsidR="00EB21F6" w:rsidRDefault="000176C0">
            <w:pPr>
              <w:jc w:val="both"/>
              <w:rPr>
                <w:rFonts w:ascii="Arial" w:eastAsia="Arial" w:hAnsi="Arial" w:cs="Arial"/>
              </w:rPr>
            </w:pPr>
            <w:r>
              <w:rPr>
                <w:rFonts w:ascii="Arial" w:eastAsia="Arial" w:hAnsi="Arial" w:cs="Arial"/>
              </w:rPr>
              <w:t>45%</w:t>
            </w:r>
          </w:p>
        </w:tc>
        <w:tc>
          <w:tcPr>
            <w:tcW w:w="704" w:type="dxa"/>
            <w:tcBorders>
              <w:top w:val="single" w:sz="4" w:space="0" w:color="000000"/>
              <w:left w:val="single" w:sz="8" w:space="0" w:color="000000"/>
              <w:bottom w:val="single" w:sz="4" w:space="0" w:color="000000"/>
            </w:tcBorders>
            <w:vAlign w:val="center"/>
          </w:tcPr>
          <w:p w14:paraId="6E4C01B1"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74E9E034"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4B4B234D"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1C9616EB"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4F9F5F6"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445DA7DF" w14:textId="77777777" w:rsidR="00EB21F6" w:rsidRDefault="000176C0">
            <w:pPr>
              <w:jc w:val="both"/>
              <w:rPr>
                <w:rFonts w:ascii="Arial" w:eastAsia="Arial" w:hAnsi="Arial" w:cs="Arial"/>
              </w:rPr>
            </w:pPr>
            <w:r>
              <w:rPr>
                <w:rFonts w:ascii="Arial" w:eastAsia="Arial" w:hAnsi="Arial" w:cs="Arial"/>
              </w:rPr>
              <w:t>35%</w:t>
            </w:r>
          </w:p>
        </w:tc>
      </w:tr>
      <w:tr w:rsidR="00EB21F6" w14:paraId="4AEC5E8A"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44FE2353" w14:textId="77777777" w:rsidR="00EB21F6" w:rsidRDefault="000176C0">
            <w:pPr>
              <w:jc w:val="both"/>
              <w:rPr>
                <w:rFonts w:ascii="Arial" w:eastAsia="Arial" w:hAnsi="Arial" w:cs="Arial"/>
              </w:rPr>
            </w:pPr>
            <w:r>
              <w:rPr>
                <w:rFonts w:ascii="Arial" w:eastAsia="Arial" w:hAnsi="Arial" w:cs="Arial"/>
              </w:rPr>
              <w:t>40</w:t>
            </w:r>
          </w:p>
        </w:tc>
        <w:tc>
          <w:tcPr>
            <w:tcW w:w="720" w:type="dxa"/>
            <w:tcBorders>
              <w:top w:val="single" w:sz="4" w:space="0" w:color="000000"/>
              <w:left w:val="single" w:sz="8" w:space="0" w:color="000000"/>
              <w:bottom w:val="single" w:sz="4" w:space="0" w:color="000000"/>
            </w:tcBorders>
            <w:vAlign w:val="center"/>
          </w:tcPr>
          <w:p w14:paraId="649DF06E" w14:textId="77777777" w:rsidR="00EB21F6" w:rsidRDefault="000176C0">
            <w:pPr>
              <w:jc w:val="both"/>
              <w:rPr>
                <w:rFonts w:ascii="Arial" w:eastAsia="Arial" w:hAnsi="Arial" w:cs="Arial"/>
              </w:rPr>
            </w:pPr>
            <w:r>
              <w:rPr>
                <w:rFonts w:ascii="Arial" w:eastAsia="Arial" w:hAnsi="Arial" w:cs="Arial"/>
              </w:rPr>
              <w:t>Not seen</w:t>
            </w:r>
          </w:p>
        </w:tc>
        <w:tc>
          <w:tcPr>
            <w:tcW w:w="780" w:type="dxa"/>
            <w:tcBorders>
              <w:top w:val="single" w:sz="4" w:space="0" w:color="000000"/>
              <w:bottom w:val="single" w:sz="4" w:space="0" w:color="000000"/>
            </w:tcBorders>
            <w:vAlign w:val="center"/>
          </w:tcPr>
          <w:p w14:paraId="1A1D9E87"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7D577077" w14:textId="77777777" w:rsidR="00EB21F6" w:rsidRDefault="000176C0">
            <w:pPr>
              <w:jc w:val="both"/>
              <w:rPr>
                <w:rFonts w:ascii="Arial" w:eastAsia="Arial" w:hAnsi="Arial" w:cs="Arial"/>
              </w:rPr>
            </w:pPr>
            <w:r>
              <w:rPr>
                <w:rFonts w:ascii="Arial" w:eastAsia="Arial" w:hAnsi="Arial" w:cs="Arial"/>
              </w:rPr>
              <w:t>47%</w:t>
            </w:r>
          </w:p>
        </w:tc>
        <w:tc>
          <w:tcPr>
            <w:tcW w:w="704" w:type="dxa"/>
            <w:tcBorders>
              <w:top w:val="single" w:sz="4" w:space="0" w:color="000000"/>
              <w:left w:val="single" w:sz="8" w:space="0" w:color="000000"/>
              <w:bottom w:val="single" w:sz="4" w:space="0" w:color="000000"/>
            </w:tcBorders>
            <w:vAlign w:val="center"/>
          </w:tcPr>
          <w:p w14:paraId="1E8273C1"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0D9F6398"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36BC85B4" w14:textId="77777777" w:rsidR="00EB21F6" w:rsidRDefault="000176C0">
            <w:pPr>
              <w:jc w:val="both"/>
              <w:rPr>
                <w:rFonts w:ascii="Arial" w:eastAsia="Arial" w:hAnsi="Arial" w:cs="Arial"/>
              </w:rPr>
            </w:pPr>
            <w:r>
              <w:rPr>
                <w:rFonts w:ascii="Arial" w:eastAsia="Arial" w:hAnsi="Arial" w:cs="Arial"/>
              </w:rPr>
              <w:t>34%</w:t>
            </w:r>
          </w:p>
        </w:tc>
        <w:tc>
          <w:tcPr>
            <w:tcW w:w="811" w:type="dxa"/>
            <w:tcBorders>
              <w:top w:val="single" w:sz="4" w:space="0" w:color="000000"/>
              <w:left w:val="single" w:sz="8" w:space="0" w:color="000000"/>
              <w:bottom w:val="single" w:sz="4" w:space="0" w:color="000000"/>
            </w:tcBorders>
            <w:vAlign w:val="center"/>
          </w:tcPr>
          <w:p w14:paraId="796208CD"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0F8AC70"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1EFC2A38" w14:textId="77777777" w:rsidR="00EB21F6" w:rsidRDefault="000176C0">
            <w:pPr>
              <w:jc w:val="both"/>
              <w:rPr>
                <w:rFonts w:ascii="Arial" w:eastAsia="Arial" w:hAnsi="Arial" w:cs="Arial"/>
              </w:rPr>
            </w:pPr>
            <w:r>
              <w:rPr>
                <w:rFonts w:ascii="Arial" w:eastAsia="Arial" w:hAnsi="Arial" w:cs="Arial"/>
              </w:rPr>
              <w:t>32%</w:t>
            </w:r>
          </w:p>
        </w:tc>
      </w:tr>
      <w:tr w:rsidR="00EB21F6" w14:paraId="6FC8DB78"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8F3B6D0" w14:textId="77777777" w:rsidR="00EB21F6" w:rsidRDefault="000176C0">
            <w:pPr>
              <w:jc w:val="both"/>
              <w:rPr>
                <w:rFonts w:ascii="Arial" w:eastAsia="Arial" w:hAnsi="Arial" w:cs="Arial"/>
              </w:rPr>
            </w:pPr>
            <w:r>
              <w:rPr>
                <w:rFonts w:ascii="Arial" w:eastAsia="Arial" w:hAnsi="Arial" w:cs="Arial"/>
              </w:rPr>
              <w:t>41</w:t>
            </w:r>
          </w:p>
        </w:tc>
        <w:tc>
          <w:tcPr>
            <w:tcW w:w="720" w:type="dxa"/>
            <w:tcBorders>
              <w:top w:val="single" w:sz="4" w:space="0" w:color="000000"/>
              <w:left w:val="single" w:sz="8" w:space="0" w:color="000000"/>
              <w:bottom w:val="single" w:sz="4" w:space="0" w:color="000000"/>
            </w:tcBorders>
            <w:vAlign w:val="center"/>
          </w:tcPr>
          <w:p w14:paraId="68B92BDE" w14:textId="77777777" w:rsidR="00EB21F6" w:rsidRDefault="000176C0">
            <w:pPr>
              <w:jc w:val="both"/>
              <w:rPr>
                <w:rFonts w:ascii="Arial" w:eastAsia="Arial" w:hAnsi="Arial" w:cs="Arial"/>
              </w:rPr>
            </w:pPr>
            <w:r>
              <w:rPr>
                <w:rFonts w:ascii="Arial" w:eastAsia="Arial" w:hAnsi="Arial" w:cs="Arial"/>
              </w:rPr>
              <w:t>Not seen</w:t>
            </w:r>
          </w:p>
        </w:tc>
        <w:tc>
          <w:tcPr>
            <w:tcW w:w="780" w:type="dxa"/>
            <w:tcBorders>
              <w:top w:val="single" w:sz="4" w:space="0" w:color="000000"/>
              <w:bottom w:val="single" w:sz="4" w:space="0" w:color="000000"/>
            </w:tcBorders>
            <w:vAlign w:val="center"/>
          </w:tcPr>
          <w:p w14:paraId="22D4C97A"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58422164" w14:textId="77777777" w:rsidR="00EB21F6" w:rsidRDefault="000176C0">
            <w:pPr>
              <w:jc w:val="both"/>
              <w:rPr>
                <w:rFonts w:ascii="Arial" w:eastAsia="Arial" w:hAnsi="Arial" w:cs="Arial"/>
              </w:rPr>
            </w:pPr>
            <w:r>
              <w:rPr>
                <w:rFonts w:ascii="Arial" w:eastAsia="Arial" w:hAnsi="Arial" w:cs="Arial"/>
              </w:rPr>
              <w:t>42%</w:t>
            </w:r>
          </w:p>
        </w:tc>
        <w:tc>
          <w:tcPr>
            <w:tcW w:w="704" w:type="dxa"/>
            <w:tcBorders>
              <w:top w:val="single" w:sz="4" w:space="0" w:color="000000"/>
              <w:left w:val="single" w:sz="8" w:space="0" w:color="000000"/>
              <w:bottom w:val="single" w:sz="4" w:space="0" w:color="000000"/>
            </w:tcBorders>
            <w:vAlign w:val="center"/>
          </w:tcPr>
          <w:p w14:paraId="7C07CB85"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5217B77C"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72E6E7C9" w14:textId="77777777" w:rsidR="00EB21F6" w:rsidRDefault="000176C0">
            <w:pPr>
              <w:jc w:val="both"/>
              <w:rPr>
                <w:rFonts w:ascii="Arial" w:eastAsia="Arial" w:hAnsi="Arial" w:cs="Arial"/>
              </w:rPr>
            </w:pPr>
            <w:r>
              <w:rPr>
                <w:rFonts w:ascii="Arial" w:eastAsia="Arial" w:hAnsi="Arial" w:cs="Arial"/>
              </w:rPr>
              <w:t>30%</w:t>
            </w:r>
          </w:p>
        </w:tc>
        <w:tc>
          <w:tcPr>
            <w:tcW w:w="811" w:type="dxa"/>
            <w:tcBorders>
              <w:top w:val="single" w:sz="4" w:space="0" w:color="000000"/>
              <w:left w:val="single" w:sz="8" w:space="0" w:color="000000"/>
              <w:bottom w:val="single" w:sz="4" w:space="0" w:color="000000"/>
            </w:tcBorders>
            <w:vAlign w:val="center"/>
          </w:tcPr>
          <w:p w14:paraId="1F56FEC3"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67783250"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092F1F1A" w14:textId="77777777" w:rsidR="00EB21F6" w:rsidRDefault="000176C0">
            <w:pPr>
              <w:jc w:val="both"/>
              <w:rPr>
                <w:rFonts w:ascii="Arial" w:eastAsia="Arial" w:hAnsi="Arial" w:cs="Arial"/>
              </w:rPr>
            </w:pPr>
            <w:r>
              <w:rPr>
                <w:rFonts w:ascii="Arial" w:eastAsia="Arial" w:hAnsi="Arial" w:cs="Arial"/>
              </w:rPr>
              <w:t>30%</w:t>
            </w:r>
          </w:p>
        </w:tc>
      </w:tr>
      <w:tr w:rsidR="00EB21F6" w14:paraId="168D1637"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07987F30" w14:textId="77777777" w:rsidR="00EB21F6" w:rsidRDefault="000176C0">
            <w:pPr>
              <w:jc w:val="both"/>
              <w:rPr>
                <w:rFonts w:ascii="Arial" w:eastAsia="Arial" w:hAnsi="Arial" w:cs="Arial"/>
              </w:rPr>
            </w:pPr>
            <w:r>
              <w:rPr>
                <w:rFonts w:ascii="Arial" w:eastAsia="Arial" w:hAnsi="Arial" w:cs="Arial"/>
              </w:rPr>
              <w:t>42</w:t>
            </w:r>
          </w:p>
        </w:tc>
        <w:tc>
          <w:tcPr>
            <w:tcW w:w="720" w:type="dxa"/>
            <w:tcBorders>
              <w:top w:val="single" w:sz="4" w:space="0" w:color="000000"/>
              <w:left w:val="single" w:sz="8" w:space="0" w:color="000000"/>
              <w:bottom w:val="single" w:sz="4" w:space="0" w:color="000000"/>
            </w:tcBorders>
            <w:vAlign w:val="center"/>
          </w:tcPr>
          <w:p w14:paraId="0053F9D5"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30A405FF"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1F86C229"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0FD35B71"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3A67A889"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35B9693C" w14:textId="77777777" w:rsidR="00EB21F6" w:rsidRDefault="000176C0">
            <w:pPr>
              <w:jc w:val="both"/>
              <w:rPr>
                <w:rFonts w:ascii="Arial" w:eastAsia="Arial" w:hAnsi="Arial" w:cs="Arial"/>
              </w:rPr>
            </w:pPr>
            <w:r>
              <w:rPr>
                <w:rFonts w:ascii="Arial" w:eastAsia="Arial" w:hAnsi="Arial" w:cs="Arial"/>
              </w:rPr>
              <w:t>39%</w:t>
            </w:r>
          </w:p>
        </w:tc>
        <w:tc>
          <w:tcPr>
            <w:tcW w:w="811" w:type="dxa"/>
            <w:tcBorders>
              <w:top w:val="single" w:sz="4" w:space="0" w:color="000000"/>
              <w:left w:val="single" w:sz="8" w:space="0" w:color="000000"/>
              <w:bottom w:val="single" w:sz="4" w:space="0" w:color="000000"/>
            </w:tcBorders>
            <w:vAlign w:val="center"/>
          </w:tcPr>
          <w:p w14:paraId="2506F7FE"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176492E8"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08649AA3" w14:textId="77777777" w:rsidR="00EB21F6" w:rsidRDefault="000176C0">
            <w:pPr>
              <w:jc w:val="both"/>
              <w:rPr>
                <w:rFonts w:ascii="Arial" w:eastAsia="Arial" w:hAnsi="Arial" w:cs="Arial"/>
              </w:rPr>
            </w:pPr>
            <w:r>
              <w:rPr>
                <w:rFonts w:ascii="Arial" w:eastAsia="Arial" w:hAnsi="Arial" w:cs="Arial"/>
              </w:rPr>
              <w:t>31%</w:t>
            </w:r>
          </w:p>
        </w:tc>
      </w:tr>
      <w:tr w:rsidR="00EB21F6" w14:paraId="7AD647D7"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D99FBE5" w14:textId="77777777" w:rsidR="00EB21F6" w:rsidRDefault="000176C0">
            <w:pPr>
              <w:jc w:val="both"/>
              <w:rPr>
                <w:rFonts w:ascii="Arial" w:eastAsia="Arial" w:hAnsi="Arial" w:cs="Arial"/>
              </w:rPr>
            </w:pPr>
            <w:r>
              <w:rPr>
                <w:rFonts w:ascii="Arial" w:eastAsia="Arial" w:hAnsi="Arial" w:cs="Arial"/>
              </w:rPr>
              <w:t>43</w:t>
            </w:r>
          </w:p>
        </w:tc>
        <w:tc>
          <w:tcPr>
            <w:tcW w:w="720" w:type="dxa"/>
            <w:tcBorders>
              <w:top w:val="single" w:sz="4" w:space="0" w:color="000000"/>
              <w:left w:val="single" w:sz="8" w:space="0" w:color="000000"/>
              <w:bottom w:val="single" w:sz="4" w:space="0" w:color="000000"/>
            </w:tcBorders>
            <w:vAlign w:val="center"/>
          </w:tcPr>
          <w:p w14:paraId="576157B5"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4C6E9A96"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4A2D528B"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47C48778"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598DF2CA"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35A81450"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0C200E3E"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44CF1772"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57C34FB9" w14:textId="77777777" w:rsidR="00EB21F6" w:rsidRDefault="000176C0">
            <w:pPr>
              <w:jc w:val="both"/>
              <w:rPr>
                <w:rFonts w:ascii="Arial" w:eastAsia="Arial" w:hAnsi="Arial" w:cs="Arial"/>
              </w:rPr>
            </w:pPr>
            <w:r>
              <w:rPr>
                <w:rFonts w:ascii="Arial" w:eastAsia="Arial" w:hAnsi="Arial" w:cs="Arial"/>
              </w:rPr>
              <w:t>35%</w:t>
            </w:r>
          </w:p>
        </w:tc>
      </w:tr>
      <w:tr w:rsidR="00EB21F6" w14:paraId="2EFC95EF"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098F08EE" w14:textId="77777777" w:rsidR="00EB21F6" w:rsidRDefault="000176C0">
            <w:pPr>
              <w:jc w:val="both"/>
              <w:rPr>
                <w:rFonts w:ascii="Arial" w:eastAsia="Arial" w:hAnsi="Arial" w:cs="Arial"/>
              </w:rPr>
            </w:pPr>
            <w:r>
              <w:rPr>
                <w:rFonts w:ascii="Arial" w:eastAsia="Arial" w:hAnsi="Arial" w:cs="Arial"/>
              </w:rPr>
              <w:t>44</w:t>
            </w:r>
          </w:p>
        </w:tc>
        <w:tc>
          <w:tcPr>
            <w:tcW w:w="720" w:type="dxa"/>
            <w:tcBorders>
              <w:top w:val="single" w:sz="4" w:space="0" w:color="000000"/>
              <w:left w:val="single" w:sz="8" w:space="0" w:color="000000"/>
              <w:bottom w:val="single" w:sz="4" w:space="0" w:color="000000"/>
            </w:tcBorders>
            <w:vAlign w:val="center"/>
          </w:tcPr>
          <w:p w14:paraId="4F5655D2"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3E273E71"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02935723"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69828446"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4F1951DD"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1966735D" w14:textId="77777777" w:rsidR="00EB21F6" w:rsidRDefault="000176C0">
            <w:pPr>
              <w:jc w:val="both"/>
              <w:rPr>
                <w:rFonts w:ascii="Arial" w:eastAsia="Arial" w:hAnsi="Arial" w:cs="Arial"/>
              </w:rPr>
            </w:pPr>
            <w:r>
              <w:rPr>
                <w:rFonts w:ascii="Arial" w:eastAsia="Arial" w:hAnsi="Arial" w:cs="Arial"/>
              </w:rPr>
              <w:t>38%</w:t>
            </w:r>
          </w:p>
        </w:tc>
        <w:tc>
          <w:tcPr>
            <w:tcW w:w="811" w:type="dxa"/>
            <w:tcBorders>
              <w:top w:val="single" w:sz="4" w:space="0" w:color="000000"/>
              <w:left w:val="single" w:sz="8" w:space="0" w:color="000000"/>
              <w:bottom w:val="single" w:sz="4" w:space="0" w:color="000000"/>
            </w:tcBorders>
            <w:vAlign w:val="center"/>
          </w:tcPr>
          <w:p w14:paraId="0A6475BB"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B052A39"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2031BBC1" w14:textId="77777777" w:rsidR="00EB21F6" w:rsidRDefault="000176C0">
            <w:pPr>
              <w:jc w:val="both"/>
              <w:rPr>
                <w:rFonts w:ascii="Arial" w:eastAsia="Arial" w:hAnsi="Arial" w:cs="Arial"/>
              </w:rPr>
            </w:pPr>
            <w:r>
              <w:rPr>
                <w:rFonts w:ascii="Arial" w:eastAsia="Arial" w:hAnsi="Arial" w:cs="Arial"/>
              </w:rPr>
              <w:t>34%</w:t>
            </w:r>
          </w:p>
        </w:tc>
      </w:tr>
      <w:tr w:rsidR="00EB21F6" w14:paraId="19D7E5A1"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2B10BBDB" w14:textId="77777777" w:rsidR="00EB21F6" w:rsidRDefault="000176C0">
            <w:pPr>
              <w:jc w:val="both"/>
              <w:rPr>
                <w:rFonts w:ascii="Arial" w:eastAsia="Arial" w:hAnsi="Arial" w:cs="Arial"/>
              </w:rPr>
            </w:pPr>
            <w:r>
              <w:rPr>
                <w:rFonts w:ascii="Arial" w:eastAsia="Arial" w:hAnsi="Arial" w:cs="Arial"/>
              </w:rPr>
              <w:t>45</w:t>
            </w:r>
          </w:p>
        </w:tc>
        <w:tc>
          <w:tcPr>
            <w:tcW w:w="720" w:type="dxa"/>
            <w:tcBorders>
              <w:top w:val="single" w:sz="4" w:space="0" w:color="000000"/>
              <w:left w:val="single" w:sz="8" w:space="0" w:color="000000"/>
              <w:bottom w:val="single" w:sz="4" w:space="0" w:color="000000"/>
            </w:tcBorders>
            <w:vAlign w:val="center"/>
          </w:tcPr>
          <w:p w14:paraId="3C0385B8"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6E2DB06B"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69D5EB22"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4EAA77B4"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7CBF13FF"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496F1526" w14:textId="77777777" w:rsidR="00EB21F6" w:rsidRDefault="000176C0">
            <w:pPr>
              <w:jc w:val="both"/>
              <w:rPr>
                <w:rFonts w:ascii="Arial" w:eastAsia="Arial" w:hAnsi="Arial" w:cs="Arial"/>
              </w:rPr>
            </w:pPr>
            <w:r>
              <w:rPr>
                <w:rFonts w:ascii="Arial" w:eastAsia="Arial" w:hAnsi="Arial" w:cs="Arial"/>
              </w:rPr>
              <w:t>34%</w:t>
            </w:r>
          </w:p>
        </w:tc>
        <w:tc>
          <w:tcPr>
            <w:tcW w:w="811" w:type="dxa"/>
            <w:tcBorders>
              <w:top w:val="single" w:sz="4" w:space="0" w:color="000000"/>
              <w:left w:val="single" w:sz="8" w:space="0" w:color="000000"/>
              <w:bottom w:val="single" w:sz="4" w:space="0" w:color="000000"/>
            </w:tcBorders>
            <w:vAlign w:val="center"/>
          </w:tcPr>
          <w:p w14:paraId="458B21DB"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059E9A3D"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308FDB2C" w14:textId="77777777" w:rsidR="00EB21F6" w:rsidRDefault="000176C0">
            <w:pPr>
              <w:jc w:val="both"/>
              <w:rPr>
                <w:rFonts w:ascii="Arial" w:eastAsia="Arial" w:hAnsi="Arial" w:cs="Arial"/>
              </w:rPr>
            </w:pPr>
            <w:r>
              <w:rPr>
                <w:rFonts w:ascii="Arial" w:eastAsia="Arial" w:hAnsi="Arial" w:cs="Arial"/>
              </w:rPr>
              <w:t>34%</w:t>
            </w:r>
          </w:p>
        </w:tc>
      </w:tr>
      <w:tr w:rsidR="00EB21F6" w14:paraId="0062C9C3"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0A90FF46" w14:textId="77777777" w:rsidR="00EB21F6" w:rsidRDefault="000176C0">
            <w:pPr>
              <w:jc w:val="both"/>
              <w:rPr>
                <w:rFonts w:ascii="Arial" w:eastAsia="Arial" w:hAnsi="Arial" w:cs="Arial"/>
              </w:rPr>
            </w:pPr>
            <w:r>
              <w:rPr>
                <w:rFonts w:ascii="Arial" w:eastAsia="Arial" w:hAnsi="Arial" w:cs="Arial"/>
              </w:rPr>
              <w:t>46</w:t>
            </w:r>
          </w:p>
        </w:tc>
        <w:tc>
          <w:tcPr>
            <w:tcW w:w="720" w:type="dxa"/>
            <w:tcBorders>
              <w:top w:val="single" w:sz="4" w:space="0" w:color="000000"/>
              <w:left w:val="single" w:sz="8" w:space="0" w:color="000000"/>
              <w:bottom w:val="single" w:sz="4" w:space="0" w:color="000000"/>
            </w:tcBorders>
            <w:vAlign w:val="center"/>
          </w:tcPr>
          <w:p w14:paraId="779DD33A"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7CBD5E1D"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07D07D18"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645BAD40"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2C125E8C"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57C1E2B8" w14:textId="77777777" w:rsidR="00EB21F6" w:rsidRDefault="000176C0">
            <w:pPr>
              <w:jc w:val="both"/>
              <w:rPr>
                <w:rFonts w:ascii="Arial" w:eastAsia="Arial" w:hAnsi="Arial" w:cs="Arial"/>
              </w:rPr>
            </w:pPr>
            <w:r>
              <w:rPr>
                <w:rFonts w:ascii="Arial" w:eastAsia="Arial" w:hAnsi="Arial" w:cs="Arial"/>
              </w:rPr>
              <w:t>40%</w:t>
            </w:r>
          </w:p>
        </w:tc>
        <w:tc>
          <w:tcPr>
            <w:tcW w:w="811" w:type="dxa"/>
            <w:tcBorders>
              <w:top w:val="single" w:sz="4" w:space="0" w:color="000000"/>
              <w:left w:val="single" w:sz="8" w:space="0" w:color="000000"/>
              <w:bottom w:val="single" w:sz="4" w:space="0" w:color="000000"/>
            </w:tcBorders>
            <w:vAlign w:val="center"/>
          </w:tcPr>
          <w:p w14:paraId="4423A015"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25C12D68"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7EF7B835" w14:textId="77777777" w:rsidR="00EB21F6" w:rsidRDefault="000176C0">
            <w:pPr>
              <w:jc w:val="both"/>
              <w:rPr>
                <w:rFonts w:ascii="Arial" w:eastAsia="Arial" w:hAnsi="Arial" w:cs="Arial"/>
              </w:rPr>
            </w:pPr>
            <w:r>
              <w:rPr>
                <w:rFonts w:ascii="Arial" w:eastAsia="Arial" w:hAnsi="Arial" w:cs="Arial"/>
              </w:rPr>
              <w:t>40%</w:t>
            </w:r>
          </w:p>
        </w:tc>
      </w:tr>
      <w:tr w:rsidR="00EB21F6" w14:paraId="47CE47B8"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8E2DEBB" w14:textId="77777777" w:rsidR="00EB21F6" w:rsidRDefault="000176C0">
            <w:pPr>
              <w:jc w:val="both"/>
              <w:rPr>
                <w:rFonts w:ascii="Arial" w:eastAsia="Arial" w:hAnsi="Arial" w:cs="Arial"/>
              </w:rPr>
            </w:pPr>
            <w:r>
              <w:rPr>
                <w:rFonts w:ascii="Arial" w:eastAsia="Arial" w:hAnsi="Arial" w:cs="Arial"/>
              </w:rPr>
              <w:t>47</w:t>
            </w:r>
          </w:p>
        </w:tc>
        <w:tc>
          <w:tcPr>
            <w:tcW w:w="720" w:type="dxa"/>
            <w:tcBorders>
              <w:top w:val="single" w:sz="4" w:space="0" w:color="000000"/>
              <w:left w:val="single" w:sz="8" w:space="0" w:color="000000"/>
              <w:bottom w:val="single" w:sz="4" w:space="0" w:color="000000"/>
            </w:tcBorders>
            <w:vAlign w:val="center"/>
          </w:tcPr>
          <w:p w14:paraId="6287A22C"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08654BFA"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31206F11"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4451B053"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0CE62F21"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75AAC9B2"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3408A129"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A1B6029"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1744DC90" w14:textId="77777777" w:rsidR="00EB21F6" w:rsidRDefault="000176C0">
            <w:pPr>
              <w:jc w:val="both"/>
              <w:rPr>
                <w:rFonts w:ascii="Arial" w:eastAsia="Arial" w:hAnsi="Arial" w:cs="Arial"/>
              </w:rPr>
            </w:pPr>
            <w:r>
              <w:rPr>
                <w:rFonts w:ascii="Arial" w:eastAsia="Arial" w:hAnsi="Arial" w:cs="Arial"/>
              </w:rPr>
              <w:t>35%</w:t>
            </w:r>
          </w:p>
        </w:tc>
      </w:tr>
      <w:tr w:rsidR="00EB21F6" w14:paraId="517DD383"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4FA23BA7" w14:textId="77777777" w:rsidR="00EB21F6" w:rsidRDefault="000176C0">
            <w:pPr>
              <w:jc w:val="both"/>
              <w:rPr>
                <w:rFonts w:ascii="Arial" w:eastAsia="Arial" w:hAnsi="Arial" w:cs="Arial"/>
              </w:rPr>
            </w:pPr>
            <w:r>
              <w:rPr>
                <w:rFonts w:ascii="Arial" w:eastAsia="Arial" w:hAnsi="Arial" w:cs="Arial"/>
              </w:rPr>
              <w:t>48</w:t>
            </w:r>
          </w:p>
        </w:tc>
        <w:tc>
          <w:tcPr>
            <w:tcW w:w="720" w:type="dxa"/>
            <w:tcBorders>
              <w:top w:val="single" w:sz="4" w:space="0" w:color="000000"/>
              <w:left w:val="single" w:sz="8" w:space="0" w:color="000000"/>
              <w:bottom w:val="single" w:sz="4" w:space="0" w:color="000000"/>
            </w:tcBorders>
            <w:vAlign w:val="center"/>
          </w:tcPr>
          <w:p w14:paraId="1DD75F65"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6A73647B"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67E2A4C3"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7CD7C41F"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7C8BE00E"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1D1F7099"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5A2F6CA1"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68674E87"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5E3C7C6A" w14:textId="77777777" w:rsidR="00EB21F6" w:rsidRDefault="000176C0">
            <w:pPr>
              <w:jc w:val="both"/>
              <w:rPr>
                <w:rFonts w:ascii="Arial" w:eastAsia="Arial" w:hAnsi="Arial" w:cs="Arial"/>
              </w:rPr>
            </w:pPr>
            <w:r>
              <w:rPr>
                <w:rFonts w:ascii="Arial" w:eastAsia="Arial" w:hAnsi="Arial" w:cs="Arial"/>
              </w:rPr>
              <w:t>34%</w:t>
            </w:r>
          </w:p>
        </w:tc>
      </w:tr>
      <w:tr w:rsidR="00EB21F6" w14:paraId="026F0175"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3281CBC" w14:textId="77777777" w:rsidR="00EB21F6" w:rsidRDefault="000176C0">
            <w:pPr>
              <w:jc w:val="both"/>
              <w:rPr>
                <w:rFonts w:ascii="Arial" w:eastAsia="Arial" w:hAnsi="Arial" w:cs="Arial"/>
              </w:rPr>
            </w:pPr>
            <w:r>
              <w:rPr>
                <w:rFonts w:ascii="Arial" w:eastAsia="Arial" w:hAnsi="Arial" w:cs="Arial"/>
              </w:rPr>
              <w:t>49</w:t>
            </w:r>
          </w:p>
        </w:tc>
        <w:tc>
          <w:tcPr>
            <w:tcW w:w="720" w:type="dxa"/>
            <w:tcBorders>
              <w:top w:val="single" w:sz="4" w:space="0" w:color="000000"/>
              <w:left w:val="single" w:sz="8" w:space="0" w:color="000000"/>
              <w:bottom w:val="single" w:sz="4" w:space="0" w:color="000000"/>
            </w:tcBorders>
            <w:vAlign w:val="center"/>
          </w:tcPr>
          <w:p w14:paraId="14E33177"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6AED5B8C"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2EDE0857"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16F2BC76"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7934BFF3"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77B4B93F" w14:textId="77777777" w:rsidR="00EB21F6" w:rsidRDefault="000176C0">
            <w:pPr>
              <w:jc w:val="both"/>
              <w:rPr>
                <w:rFonts w:ascii="Arial" w:eastAsia="Arial" w:hAnsi="Arial" w:cs="Arial"/>
              </w:rPr>
            </w:pPr>
            <w:r>
              <w:rPr>
                <w:rFonts w:ascii="Arial" w:eastAsia="Arial" w:hAnsi="Arial" w:cs="Arial"/>
              </w:rPr>
              <w:t>36%</w:t>
            </w:r>
          </w:p>
        </w:tc>
        <w:tc>
          <w:tcPr>
            <w:tcW w:w="811" w:type="dxa"/>
            <w:tcBorders>
              <w:top w:val="single" w:sz="4" w:space="0" w:color="000000"/>
              <w:left w:val="single" w:sz="8" w:space="0" w:color="000000"/>
              <w:bottom w:val="single" w:sz="4" w:space="0" w:color="000000"/>
            </w:tcBorders>
            <w:vAlign w:val="center"/>
          </w:tcPr>
          <w:p w14:paraId="6B339C59"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3601E2EA"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016B0A19" w14:textId="77777777" w:rsidR="00EB21F6" w:rsidRDefault="000176C0">
            <w:pPr>
              <w:jc w:val="both"/>
              <w:rPr>
                <w:rFonts w:ascii="Arial" w:eastAsia="Arial" w:hAnsi="Arial" w:cs="Arial"/>
              </w:rPr>
            </w:pPr>
            <w:r>
              <w:rPr>
                <w:rFonts w:ascii="Arial" w:eastAsia="Arial" w:hAnsi="Arial" w:cs="Arial"/>
              </w:rPr>
              <w:t>34%</w:t>
            </w:r>
          </w:p>
        </w:tc>
      </w:tr>
      <w:tr w:rsidR="00EB21F6" w14:paraId="1C3BE90F"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77978499" w14:textId="77777777" w:rsidR="00EB21F6" w:rsidRDefault="000176C0">
            <w:pPr>
              <w:jc w:val="both"/>
              <w:rPr>
                <w:rFonts w:ascii="Arial" w:eastAsia="Arial" w:hAnsi="Arial" w:cs="Arial"/>
              </w:rPr>
            </w:pPr>
            <w:r>
              <w:rPr>
                <w:rFonts w:ascii="Arial" w:eastAsia="Arial" w:hAnsi="Arial" w:cs="Arial"/>
              </w:rPr>
              <w:t>50</w:t>
            </w:r>
          </w:p>
        </w:tc>
        <w:tc>
          <w:tcPr>
            <w:tcW w:w="720" w:type="dxa"/>
            <w:tcBorders>
              <w:top w:val="single" w:sz="4" w:space="0" w:color="000000"/>
              <w:left w:val="single" w:sz="8" w:space="0" w:color="000000"/>
              <w:bottom w:val="single" w:sz="4" w:space="0" w:color="000000"/>
            </w:tcBorders>
            <w:vAlign w:val="center"/>
          </w:tcPr>
          <w:p w14:paraId="0AC6D589"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08FA9BF3"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113D6F14"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7CDB15C6"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7BDF4004"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3EA7D9A8" w14:textId="77777777" w:rsidR="00EB21F6" w:rsidRDefault="000176C0">
            <w:pPr>
              <w:jc w:val="both"/>
              <w:rPr>
                <w:rFonts w:ascii="Arial" w:eastAsia="Arial" w:hAnsi="Arial" w:cs="Arial"/>
              </w:rPr>
            </w:pPr>
            <w:r>
              <w:rPr>
                <w:rFonts w:ascii="Arial" w:eastAsia="Arial" w:hAnsi="Arial" w:cs="Arial"/>
              </w:rPr>
              <w:t>37%</w:t>
            </w:r>
          </w:p>
        </w:tc>
        <w:tc>
          <w:tcPr>
            <w:tcW w:w="811" w:type="dxa"/>
            <w:tcBorders>
              <w:top w:val="single" w:sz="4" w:space="0" w:color="000000"/>
              <w:left w:val="single" w:sz="8" w:space="0" w:color="000000"/>
              <w:bottom w:val="single" w:sz="4" w:space="0" w:color="000000"/>
            </w:tcBorders>
            <w:vAlign w:val="center"/>
          </w:tcPr>
          <w:p w14:paraId="4855D3C7"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1FAA59A7"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653E25C5" w14:textId="77777777" w:rsidR="00EB21F6" w:rsidRDefault="000176C0">
            <w:pPr>
              <w:jc w:val="both"/>
              <w:rPr>
                <w:rFonts w:ascii="Arial" w:eastAsia="Arial" w:hAnsi="Arial" w:cs="Arial"/>
              </w:rPr>
            </w:pPr>
            <w:r>
              <w:rPr>
                <w:rFonts w:ascii="Arial" w:eastAsia="Arial" w:hAnsi="Arial" w:cs="Arial"/>
              </w:rPr>
              <w:t>37%</w:t>
            </w:r>
          </w:p>
        </w:tc>
      </w:tr>
      <w:tr w:rsidR="00EB21F6" w14:paraId="2C083249"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4168ACE8" w14:textId="77777777" w:rsidR="00EB21F6" w:rsidRDefault="000176C0">
            <w:pPr>
              <w:jc w:val="both"/>
              <w:rPr>
                <w:rFonts w:ascii="Arial" w:eastAsia="Arial" w:hAnsi="Arial" w:cs="Arial"/>
              </w:rPr>
            </w:pPr>
            <w:r>
              <w:rPr>
                <w:rFonts w:ascii="Arial" w:eastAsia="Arial" w:hAnsi="Arial" w:cs="Arial"/>
              </w:rPr>
              <w:t>51</w:t>
            </w:r>
          </w:p>
        </w:tc>
        <w:tc>
          <w:tcPr>
            <w:tcW w:w="720" w:type="dxa"/>
            <w:tcBorders>
              <w:top w:val="single" w:sz="4" w:space="0" w:color="000000"/>
              <w:left w:val="single" w:sz="8" w:space="0" w:color="000000"/>
              <w:bottom w:val="single" w:sz="4" w:space="0" w:color="000000"/>
            </w:tcBorders>
            <w:vAlign w:val="center"/>
          </w:tcPr>
          <w:p w14:paraId="67BE0C8E"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00F4A059"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43B81401"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07E44183"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5AB1E0AE" w14:textId="77777777" w:rsidR="00EB21F6" w:rsidRDefault="000176C0">
            <w:pPr>
              <w:jc w:val="both"/>
              <w:rPr>
                <w:rFonts w:ascii="Arial" w:eastAsia="Arial" w:hAnsi="Arial" w:cs="Arial"/>
              </w:rPr>
            </w:pPr>
            <w:r>
              <w:rPr>
                <w:rFonts w:ascii="Arial" w:eastAsia="Arial" w:hAnsi="Arial" w:cs="Arial"/>
              </w:rPr>
              <w:t>160</w:t>
            </w:r>
          </w:p>
        </w:tc>
        <w:tc>
          <w:tcPr>
            <w:tcW w:w="1004" w:type="dxa"/>
            <w:tcBorders>
              <w:top w:val="single" w:sz="4" w:space="0" w:color="000000"/>
              <w:bottom w:val="single" w:sz="4" w:space="0" w:color="000000"/>
              <w:right w:val="single" w:sz="8" w:space="0" w:color="000000"/>
            </w:tcBorders>
            <w:vAlign w:val="center"/>
          </w:tcPr>
          <w:p w14:paraId="750565D9" w14:textId="77777777" w:rsidR="00EB21F6" w:rsidRDefault="000176C0">
            <w:pPr>
              <w:jc w:val="both"/>
              <w:rPr>
                <w:rFonts w:ascii="Arial" w:eastAsia="Arial" w:hAnsi="Arial" w:cs="Arial"/>
              </w:rPr>
            </w:pPr>
            <w:r>
              <w:rPr>
                <w:rFonts w:ascii="Arial" w:eastAsia="Arial" w:hAnsi="Arial" w:cs="Arial"/>
              </w:rPr>
              <w:t>35%</w:t>
            </w:r>
          </w:p>
        </w:tc>
        <w:tc>
          <w:tcPr>
            <w:tcW w:w="811" w:type="dxa"/>
            <w:tcBorders>
              <w:top w:val="single" w:sz="4" w:space="0" w:color="000000"/>
              <w:left w:val="single" w:sz="8" w:space="0" w:color="000000"/>
              <w:bottom w:val="single" w:sz="4" w:space="0" w:color="000000"/>
            </w:tcBorders>
            <w:vAlign w:val="center"/>
          </w:tcPr>
          <w:p w14:paraId="6B213296"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739E8EF6"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24DF77EB" w14:textId="77777777" w:rsidR="00EB21F6" w:rsidRDefault="000176C0">
            <w:pPr>
              <w:jc w:val="both"/>
              <w:rPr>
                <w:rFonts w:ascii="Arial" w:eastAsia="Arial" w:hAnsi="Arial" w:cs="Arial"/>
              </w:rPr>
            </w:pPr>
            <w:r>
              <w:rPr>
                <w:rFonts w:ascii="Arial" w:eastAsia="Arial" w:hAnsi="Arial" w:cs="Arial"/>
              </w:rPr>
              <w:t>32%</w:t>
            </w:r>
          </w:p>
        </w:tc>
      </w:tr>
      <w:tr w:rsidR="00EB21F6" w14:paraId="7A40B1C8"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517DF209" w14:textId="77777777" w:rsidR="00EB21F6" w:rsidRDefault="000176C0">
            <w:pPr>
              <w:jc w:val="both"/>
              <w:rPr>
                <w:rFonts w:ascii="Arial" w:eastAsia="Arial" w:hAnsi="Arial" w:cs="Arial"/>
              </w:rPr>
            </w:pPr>
            <w:r>
              <w:rPr>
                <w:rFonts w:ascii="Arial" w:eastAsia="Arial" w:hAnsi="Arial" w:cs="Arial"/>
              </w:rPr>
              <w:t>52</w:t>
            </w:r>
          </w:p>
        </w:tc>
        <w:tc>
          <w:tcPr>
            <w:tcW w:w="720" w:type="dxa"/>
            <w:tcBorders>
              <w:top w:val="single" w:sz="4" w:space="0" w:color="000000"/>
              <w:left w:val="single" w:sz="8" w:space="0" w:color="000000"/>
              <w:bottom w:val="single" w:sz="4" w:space="0" w:color="000000"/>
            </w:tcBorders>
            <w:vAlign w:val="center"/>
          </w:tcPr>
          <w:p w14:paraId="67BB231A"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113E8280"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26212B1D"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617FBD5E"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7C90A413"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53F36071" w14:textId="77777777" w:rsidR="00EB21F6" w:rsidRDefault="000176C0">
            <w:pPr>
              <w:jc w:val="both"/>
              <w:rPr>
                <w:rFonts w:ascii="Arial" w:eastAsia="Arial" w:hAnsi="Arial" w:cs="Arial"/>
              </w:rPr>
            </w:pPr>
            <w:r>
              <w:rPr>
                <w:rFonts w:ascii="Arial" w:eastAsia="Arial" w:hAnsi="Arial" w:cs="Arial"/>
              </w:rPr>
              <w:t>39%</w:t>
            </w:r>
          </w:p>
        </w:tc>
        <w:tc>
          <w:tcPr>
            <w:tcW w:w="811" w:type="dxa"/>
            <w:tcBorders>
              <w:top w:val="single" w:sz="4" w:space="0" w:color="000000"/>
              <w:left w:val="single" w:sz="8" w:space="0" w:color="000000"/>
              <w:bottom w:val="single" w:sz="4" w:space="0" w:color="000000"/>
            </w:tcBorders>
            <w:vAlign w:val="center"/>
          </w:tcPr>
          <w:p w14:paraId="3AC7AC7D"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1930FE4C"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079856A5" w14:textId="77777777" w:rsidR="00EB21F6" w:rsidRDefault="000176C0">
            <w:pPr>
              <w:jc w:val="both"/>
              <w:rPr>
                <w:rFonts w:ascii="Arial" w:eastAsia="Arial" w:hAnsi="Arial" w:cs="Arial"/>
              </w:rPr>
            </w:pPr>
            <w:r>
              <w:rPr>
                <w:rFonts w:ascii="Arial" w:eastAsia="Arial" w:hAnsi="Arial" w:cs="Arial"/>
              </w:rPr>
              <w:t>36%</w:t>
            </w:r>
          </w:p>
        </w:tc>
      </w:tr>
      <w:tr w:rsidR="00EB21F6" w14:paraId="38A8F2B9"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1EF14E8D" w14:textId="77777777" w:rsidR="00EB21F6" w:rsidRDefault="000176C0">
            <w:pPr>
              <w:jc w:val="both"/>
              <w:rPr>
                <w:rFonts w:ascii="Arial" w:eastAsia="Arial" w:hAnsi="Arial" w:cs="Arial"/>
              </w:rPr>
            </w:pPr>
            <w:r>
              <w:rPr>
                <w:rFonts w:ascii="Arial" w:eastAsia="Arial" w:hAnsi="Arial" w:cs="Arial"/>
              </w:rPr>
              <w:t>53</w:t>
            </w:r>
          </w:p>
        </w:tc>
        <w:tc>
          <w:tcPr>
            <w:tcW w:w="720" w:type="dxa"/>
            <w:tcBorders>
              <w:top w:val="single" w:sz="4" w:space="0" w:color="000000"/>
              <w:left w:val="single" w:sz="8" w:space="0" w:color="000000"/>
              <w:bottom w:val="single" w:sz="4" w:space="0" w:color="000000"/>
            </w:tcBorders>
            <w:vAlign w:val="center"/>
          </w:tcPr>
          <w:p w14:paraId="2A5F4BAB"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24E6ADCC"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40A63A4F"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4417C250"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5E865A31"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633EEF8D" w14:textId="77777777" w:rsidR="00EB21F6" w:rsidRDefault="000176C0">
            <w:pPr>
              <w:jc w:val="both"/>
              <w:rPr>
                <w:rFonts w:ascii="Arial" w:eastAsia="Arial" w:hAnsi="Arial" w:cs="Arial"/>
              </w:rPr>
            </w:pPr>
            <w:r>
              <w:rPr>
                <w:rFonts w:ascii="Arial" w:eastAsia="Arial" w:hAnsi="Arial" w:cs="Arial"/>
              </w:rPr>
              <w:t>37%</w:t>
            </w:r>
          </w:p>
        </w:tc>
        <w:tc>
          <w:tcPr>
            <w:tcW w:w="811" w:type="dxa"/>
            <w:tcBorders>
              <w:top w:val="single" w:sz="4" w:space="0" w:color="000000"/>
              <w:left w:val="single" w:sz="8" w:space="0" w:color="000000"/>
              <w:bottom w:val="single" w:sz="4" w:space="0" w:color="000000"/>
            </w:tcBorders>
            <w:vAlign w:val="center"/>
          </w:tcPr>
          <w:p w14:paraId="0078E7B1"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395D2141"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44D19E0B" w14:textId="77777777" w:rsidR="00EB21F6" w:rsidRDefault="000176C0">
            <w:pPr>
              <w:jc w:val="both"/>
              <w:rPr>
                <w:rFonts w:ascii="Arial" w:eastAsia="Arial" w:hAnsi="Arial" w:cs="Arial"/>
              </w:rPr>
            </w:pPr>
            <w:r>
              <w:rPr>
                <w:rFonts w:ascii="Arial" w:eastAsia="Arial" w:hAnsi="Arial" w:cs="Arial"/>
              </w:rPr>
              <w:t>37%</w:t>
            </w:r>
          </w:p>
        </w:tc>
      </w:tr>
      <w:tr w:rsidR="00EB21F6" w14:paraId="52D387F0"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44747E2C" w14:textId="77777777" w:rsidR="00EB21F6" w:rsidRDefault="000176C0">
            <w:pPr>
              <w:jc w:val="both"/>
              <w:rPr>
                <w:rFonts w:ascii="Arial" w:eastAsia="Arial" w:hAnsi="Arial" w:cs="Arial"/>
              </w:rPr>
            </w:pPr>
            <w:r>
              <w:rPr>
                <w:rFonts w:ascii="Arial" w:eastAsia="Arial" w:hAnsi="Arial" w:cs="Arial"/>
              </w:rPr>
              <w:t>54</w:t>
            </w:r>
          </w:p>
        </w:tc>
        <w:tc>
          <w:tcPr>
            <w:tcW w:w="720" w:type="dxa"/>
            <w:tcBorders>
              <w:top w:val="single" w:sz="4" w:space="0" w:color="000000"/>
              <w:left w:val="single" w:sz="8" w:space="0" w:color="000000"/>
              <w:bottom w:val="single" w:sz="4" w:space="0" w:color="000000"/>
            </w:tcBorders>
            <w:vAlign w:val="center"/>
          </w:tcPr>
          <w:p w14:paraId="44192517"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13B0CBA9"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0081BFE1"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0CAAD808"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112E74B7"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3E404C3C" w14:textId="77777777" w:rsidR="00EB21F6" w:rsidRDefault="000176C0">
            <w:pPr>
              <w:jc w:val="both"/>
              <w:rPr>
                <w:rFonts w:ascii="Arial" w:eastAsia="Arial" w:hAnsi="Arial" w:cs="Arial"/>
              </w:rPr>
            </w:pPr>
            <w:r>
              <w:rPr>
                <w:rFonts w:ascii="Arial" w:eastAsia="Arial" w:hAnsi="Arial" w:cs="Arial"/>
              </w:rPr>
              <w:t>39%</w:t>
            </w:r>
          </w:p>
        </w:tc>
        <w:tc>
          <w:tcPr>
            <w:tcW w:w="811" w:type="dxa"/>
            <w:tcBorders>
              <w:top w:val="single" w:sz="4" w:space="0" w:color="000000"/>
              <w:left w:val="single" w:sz="8" w:space="0" w:color="000000"/>
              <w:bottom w:val="single" w:sz="4" w:space="0" w:color="000000"/>
            </w:tcBorders>
            <w:vAlign w:val="center"/>
          </w:tcPr>
          <w:p w14:paraId="43B98163"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3EA57E31"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6DE705B9" w14:textId="77777777" w:rsidR="00EB21F6" w:rsidRDefault="000176C0">
            <w:pPr>
              <w:jc w:val="both"/>
              <w:rPr>
                <w:rFonts w:ascii="Arial" w:eastAsia="Arial" w:hAnsi="Arial" w:cs="Arial"/>
              </w:rPr>
            </w:pPr>
            <w:r>
              <w:rPr>
                <w:rFonts w:ascii="Arial" w:eastAsia="Arial" w:hAnsi="Arial" w:cs="Arial"/>
              </w:rPr>
              <w:t>36%</w:t>
            </w:r>
          </w:p>
        </w:tc>
      </w:tr>
      <w:tr w:rsidR="00EB21F6" w14:paraId="5B860638"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1812D43D" w14:textId="77777777" w:rsidR="00EB21F6" w:rsidRDefault="000176C0">
            <w:pPr>
              <w:jc w:val="both"/>
              <w:rPr>
                <w:rFonts w:ascii="Arial" w:eastAsia="Arial" w:hAnsi="Arial" w:cs="Arial"/>
              </w:rPr>
            </w:pPr>
            <w:r>
              <w:rPr>
                <w:rFonts w:ascii="Arial" w:eastAsia="Arial" w:hAnsi="Arial" w:cs="Arial"/>
              </w:rPr>
              <w:t>55</w:t>
            </w:r>
          </w:p>
        </w:tc>
        <w:tc>
          <w:tcPr>
            <w:tcW w:w="720" w:type="dxa"/>
            <w:tcBorders>
              <w:top w:val="single" w:sz="4" w:space="0" w:color="000000"/>
              <w:left w:val="single" w:sz="8" w:space="0" w:color="000000"/>
              <w:bottom w:val="single" w:sz="4" w:space="0" w:color="000000"/>
            </w:tcBorders>
            <w:vAlign w:val="center"/>
          </w:tcPr>
          <w:p w14:paraId="2564D7AB"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28B274BE"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61356AA6"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59494309" w14:textId="77777777" w:rsidR="00EB21F6" w:rsidRDefault="000176C0">
            <w:pPr>
              <w:jc w:val="both"/>
              <w:rPr>
                <w:rFonts w:ascii="Arial" w:eastAsia="Arial" w:hAnsi="Arial" w:cs="Arial"/>
              </w:rPr>
            </w:pPr>
            <w:r>
              <w:rPr>
                <w:rFonts w:ascii="Arial" w:eastAsia="Arial" w:hAnsi="Arial" w:cs="Arial"/>
              </w:rPr>
              <w:t>Not seen</w:t>
            </w:r>
          </w:p>
        </w:tc>
        <w:tc>
          <w:tcPr>
            <w:tcW w:w="796" w:type="dxa"/>
            <w:tcBorders>
              <w:top w:val="single" w:sz="4" w:space="0" w:color="000000"/>
              <w:bottom w:val="single" w:sz="4" w:space="0" w:color="000000"/>
            </w:tcBorders>
            <w:vAlign w:val="center"/>
          </w:tcPr>
          <w:p w14:paraId="6A9D9D37"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3BA524DE" w14:textId="77777777" w:rsidR="00EB21F6" w:rsidRDefault="000176C0">
            <w:pPr>
              <w:jc w:val="both"/>
              <w:rPr>
                <w:rFonts w:ascii="Arial" w:eastAsia="Arial" w:hAnsi="Arial" w:cs="Arial"/>
              </w:rPr>
            </w:pPr>
            <w:r>
              <w:rPr>
                <w:rFonts w:ascii="Arial" w:eastAsia="Arial" w:hAnsi="Arial" w:cs="Arial"/>
              </w:rPr>
              <w:t>40%</w:t>
            </w:r>
          </w:p>
        </w:tc>
        <w:tc>
          <w:tcPr>
            <w:tcW w:w="811" w:type="dxa"/>
            <w:tcBorders>
              <w:top w:val="single" w:sz="4" w:space="0" w:color="000000"/>
              <w:left w:val="single" w:sz="8" w:space="0" w:color="000000"/>
              <w:bottom w:val="single" w:sz="4" w:space="0" w:color="000000"/>
            </w:tcBorders>
            <w:vAlign w:val="center"/>
          </w:tcPr>
          <w:p w14:paraId="498422FA"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6D3EB1DA"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1939DAA7" w14:textId="77777777" w:rsidR="00EB21F6" w:rsidRDefault="000176C0">
            <w:pPr>
              <w:jc w:val="both"/>
              <w:rPr>
                <w:rFonts w:ascii="Arial" w:eastAsia="Arial" w:hAnsi="Arial" w:cs="Arial"/>
              </w:rPr>
            </w:pPr>
            <w:r>
              <w:rPr>
                <w:rFonts w:ascii="Arial" w:eastAsia="Arial" w:hAnsi="Arial" w:cs="Arial"/>
              </w:rPr>
              <w:t>40%</w:t>
            </w:r>
          </w:p>
        </w:tc>
      </w:tr>
      <w:tr w:rsidR="00EB21F6" w14:paraId="7885EE1B"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FA96C1C" w14:textId="77777777" w:rsidR="00EB21F6" w:rsidRDefault="000176C0">
            <w:pPr>
              <w:jc w:val="both"/>
              <w:rPr>
                <w:rFonts w:ascii="Arial" w:eastAsia="Arial" w:hAnsi="Arial" w:cs="Arial"/>
              </w:rPr>
            </w:pPr>
            <w:r>
              <w:rPr>
                <w:rFonts w:ascii="Arial" w:eastAsia="Arial" w:hAnsi="Arial" w:cs="Arial"/>
              </w:rPr>
              <w:t>56</w:t>
            </w:r>
          </w:p>
        </w:tc>
        <w:tc>
          <w:tcPr>
            <w:tcW w:w="720" w:type="dxa"/>
            <w:tcBorders>
              <w:top w:val="single" w:sz="4" w:space="0" w:color="000000"/>
              <w:left w:val="single" w:sz="8" w:space="0" w:color="000000"/>
              <w:bottom w:val="single" w:sz="4" w:space="0" w:color="000000"/>
            </w:tcBorders>
            <w:vAlign w:val="center"/>
          </w:tcPr>
          <w:p w14:paraId="61A538E0"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1A83C6E3"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4C71C051"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42EBB2B3"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67335D9C" w14:textId="77777777" w:rsidR="00EB21F6" w:rsidRDefault="000176C0">
            <w:pPr>
              <w:jc w:val="both"/>
              <w:rPr>
                <w:rFonts w:ascii="Arial" w:eastAsia="Arial" w:hAnsi="Arial" w:cs="Arial"/>
              </w:rPr>
            </w:pPr>
            <w:r>
              <w:rPr>
                <w:rFonts w:ascii="Arial" w:eastAsia="Arial" w:hAnsi="Arial" w:cs="Arial"/>
              </w:rPr>
              <w:t>160</w:t>
            </w:r>
          </w:p>
        </w:tc>
        <w:tc>
          <w:tcPr>
            <w:tcW w:w="1004" w:type="dxa"/>
            <w:tcBorders>
              <w:top w:val="single" w:sz="4" w:space="0" w:color="000000"/>
              <w:bottom w:val="single" w:sz="4" w:space="0" w:color="000000"/>
              <w:right w:val="single" w:sz="8" w:space="0" w:color="000000"/>
            </w:tcBorders>
            <w:vAlign w:val="center"/>
          </w:tcPr>
          <w:p w14:paraId="389B08AF" w14:textId="77777777" w:rsidR="00EB21F6" w:rsidRDefault="000176C0">
            <w:pPr>
              <w:jc w:val="both"/>
              <w:rPr>
                <w:rFonts w:ascii="Arial" w:eastAsia="Arial" w:hAnsi="Arial" w:cs="Arial"/>
              </w:rPr>
            </w:pPr>
            <w:r>
              <w:rPr>
                <w:rFonts w:ascii="Arial" w:eastAsia="Arial" w:hAnsi="Arial" w:cs="Arial"/>
              </w:rPr>
              <w:t>36%</w:t>
            </w:r>
          </w:p>
        </w:tc>
        <w:tc>
          <w:tcPr>
            <w:tcW w:w="811" w:type="dxa"/>
            <w:tcBorders>
              <w:top w:val="single" w:sz="4" w:space="0" w:color="000000"/>
              <w:left w:val="single" w:sz="8" w:space="0" w:color="000000"/>
              <w:bottom w:val="single" w:sz="4" w:space="0" w:color="000000"/>
            </w:tcBorders>
            <w:vAlign w:val="center"/>
          </w:tcPr>
          <w:p w14:paraId="2EA8E157"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1FD99030"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787D4326" w14:textId="77777777" w:rsidR="00EB21F6" w:rsidRDefault="000176C0">
            <w:pPr>
              <w:jc w:val="both"/>
              <w:rPr>
                <w:rFonts w:ascii="Arial" w:eastAsia="Arial" w:hAnsi="Arial" w:cs="Arial"/>
              </w:rPr>
            </w:pPr>
            <w:r>
              <w:rPr>
                <w:rFonts w:ascii="Arial" w:eastAsia="Arial" w:hAnsi="Arial" w:cs="Arial"/>
              </w:rPr>
              <w:t>32%</w:t>
            </w:r>
          </w:p>
        </w:tc>
      </w:tr>
      <w:tr w:rsidR="00EB21F6" w14:paraId="58ABEC5E"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450C71D4" w14:textId="77777777" w:rsidR="00EB21F6" w:rsidRDefault="000176C0">
            <w:pPr>
              <w:jc w:val="both"/>
              <w:rPr>
                <w:rFonts w:ascii="Arial" w:eastAsia="Arial" w:hAnsi="Arial" w:cs="Arial"/>
              </w:rPr>
            </w:pPr>
            <w:r>
              <w:rPr>
                <w:rFonts w:ascii="Arial" w:eastAsia="Arial" w:hAnsi="Arial" w:cs="Arial"/>
              </w:rPr>
              <w:t>57</w:t>
            </w:r>
          </w:p>
        </w:tc>
        <w:tc>
          <w:tcPr>
            <w:tcW w:w="720" w:type="dxa"/>
            <w:tcBorders>
              <w:top w:val="single" w:sz="4" w:space="0" w:color="000000"/>
              <w:left w:val="single" w:sz="8" w:space="0" w:color="000000"/>
              <w:bottom w:val="single" w:sz="4" w:space="0" w:color="000000"/>
            </w:tcBorders>
            <w:vAlign w:val="center"/>
          </w:tcPr>
          <w:p w14:paraId="09779AC6"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4C795FB7"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6759DBC0"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7D5040A5" w14:textId="77777777" w:rsidR="00EB21F6" w:rsidRDefault="000176C0">
            <w:pPr>
              <w:jc w:val="both"/>
              <w:rPr>
                <w:rFonts w:ascii="Arial" w:eastAsia="Arial" w:hAnsi="Arial" w:cs="Arial"/>
              </w:rPr>
            </w:pPr>
            <w:r>
              <w:rPr>
                <w:rFonts w:ascii="Arial" w:eastAsia="Arial" w:hAnsi="Arial" w:cs="Arial"/>
              </w:rPr>
              <w:t>Not seen</w:t>
            </w:r>
          </w:p>
        </w:tc>
        <w:tc>
          <w:tcPr>
            <w:tcW w:w="796" w:type="dxa"/>
            <w:tcBorders>
              <w:top w:val="single" w:sz="4" w:space="0" w:color="000000"/>
              <w:bottom w:val="single" w:sz="4" w:space="0" w:color="000000"/>
            </w:tcBorders>
            <w:vAlign w:val="center"/>
          </w:tcPr>
          <w:p w14:paraId="0ACCE95D"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72214C28" w14:textId="77777777" w:rsidR="00EB21F6" w:rsidRDefault="000176C0">
            <w:pPr>
              <w:jc w:val="both"/>
              <w:rPr>
                <w:rFonts w:ascii="Arial" w:eastAsia="Arial" w:hAnsi="Arial" w:cs="Arial"/>
              </w:rPr>
            </w:pPr>
            <w:r>
              <w:rPr>
                <w:rFonts w:ascii="Arial" w:eastAsia="Arial" w:hAnsi="Arial" w:cs="Arial"/>
              </w:rPr>
              <w:t>37%</w:t>
            </w:r>
          </w:p>
        </w:tc>
        <w:tc>
          <w:tcPr>
            <w:tcW w:w="811" w:type="dxa"/>
            <w:tcBorders>
              <w:top w:val="single" w:sz="4" w:space="0" w:color="000000"/>
              <w:left w:val="single" w:sz="8" w:space="0" w:color="000000"/>
              <w:bottom w:val="single" w:sz="4" w:space="0" w:color="000000"/>
            </w:tcBorders>
            <w:vAlign w:val="center"/>
          </w:tcPr>
          <w:p w14:paraId="02737D4A"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239A42F2"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70070732" w14:textId="77777777" w:rsidR="00EB21F6" w:rsidRDefault="000176C0">
            <w:pPr>
              <w:jc w:val="both"/>
              <w:rPr>
                <w:rFonts w:ascii="Arial" w:eastAsia="Arial" w:hAnsi="Arial" w:cs="Arial"/>
              </w:rPr>
            </w:pPr>
            <w:r>
              <w:rPr>
                <w:rFonts w:ascii="Arial" w:eastAsia="Arial" w:hAnsi="Arial" w:cs="Arial"/>
              </w:rPr>
              <w:t>37%</w:t>
            </w:r>
          </w:p>
        </w:tc>
      </w:tr>
      <w:tr w:rsidR="00EB21F6" w14:paraId="68DD9A27"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5697BEDE" w14:textId="77777777" w:rsidR="00EB21F6" w:rsidRDefault="000176C0">
            <w:pPr>
              <w:jc w:val="both"/>
              <w:rPr>
                <w:rFonts w:ascii="Arial" w:eastAsia="Arial" w:hAnsi="Arial" w:cs="Arial"/>
              </w:rPr>
            </w:pPr>
            <w:r>
              <w:rPr>
                <w:rFonts w:ascii="Arial" w:eastAsia="Arial" w:hAnsi="Arial" w:cs="Arial"/>
              </w:rPr>
              <w:t>58</w:t>
            </w:r>
          </w:p>
        </w:tc>
        <w:tc>
          <w:tcPr>
            <w:tcW w:w="720" w:type="dxa"/>
            <w:tcBorders>
              <w:top w:val="single" w:sz="4" w:space="0" w:color="000000"/>
              <w:left w:val="single" w:sz="8" w:space="0" w:color="000000"/>
              <w:bottom w:val="single" w:sz="4" w:space="0" w:color="000000"/>
            </w:tcBorders>
            <w:vAlign w:val="center"/>
          </w:tcPr>
          <w:p w14:paraId="168239FF"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1CF79BF8"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622732A3"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14CE843D"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51B3D6A6"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7B3E8ADF" w14:textId="77777777" w:rsidR="00EB21F6" w:rsidRDefault="000176C0">
            <w:pPr>
              <w:jc w:val="both"/>
              <w:rPr>
                <w:rFonts w:ascii="Arial" w:eastAsia="Arial" w:hAnsi="Arial" w:cs="Arial"/>
              </w:rPr>
            </w:pPr>
            <w:r>
              <w:rPr>
                <w:rFonts w:ascii="Arial" w:eastAsia="Arial" w:hAnsi="Arial" w:cs="Arial"/>
              </w:rPr>
              <w:t>38%</w:t>
            </w:r>
          </w:p>
        </w:tc>
        <w:tc>
          <w:tcPr>
            <w:tcW w:w="811" w:type="dxa"/>
            <w:tcBorders>
              <w:top w:val="single" w:sz="4" w:space="0" w:color="000000"/>
              <w:left w:val="single" w:sz="8" w:space="0" w:color="000000"/>
              <w:bottom w:val="single" w:sz="4" w:space="0" w:color="000000"/>
            </w:tcBorders>
            <w:vAlign w:val="center"/>
          </w:tcPr>
          <w:p w14:paraId="296294C9"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45F29B97"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0747CF05" w14:textId="77777777" w:rsidR="00EB21F6" w:rsidRDefault="000176C0">
            <w:pPr>
              <w:jc w:val="both"/>
              <w:rPr>
                <w:rFonts w:ascii="Arial" w:eastAsia="Arial" w:hAnsi="Arial" w:cs="Arial"/>
              </w:rPr>
            </w:pPr>
            <w:r>
              <w:rPr>
                <w:rFonts w:ascii="Arial" w:eastAsia="Arial" w:hAnsi="Arial" w:cs="Arial"/>
              </w:rPr>
              <w:t>38%</w:t>
            </w:r>
          </w:p>
        </w:tc>
      </w:tr>
      <w:tr w:rsidR="00EB21F6" w14:paraId="087A1776"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186FB1DF" w14:textId="77777777" w:rsidR="00EB21F6" w:rsidRDefault="000176C0">
            <w:pPr>
              <w:jc w:val="both"/>
              <w:rPr>
                <w:rFonts w:ascii="Arial" w:eastAsia="Arial" w:hAnsi="Arial" w:cs="Arial"/>
              </w:rPr>
            </w:pPr>
            <w:r>
              <w:rPr>
                <w:rFonts w:ascii="Arial" w:eastAsia="Arial" w:hAnsi="Arial" w:cs="Arial"/>
              </w:rPr>
              <w:t>59</w:t>
            </w:r>
          </w:p>
        </w:tc>
        <w:tc>
          <w:tcPr>
            <w:tcW w:w="720" w:type="dxa"/>
            <w:tcBorders>
              <w:top w:val="single" w:sz="4" w:space="0" w:color="000000"/>
              <w:left w:val="single" w:sz="8" w:space="0" w:color="000000"/>
              <w:bottom w:val="single" w:sz="4" w:space="0" w:color="000000"/>
            </w:tcBorders>
            <w:vAlign w:val="center"/>
          </w:tcPr>
          <w:p w14:paraId="10077A7A"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09F25238"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3048F527"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79F1A597"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466A9C8C" w14:textId="77777777" w:rsidR="00EB21F6" w:rsidRDefault="000176C0">
            <w:pPr>
              <w:jc w:val="both"/>
              <w:rPr>
                <w:rFonts w:ascii="Arial" w:eastAsia="Arial" w:hAnsi="Arial" w:cs="Arial"/>
              </w:rPr>
            </w:pPr>
            <w:r>
              <w:rPr>
                <w:rFonts w:ascii="Arial" w:eastAsia="Arial" w:hAnsi="Arial" w:cs="Arial"/>
              </w:rPr>
              <w:t>20</w:t>
            </w:r>
          </w:p>
        </w:tc>
        <w:tc>
          <w:tcPr>
            <w:tcW w:w="1004" w:type="dxa"/>
            <w:tcBorders>
              <w:top w:val="single" w:sz="4" w:space="0" w:color="000000"/>
              <w:bottom w:val="single" w:sz="4" w:space="0" w:color="000000"/>
              <w:right w:val="single" w:sz="8" w:space="0" w:color="000000"/>
            </w:tcBorders>
            <w:vAlign w:val="center"/>
          </w:tcPr>
          <w:p w14:paraId="03048918" w14:textId="77777777" w:rsidR="00EB21F6" w:rsidRDefault="000176C0">
            <w:pPr>
              <w:jc w:val="both"/>
              <w:rPr>
                <w:rFonts w:ascii="Arial" w:eastAsia="Arial" w:hAnsi="Arial" w:cs="Arial"/>
              </w:rPr>
            </w:pPr>
            <w:r>
              <w:rPr>
                <w:rFonts w:ascii="Arial" w:eastAsia="Arial" w:hAnsi="Arial" w:cs="Arial"/>
              </w:rPr>
              <w:t>39%</w:t>
            </w:r>
          </w:p>
        </w:tc>
        <w:tc>
          <w:tcPr>
            <w:tcW w:w="811" w:type="dxa"/>
            <w:tcBorders>
              <w:top w:val="single" w:sz="4" w:space="0" w:color="000000"/>
              <w:left w:val="single" w:sz="8" w:space="0" w:color="000000"/>
              <w:bottom w:val="single" w:sz="4" w:space="0" w:color="000000"/>
            </w:tcBorders>
            <w:vAlign w:val="center"/>
          </w:tcPr>
          <w:p w14:paraId="600C1637"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4ABD142C"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52BBC4CF" w14:textId="77777777" w:rsidR="00EB21F6" w:rsidRDefault="000176C0">
            <w:pPr>
              <w:jc w:val="both"/>
              <w:rPr>
                <w:rFonts w:ascii="Arial" w:eastAsia="Arial" w:hAnsi="Arial" w:cs="Arial"/>
              </w:rPr>
            </w:pPr>
            <w:r>
              <w:rPr>
                <w:rFonts w:ascii="Arial" w:eastAsia="Arial" w:hAnsi="Arial" w:cs="Arial"/>
              </w:rPr>
              <w:t>39%</w:t>
            </w:r>
          </w:p>
        </w:tc>
      </w:tr>
      <w:tr w:rsidR="00EB21F6" w14:paraId="126CDC71"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4EE2D0AD" w14:textId="77777777" w:rsidR="00EB21F6" w:rsidRDefault="000176C0">
            <w:pPr>
              <w:jc w:val="both"/>
              <w:rPr>
                <w:rFonts w:ascii="Arial" w:eastAsia="Arial" w:hAnsi="Arial" w:cs="Arial"/>
              </w:rPr>
            </w:pPr>
            <w:r>
              <w:rPr>
                <w:rFonts w:ascii="Arial" w:eastAsia="Arial" w:hAnsi="Arial" w:cs="Arial"/>
              </w:rPr>
              <w:t>60</w:t>
            </w:r>
          </w:p>
        </w:tc>
        <w:tc>
          <w:tcPr>
            <w:tcW w:w="720" w:type="dxa"/>
            <w:tcBorders>
              <w:top w:val="single" w:sz="4" w:space="0" w:color="000000"/>
              <w:left w:val="single" w:sz="8" w:space="0" w:color="000000"/>
              <w:bottom w:val="single" w:sz="4" w:space="0" w:color="000000"/>
            </w:tcBorders>
            <w:vAlign w:val="center"/>
          </w:tcPr>
          <w:p w14:paraId="6E6C4946"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4B43E6C2"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06F882B6"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06BB389E" w14:textId="77777777" w:rsidR="00EB21F6" w:rsidRDefault="000176C0">
            <w:pPr>
              <w:jc w:val="both"/>
              <w:rPr>
                <w:rFonts w:ascii="Arial" w:eastAsia="Arial" w:hAnsi="Arial" w:cs="Arial"/>
              </w:rPr>
            </w:pPr>
            <w:r>
              <w:rPr>
                <w:rFonts w:ascii="Arial" w:eastAsia="Arial" w:hAnsi="Arial" w:cs="Arial"/>
              </w:rPr>
              <w:t>++</w:t>
            </w:r>
          </w:p>
        </w:tc>
        <w:tc>
          <w:tcPr>
            <w:tcW w:w="796" w:type="dxa"/>
            <w:tcBorders>
              <w:top w:val="single" w:sz="4" w:space="0" w:color="000000"/>
              <w:bottom w:val="single" w:sz="4" w:space="0" w:color="000000"/>
            </w:tcBorders>
            <w:vAlign w:val="center"/>
          </w:tcPr>
          <w:p w14:paraId="5777B73A" w14:textId="77777777" w:rsidR="00EB21F6" w:rsidRDefault="000176C0">
            <w:pPr>
              <w:jc w:val="both"/>
              <w:rPr>
                <w:rFonts w:ascii="Arial" w:eastAsia="Arial" w:hAnsi="Arial" w:cs="Arial"/>
              </w:rPr>
            </w:pPr>
            <w:r>
              <w:rPr>
                <w:rFonts w:ascii="Arial" w:eastAsia="Arial" w:hAnsi="Arial" w:cs="Arial"/>
              </w:rPr>
              <w:t>80</w:t>
            </w:r>
          </w:p>
        </w:tc>
        <w:tc>
          <w:tcPr>
            <w:tcW w:w="1004" w:type="dxa"/>
            <w:tcBorders>
              <w:top w:val="single" w:sz="4" w:space="0" w:color="000000"/>
              <w:bottom w:val="single" w:sz="4" w:space="0" w:color="000000"/>
              <w:right w:val="single" w:sz="8" w:space="0" w:color="000000"/>
            </w:tcBorders>
            <w:vAlign w:val="center"/>
          </w:tcPr>
          <w:p w14:paraId="26BCFDE5" w14:textId="77777777" w:rsidR="00EB21F6" w:rsidRDefault="000176C0">
            <w:pPr>
              <w:jc w:val="both"/>
              <w:rPr>
                <w:rFonts w:ascii="Arial" w:eastAsia="Arial" w:hAnsi="Arial" w:cs="Arial"/>
              </w:rPr>
            </w:pPr>
            <w:r>
              <w:rPr>
                <w:rFonts w:ascii="Arial" w:eastAsia="Arial" w:hAnsi="Arial" w:cs="Arial"/>
              </w:rPr>
              <w:t>30%</w:t>
            </w:r>
          </w:p>
        </w:tc>
        <w:tc>
          <w:tcPr>
            <w:tcW w:w="811" w:type="dxa"/>
            <w:tcBorders>
              <w:top w:val="single" w:sz="4" w:space="0" w:color="000000"/>
              <w:left w:val="single" w:sz="8" w:space="0" w:color="000000"/>
              <w:bottom w:val="single" w:sz="4" w:space="0" w:color="000000"/>
            </w:tcBorders>
            <w:vAlign w:val="center"/>
          </w:tcPr>
          <w:p w14:paraId="3B64FB28"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2C03F384"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2EA1DB75" w14:textId="77777777" w:rsidR="00EB21F6" w:rsidRDefault="000176C0">
            <w:pPr>
              <w:jc w:val="both"/>
              <w:rPr>
                <w:rFonts w:ascii="Arial" w:eastAsia="Arial" w:hAnsi="Arial" w:cs="Arial"/>
              </w:rPr>
            </w:pPr>
            <w:r>
              <w:rPr>
                <w:rFonts w:ascii="Arial" w:eastAsia="Arial" w:hAnsi="Arial" w:cs="Arial"/>
              </w:rPr>
              <w:t>30%</w:t>
            </w:r>
          </w:p>
        </w:tc>
      </w:tr>
      <w:tr w:rsidR="00EB21F6" w14:paraId="270AFCEE"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755192B8" w14:textId="77777777" w:rsidR="00EB21F6" w:rsidRDefault="000176C0">
            <w:pPr>
              <w:jc w:val="both"/>
              <w:rPr>
                <w:rFonts w:ascii="Arial" w:eastAsia="Arial" w:hAnsi="Arial" w:cs="Arial"/>
              </w:rPr>
            </w:pPr>
            <w:r>
              <w:rPr>
                <w:rFonts w:ascii="Arial" w:eastAsia="Arial" w:hAnsi="Arial" w:cs="Arial"/>
              </w:rPr>
              <w:t>61</w:t>
            </w:r>
          </w:p>
        </w:tc>
        <w:tc>
          <w:tcPr>
            <w:tcW w:w="720" w:type="dxa"/>
            <w:tcBorders>
              <w:top w:val="single" w:sz="4" w:space="0" w:color="000000"/>
              <w:left w:val="single" w:sz="8" w:space="0" w:color="000000"/>
              <w:bottom w:val="single" w:sz="4" w:space="0" w:color="000000"/>
            </w:tcBorders>
            <w:vAlign w:val="center"/>
          </w:tcPr>
          <w:p w14:paraId="55769B79"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423749E6"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5E1AC755"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445DEC5C"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62414F26"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7E865AD0"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0356E0FE"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37021477"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65D7E8CD" w14:textId="77777777" w:rsidR="00EB21F6" w:rsidRDefault="000176C0">
            <w:pPr>
              <w:jc w:val="both"/>
              <w:rPr>
                <w:rFonts w:ascii="Arial" w:eastAsia="Arial" w:hAnsi="Arial" w:cs="Arial"/>
              </w:rPr>
            </w:pPr>
            <w:r>
              <w:rPr>
                <w:rFonts w:ascii="Arial" w:eastAsia="Arial" w:hAnsi="Arial" w:cs="Arial"/>
              </w:rPr>
              <w:t>31%</w:t>
            </w:r>
          </w:p>
        </w:tc>
      </w:tr>
      <w:tr w:rsidR="00EB21F6" w14:paraId="6B842FB6"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B9604FC" w14:textId="77777777" w:rsidR="00EB21F6" w:rsidRDefault="000176C0">
            <w:pPr>
              <w:jc w:val="both"/>
              <w:rPr>
                <w:rFonts w:ascii="Arial" w:eastAsia="Arial" w:hAnsi="Arial" w:cs="Arial"/>
              </w:rPr>
            </w:pPr>
            <w:r>
              <w:rPr>
                <w:rFonts w:ascii="Arial" w:eastAsia="Arial" w:hAnsi="Arial" w:cs="Arial"/>
              </w:rPr>
              <w:t>62</w:t>
            </w:r>
          </w:p>
        </w:tc>
        <w:tc>
          <w:tcPr>
            <w:tcW w:w="720" w:type="dxa"/>
            <w:tcBorders>
              <w:top w:val="single" w:sz="4" w:space="0" w:color="000000"/>
              <w:left w:val="single" w:sz="8" w:space="0" w:color="000000"/>
              <w:bottom w:val="single" w:sz="4" w:space="0" w:color="000000"/>
            </w:tcBorders>
            <w:vAlign w:val="center"/>
          </w:tcPr>
          <w:p w14:paraId="754A1F2B"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379ABCEB"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464E466F"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43F0D99B"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09D8DB84"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5F6A0003"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008F619D"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17A07471"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019FD392" w14:textId="77777777" w:rsidR="00EB21F6" w:rsidRDefault="000176C0">
            <w:pPr>
              <w:jc w:val="both"/>
              <w:rPr>
                <w:rFonts w:ascii="Arial" w:eastAsia="Arial" w:hAnsi="Arial" w:cs="Arial"/>
              </w:rPr>
            </w:pPr>
            <w:r>
              <w:rPr>
                <w:rFonts w:ascii="Arial" w:eastAsia="Arial" w:hAnsi="Arial" w:cs="Arial"/>
              </w:rPr>
              <w:t>32%</w:t>
            </w:r>
          </w:p>
        </w:tc>
      </w:tr>
      <w:tr w:rsidR="00EB21F6" w14:paraId="6E0C2CEF"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49274CFF" w14:textId="77777777" w:rsidR="00EB21F6" w:rsidRDefault="000176C0">
            <w:pPr>
              <w:jc w:val="both"/>
              <w:rPr>
                <w:rFonts w:ascii="Arial" w:eastAsia="Arial" w:hAnsi="Arial" w:cs="Arial"/>
              </w:rPr>
            </w:pPr>
            <w:r>
              <w:rPr>
                <w:rFonts w:ascii="Arial" w:eastAsia="Arial" w:hAnsi="Arial" w:cs="Arial"/>
              </w:rPr>
              <w:t>63</w:t>
            </w:r>
          </w:p>
        </w:tc>
        <w:tc>
          <w:tcPr>
            <w:tcW w:w="720" w:type="dxa"/>
            <w:tcBorders>
              <w:top w:val="single" w:sz="4" w:space="0" w:color="000000"/>
              <w:left w:val="single" w:sz="8" w:space="0" w:color="000000"/>
              <w:bottom w:val="single" w:sz="4" w:space="0" w:color="000000"/>
            </w:tcBorders>
            <w:vAlign w:val="center"/>
          </w:tcPr>
          <w:p w14:paraId="03C1A13E"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36536964"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38FEFF10"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298BEB92"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77D902F2"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5B5305FC"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1B1968FE"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38DDA6F3"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2A5A877A" w14:textId="77777777" w:rsidR="00EB21F6" w:rsidRDefault="000176C0">
            <w:pPr>
              <w:jc w:val="both"/>
              <w:rPr>
                <w:rFonts w:ascii="Arial" w:eastAsia="Arial" w:hAnsi="Arial" w:cs="Arial"/>
              </w:rPr>
            </w:pPr>
            <w:r>
              <w:rPr>
                <w:rFonts w:ascii="Arial" w:eastAsia="Arial" w:hAnsi="Arial" w:cs="Arial"/>
              </w:rPr>
              <w:t>36%</w:t>
            </w:r>
          </w:p>
        </w:tc>
      </w:tr>
      <w:tr w:rsidR="00EB21F6" w14:paraId="724A1F2A"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424AFF4" w14:textId="77777777" w:rsidR="00EB21F6" w:rsidRDefault="000176C0">
            <w:pPr>
              <w:jc w:val="both"/>
              <w:rPr>
                <w:rFonts w:ascii="Arial" w:eastAsia="Arial" w:hAnsi="Arial" w:cs="Arial"/>
              </w:rPr>
            </w:pPr>
            <w:r>
              <w:rPr>
                <w:rFonts w:ascii="Arial" w:eastAsia="Arial" w:hAnsi="Arial" w:cs="Arial"/>
              </w:rPr>
              <w:t>64</w:t>
            </w:r>
          </w:p>
        </w:tc>
        <w:tc>
          <w:tcPr>
            <w:tcW w:w="720" w:type="dxa"/>
            <w:tcBorders>
              <w:top w:val="single" w:sz="4" w:space="0" w:color="000000"/>
              <w:left w:val="single" w:sz="8" w:space="0" w:color="000000"/>
              <w:bottom w:val="single" w:sz="4" w:space="0" w:color="000000"/>
            </w:tcBorders>
            <w:vAlign w:val="center"/>
          </w:tcPr>
          <w:p w14:paraId="6E7F0977"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1A9B14AA"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4A74901B"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74C9272F"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63F12BEF"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362F6563"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53516094" w14:textId="77777777" w:rsidR="00EB21F6" w:rsidRDefault="000176C0">
            <w:pPr>
              <w:jc w:val="both"/>
            </w:pPr>
            <w:r>
              <w:rPr>
                <w:rFonts w:ascii="Arial" w:eastAsia="Arial" w:hAnsi="Arial" w:cs="Arial"/>
              </w:rPr>
              <w:t>Not seen</w:t>
            </w:r>
          </w:p>
        </w:tc>
        <w:tc>
          <w:tcPr>
            <w:tcW w:w="779" w:type="dxa"/>
            <w:tcBorders>
              <w:top w:val="single" w:sz="4" w:space="0" w:color="000000"/>
              <w:bottom w:val="single" w:sz="4" w:space="0" w:color="000000"/>
            </w:tcBorders>
            <w:vAlign w:val="center"/>
          </w:tcPr>
          <w:p w14:paraId="73F2F0E5"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4A1066F2" w14:textId="77777777" w:rsidR="00EB21F6" w:rsidRDefault="000176C0">
            <w:pPr>
              <w:jc w:val="both"/>
              <w:rPr>
                <w:rFonts w:ascii="Arial" w:eastAsia="Arial" w:hAnsi="Arial" w:cs="Arial"/>
              </w:rPr>
            </w:pPr>
            <w:r>
              <w:rPr>
                <w:rFonts w:ascii="Arial" w:eastAsia="Arial" w:hAnsi="Arial" w:cs="Arial"/>
              </w:rPr>
              <w:t>34%</w:t>
            </w:r>
          </w:p>
        </w:tc>
      </w:tr>
      <w:tr w:rsidR="00EB21F6" w14:paraId="065044ED"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209A7284" w14:textId="77777777" w:rsidR="00EB21F6" w:rsidRDefault="000176C0">
            <w:pPr>
              <w:jc w:val="both"/>
              <w:rPr>
                <w:rFonts w:ascii="Arial" w:eastAsia="Arial" w:hAnsi="Arial" w:cs="Arial"/>
              </w:rPr>
            </w:pPr>
            <w:r>
              <w:rPr>
                <w:rFonts w:ascii="Arial" w:eastAsia="Arial" w:hAnsi="Arial" w:cs="Arial"/>
              </w:rPr>
              <w:t>65</w:t>
            </w:r>
          </w:p>
        </w:tc>
        <w:tc>
          <w:tcPr>
            <w:tcW w:w="720" w:type="dxa"/>
            <w:tcBorders>
              <w:top w:val="single" w:sz="4" w:space="0" w:color="000000"/>
              <w:left w:val="single" w:sz="8" w:space="0" w:color="000000"/>
              <w:bottom w:val="single" w:sz="4" w:space="0" w:color="000000"/>
            </w:tcBorders>
            <w:vAlign w:val="center"/>
          </w:tcPr>
          <w:p w14:paraId="6027E6ED"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75D2FC0B"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3A1C2C0E"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65D2EAE0"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678992C0"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23CFC7DD"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75332347"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45DD4B43"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559D158A" w14:textId="77777777" w:rsidR="00EB21F6" w:rsidRDefault="000176C0">
            <w:pPr>
              <w:jc w:val="both"/>
              <w:rPr>
                <w:rFonts w:ascii="Arial" w:eastAsia="Arial" w:hAnsi="Arial" w:cs="Arial"/>
              </w:rPr>
            </w:pPr>
            <w:r>
              <w:rPr>
                <w:rFonts w:ascii="Arial" w:eastAsia="Arial" w:hAnsi="Arial" w:cs="Arial"/>
              </w:rPr>
              <w:t>35%</w:t>
            </w:r>
          </w:p>
        </w:tc>
      </w:tr>
      <w:tr w:rsidR="00EB21F6" w14:paraId="5ECEB5E2"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5070D9E4" w14:textId="77777777" w:rsidR="00EB21F6" w:rsidRDefault="000176C0">
            <w:pPr>
              <w:jc w:val="both"/>
              <w:rPr>
                <w:rFonts w:ascii="Arial" w:eastAsia="Arial" w:hAnsi="Arial" w:cs="Arial"/>
              </w:rPr>
            </w:pPr>
            <w:r>
              <w:rPr>
                <w:rFonts w:ascii="Arial" w:eastAsia="Arial" w:hAnsi="Arial" w:cs="Arial"/>
              </w:rPr>
              <w:t>66</w:t>
            </w:r>
          </w:p>
        </w:tc>
        <w:tc>
          <w:tcPr>
            <w:tcW w:w="720" w:type="dxa"/>
            <w:tcBorders>
              <w:top w:val="single" w:sz="4" w:space="0" w:color="000000"/>
              <w:left w:val="single" w:sz="8" w:space="0" w:color="000000"/>
              <w:bottom w:val="single" w:sz="4" w:space="0" w:color="000000"/>
            </w:tcBorders>
            <w:vAlign w:val="center"/>
          </w:tcPr>
          <w:p w14:paraId="1463D699"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552C6C18"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243BBD9F"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22E63BA1"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758A522C"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567F5526"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6DF273AF"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094CFB76"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69578D25" w14:textId="77777777" w:rsidR="00EB21F6" w:rsidRDefault="000176C0">
            <w:pPr>
              <w:jc w:val="both"/>
              <w:rPr>
                <w:rFonts w:ascii="Arial" w:eastAsia="Arial" w:hAnsi="Arial" w:cs="Arial"/>
              </w:rPr>
            </w:pPr>
            <w:r>
              <w:rPr>
                <w:rFonts w:ascii="Arial" w:eastAsia="Arial" w:hAnsi="Arial" w:cs="Arial"/>
              </w:rPr>
              <w:t>33%</w:t>
            </w:r>
          </w:p>
        </w:tc>
      </w:tr>
      <w:tr w:rsidR="00EB21F6" w14:paraId="7F946606"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B247917" w14:textId="77777777" w:rsidR="00EB21F6" w:rsidRDefault="000176C0">
            <w:pPr>
              <w:jc w:val="both"/>
              <w:rPr>
                <w:rFonts w:ascii="Arial" w:eastAsia="Arial" w:hAnsi="Arial" w:cs="Arial"/>
              </w:rPr>
            </w:pPr>
            <w:r>
              <w:rPr>
                <w:rFonts w:ascii="Arial" w:eastAsia="Arial" w:hAnsi="Arial" w:cs="Arial"/>
              </w:rPr>
              <w:t>67</w:t>
            </w:r>
          </w:p>
        </w:tc>
        <w:tc>
          <w:tcPr>
            <w:tcW w:w="720" w:type="dxa"/>
            <w:tcBorders>
              <w:top w:val="single" w:sz="4" w:space="0" w:color="000000"/>
              <w:left w:val="single" w:sz="8" w:space="0" w:color="000000"/>
              <w:bottom w:val="single" w:sz="4" w:space="0" w:color="000000"/>
            </w:tcBorders>
            <w:vAlign w:val="center"/>
          </w:tcPr>
          <w:p w14:paraId="014646F8"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001D42E2"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7D9B80B6"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51A5BCB0"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5E4495F6"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0839D909"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2E47D981"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156FFC4A"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042E4EDF" w14:textId="77777777" w:rsidR="00EB21F6" w:rsidRDefault="000176C0">
            <w:pPr>
              <w:jc w:val="both"/>
              <w:rPr>
                <w:rFonts w:ascii="Arial" w:eastAsia="Arial" w:hAnsi="Arial" w:cs="Arial"/>
              </w:rPr>
            </w:pPr>
            <w:r>
              <w:rPr>
                <w:rFonts w:ascii="Arial" w:eastAsia="Arial" w:hAnsi="Arial" w:cs="Arial"/>
              </w:rPr>
              <w:t>37%</w:t>
            </w:r>
          </w:p>
        </w:tc>
      </w:tr>
      <w:tr w:rsidR="00EB21F6" w14:paraId="7BCB875C"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7B1AEA0A" w14:textId="77777777" w:rsidR="00EB21F6" w:rsidRDefault="000176C0">
            <w:pPr>
              <w:jc w:val="both"/>
              <w:rPr>
                <w:rFonts w:ascii="Arial" w:eastAsia="Arial" w:hAnsi="Arial" w:cs="Arial"/>
              </w:rPr>
            </w:pPr>
            <w:r>
              <w:rPr>
                <w:rFonts w:ascii="Arial" w:eastAsia="Arial" w:hAnsi="Arial" w:cs="Arial"/>
              </w:rPr>
              <w:lastRenderedPageBreak/>
              <w:t>68</w:t>
            </w:r>
          </w:p>
        </w:tc>
        <w:tc>
          <w:tcPr>
            <w:tcW w:w="720" w:type="dxa"/>
            <w:tcBorders>
              <w:top w:val="single" w:sz="4" w:space="0" w:color="000000"/>
              <w:left w:val="single" w:sz="8" w:space="0" w:color="000000"/>
              <w:bottom w:val="single" w:sz="4" w:space="0" w:color="000000"/>
            </w:tcBorders>
            <w:vAlign w:val="center"/>
          </w:tcPr>
          <w:p w14:paraId="52917732"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319692DB"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788C9F4A"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45C7E1E1"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2031424B"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1CC8EAA6"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62DEAD02"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13A0033D"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7CA90902" w14:textId="77777777" w:rsidR="00EB21F6" w:rsidRDefault="000176C0">
            <w:pPr>
              <w:jc w:val="both"/>
              <w:rPr>
                <w:rFonts w:ascii="Arial" w:eastAsia="Arial" w:hAnsi="Arial" w:cs="Arial"/>
              </w:rPr>
            </w:pPr>
            <w:r>
              <w:rPr>
                <w:rFonts w:ascii="Arial" w:eastAsia="Arial" w:hAnsi="Arial" w:cs="Arial"/>
              </w:rPr>
              <w:t>33%</w:t>
            </w:r>
          </w:p>
        </w:tc>
      </w:tr>
      <w:tr w:rsidR="00EB21F6" w14:paraId="64EAC9FB"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4A14DB84" w14:textId="77777777" w:rsidR="00EB21F6" w:rsidRDefault="000176C0">
            <w:pPr>
              <w:jc w:val="both"/>
              <w:rPr>
                <w:rFonts w:ascii="Arial" w:eastAsia="Arial" w:hAnsi="Arial" w:cs="Arial"/>
              </w:rPr>
            </w:pPr>
            <w:r>
              <w:rPr>
                <w:rFonts w:ascii="Arial" w:eastAsia="Arial" w:hAnsi="Arial" w:cs="Arial"/>
              </w:rPr>
              <w:t>69</w:t>
            </w:r>
          </w:p>
        </w:tc>
        <w:tc>
          <w:tcPr>
            <w:tcW w:w="720" w:type="dxa"/>
            <w:tcBorders>
              <w:top w:val="single" w:sz="4" w:space="0" w:color="000000"/>
              <w:left w:val="single" w:sz="8" w:space="0" w:color="000000"/>
              <w:bottom w:val="single" w:sz="4" w:space="0" w:color="000000"/>
            </w:tcBorders>
            <w:vAlign w:val="center"/>
          </w:tcPr>
          <w:p w14:paraId="1D3643FA"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45DA8C4F"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6C459F45"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45FBFB79"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6EEB2FE3"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4F991CFD"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3FF9E3C3"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70A37F1D"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4B505C1E" w14:textId="77777777" w:rsidR="00EB21F6" w:rsidRDefault="000176C0">
            <w:pPr>
              <w:jc w:val="both"/>
              <w:rPr>
                <w:rFonts w:ascii="Arial" w:eastAsia="Arial" w:hAnsi="Arial" w:cs="Arial"/>
              </w:rPr>
            </w:pPr>
            <w:r>
              <w:rPr>
                <w:rFonts w:ascii="Arial" w:eastAsia="Arial" w:hAnsi="Arial" w:cs="Arial"/>
              </w:rPr>
              <w:t>34%</w:t>
            </w:r>
          </w:p>
        </w:tc>
      </w:tr>
      <w:tr w:rsidR="00EB21F6" w14:paraId="53B735E0"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1E538F48" w14:textId="77777777" w:rsidR="00EB21F6" w:rsidRDefault="000176C0">
            <w:pPr>
              <w:jc w:val="both"/>
              <w:rPr>
                <w:rFonts w:ascii="Arial" w:eastAsia="Arial" w:hAnsi="Arial" w:cs="Arial"/>
              </w:rPr>
            </w:pPr>
            <w:r>
              <w:rPr>
                <w:rFonts w:ascii="Arial" w:eastAsia="Arial" w:hAnsi="Arial" w:cs="Arial"/>
              </w:rPr>
              <w:t>70</w:t>
            </w:r>
          </w:p>
        </w:tc>
        <w:tc>
          <w:tcPr>
            <w:tcW w:w="720" w:type="dxa"/>
            <w:tcBorders>
              <w:top w:val="single" w:sz="4" w:space="0" w:color="000000"/>
              <w:left w:val="single" w:sz="8" w:space="0" w:color="000000"/>
              <w:bottom w:val="single" w:sz="4" w:space="0" w:color="000000"/>
            </w:tcBorders>
            <w:vAlign w:val="center"/>
          </w:tcPr>
          <w:p w14:paraId="06AC829E"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231BA97D"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7741DBD3"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349B2F6E"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40775984"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3DB1EC87"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6DCBCD22"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3E89863D"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3CEFB9C9" w14:textId="77777777" w:rsidR="00EB21F6" w:rsidRDefault="000176C0">
            <w:pPr>
              <w:jc w:val="both"/>
              <w:rPr>
                <w:rFonts w:ascii="Arial" w:eastAsia="Arial" w:hAnsi="Arial" w:cs="Arial"/>
              </w:rPr>
            </w:pPr>
            <w:r>
              <w:rPr>
                <w:rFonts w:ascii="Arial" w:eastAsia="Arial" w:hAnsi="Arial" w:cs="Arial"/>
              </w:rPr>
              <w:t>35%</w:t>
            </w:r>
          </w:p>
        </w:tc>
      </w:tr>
      <w:tr w:rsidR="00EB21F6" w14:paraId="1A11C519"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69AB4C2" w14:textId="77777777" w:rsidR="00EB21F6" w:rsidRDefault="000176C0">
            <w:pPr>
              <w:jc w:val="both"/>
              <w:rPr>
                <w:rFonts w:ascii="Arial" w:eastAsia="Arial" w:hAnsi="Arial" w:cs="Arial"/>
              </w:rPr>
            </w:pPr>
            <w:r>
              <w:rPr>
                <w:rFonts w:ascii="Arial" w:eastAsia="Arial" w:hAnsi="Arial" w:cs="Arial"/>
              </w:rPr>
              <w:t>71</w:t>
            </w:r>
          </w:p>
        </w:tc>
        <w:tc>
          <w:tcPr>
            <w:tcW w:w="720" w:type="dxa"/>
            <w:tcBorders>
              <w:top w:val="single" w:sz="4" w:space="0" w:color="000000"/>
              <w:left w:val="single" w:sz="8" w:space="0" w:color="000000"/>
              <w:bottom w:val="single" w:sz="4" w:space="0" w:color="000000"/>
            </w:tcBorders>
            <w:vAlign w:val="center"/>
          </w:tcPr>
          <w:p w14:paraId="68153CE8"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11CE8699"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3B0E47CA"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2DE4F0AB"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42F19342"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48AB1B39"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67404826"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281CCFF8"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746321BA" w14:textId="77777777" w:rsidR="00EB21F6" w:rsidRDefault="000176C0">
            <w:pPr>
              <w:jc w:val="both"/>
              <w:rPr>
                <w:rFonts w:ascii="Arial" w:eastAsia="Arial" w:hAnsi="Arial" w:cs="Arial"/>
              </w:rPr>
            </w:pPr>
            <w:r>
              <w:rPr>
                <w:rFonts w:ascii="Arial" w:eastAsia="Arial" w:hAnsi="Arial" w:cs="Arial"/>
              </w:rPr>
              <w:t>33%</w:t>
            </w:r>
          </w:p>
        </w:tc>
      </w:tr>
      <w:tr w:rsidR="00EB21F6" w14:paraId="24F4BDF0"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6C3128B" w14:textId="77777777" w:rsidR="00EB21F6" w:rsidRDefault="000176C0">
            <w:pPr>
              <w:jc w:val="both"/>
              <w:rPr>
                <w:rFonts w:ascii="Arial" w:eastAsia="Arial" w:hAnsi="Arial" w:cs="Arial"/>
              </w:rPr>
            </w:pPr>
            <w:r>
              <w:rPr>
                <w:rFonts w:ascii="Arial" w:eastAsia="Arial" w:hAnsi="Arial" w:cs="Arial"/>
              </w:rPr>
              <w:t>72</w:t>
            </w:r>
          </w:p>
        </w:tc>
        <w:tc>
          <w:tcPr>
            <w:tcW w:w="720" w:type="dxa"/>
            <w:tcBorders>
              <w:top w:val="single" w:sz="4" w:space="0" w:color="000000"/>
              <w:left w:val="single" w:sz="8" w:space="0" w:color="000000"/>
              <w:bottom w:val="single" w:sz="4" w:space="0" w:color="000000"/>
            </w:tcBorders>
            <w:vAlign w:val="center"/>
          </w:tcPr>
          <w:p w14:paraId="74AB3CC1"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6846A548"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793FAE05"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1B03E11E"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7EDFF391"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7090004D"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5F688946"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486733A5"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3A352C64" w14:textId="77777777" w:rsidR="00EB21F6" w:rsidRDefault="000176C0">
            <w:pPr>
              <w:jc w:val="both"/>
              <w:rPr>
                <w:rFonts w:ascii="Arial" w:eastAsia="Arial" w:hAnsi="Arial" w:cs="Arial"/>
              </w:rPr>
            </w:pPr>
            <w:r>
              <w:rPr>
                <w:rFonts w:ascii="Arial" w:eastAsia="Arial" w:hAnsi="Arial" w:cs="Arial"/>
              </w:rPr>
              <w:t>37%</w:t>
            </w:r>
          </w:p>
        </w:tc>
      </w:tr>
      <w:tr w:rsidR="00EB21F6" w14:paraId="1DA9CAC0"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5C277036" w14:textId="77777777" w:rsidR="00EB21F6" w:rsidRDefault="000176C0">
            <w:pPr>
              <w:jc w:val="both"/>
              <w:rPr>
                <w:rFonts w:ascii="Arial" w:eastAsia="Arial" w:hAnsi="Arial" w:cs="Arial"/>
              </w:rPr>
            </w:pPr>
            <w:r>
              <w:rPr>
                <w:rFonts w:ascii="Arial" w:eastAsia="Arial" w:hAnsi="Arial" w:cs="Arial"/>
              </w:rPr>
              <w:t>73</w:t>
            </w:r>
          </w:p>
        </w:tc>
        <w:tc>
          <w:tcPr>
            <w:tcW w:w="720" w:type="dxa"/>
            <w:tcBorders>
              <w:top w:val="single" w:sz="4" w:space="0" w:color="000000"/>
              <w:left w:val="single" w:sz="8" w:space="0" w:color="000000"/>
              <w:bottom w:val="single" w:sz="4" w:space="0" w:color="000000"/>
            </w:tcBorders>
            <w:vAlign w:val="center"/>
          </w:tcPr>
          <w:p w14:paraId="7008A127"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161B57B2"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32000B53"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46BF49D1"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337FA886"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4370EF1A"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5E918ACA"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10865921"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0D15F021" w14:textId="77777777" w:rsidR="00EB21F6" w:rsidRDefault="000176C0">
            <w:pPr>
              <w:jc w:val="both"/>
              <w:rPr>
                <w:rFonts w:ascii="Arial" w:eastAsia="Arial" w:hAnsi="Arial" w:cs="Arial"/>
              </w:rPr>
            </w:pPr>
            <w:r>
              <w:rPr>
                <w:rFonts w:ascii="Arial" w:eastAsia="Arial" w:hAnsi="Arial" w:cs="Arial"/>
              </w:rPr>
              <w:t>38%</w:t>
            </w:r>
          </w:p>
        </w:tc>
      </w:tr>
      <w:tr w:rsidR="00EB21F6" w14:paraId="0D1103D7"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15D3FA66" w14:textId="77777777" w:rsidR="00EB21F6" w:rsidRDefault="000176C0">
            <w:pPr>
              <w:jc w:val="both"/>
              <w:rPr>
                <w:rFonts w:ascii="Arial" w:eastAsia="Arial" w:hAnsi="Arial" w:cs="Arial"/>
              </w:rPr>
            </w:pPr>
            <w:r>
              <w:rPr>
                <w:rFonts w:ascii="Arial" w:eastAsia="Arial" w:hAnsi="Arial" w:cs="Arial"/>
              </w:rPr>
              <w:t>74</w:t>
            </w:r>
          </w:p>
        </w:tc>
        <w:tc>
          <w:tcPr>
            <w:tcW w:w="720" w:type="dxa"/>
            <w:tcBorders>
              <w:top w:val="single" w:sz="4" w:space="0" w:color="000000"/>
              <w:left w:val="single" w:sz="8" w:space="0" w:color="000000"/>
              <w:bottom w:val="single" w:sz="4" w:space="0" w:color="000000"/>
            </w:tcBorders>
            <w:vAlign w:val="center"/>
          </w:tcPr>
          <w:p w14:paraId="0039DBF2"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46B791EE"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0B662817"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691CA6F0"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0B3D21F4"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434C3C2C"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5EAD361B"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360186A5"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739743CD" w14:textId="77777777" w:rsidR="00EB21F6" w:rsidRDefault="000176C0">
            <w:pPr>
              <w:jc w:val="both"/>
              <w:rPr>
                <w:rFonts w:ascii="Arial" w:eastAsia="Arial" w:hAnsi="Arial" w:cs="Arial"/>
              </w:rPr>
            </w:pPr>
            <w:r>
              <w:rPr>
                <w:rFonts w:ascii="Arial" w:eastAsia="Arial" w:hAnsi="Arial" w:cs="Arial"/>
              </w:rPr>
              <w:t>36%</w:t>
            </w:r>
          </w:p>
        </w:tc>
      </w:tr>
      <w:tr w:rsidR="00EB21F6" w14:paraId="40DEC73C"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60CD0607" w14:textId="77777777" w:rsidR="00EB21F6" w:rsidRDefault="000176C0">
            <w:pPr>
              <w:jc w:val="both"/>
              <w:rPr>
                <w:rFonts w:ascii="Arial" w:eastAsia="Arial" w:hAnsi="Arial" w:cs="Arial"/>
              </w:rPr>
            </w:pPr>
            <w:r>
              <w:rPr>
                <w:rFonts w:ascii="Arial" w:eastAsia="Arial" w:hAnsi="Arial" w:cs="Arial"/>
              </w:rPr>
              <w:t>75</w:t>
            </w:r>
          </w:p>
        </w:tc>
        <w:tc>
          <w:tcPr>
            <w:tcW w:w="720" w:type="dxa"/>
            <w:tcBorders>
              <w:top w:val="single" w:sz="4" w:space="0" w:color="000000"/>
              <w:left w:val="single" w:sz="8" w:space="0" w:color="000000"/>
              <w:bottom w:val="single" w:sz="4" w:space="0" w:color="000000"/>
            </w:tcBorders>
            <w:vAlign w:val="center"/>
          </w:tcPr>
          <w:p w14:paraId="346D19DA"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58859BD5"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18B819D7"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69C41050"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21B2CAA5"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6314DFE6"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32DE7118"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1AA566D6"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5666CD4C" w14:textId="77777777" w:rsidR="00EB21F6" w:rsidRDefault="000176C0">
            <w:pPr>
              <w:jc w:val="both"/>
              <w:rPr>
                <w:rFonts w:ascii="Arial" w:eastAsia="Arial" w:hAnsi="Arial" w:cs="Arial"/>
              </w:rPr>
            </w:pPr>
            <w:r>
              <w:rPr>
                <w:rFonts w:ascii="Arial" w:eastAsia="Arial" w:hAnsi="Arial" w:cs="Arial"/>
              </w:rPr>
              <w:t>32%</w:t>
            </w:r>
          </w:p>
        </w:tc>
      </w:tr>
      <w:tr w:rsidR="00EB21F6" w14:paraId="6BA3B20A"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3D8E0E7B" w14:textId="77777777" w:rsidR="00EB21F6" w:rsidRDefault="000176C0">
            <w:pPr>
              <w:jc w:val="both"/>
              <w:rPr>
                <w:rFonts w:ascii="Arial" w:eastAsia="Arial" w:hAnsi="Arial" w:cs="Arial"/>
              </w:rPr>
            </w:pPr>
            <w:r>
              <w:rPr>
                <w:rFonts w:ascii="Arial" w:eastAsia="Arial" w:hAnsi="Arial" w:cs="Arial"/>
              </w:rPr>
              <w:t>76</w:t>
            </w:r>
          </w:p>
        </w:tc>
        <w:tc>
          <w:tcPr>
            <w:tcW w:w="720" w:type="dxa"/>
            <w:tcBorders>
              <w:top w:val="single" w:sz="4" w:space="0" w:color="000000"/>
              <w:left w:val="single" w:sz="8" w:space="0" w:color="000000"/>
              <w:bottom w:val="single" w:sz="4" w:space="0" w:color="000000"/>
            </w:tcBorders>
            <w:vAlign w:val="center"/>
          </w:tcPr>
          <w:p w14:paraId="0DCE5BAE"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409FD144"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4E2BFA3D"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082BDC84"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15B76C14"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38B9F09E"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50509D76"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3FB59D52"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35612A62" w14:textId="77777777" w:rsidR="00EB21F6" w:rsidRDefault="000176C0">
            <w:pPr>
              <w:jc w:val="both"/>
              <w:rPr>
                <w:rFonts w:ascii="Arial" w:eastAsia="Arial" w:hAnsi="Arial" w:cs="Arial"/>
              </w:rPr>
            </w:pPr>
            <w:r>
              <w:rPr>
                <w:rFonts w:ascii="Arial" w:eastAsia="Arial" w:hAnsi="Arial" w:cs="Arial"/>
              </w:rPr>
              <w:t>35%</w:t>
            </w:r>
          </w:p>
        </w:tc>
      </w:tr>
      <w:tr w:rsidR="00EB21F6" w14:paraId="2F9DF9BC"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01F20B91" w14:textId="77777777" w:rsidR="00EB21F6" w:rsidRDefault="000176C0">
            <w:pPr>
              <w:jc w:val="both"/>
              <w:rPr>
                <w:rFonts w:ascii="Arial" w:eastAsia="Arial" w:hAnsi="Arial" w:cs="Arial"/>
              </w:rPr>
            </w:pPr>
            <w:r>
              <w:rPr>
                <w:rFonts w:ascii="Arial" w:eastAsia="Arial" w:hAnsi="Arial" w:cs="Arial"/>
              </w:rPr>
              <w:t>77</w:t>
            </w:r>
          </w:p>
        </w:tc>
        <w:tc>
          <w:tcPr>
            <w:tcW w:w="720" w:type="dxa"/>
            <w:tcBorders>
              <w:top w:val="single" w:sz="4" w:space="0" w:color="000000"/>
              <w:left w:val="single" w:sz="8" w:space="0" w:color="000000"/>
              <w:bottom w:val="single" w:sz="4" w:space="0" w:color="000000"/>
            </w:tcBorders>
            <w:vAlign w:val="center"/>
          </w:tcPr>
          <w:p w14:paraId="3DB27CBD"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036827F2"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4DD12BC1"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6C8877D5"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4A6A15B9"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62D0310C"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67F68734"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77ADBAAB" w14:textId="77777777" w:rsidR="00EB21F6" w:rsidRDefault="000176C0">
            <w:pPr>
              <w:jc w:val="both"/>
              <w:rPr>
                <w:rFonts w:ascii="Arial" w:eastAsia="Arial" w:hAnsi="Arial" w:cs="Arial"/>
              </w:rPr>
            </w:pPr>
            <w:r>
              <w:rPr>
                <w:rFonts w:ascii="Arial" w:eastAsia="Arial" w:hAnsi="Arial" w:cs="Arial"/>
              </w:rPr>
              <w:t>80</w:t>
            </w:r>
          </w:p>
        </w:tc>
        <w:tc>
          <w:tcPr>
            <w:tcW w:w="1051" w:type="dxa"/>
            <w:tcBorders>
              <w:top w:val="single" w:sz="4" w:space="0" w:color="000000"/>
              <w:bottom w:val="single" w:sz="4" w:space="0" w:color="000000"/>
              <w:right w:val="single" w:sz="8" w:space="0" w:color="000000"/>
            </w:tcBorders>
            <w:vAlign w:val="center"/>
          </w:tcPr>
          <w:p w14:paraId="5EDF17B9" w14:textId="77777777" w:rsidR="00EB21F6" w:rsidRDefault="000176C0">
            <w:pPr>
              <w:jc w:val="both"/>
              <w:rPr>
                <w:rFonts w:ascii="Arial" w:eastAsia="Arial" w:hAnsi="Arial" w:cs="Arial"/>
              </w:rPr>
            </w:pPr>
            <w:r>
              <w:rPr>
                <w:rFonts w:ascii="Arial" w:eastAsia="Arial" w:hAnsi="Arial" w:cs="Arial"/>
              </w:rPr>
              <w:t>30%</w:t>
            </w:r>
          </w:p>
        </w:tc>
      </w:tr>
      <w:tr w:rsidR="00EB21F6" w14:paraId="61EFEFA3"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5A827FDB" w14:textId="77777777" w:rsidR="00EB21F6" w:rsidRDefault="000176C0">
            <w:pPr>
              <w:jc w:val="both"/>
              <w:rPr>
                <w:rFonts w:ascii="Arial" w:eastAsia="Arial" w:hAnsi="Arial" w:cs="Arial"/>
              </w:rPr>
            </w:pPr>
            <w:r>
              <w:rPr>
                <w:rFonts w:ascii="Arial" w:eastAsia="Arial" w:hAnsi="Arial" w:cs="Arial"/>
              </w:rPr>
              <w:t>78</w:t>
            </w:r>
          </w:p>
        </w:tc>
        <w:tc>
          <w:tcPr>
            <w:tcW w:w="720" w:type="dxa"/>
            <w:tcBorders>
              <w:top w:val="single" w:sz="4" w:space="0" w:color="000000"/>
              <w:left w:val="single" w:sz="8" w:space="0" w:color="000000"/>
              <w:bottom w:val="single" w:sz="4" w:space="0" w:color="000000"/>
            </w:tcBorders>
            <w:vAlign w:val="center"/>
          </w:tcPr>
          <w:p w14:paraId="5B6FD73D"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6CA12177"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7C8DB80E"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63DAEB98"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608CFF75"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1C311228"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21925C87"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06F47246"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6AD0A8FD" w14:textId="77777777" w:rsidR="00EB21F6" w:rsidRDefault="000176C0">
            <w:pPr>
              <w:jc w:val="both"/>
              <w:rPr>
                <w:rFonts w:ascii="Arial" w:eastAsia="Arial" w:hAnsi="Arial" w:cs="Arial"/>
              </w:rPr>
            </w:pPr>
            <w:r>
              <w:rPr>
                <w:rFonts w:ascii="Arial" w:eastAsia="Arial" w:hAnsi="Arial" w:cs="Arial"/>
              </w:rPr>
              <w:t>35%</w:t>
            </w:r>
          </w:p>
        </w:tc>
      </w:tr>
      <w:tr w:rsidR="00EB21F6" w14:paraId="33001F3C"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4CC938A0" w14:textId="77777777" w:rsidR="00EB21F6" w:rsidRDefault="000176C0">
            <w:pPr>
              <w:jc w:val="both"/>
              <w:rPr>
                <w:rFonts w:ascii="Arial" w:eastAsia="Arial" w:hAnsi="Arial" w:cs="Arial"/>
              </w:rPr>
            </w:pPr>
            <w:r>
              <w:rPr>
                <w:rFonts w:ascii="Arial" w:eastAsia="Arial" w:hAnsi="Arial" w:cs="Arial"/>
              </w:rPr>
              <w:t>79</w:t>
            </w:r>
          </w:p>
        </w:tc>
        <w:tc>
          <w:tcPr>
            <w:tcW w:w="720" w:type="dxa"/>
            <w:tcBorders>
              <w:top w:val="single" w:sz="4" w:space="0" w:color="000000"/>
              <w:left w:val="single" w:sz="8" w:space="0" w:color="000000"/>
              <w:bottom w:val="single" w:sz="4" w:space="0" w:color="000000"/>
            </w:tcBorders>
            <w:vAlign w:val="center"/>
          </w:tcPr>
          <w:p w14:paraId="5E8E27FE"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0EA11B43"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559F809A"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631574AD"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4929FDCB"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6AFA32A1"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1B753B2F" w14:textId="77777777" w:rsidR="00EB21F6" w:rsidRDefault="000176C0">
            <w:pPr>
              <w:jc w:val="both"/>
              <w:rPr>
                <w:rFonts w:ascii="Arial" w:eastAsia="Arial" w:hAnsi="Arial" w:cs="Arial"/>
              </w:rPr>
            </w:pPr>
            <w:r>
              <w:rPr>
                <w:rFonts w:ascii="Arial" w:eastAsia="Arial" w:hAnsi="Arial" w:cs="Arial"/>
              </w:rPr>
              <w:t>Not seen</w:t>
            </w:r>
          </w:p>
        </w:tc>
        <w:tc>
          <w:tcPr>
            <w:tcW w:w="779" w:type="dxa"/>
            <w:tcBorders>
              <w:top w:val="single" w:sz="4" w:space="0" w:color="000000"/>
              <w:bottom w:val="single" w:sz="4" w:space="0" w:color="000000"/>
            </w:tcBorders>
            <w:vAlign w:val="center"/>
          </w:tcPr>
          <w:p w14:paraId="7B6C34BD"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4" w:space="0" w:color="000000"/>
              <w:right w:val="single" w:sz="8" w:space="0" w:color="000000"/>
            </w:tcBorders>
            <w:vAlign w:val="center"/>
          </w:tcPr>
          <w:p w14:paraId="01303F7C" w14:textId="77777777" w:rsidR="00EB21F6" w:rsidRDefault="000176C0">
            <w:pPr>
              <w:jc w:val="both"/>
              <w:rPr>
                <w:rFonts w:ascii="Arial" w:eastAsia="Arial" w:hAnsi="Arial" w:cs="Arial"/>
              </w:rPr>
            </w:pPr>
            <w:r>
              <w:rPr>
                <w:rFonts w:ascii="Arial" w:eastAsia="Arial" w:hAnsi="Arial" w:cs="Arial"/>
              </w:rPr>
              <w:t>35%</w:t>
            </w:r>
          </w:p>
        </w:tc>
      </w:tr>
      <w:tr w:rsidR="00EB21F6" w14:paraId="2E118933" w14:textId="77777777">
        <w:trPr>
          <w:trHeight w:val="300"/>
        </w:trPr>
        <w:tc>
          <w:tcPr>
            <w:tcW w:w="794" w:type="dxa"/>
            <w:tcBorders>
              <w:top w:val="single" w:sz="4" w:space="0" w:color="000000"/>
              <w:left w:val="single" w:sz="8" w:space="0" w:color="000000"/>
              <w:bottom w:val="single" w:sz="4" w:space="0" w:color="000000"/>
              <w:right w:val="single" w:sz="8" w:space="0" w:color="000000"/>
            </w:tcBorders>
            <w:vAlign w:val="center"/>
          </w:tcPr>
          <w:p w14:paraId="26BB1A90" w14:textId="77777777" w:rsidR="00EB21F6" w:rsidRDefault="000176C0">
            <w:pPr>
              <w:jc w:val="both"/>
              <w:rPr>
                <w:rFonts w:ascii="Arial" w:eastAsia="Arial" w:hAnsi="Arial" w:cs="Arial"/>
              </w:rPr>
            </w:pPr>
            <w:r>
              <w:rPr>
                <w:rFonts w:ascii="Arial" w:eastAsia="Arial" w:hAnsi="Arial" w:cs="Arial"/>
              </w:rPr>
              <w:t>80</w:t>
            </w:r>
          </w:p>
        </w:tc>
        <w:tc>
          <w:tcPr>
            <w:tcW w:w="720" w:type="dxa"/>
            <w:tcBorders>
              <w:top w:val="single" w:sz="4" w:space="0" w:color="000000"/>
              <w:left w:val="single" w:sz="8" w:space="0" w:color="000000"/>
              <w:bottom w:val="single" w:sz="4" w:space="0" w:color="000000"/>
            </w:tcBorders>
            <w:vAlign w:val="center"/>
          </w:tcPr>
          <w:p w14:paraId="72F6DC84" w14:textId="77777777" w:rsidR="00EB21F6" w:rsidRDefault="00EB21F6">
            <w:pPr>
              <w:jc w:val="both"/>
              <w:rPr>
                <w:rFonts w:ascii="Arial" w:eastAsia="Arial" w:hAnsi="Arial" w:cs="Arial"/>
              </w:rPr>
            </w:pPr>
          </w:p>
        </w:tc>
        <w:tc>
          <w:tcPr>
            <w:tcW w:w="780" w:type="dxa"/>
            <w:tcBorders>
              <w:top w:val="single" w:sz="4" w:space="0" w:color="000000"/>
              <w:bottom w:val="single" w:sz="4" w:space="0" w:color="000000"/>
            </w:tcBorders>
            <w:vAlign w:val="center"/>
          </w:tcPr>
          <w:p w14:paraId="0376A01E" w14:textId="77777777" w:rsidR="00EB21F6" w:rsidRDefault="00EB21F6">
            <w:pPr>
              <w:jc w:val="both"/>
              <w:rPr>
                <w:rFonts w:ascii="Arial" w:eastAsia="Arial" w:hAnsi="Arial" w:cs="Arial"/>
              </w:rPr>
            </w:pPr>
          </w:p>
        </w:tc>
        <w:tc>
          <w:tcPr>
            <w:tcW w:w="1051" w:type="dxa"/>
            <w:tcBorders>
              <w:top w:val="single" w:sz="4" w:space="0" w:color="000000"/>
              <w:bottom w:val="single" w:sz="4" w:space="0" w:color="000000"/>
              <w:right w:val="single" w:sz="8" w:space="0" w:color="000000"/>
            </w:tcBorders>
            <w:vAlign w:val="center"/>
          </w:tcPr>
          <w:p w14:paraId="78E946D5"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4" w:space="0" w:color="000000"/>
            </w:tcBorders>
            <w:vAlign w:val="center"/>
          </w:tcPr>
          <w:p w14:paraId="284F5277" w14:textId="77777777" w:rsidR="00EB21F6" w:rsidRDefault="00EB21F6">
            <w:pPr>
              <w:jc w:val="both"/>
              <w:rPr>
                <w:rFonts w:ascii="Arial" w:eastAsia="Arial" w:hAnsi="Arial" w:cs="Arial"/>
              </w:rPr>
            </w:pPr>
          </w:p>
        </w:tc>
        <w:tc>
          <w:tcPr>
            <w:tcW w:w="796" w:type="dxa"/>
            <w:tcBorders>
              <w:top w:val="single" w:sz="4" w:space="0" w:color="000000"/>
              <w:bottom w:val="single" w:sz="4" w:space="0" w:color="000000"/>
            </w:tcBorders>
            <w:vAlign w:val="center"/>
          </w:tcPr>
          <w:p w14:paraId="061B6717" w14:textId="77777777" w:rsidR="00EB21F6" w:rsidRDefault="00EB21F6">
            <w:pPr>
              <w:jc w:val="both"/>
              <w:rPr>
                <w:rFonts w:ascii="Arial" w:eastAsia="Arial" w:hAnsi="Arial" w:cs="Arial"/>
              </w:rPr>
            </w:pPr>
          </w:p>
        </w:tc>
        <w:tc>
          <w:tcPr>
            <w:tcW w:w="1004" w:type="dxa"/>
            <w:tcBorders>
              <w:top w:val="single" w:sz="4" w:space="0" w:color="000000"/>
              <w:bottom w:val="single" w:sz="4" w:space="0" w:color="000000"/>
              <w:right w:val="single" w:sz="8" w:space="0" w:color="000000"/>
            </w:tcBorders>
            <w:vAlign w:val="center"/>
          </w:tcPr>
          <w:p w14:paraId="644E983F"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4" w:space="0" w:color="000000"/>
            </w:tcBorders>
            <w:vAlign w:val="center"/>
          </w:tcPr>
          <w:p w14:paraId="3633A040"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4" w:space="0" w:color="000000"/>
            </w:tcBorders>
            <w:vAlign w:val="center"/>
          </w:tcPr>
          <w:p w14:paraId="75977849" w14:textId="77777777" w:rsidR="00EB21F6" w:rsidRDefault="000176C0">
            <w:pPr>
              <w:jc w:val="both"/>
              <w:rPr>
                <w:rFonts w:ascii="Arial" w:eastAsia="Arial" w:hAnsi="Arial" w:cs="Arial"/>
              </w:rPr>
            </w:pPr>
            <w:r>
              <w:rPr>
                <w:rFonts w:ascii="Arial" w:eastAsia="Arial" w:hAnsi="Arial" w:cs="Arial"/>
              </w:rPr>
              <w:t>160</w:t>
            </w:r>
          </w:p>
        </w:tc>
        <w:tc>
          <w:tcPr>
            <w:tcW w:w="1051" w:type="dxa"/>
            <w:tcBorders>
              <w:top w:val="single" w:sz="4" w:space="0" w:color="000000"/>
              <w:bottom w:val="single" w:sz="4" w:space="0" w:color="000000"/>
              <w:right w:val="single" w:sz="8" w:space="0" w:color="000000"/>
            </w:tcBorders>
            <w:vAlign w:val="center"/>
          </w:tcPr>
          <w:p w14:paraId="4EEE7BD5" w14:textId="77777777" w:rsidR="00EB21F6" w:rsidRDefault="000176C0">
            <w:pPr>
              <w:jc w:val="both"/>
              <w:rPr>
                <w:rFonts w:ascii="Arial" w:eastAsia="Arial" w:hAnsi="Arial" w:cs="Arial"/>
              </w:rPr>
            </w:pPr>
            <w:r>
              <w:rPr>
                <w:rFonts w:ascii="Arial" w:eastAsia="Arial" w:hAnsi="Arial" w:cs="Arial"/>
              </w:rPr>
              <w:t>30%</w:t>
            </w:r>
          </w:p>
        </w:tc>
      </w:tr>
      <w:tr w:rsidR="00EB21F6" w14:paraId="294D6E48" w14:textId="77777777">
        <w:trPr>
          <w:trHeight w:val="315"/>
        </w:trPr>
        <w:tc>
          <w:tcPr>
            <w:tcW w:w="794" w:type="dxa"/>
            <w:tcBorders>
              <w:top w:val="single" w:sz="4" w:space="0" w:color="000000"/>
              <w:left w:val="single" w:sz="8" w:space="0" w:color="000000"/>
              <w:bottom w:val="single" w:sz="8" w:space="0" w:color="000000"/>
              <w:right w:val="single" w:sz="8" w:space="0" w:color="000000"/>
            </w:tcBorders>
            <w:vAlign w:val="center"/>
          </w:tcPr>
          <w:p w14:paraId="71C935CD" w14:textId="77777777" w:rsidR="00EB21F6" w:rsidRDefault="000176C0">
            <w:pPr>
              <w:jc w:val="both"/>
              <w:rPr>
                <w:rFonts w:ascii="Arial" w:eastAsia="Arial" w:hAnsi="Arial" w:cs="Arial"/>
              </w:rPr>
            </w:pPr>
            <w:r>
              <w:rPr>
                <w:rFonts w:ascii="Arial" w:eastAsia="Arial" w:hAnsi="Arial" w:cs="Arial"/>
              </w:rPr>
              <w:t>81</w:t>
            </w:r>
          </w:p>
        </w:tc>
        <w:tc>
          <w:tcPr>
            <w:tcW w:w="720" w:type="dxa"/>
            <w:tcBorders>
              <w:top w:val="single" w:sz="4" w:space="0" w:color="000000"/>
              <w:left w:val="single" w:sz="8" w:space="0" w:color="000000"/>
              <w:bottom w:val="single" w:sz="8" w:space="0" w:color="000000"/>
            </w:tcBorders>
            <w:vAlign w:val="center"/>
          </w:tcPr>
          <w:p w14:paraId="4F21F63A" w14:textId="77777777" w:rsidR="00EB21F6" w:rsidRDefault="00EB21F6">
            <w:pPr>
              <w:jc w:val="both"/>
              <w:rPr>
                <w:rFonts w:ascii="Arial" w:eastAsia="Arial" w:hAnsi="Arial" w:cs="Arial"/>
              </w:rPr>
            </w:pPr>
          </w:p>
        </w:tc>
        <w:tc>
          <w:tcPr>
            <w:tcW w:w="780" w:type="dxa"/>
            <w:tcBorders>
              <w:top w:val="single" w:sz="4" w:space="0" w:color="000000"/>
              <w:bottom w:val="single" w:sz="8" w:space="0" w:color="000000"/>
            </w:tcBorders>
            <w:vAlign w:val="center"/>
          </w:tcPr>
          <w:p w14:paraId="64EFF98B" w14:textId="77777777" w:rsidR="00EB21F6" w:rsidRDefault="00EB21F6">
            <w:pPr>
              <w:jc w:val="both"/>
              <w:rPr>
                <w:rFonts w:ascii="Arial" w:eastAsia="Arial" w:hAnsi="Arial" w:cs="Arial"/>
              </w:rPr>
            </w:pPr>
          </w:p>
        </w:tc>
        <w:tc>
          <w:tcPr>
            <w:tcW w:w="1051" w:type="dxa"/>
            <w:tcBorders>
              <w:top w:val="single" w:sz="4" w:space="0" w:color="000000"/>
              <w:bottom w:val="single" w:sz="8" w:space="0" w:color="000000"/>
              <w:right w:val="single" w:sz="8" w:space="0" w:color="000000"/>
            </w:tcBorders>
            <w:vAlign w:val="center"/>
          </w:tcPr>
          <w:p w14:paraId="6545279B" w14:textId="77777777" w:rsidR="00EB21F6" w:rsidRDefault="00EB21F6">
            <w:pPr>
              <w:jc w:val="both"/>
              <w:rPr>
                <w:rFonts w:ascii="Arial" w:eastAsia="Arial" w:hAnsi="Arial" w:cs="Arial"/>
              </w:rPr>
            </w:pPr>
          </w:p>
        </w:tc>
        <w:tc>
          <w:tcPr>
            <w:tcW w:w="704" w:type="dxa"/>
            <w:tcBorders>
              <w:top w:val="single" w:sz="4" w:space="0" w:color="000000"/>
              <w:left w:val="single" w:sz="8" w:space="0" w:color="000000"/>
              <w:bottom w:val="single" w:sz="8" w:space="0" w:color="000000"/>
            </w:tcBorders>
            <w:vAlign w:val="center"/>
          </w:tcPr>
          <w:p w14:paraId="290D448B" w14:textId="77777777" w:rsidR="00EB21F6" w:rsidRDefault="00EB21F6">
            <w:pPr>
              <w:jc w:val="both"/>
              <w:rPr>
                <w:rFonts w:ascii="Arial" w:eastAsia="Arial" w:hAnsi="Arial" w:cs="Arial"/>
              </w:rPr>
            </w:pPr>
          </w:p>
        </w:tc>
        <w:tc>
          <w:tcPr>
            <w:tcW w:w="796" w:type="dxa"/>
            <w:tcBorders>
              <w:top w:val="single" w:sz="4" w:space="0" w:color="000000"/>
              <w:bottom w:val="single" w:sz="8" w:space="0" w:color="000000"/>
            </w:tcBorders>
            <w:vAlign w:val="center"/>
          </w:tcPr>
          <w:p w14:paraId="7D0B5D29" w14:textId="77777777" w:rsidR="00EB21F6" w:rsidRDefault="00EB21F6">
            <w:pPr>
              <w:jc w:val="both"/>
              <w:rPr>
                <w:rFonts w:ascii="Arial" w:eastAsia="Arial" w:hAnsi="Arial" w:cs="Arial"/>
              </w:rPr>
            </w:pPr>
          </w:p>
        </w:tc>
        <w:tc>
          <w:tcPr>
            <w:tcW w:w="1004" w:type="dxa"/>
            <w:tcBorders>
              <w:top w:val="single" w:sz="4" w:space="0" w:color="000000"/>
              <w:bottom w:val="single" w:sz="8" w:space="0" w:color="000000"/>
              <w:right w:val="single" w:sz="8" w:space="0" w:color="000000"/>
            </w:tcBorders>
            <w:vAlign w:val="center"/>
          </w:tcPr>
          <w:p w14:paraId="3801F7D7" w14:textId="77777777" w:rsidR="00EB21F6" w:rsidRDefault="00EB21F6">
            <w:pPr>
              <w:jc w:val="both"/>
              <w:rPr>
                <w:rFonts w:ascii="Arial" w:eastAsia="Arial" w:hAnsi="Arial" w:cs="Arial"/>
              </w:rPr>
            </w:pPr>
          </w:p>
        </w:tc>
        <w:tc>
          <w:tcPr>
            <w:tcW w:w="811" w:type="dxa"/>
            <w:tcBorders>
              <w:top w:val="single" w:sz="4" w:space="0" w:color="000000"/>
              <w:left w:val="single" w:sz="8" w:space="0" w:color="000000"/>
              <w:bottom w:val="single" w:sz="8" w:space="0" w:color="000000"/>
            </w:tcBorders>
            <w:vAlign w:val="center"/>
          </w:tcPr>
          <w:p w14:paraId="3E8DB604" w14:textId="77777777" w:rsidR="00EB21F6" w:rsidRDefault="000176C0">
            <w:pPr>
              <w:jc w:val="both"/>
              <w:rPr>
                <w:rFonts w:ascii="Arial" w:eastAsia="Arial" w:hAnsi="Arial" w:cs="Arial"/>
              </w:rPr>
            </w:pPr>
            <w:r>
              <w:rPr>
                <w:rFonts w:ascii="Arial" w:eastAsia="Arial" w:hAnsi="Arial" w:cs="Arial"/>
              </w:rPr>
              <w:t>++</w:t>
            </w:r>
          </w:p>
        </w:tc>
        <w:tc>
          <w:tcPr>
            <w:tcW w:w="779" w:type="dxa"/>
            <w:tcBorders>
              <w:top w:val="single" w:sz="4" w:space="0" w:color="000000"/>
              <w:bottom w:val="single" w:sz="8" w:space="0" w:color="000000"/>
            </w:tcBorders>
            <w:vAlign w:val="center"/>
          </w:tcPr>
          <w:p w14:paraId="5D8C9928" w14:textId="77777777" w:rsidR="00EB21F6" w:rsidRDefault="000176C0">
            <w:pPr>
              <w:jc w:val="both"/>
              <w:rPr>
                <w:rFonts w:ascii="Arial" w:eastAsia="Arial" w:hAnsi="Arial" w:cs="Arial"/>
              </w:rPr>
            </w:pPr>
            <w:r>
              <w:rPr>
                <w:rFonts w:ascii="Arial" w:eastAsia="Arial" w:hAnsi="Arial" w:cs="Arial"/>
              </w:rPr>
              <w:t>20</w:t>
            </w:r>
          </w:p>
        </w:tc>
        <w:tc>
          <w:tcPr>
            <w:tcW w:w="1051" w:type="dxa"/>
            <w:tcBorders>
              <w:top w:val="single" w:sz="4" w:space="0" w:color="000000"/>
              <w:bottom w:val="single" w:sz="8" w:space="0" w:color="000000"/>
              <w:right w:val="single" w:sz="8" w:space="0" w:color="000000"/>
            </w:tcBorders>
            <w:vAlign w:val="center"/>
          </w:tcPr>
          <w:p w14:paraId="75DC8E56" w14:textId="77777777" w:rsidR="00EB21F6" w:rsidRDefault="000176C0">
            <w:pPr>
              <w:jc w:val="both"/>
              <w:rPr>
                <w:rFonts w:ascii="Arial" w:eastAsia="Arial" w:hAnsi="Arial" w:cs="Arial"/>
              </w:rPr>
            </w:pPr>
            <w:r>
              <w:rPr>
                <w:rFonts w:ascii="Arial" w:eastAsia="Arial" w:hAnsi="Arial" w:cs="Arial"/>
              </w:rPr>
              <w:t>33%</w:t>
            </w:r>
          </w:p>
        </w:tc>
      </w:tr>
    </w:tbl>
    <w:p w14:paraId="1A8C8F82" w14:textId="77777777" w:rsidR="00EB21F6" w:rsidRDefault="00EB21F6">
      <w:pPr>
        <w:spacing w:after="280"/>
        <w:jc w:val="both"/>
        <w:rPr>
          <w:rFonts w:ascii="Times New Roman" w:eastAsia="Times New Roman" w:hAnsi="Times New Roman" w:cs="Times New Roman"/>
        </w:rPr>
      </w:pPr>
    </w:p>
    <w:p w14:paraId="1D6A2F6B" w14:textId="77777777" w:rsidR="00EB21F6" w:rsidRDefault="00EB21F6">
      <w:pPr>
        <w:spacing w:after="280"/>
        <w:jc w:val="both"/>
      </w:pPr>
    </w:p>
    <w:p w14:paraId="0DA9D066" w14:textId="77777777" w:rsidR="00EB21F6" w:rsidRDefault="00EB21F6">
      <w:pPr>
        <w:pBdr>
          <w:top w:val="nil"/>
          <w:left w:val="nil"/>
          <w:bottom w:val="nil"/>
          <w:right w:val="nil"/>
          <w:between w:val="nil"/>
        </w:pBdr>
        <w:spacing w:after="280"/>
        <w:jc w:val="both"/>
        <w:rPr>
          <w:rFonts w:ascii="Times New Roman" w:eastAsia="Times New Roman" w:hAnsi="Times New Roman" w:cs="Times New Roman"/>
          <w:color w:val="000000"/>
        </w:rPr>
      </w:pPr>
    </w:p>
    <w:p w14:paraId="46AC9931" w14:textId="77777777" w:rsidR="00EB21F6" w:rsidRDefault="00EB21F6">
      <w:pPr>
        <w:pBdr>
          <w:top w:val="nil"/>
          <w:left w:val="nil"/>
          <w:bottom w:val="nil"/>
          <w:right w:val="nil"/>
          <w:between w:val="nil"/>
        </w:pBdr>
        <w:spacing w:after="280"/>
        <w:jc w:val="both"/>
        <w:rPr>
          <w:rFonts w:ascii="Times New Roman" w:eastAsia="Times New Roman" w:hAnsi="Times New Roman" w:cs="Times New Roman"/>
          <w:color w:val="000000"/>
        </w:rPr>
      </w:pPr>
    </w:p>
    <w:p w14:paraId="667DD938" w14:textId="77777777" w:rsidR="00EB21F6" w:rsidRDefault="00EB21F6">
      <w:pPr>
        <w:pBdr>
          <w:top w:val="nil"/>
          <w:left w:val="nil"/>
          <w:bottom w:val="nil"/>
          <w:right w:val="nil"/>
          <w:between w:val="nil"/>
        </w:pBdr>
        <w:spacing w:after="280"/>
        <w:jc w:val="both"/>
        <w:rPr>
          <w:rFonts w:ascii="Times New Roman" w:eastAsia="Times New Roman" w:hAnsi="Times New Roman" w:cs="Times New Roman"/>
          <w:color w:val="000000"/>
        </w:rPr>
      </w:pPr>
    </w:p>
    <w:p w14:paraId="0503332E" w14:textId="77777777" w:rsidR="00EB21F6" w:rsidRDefault="00EB21F6">
      <w:pPr>
        <w:jc w:val="both"/>
        <w:rPr>
          <w:rFonts w:ascii="Arial" w:eastAsia="Arial" w:hAnsi="Arial" w:cs="Arial"/>
        </w:rPr>
      </w:pPr>
    </w:p>
    <w:p w14:paraId="66CF2C86" w14:textId="77777777" w:rsidR="00EB21F6" w:rsidRDefault="00EB21F6">
      <w:pPr>
        <w:jc w:val="both"/>
        <w:rPr>
          <w:rFonts w:ascii="Arial" w:eastAsia="Arial" w:hAnsi="Arial" w:cs="Arial"/>
        </w:rPr>
      </w:pPr>
    </w:p>
    <w:p w14:paraId="34EBEF17" w14:textId="77777777" w:rsidR="00EB21F6" w:rsidRDefault="00EB21F6">
      <w:pPr>
        <w:jc w:val="both"/>
        <w:rPr>
          <w:rFonts w:ascii="Arial" w:eastAsia="Arial" w:hAnsi="Arial" w:cs="Arial"/>
        </w:rPr>
      </w:pPr>
    </w:p>
    <w:p w14:paraId="5A401A19" w14:textId="77777777" w:rsidR="00EB21F6" w:rsidRDefault="00EB21F6">
      <w:pPr>
        <w:jc w:val="both"/>
        <w:rPr>
          <w:rFonts w:ascii="Arial" w:eastAsia="Arial" w:hAnsi="Arial" w:cs="Arial"/>
        </w:rPr>
      </w:pPr>
    </w:p>
    <w:p w14:paraId="68361BA1" w14:textId="77777777" w:rsidR="00EB21F6" w:rsidRDefault="00EB21F6">
      <w:pPr>
        <w:jc w:val="both"/>
        <w:rPr>
          <w:rFonts w:ascii="Arial" w:eastAsia="Arial" w:hAnsi="Arial" w:cs="Arial"/>
        </w:rPr>
      </w:pPr>
    </w:p>
    <w:p w14:paraId="7ECED490" w14:textId="77777777" w:rsidR="00EB21F6" w:rsidRDefault="00EB21F6">
      <w:pPr>
        <w:jc w:val="both"/>
        <w:rPr>
          <w:rFonts w:ascii="Arial" w:eastAsia="Arial" w:hAnsi="Arial" w:cs="Arial"/>
        </w:rPr>
      </w:pPr>
    </w:p>
    <w:p w14:paraId="5FBD99C9" w14:textId="77777777" w:rsidR="00EB21F6" w:rsidRDefault="00EB21F6">
      <w:pPr>
        <w:jc w:val="both"/>
        <w:rPr>
          <w:rFonts w:ascii="Arial" w:eastAsia="Arial" w:hAnsi="Arial" w:cs="Arial"/>
        </w:rPr>
      </w:pPr>
    </w:p>
    <w:p w14:paraId="07C1AF6E" w14:textId="77777777" w:rsidR="00EB21F6" w:rsidRDefault="00EB21F6">
      <w:pPr>
        <w:jc w:val="both"/>
      </w:pPr>
    </w:p>
    <w:p w14:paraId="2C73C8A8" w14:textId="77777777" w:rsidR="00EB21F6" w:rsidRDefault="00EB21F6">
      <w:pPr>
        <w:pStyle w:val="Heading3"/>
        <w:spacing w:before="0"/>
        <w:ind w:left="600"/>
        <w:jc w:val="both"/>
        <w:rPr>
          <w:sz w:val="20"/>
          <w:szCs w:val="20"/>
        </w:rPr>
      </w:pPr>
    </w:p>
    <w:p w14:paraId="70E5A99F" w14:textId="77777777" w:rsidR="00EB21F6" w:rsidRDefault="00EB21F6">
      <w:pPr>
        <w:pStyle w:val="Heading3"/>
        <w:ind w:left="600"/>
        <w:jc w:val="both"/>
        <w:rPr>
          <w:rFonts w:ascii="Arial" w:eastAsia="Arial" w:hAnsi="Arial" w:cs="Arial"/>
          <w:sz w:val="20"/>
          <w:szCs w:val="20"/>
        </w:rPr>
      </w:pPr>
    </w:p>
    <w:p w14:paraId="35A93BBD" w14:textId="77777777" w:rsidR="00EB21F6" w:rsidRDefault="00EB21F6">
      <w:pPr>
        <w:pStyle w:val="Heading3"/>
        <w:ind w:left="600"/>
        <w:jc w:val="both"/>
        <w:rPr>
          <w:rFonts w:ascii="Arial" w:eastAsia="Arial" w:hAnsi="Arial" w:cs="Arial"/>
          <w:sz w:val="20"/>
          <w:szCs w:val="20"/>
        </w:rPr>
      </w:pPr>
    </w:p>
    <w:p w14:paraId="3865889E" w14:textId="77777777" w:rsidR="00EB21F6" w:rsidRDefault="00EB21F6">
      <w:pPr>
        <w:pStyle w:val="Heading3"/>
        <w:ind w:left="600"/>
        <w:jc w:val="both"/>
        <w:rPr>
          <w:rFonts w:ascii="Arial" w:eastAsia="Arial" w:hAnsi="Arial" w:cs="Arial"/>
          <w:sz w:val="20"/>
          <w:szCs w:val="20"/>
        </w:rPr>
      </w:pPr>
    </w:p>
    <w:p w14:paraId="2A36EFC3" w14:textId="77777777" w:rsidR="00EB21F6" w:rsidRDefault="00EB21F6">
      <w:pPr>
        <w:pStyle w:val="Heading3"/>
        <w:jc w:val="both"/>
        <w:rPr>
          <w:rFonts w:ascii="Arial" w:eastAsia="Arial" w:hAnsi="Arial" w:cs="Arial"/>
          <w:sz w:val="20"/>
          <w:szCs w:val="20"/>
        </w:rPr>
      </w:pPr>
    </w:p>
    <w:p w14:paraId="1898E7EE" w14:textId="77777777" w:rsidR="00EB21F6" w:rsidRDefault="000176C0">
      <w:pPr>
        <w:widowControl w:val="0"/>
        <w:spacing w:before="184"/>
        <w:ind w:left="140" w:firstLine="580"/>
        <w:rPr>
          <w:rFonts w:ascii="Arial" w:eastAsia="Arial" w:hAnsi="Arial" w:cs="Arial"/>
          <w:b/>
          <w:sz w:val="21"/>
          <w:szCs w:val="21"/>
        </w:rPr>
      </w:pPr>
      <w:r>
        <w:rPr>
          <w:rFonts w:ascii="Arial" w:eastAsia="Arial" w:hAnsi="Arial" w:cs="Arial"/>
          <w:b/>
          <w:sz w:val="21"/>
          <w:szCs w:val="21"/>
        </w:rPr>
        <w:t>DISCLAIMER (ARTIFICIAL INTELLIGENCE)</w:t>
      </w:r>
    </w:p>
    <w:p w14:paraId="3D065201" w14:textId="77777777" w:rsidR="00EB21F6" w:rsidRDefault="000176C0">
      <w:pPr>
        <w:widowControl w:val="0"/>
        <w:spacing w:before="186"/>
        <w:ind w:left="860" w:right="118"/>
        <w:jc w:val="both"/>
        <w:rPr>
          <w:rFonts w:ascii="Arial" w:eastAsia="Arial" w:hAnsi="Arial" w:cs="Arial"/>
        </w:rPr>
      </w:pPr>
      <w:r>
        <w:rPr>
          <w:rFonts w:ascii="Arial" w:eastAsia="Arial" w:hAnsi="Arial" w:cs="Arial"/>
        </w:rPr>
        <w:t>Author(s) hereby declare that NO generative AI technologies such as Large Language Models (</w:t>
      </w:r>
      <w:proofErr w:type="spellStart"/>
      <w:r>
        <w:rPr>
          <w:rFonts w:ascii="Arial" w:eastAsia="Arial" w:hAnsi="Arial" w:cs="Arial"/>
        </w:rPr>
        <w:t>ChatGPT</w:t>
      </w:r>
      <w:proofErr w:type="spellEnd"/>
      <w:r>
        <w:rPr>
          <w:rFonts w:ascii="Arial" w:eastAsia="Arial" w:hAnsi="Arial" w:cs="Arial"/>
        </w:rPr>
        <w:t xml:space="preserve">, COPILOT, </w:t>
      </w:r>
      <w:proofErr w:type="spellStart"/>
      <w:r>
        <w:rPr>
          <w:rFonts w:ascii="Arial" w:eastAsia="Arial" w:hAnsi="Arial" w:cs="Arial"/>
        </w:rPr>
        <w:t>etc</w:t>
      </w:r>
      <w:proofErr w:type="spellEnd"/>
      <w:r>
        <w:rPr>
          <w:rFonts w:ascii="Arial" w:eastAsia="Arial" w:hAnsi="Arial" w:cs="Arial"/>
        </w:rPr>
        <w:t>) and text-to-image generators have been used during writing or editing of this manuscript.</w:t>
      </w:r>
    </w:p>
    <w:p w14:paraId="3684C136" w14:textId="77777777" w:rsidR="00EB21F6" w:rsidRDefault="000176C0">
      <w:pPr>
        <w:pStyle w:val="Heading1"/>
        <w:widowControl w:val="0"/>
        <w:spacing w:before="185" w:after="0"/>
        <w:ind w:left="140" w:firstLine="580"/>
        <w:rPr>
          <w:rFonts w:ascii="Arial" w:eastAsia="Arial" w:hAnsi="Arial" w:cs="Arial"/>
          <w:sz w:val="22"/>
          <w:szCs w:val="22"/>
        </w:rPr>
      </w:pPr>
      <w:r>
        <w:rPr>
          <w:rFonts w:ascii="Arial" w:eastAsia="Arial" w:hAnsi="Arial" w:cs="Arial"/>
          <w:sz w:val="22"/>
          <w:szCs w:val="22"/>
        </w:rPr>
        <w:t>CONSENT</w:t>
      </w:r>
    </w:p>
    <w:p w14:paraId="1DF50E15" w14:textId="77777777" w:rsidR="00EB21F6" w:rsidRDefault="000176C0">
      <w:pPr>
        <w:widowControl w:val="0"/>
        <w:spacing w:before="181"/>
        <w:ind w:left="860" w:right="122"/>
        <w:jc w:val="both"/>
        <w:rPr>
          <w:rFonts w:ascii="Arial" w:eastAsia="Arial" w:hAnsi="Arial" w:cs="Arial"/>
        </w:rPr>
      </w:pPr>
      <w:r>
        <w:rPr>
          <w:rFonts w:ascii="Arial" w:eastAsia="Arial" w:hAnsi="Arial" w:cs="Arial"/>
        </w:rPr>
        <w:t>As per international standards or university standards, Participants’ written consent has been collected and preserved by the author(s).</w:t>
      </w:r>
    </w:p>
    <w:p w14:paraId="5D2A10D2" w14:textId="77777777" w:rsidR="00EB21F6" w:rsidRDefault="000176C0">
      <w:pPr>
        <w:pStyle w:val="Heading1"/>
        <w:widowControl w:val="0"/>
        <w:spacing w:before="187" w:after="0"/>
        <w:ind w:left="140" w:firstLine="580"/>
        <w:rPr>
          <w:rFonts w:ascii="Arial" w:eastAsia="Arial" w:hAnsi="Arial" w:cs="Arial"/>
          <w:sz w:val="22"/>
          <w:szCs w:val="22"/>
        </w:rPr>
      </w:pPr>
      <w:bookmarkStart w:id="2" w:name="_h7qoqj2m45ma" w:colFirst="0" w:colLast="0"/>
      <w:bookmarkEnd w:id="2"/>
      <w:r>
        <w:rPr>
          <w:rFonts w:ascii="Arial" w:eastAsia="Arial" w:hAnsi="Arial" w:cs="Arial"/>
          <w:sz w:val="22"/>
          <w:szCs w:val="22"/>
        </w:rPr>
        <w:t>COMPETING INTERESTS</w:t>
      </w:r>
    </w:p>
    <w:p w14:paraId="31D43649" w14:textId="77777777" w:rsidR="00EB21F6" w:rsidRDefault="000176C0">
      <w:pPr>
        <w:widowControl w:val="0"/>
        <w:spacing w:before="183"/>
        <w:ind w:left="140" w:right="122" w:firstLine="580"/>
        <w:jc w:val="both"/>
        <w:rPr>
          <w:rFonts w:ascii="Arial" w:eastAsia="Arial" w:hAnsi="Arial" w:cs="Arial"/>
        </w:rPr>
      </w:pPr>
      <w:r>
        <w:rPr>
          <w:rFonts w:ascii="Arial" w:eastAsia="Arial" w:hAnsi="Arial" w:cs="Arial"/>
        </w:rPr>
        <w:t>Authors have declared that no competing interests exist.</w:t>
      </w:r>
    </w:p>
    <w:p w14:paraId="35335ADF" w14:textId="77777777" w:rsidR="00EB21F6" w:rsidRDefault="00EB21F6">
      <w:pPr>
        <w:pStyle w:val="Heading3"/>
        <w:jc w:val="both"/>
        <w:rPr>
          <w:rFonts w:ascii="Arial" w:eastAsia="Arial" w:hAnsi="Arial" w:cs="Arial"/>
          <w:sz w:val="20"/>
          <w:szCs w:val="20"/>
        </w:rPr>
      </w:pPr>
    </w:p>
    <w:p w14:paraId="0E31FA60" w14:textId="77777777" w:rsidR="00EB21F6" w:rsidRDefault="00EB21F6">
      <w:pPr>
        <w:pStyle w:val="Heading3"/>
        <w:ind w:left="600"/>
        <w:jc w:val="both"/>
        <w:rPr>
          <w:rFonts w:ascii="Arial" w:eastAsia="Arial" w:hAnsi="Arial" w:cs="Arial"/>
          <w:sz w:val="20"/>
          <w:szCs w:val="20"/>
        </w:rPr>
      </w:pPr>
    </w:p>
    <w:p w14:paraId="2E5EF4CA" w14:textId="77777777" w:rsidR="00EB21F6" w:rsidRDefault="00EB21F6">
      <w:pPr>
        <w:pStyle w:val="Heading3"/>
        <w:ind w:left="600"/>
        <w:jc w:val="both"/>
        <w:rPr>
          <w:rFonts w:ascii="Arial" w:eastAsia="Arial" w:hAnsi="Arial" w:cs="Arial"/>
          <w:sz w:val="20"/>
          <w:szCs w:val="20"/>
        </w:rPr>
      </w:pPr>
    </w:p>
    <w:p w14:paraId="0BE1C0E7" w14:textId="77777777" w:rsidR="00EB21F6" w:rsidRDefault="00EB21F6">
      <w:pPr>
        <w:pStyle w:val="Heading3"/>
        <w:ind w:left="600"/>
        <w:jc w:val="both"/>
        <w:rPr>
          <w:rFonts w:ascii="Arial" w:eastAsia="Arial" w:hAnsi="Arial" w:cs="Arial"/>
          <w:sz w:val="20"/>
          <w:szCs w:val="20"/>
        </w:rPr>
      </w:pPr>
    </w:p>
    <w:p w14:paraId="6EB21763" w14:textId="77777777" w:rsidR="00EB21F6" w:rsidRDefault="00EB21F6">
      <w:pPr>
        <w:pStyle w:val="Heading3"/>
        <w:ind w:left="600"/>
        <w:jc w:val="both"/>
        <w:rPr>
          <w:rFonts w:ascii="Arial" w:eastAsia="Arial" w:hAnsi="Arial" w:cs="Arial"/>
          <w:sz w:val="20"/>
          <w:szCs w:val="20"/>
        </w:rPr>
      </w:pPr>
    </w:p>
    <w:p w14:paraId="41381704" w14:textId="77777777" w:rsidR="00EB21F6" w:rsidRDefault="00EB21F6">
      <w:pPr>
        <w:pStyle w:val="Heading3"/>
        <w:ind w:left="600"/>
        <w:jc w:val="both"/>
        <w:rPr>
          <w:rFonts w:ascii="Arial" w:eastAsia="Arial" w:hAnsi="Arial" w:cs="Arial"/>
          <w:sz w:val="20"/>
          <w:szCs w:val="20"/>
        </w:rPr>
      </w:pPr>
    </w:p>
    <w:p w14:paraId="1FD7DD94" w14:textId="77777777" w:rsidR="00EB21F6" w:rsidRDefault="00EB21F6">
      <w:pPr>
        <w:pStyle w:val="Heading3"/>
        <w:ind w:left="600"/>
        <w:jc w:val="both"/>
        <w:rPr>
          <w:rFonts w:ascii="Arial" w:eastAsia="Arial" w:hAnsi="Arial" w:cs="Arial"/>
          <w:sz w:val="20"/>
          <w:szCs w:val="20"/>
        </w:rPr>
      </w:pPr>
    </w:p>
    <w:p w14:paraId="375C4A89" w14:textId="77777777" w:rsidR="00EB21F6" w:rsidRDefault="00EB21F6">
      <w:pPr>
        <w:pStyle w:val="Heading3"/>
        <w:ind w:left="600"/>
        <w:jc w:val="both"/>
        <w:rPr>
          <w:rFonts w:ascii="Arial" w:eastAsia="Arial" w:hAnsi="Arial" w:cs="Arial"/>
          <w:sz w:val="20"/>
          <w:szCs w:val="20"/>
        </w:rPr>
      </w:pPr>
    </w:p>
    <w:p w14:paraId="6AA44674" w14:textId="77777777" w:rsidR="00EB21F6" w:rsidRDefault="00EB21F6">
      <w:pPr>
        <w:pStyle w:val="Heading3"/>
        <w:ind w:left="600"/>
        <w:jc w:val="both"/>
        <w:rPr>
          <w:rFonts w:ascii="Arial" w:eastAsia="Arial" w:hAnsi="Arial" w:cs="Arial"/>
          <w:sz w:val="20"/>
          <w:szCs w:val="20"/>
        </w:rPr>
      </w:pPr>
    </w:p>
    <w:p w14:paraId="3B2FC46E" w14:textId="77777777" w:rsidR="00EB21F6" w:rsidRDefault="000176C0">
      <w:pPr>
        <w:pStyle w:val="Heading3"/>
        <w:ind w:firstLine="720"/>
        <w:jc w:val="both"/>
        <w:rPr>
          <w:sz w:val="20"/>
          <w:szCs w:val="20"/>
        </w:rPr>
      </w:pPr>
      <w:r>
        <w:rPr>
          <w:rFonts w:ascii="Arial" w:eastAsia="Arial" w:hAnsi="Arial" w:cs="Arial"/>
          <w:sz w:val="20"/>
          <w:szCs w:val="20"/>
        </w:rPr>
        <w:t>References</w:t>
      </w:r>
    </w:p>
    <w:p w14:paraId="328F8634" w14:textId="77777777" w:rsidR="00EB21F6" w:rsidRDefault="000176C0">
      <w:pPr>
        <w:pStyle w:val="Heading3"/>
        <w:ind w:left="600"/>
        <w:jc w:val="both"/>
        <w:rPr>
          <w:rFonts w:ascii="Arial" w:eastAsia="Arial" w:hAnsi="Arial" w:cs="Arial"/>
          <w:b w:val="0"/>
          <w:sz w:val="20"/>
          <w:szCs w:val="20"/>
        </w:rPr>
      </w:pPr>
      <w:proofErr w:type="spellStart"/>
      <w:r>
        <w:rPr>
          <w:rFonts w:ascii="Arial" w:eastAsia="Arial" w:hAnsi="Arial" w:cs="Arial"/>
          <w:b w:val="0"/>
          <w:sz w:val="20"/>
          <w:szCs w:val="20"/>
        </w:rPr>
        <w:t>Ahoada</w:t>
      </w:r>
      <w:proofErr w:type="spellEnd"/>
      <w:r>
        <w:rPr>
          <w:rFonts w:ascii="Arial" w:eastAsia="Arial" w:hAnsi="Arial" w:cs="Arial"/>
          <w:b w:val="0"/>
          <w:sz w:val="20"/>
          <w:szCs w:val="20"/>
        </w:rPr>
        <w:t xml:space="preserve"> West LGA (2023).</w:t>
      </w:r>
      <w:r>
        <w:rPr>
          <w:rFonts w:ascii="Arial" w:eastAsia="Arial" w:hAnsi="Arial" w:cs="Arial"/>
          <w:sz w:val="20"/>
          <w:szCs w:val="20"/>
        </w:rPr>
        <w:t xml:space="preserve">  </w:t>
      </w:r>
      <w:hyperlink r:id="rId6">
        <w:r>
          <w:rPr>
            <w:rFonts w:ascii="Arial" w:eastAsia="Arial" w:hAnsi="Arial" w:cs="Arial"/>
            <w:b w:val="0"/>
            <w:sz w:val="20"/>
            <w:szCs w:val="20"/>
          </w:rPr>
          <w:t>https://www.finelib.com/listing/Ahoada-West-LGA/62253</w:t>
        </w:r>
      </w:hyperlink>
      <w:r>
        <w:rPr>
          <w:rFonts w:ascii="Times New Roman" w:eastAsia="Times New Roman" w:hAnsi="Times New Roman" w:cs="Times New Roman"/>
          <w:sz w:val="20"/>
          <w:szCs w:val="20"/>
        </w:rPr>
        <w:br/>
      </w:r>
      <w:r>
        <w:rPr>
          <w:rFonts w:ascii="Times New Roman" w:eastAsia="Times New Roman" w:hAnsi="Times New Roman" w:cs="Times New Roman"/>
          <w:sz w:val="20"/>
          <w:szCs w:val="20"/>
        </w:rPr>
        <w:br/>
      </w:r>
      <w:r>
        <w:rPr>
          <w:rFonts w:ascii="Arial" w:eastAsia="Arial" w:hAnsi="Arial" w:cs="Arial"/>
          <w:b w:val="0"/>
          <w:sz w:val="20"/>
          <w:szCs w:val="20"/>
        </w:rPr>
        <w:t xml:space="preserve">Akhtar, S., </w:t>
      </w:r>
      <w:proofErr w:type="spellStart"/>
      <w:r>
        <w:rPr>
          <w:rFonts w:ascii="Arial" w:eastAsia="Arial" w:hAnsi="Arial" w:cs="Arial"/>
          <w:b w:val="0"/>
          <w:sz w:val="20"/>
          <w:szCs w:val="20"/>
        </w:rPr>
        <w:t>Gumashta</w:t>
      </w:r>
      <w:proofErr w:type="spellEnd"/>
      <w:r>
        <w:rPr>
          <w:rFonts w:ascii="Arial" w:eastAsia="Arial" w:hAnsi="Arial" w:cs="Arial"/>
          <w:b w:val="0"/>
          <w:sz w:val="20"/>
          <w:szCs w:val="20"/>
        </w:rPr>
        <w:t xml:space="preserve">, R., </w:t>
      </w:r>
      <w:proofErr w:type="spellStart"/>
      <w:r>
        <w:rPr>
          <w:rFonts w:ascii="Arial" w:eastAsia="Arial" w:hAnsi="Arial" w:cs="Arial"/>
          <w:b w:val="0"/>
          <w:sz w:val="20"/>
          <w:szCs w:val="20"/>
        </w:rPr>
        <w:t>Mahore</w:t>
      </w:r>
      <w:proofErr w:type="spellEnd"/>
      <w:r>
        <w:rPr>
          <w:rFonts w:ascii="Arial" w:eastAsia="Arial" w:hAnsi="Arial" w:cs="Arial"/>
          <w:b w:val="0"/>
          <w:sz w:val="20"/>
          <w:szCs w:val="20"/>
        </w:rPr>
        <w:t xml:space="preserve">, S., &amp; Maimoon, S. (2012). Hematological changes in malaria: A comparative study. </w:t>
      </w:r>
      <w:r>
        <w:rPr>
          <w:rFonts w:ascii="Arial" w:eastAsia="Arial" w:hAnsi="Arial" w:cs="Arial"/>
          <w:b w:val="0"/>
          <w:i/>
          <w:sz w:val="20"/>
          <w:szCs w:val="20"/>
        </w:rPr>
        <w:t>IOSR Journal of Pharmacy and Biological Sciences (IOSR-JPBS), 2</w:t>
      </w:r>
      <w:r>
        <w:rPr>
          <w:rFonts w:ascii="Arial" w:eastAsia="Arial" w:hAnsi="Arial" w:cs="Arial"/>
          <w:b w:val="0"/>
          <w:sz w:val="20"/>
          <w:szCs w:val="20"/>
        </w:rPr>
        <w:t xml:space="preserve">(4), 15–19. </w:t>
      </w:r>
      <w:hyperlink r:id="rId7">
        <w:r>
          <w:rPr>
            <w:rFonts w:ascii="Arial" w:eastAsia="Arial" w:hAnsi="Arial" w:cs="Arial"/>
            <w:b w:val="0"/>
            <w:sz w:val="20"/>
            <w:szCs w:val="20"/>
            <w:u w:val="single"/>
          </w:rPr>
          <w:t>https://www.iosrjournals.org/iosr-jpbs/papers/Vol2-issue4/C0241519.pdf</w:t>
        </w:r>
      </w:hyperlink>
      <w:r>
        <w:rPr>
          <w:rFonts w:ascii="Arial" w:eastAsia="Arial" w:hAnsi="Arial" w:cs="Arial"/>
          <w:b w:val="0"/>
          <w:sz w:val="20"/>
          <w:szCs w:val="20"/>
        </w:rPr>
        <w:t xml:space="preserve"> </w:t>
      </w:r>
      <w:r>
        <w:rPr>
          <w:rFonts w:ascii="Times New Roman" w:eastAsia="Times New Roman" w:hAnsi="Times New Roman" w:cs="Times New Roman"/>
          <w:sz w:val="20"/>
          <w:szCs w:val="20"/>
          <w:highlight w:val="red"/>
        </w:rPr>
        <w:br/>
      </w:r>
      <w:r>
        <w:rPr>
          <w:rFonts w:ascii="Times New Roman" w:eastAsia="Times New Roman" w:hAnsi="Times New Roman" w:cs="Times New Roman"/>
          <w:sz w:val="20"/>
          <w:szCs w:val="20"/>
        </w:rPr>
        <w:br/>
      </w:r>
      <w:r>
        <w:rPr>
          <w:rFonts w:ascii="Arial" w:eastAsia="Arial" w:hAnsi="Arial" w:cs="Arial"/>
          <w:b w:val="0"/>
          <w:sz w:val="20"/>
          <w:szCs w:val="20"/>
        </w:rPr>
        <w:t xml:space="preserve">Ananya, R., &amp; Brundha, M. P. (2020). Comparison of Hb and PCV values in manual methods – A prospective study. </w:t>
      </w:r>
      <w:r>
        <w:rPr>
          <w:rFonts w:ascii="Arial" w:eastAsia="Arial" w:hAnsi="Arial" w:cs="Arial"/>
          <w:b w:val="0"/>
          <w:i/>
          <w:sz w:val="20"/>
          <w:szCs w:val="20"/>
        </w:rPr>
        <w:t>Bioscience Biotechnology Research Communications</w:t>
      </w:r>
      <w:r>
        <w:rPr>
          <w:rFonts w:ascii="Arial" w:eastAsia="Arial" w:hAnsi="Arial" w:cs="Arial"/>
          <w:b w:val="0"/>
          <w:sz w:val="20"/>
          <w:szCs w:val="20"/>
        </w:rPr>
        <w:t xml:space="preserve">, </w:t>
      </w:r>
      <w:r>
        <w:rPr>
          <w:rFonts w:ascii="Arial" w:eastAsia="Arial" w:hAnsi="Arial" w:cs="Arial"/>
          <w:b w:val="0"/>
          <w:i/>
          <w:sz w:val="20"/>
          <w:szCs w:val="20"/>
        </w:rPr>
        <w:t>13</w:t>
      </w:r>
      <w:r>
        <w:rPr>
          <w:rFonts w:ascii="Arial" w:eastAsia="Arial" w:hAnsi="Arial" w:cs="Arial"/>
          <w:b w:val="0"/>
          <w:sz w:val="20"/>
          <w:szCs w:val="20"/>
        </w:rPr>
        <w:t>(8, Special Issue), 196–200.</w:t>
      </w:r>
      <w:hyperlink r:id="rId8">
        <w:r>
          <w:rPr>
            <w:rFonts w:ascii="Arial" w:eastAsia="Arial" w:hAnsi="Arial" w:cs="Arial"/>
            <w:b w:val="0"/>
            <w:sz w:val="20"/>
            <w:szCs w:val="20"/>
          </w:rPr>
          <w:t xml:space="preserve"> </w:t>
        </w:r>
      </w:hyperlink>
      <w:hyperlink r:id="rId9">
        <w:r>
          <w:rPr>
            <w:rFonts w:ascii="Arial" w:eastAsia="Arial" w:hAnsi="Arial" w:cs="Arial"/>
            <w:b w:val="0"/>
            <w:color w:val="1155CC"/>
            <w:sz w:val="20"/>
            <w:szCs w:val="20"/>
            <w:u w:val="single"/>
          </w:rPr>
          <w:t>http://bbrc.in/bbrc/wp-content/uploads/2020/10/BBRC-136.pdf</w:t>
        </w:r>
      </w:hyperlink>
    </w:p>
    <w:p w14:paraId="471C555A" w14:textId="77777777" w:rsidR="00EB21F6" w:rsidRDefault="000176C0">
      <w:pPr>
        <w:spacing w:before="280" w:after="280"/>
        <w:ind w:left="600"/>
        <w:rPr>
          <w:rFonts w:ascii="Times New Roman" w:eastAsia="Times New Roman" w:hAnsi="Times New Roman" w:cs="Times New Roman"/>
          <w:color w:val="000000"/>
        </w:rPr>
      </w:pPr>
      <w:r>
        <w:rPr>
          <w:rFonts w:ascii="Arial" w:eastAsia="Arial" w:hAnsi="Arial" w:cs="Arial"/>
        </w:rPr>
        <w:t xml:space="preserve">American Red Cross. (2025). </w:t>
      </w:r>
      <w:r>
        <w:rPr>
          <w:rFonts w:ascii="Arial" w:eastAsia="Arial" w:hAnsi="Arial" w:cs="Arial"/>
          <w:i/>
        </w:rPr>
        <w:t>Hematocrit</w:t>
      </w:r>
      <w:r>
        <w:rPr>
          <w:rFonts w:ascii="Arial" w:eastAsia="Arial" w:hAnsi="Arial" w:cs="Arial"/>
        </w:rPr>
        <w:t xml:space="preserve">. </w:t>
      </w:r>
      <w:hyperlink r:id="rId10">
        <w:r>
          <w:rPr>
            <w:rFonts w:ascii="Arial" w:eastAsia="Arial" w:hAnsi="Arial" w:cs="Arial"/>
            <w:u w:val="single"/>
          </w:rPr>
          <w:t>https://www.redcrossblood.org/donate-blood/dlp/hematocrit.html</w:t>
        </w:r>
      </w:hyperlink>
      <w:r>
        <w:rPr>
          <w:rFonts w:ascii="Arial" w:eastAsia="Arial" w:hAnsi="Arial" w:cs="Arial"/>
        </w:rPr>
        <w:t xml:space="preserve"> </w:t>
      </w:r>
      <w:r>
        <w:rPr>
          <w:rFonts w:ascii="Times New Roman" w:eastAsia="Times New Roman" w:hAnsi="Times New Roman" w:cs="Times New Roman"/>
        </w:rPr>
        <w:br/>
      </w:r>
      <w:r>
        <w:rPr>
          <w:rFonts w:ascii="Times New Roman" w:eastAsia="Times New Roman" w:hAnsi="Times New Roman" w:cs="Times New Roman"/>
        </w:rPr>
        <w:br/>
      </w:r>
      <w:r>
        <w:rPr>
          <w:rFonts w:ascii="Arial" w:eastAsia="Arial" w:hAnsi="Arial" w:cs="Arial"/>
          <w:color w:val="000000"/>
        </w:rPr>
        <w:t xml:space="preserve">Bhandari, J., Thada, P. K., Hashmi, M. F., &amp; DeVos, E. (2024, April 19). Typhoid fever. In </w:t>
      </w:r>
      <w:proofErr w:type="spellStart"/>
      <w:r>
        <w:rPr>
          <w:rFonts w:ascii="Arial" w:eastAsia="Arial" w:hAnsi="Arial" w:cs="Arial"/>
          <w:color w:val="000000"/>
        </w:rPr>
        <w:t>StatPearls</w:t>
      </w:r>
      <w:proofErr w:type="spellEnd"/>
      <w:r>
        <w:rPr>
          <w:rFonts w:ascii="Arial" w:eastAsia="Arial" w:hAnsi="Arial" w:cs="Arial"/>
          <w:color w:val="000000"/>
        </w:rPr>
        <w:t xml:space="preserve">. </w:t>
      </w:r>
      <w:proofErr w:type="spellStart"/>
      <w:r>
        <w:rPr>
          <w:rFonts w:ascii="Arial" w:eastAsia="Arial" w:hAnsi="Arial" w:cs="Arial"/>
          <w:color w:val="000000"/>
        </w:rPr>
        <w:t>StatPearls</w:t>
      </w:r>
      <w:proofErr w:type="spellEnd"/>
      <w:r>
        <w:rPr>
          <w:rFonts w:ascii="Arial" w:eastAsia="Arial" w:hAnsi="Arial" w:cs="Arial"/>
          <w:color w:val="000000"/>
        </w:rPr>
        <w:t xml:space="preserve"> Publishing. </w:t>
      </w:r>
      <w:hyperlink r:id="rId11">
        <w:r>
          <w:rPr>
            <w:rFonts w:ascii="Arial" w:eastAsia="Arial" w:hAnsi="Arial" w:cs="Arial"/>
            <w:color w:val="000000"/>
          </w:rPr>
          <w:t>https://www.ncbi.nlm.nih.gov/books/NBK557513/</w:t>
        </w:r>
      </w:hyperlink>
      <w:r>
        <w:rPr>
          <w:rFonts w:ascii="Arial" w:eastAsia="Arial" w:hAnsi="Arial" w:cs="Arial"/>
        </w:rPr>
        <w:br/>
      </w:r>
      <w:r>
        <w:rPr>
          <w:rFonts w:ascii="Arial" w:eastAsia="Arial" w:hAnsi="Arial" w:cs="Arial"/>
        </w:rPr>
        <w:br/>
        <w:t>Cheesbrough, M. (2006). District laboratory practice in tropical countries (Part 1, 2nd ed., p. 249). Cambridge University Press.</w:t>
      </w:r>
      <w:hyperlink r:id="rId12">
        <w:r>
          <w:rPr>
            <w:rFonts w:ascii="Arial" w:eastAsia="Arial" w:hAnsi="Arial" w:cs="Arial"/>
          </w:rPr>
          <w:t xml:space="preserve"> </w:t>
        </w:r>
      </w:hyperlink>
      <w:hyperlink r:id="rId13">
        <w:r>
          <w:rPr>
            <w:rFonts w:ascii="Arial" w:eastAsia="Arial" w:hAnsi="Arial" w:cs="Arial"/>
            <w:u w:val="single"/>
          </w:rPr>
          <w:t>https://rlmc.edu.pk/themes/images/gallery/library/books/Microbiology/Monica%20Cheesbrough%20District%20Laboratory%20Practice%20in%20Tropical%20Countries,%20Part%201,Second%20Edition%20%202005.pdf</w:t>
        </w:r>
      </w:hyperlink>
      <w:r>
        <w:rPr>
          <w:rFonts w:ascii="Arial" w:eastAsia="Arial" w:hAnsi="Arial" w:cs="Arial"/>
        </w:rPr>
        <w:br/>
      </w:r>
      <w:r>
        <w:rPr>
          <w:rFonts w:ascii="Arial" w:eastAsia="Arial" w:hAnsi="Arial" w:cs="Arial"/>
        </w:rPr>
        <w:br/>
      </w:r>
      <w:r>
        <w:rPr>
          <w:rFonts w:ascii="Arial" w:eastAsia="Arial" w:hAnsi="Arial" w:cs="Arial"/>
          <w:color w:val="000000"/>
        </w:rPr>
        <w:t>Cheesbrough, M. (2006). District laboratory practice in tropical countries (Part 2). Cambridge University Press.</w:t>
      </w:r>
    </w:p>
    <w:p w14:paraId="25033D15" w14:textId="77777777" w:rsidR="00EB21F6" w:rsidRDefault="000176C0">
      <w:pPr>
        <w:pBdr>
          <w:top w:val="nil"/>
          <w:left w:val="nil"/>
          <w:bottom w:val="nil"/>
          <w:right w:val="nil"/>
          <w:between w:val="nil"/>
        </w:pBdr>
        <w:spacing w:before="280" w:after="280"/>
        <w:ind w:left="600"/>
        <w:jc w:val="both"/>
        <w:rPr>
          <w:rFonts w:ascii="Arial" w:eastAsia="Arial" w:hAnsi="Arial" w:cs="Arial"/>
          <w:color w:val="333333"/>
          <w:highlight w:val="white"/>
        </w:rPr>
      </w:pPr>
      <w:r>
        <w:rPr>
          <w:rFonts w:ascii="Arial" w:eastAsia="Arial" w:hAnsi="Arial" w:cs="Arial"/>
        </w:rPr>
        <w:t>Centers for Disease Control and Prevention. (2024, May 14). Mosquitoes. U.S. Department of Health &amp; Human Services.</w:t>
      </w:r>
      <w:hyperlink r:id="rId14">
        <w:r>
          <w:rPr>
            <w:rFonts w:ascii="Arial" w:eastAsia="Arial" w:hAnsi="Arial" w:cs="Arial"/>
          </w:rPr>
          <w:t xml:space="preserve"> </w:t>
        </w:r>
      </w:hyperlink>
      <w:hyperlink r:id="rId15">
        <w:r>
          <w:rPr>
            <w:rFonts w:ascii="Arial" w:eastAsia="Arial" w:hAnsi="Arial" w:cs="Arial"/>
            <w:color w:val="1155CC"/>
            <w:u w:val="single"/>
          </w:rPr>
          <w:t>https://www.cdc.gov/mosquitoes/</w:t>
        </w:r>
      </w:hyperlink>
    </w:p>
    <w:p w14:paraId="084B0AE0" w14:textId="77777777" w:rsidR="00EB21F6" w:rsidRDefault="000176C0">
      <w:pPr>
        <w:spacing w:before="280" w:after="280"/>
        <w:ind w:left="600"/>
        <w:jc w:val="both"/>
        <w:rPr>
          <w:rFonts w:ascii="Arial" w:eastAsia="Arial" w:hAnsi="Arial" w:cs="Arial"/>
          <w:color w:val="333333"/>
          <w:highlight w:val="white"/>
        </w:rPr>
      </w:pPr>
      <w:r>
        <w:rPr>
          <w:rFonts w:ascii="Arial" w:eastAsia="Arial" w:hAnsi="Arial" w:cs="Arial"/>
        </w:rPr>
        <w:t xml:space="preserve">Danso-Appiah, A., Rufai, T., </w:t>
      </w:r>
      <w:proofErr w:type="spellStart"/>
      <w:r>
        <w:rPr>
          <w:rFonts w:ascii="Arial" w:eastAsia="Arial" w:hAnsi="Arial" w:cs="Arial"/>
        </w:rPr>
        <w:t>Aninagyei</w:t>
      </w:r>
      <w:proofErr w:type="spellEnd"/>
      <w:r>
        <w:rPr>
          <w:rFonts w:ascii="Arial" w:eastAsia="Arial" w:hAnsi="Arial" w:cs="Arial"/>
        </w:rPr>
        <w:t xml:space="preserve">, E., Osei Duah Jr, I., &amp; Others. (2022, April). </w:t>
      </w:r>
      <w:r>
        <w:rPr>
          <w:rFonts w:ascii="Arial" w:eastAsia="Arial" w:hAnsi="Arial" w:cs="Arial"/>
          <w:i/>
        </w:rPr>
        <w:t>Malaria and typhoid fever coinfection among patients presenting with febrile illnesses in Ga West Municipality, Ghana</w:t>
      </w:r>
      <w:r>
        <w:rPr>
          <w:rFonts w:ascii="Arial" w:eastAsia="Arial" w:hAnsi="Arial" w:cs="Arial"/>
        </w:rPr>
        <w:t xml:space="preserve"> [Preprint]. </w:t>
      </w:r>
      <w:proofErr w:type="spellStart"/>
      <w:r>
        <w:rPr>
          <w:rFonts w:ascii="Arial" w:eastAsia="Arial" w:hAnsi="Arial" w:cs="Arial"/>
        </w:rPr>
        <w:t>medRxiv</w:t>
      </w:r>
      <w:proofErr w:type="spellEnd"/>
      <w:r>
        <w:rPr>
          <w:rFonts w:ascii="Arial" w:eastAsia="Arial" w:hAnsi="Arial" w:cs="Arial"/>
        </w:rPr>
        <w:t>. https://doi.org/10.1101/2022.04.12.22273780</w:t>
      </w:r>
    </w:p>
    <w:p w14:paraId="41ECE859"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rPr>
      </w:pPr>
      <w:r>
        <w:rPr>
          <w:rFonts w:ascii="Arial" w:eastAsia="Arial" w:hAnsi="Arial" w:cs="Arial"/>
          <w:color w:val="333333"/>
          <w:highlight w:val="white"/>
        </w:rPr>
        <w:t xml:space="preserve">Edet, U. O., R. U. B. </w:t>
      </w:r>
      <w:proofErr w:type="spellStart"/>
      <w:r>
        <w:rPr>
          <w:rFonts w:ascii="Arial" w:eastAsia="Arial" w:hAnsi="Arial" w:cs="Arial"/>
          <w:color w:val="333333"/>
          <w:highlight w:val="white"/>
        </w:rPr>
        <w:t>Ebana</w:t>
      </w:r>
      <w:proofErr w:type="spellEnd"/>
      <w:r>
        <w:rPr>
          <w:rFonts w:ascii="Arial" w:eastAsia="Arial" w:hAnsi="Arial" w:cs="Arial"/>
          <w:color w:val="333333"/>
          <w:highlight w:val="white"/>
        </w:rPr>
        <w:t xml:space="preserve">, C. A. Etok, and J. A. </w:t>
      </w:r>
      <w:proofErr w:type="spellStart"/>
      <w:r>
        <w:rPr>
          <w:rFonts w:ascii="Arial" w:eastAsia="Arial" w:hAnsi="Arial" w:cs="Arial"/>
          <w:color w:val="333333"/>
          <w:highlight w:val="white"/>
        </w:rPr>
        <w:t>Ukanukumo</w:t>
      </w:r>
      <w:proofErr w:type="spellEnd"/>
      <w:r>
        <w:rPr>
          <w:rFonts w:ascii="Arial" w:eastAsia="Arial" w:hAnsi="Arial" w:cs="Arial"/>
          <w:color w:val="333333"/>
          <w:highlight w:val="white"/>
        </w:rPr>
        <w:t xml:space="preserve">. 2016. “Prevalence of Malaria and Typhoid Co-Infection Amongst Residents of </w:t>
      </w:r>
      <w:proofErr w:type="spellStart"/>
      <w:r>
        <w:rPr>
          <w:rFonts w:ascii="Arial" w:eastAsia="Arial" w:hAnsi="Arial" w:cs="Arial"/>
          <w:color w:val="333333"/>
          <w:highlight w:val="white"/>
        </w:rPr>
        <w:t>Uyo</w:t>
      </w:r>
      <w:proofErr w:type="spellEnd"/>
      <w:r>
        <w:rPr>
          <w:rFonts w:ascii="Arial" w:eastAsia="Arial" w:hAnsi="Arial" w:cs="Arial"/>
          <w:color w:val="333333"/>
          <w:highlight w:val="white"/>
        </w:rPr>
        <w:t xml:space="preserve">, </w:t>
      </w:r>
      <w:proofErr w:type="spellStart"/>
      <w:r>
        <w:rPr>
          <w:rFonts w:ascii="Arial" w:eastAsia="Arial" w:hAnsi="Arial" w:cs="Arial"/>
          <w:color w:val="333333"/>
          <w:highlight w:val="white"/>
        </w:rPr>
        <w:t>Akwa</w:t>
      </w:r>
      <w:proofErr w:type="spellEnd"/>
      <w:r>
        <w:rPr>
          <w:rFonts w:ascii="Arial" w:eastAsia="Arial" w:hAnsi="Arial" w:cs="Arial"/>
          <w:color w:val="333333"/>
          <w:highlight w:val="white"/>
        </w:rPr>
        <w:t xml:space="preserve"> Ibom State, Nigeria”. </w:t>
      </w:r>
      <w:r>
        <w:rPr>
          <w:rFonts w:ascii="Arial" w:eastAsia="Arial" w:hAnsi="Arial" w:cs="Arial"/>
          <w:i/>
          <w:color w:val="333333"/>
          <w:highlight w:val="white"/>
        </w:rPr>
        <w:t>International Journal of TROPICAL DISEASE &amp; Health</w:t>
      </w:r>
      <w:r>
        <w:rPr>
          <w:rFonts w:ascii="Arial" w:eastAsia="Arial" w:hAnsi="Arial" w:cs="Arial"/>
          <w:color w:val="333333"/>
          <w:highlight w:val="white"/>
        </w:rPr>
        <w:t xml:space="preserve"> 17 (1):1-6. https://doi.org/10.9734/IJTDH/2016/25920</w:t>
      </w:r>
    </w:p>
    <w:p w14:paraId="389A8848"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color w:val="000000"/>
          <w:highlight w:val="red"/>
        </w:rPr>
      </w:pPr>
      <w:proofErr w:type="spellStart"/>
      <w:r>
        <w:rPr>
          <w:rFonts w:ascii="Arial" w:eastAsia="Arial" w:hAnsi="Arial" w:cs="Arial"/>
        </w:rPr>
        <w:t>Fitri</w:t>
      </w:r>
      <w:proofErr w:type="spellEnd"/>
      <w:r>
        <w:rPr>
          <w:rFonts w:ascii="Arial" w:eastAsia="Arial" w:hAnsi="Arial" w:cs="Arial"/>
        </w:rPr>
        <w:t xml:space="preserve">, L. E., </w:t>
      </w:r>
      <w:proofErr w:type="spellStart"/>
      <w:r>
        <w:rPr>
          <w:rFonts w:ascii="Arial" w:eastAsia="Arial" w:hAnsi="Arial" w:cs="Arial"/>
        </w:rPr>
        <w:t>Widaningrum</w:t>
      </w:r>
      <w:proofErr w:type="spellEnd"/>
      <w:r>
        <w:rPr>
          <w:rFonts w:ascii="Arial" w:eastAsia="Arial" w:hAnsi="Arial" w:cs="Arial"/>
        </w:rPr>
        <w:t xml:space="preserve">, T., </w:t>
      </w:r>
      <w:proofErr w:type="spellStart"/>
      <w:r>
        <w:rPr>
          <w:rFonts w:ascii="Arial" w:eastAsia="Arial" w:hAnsi="Arial" w:cs="Arial"/>
        </w:rPr>
        <w:t>Endharti</w:t>
      </w:r>
      <w:proofErr w:type="spellEnd"/>
      <w:r>
        <w:rPr>
          <w:rFonts w:ascii="Arial" w:eastAsia="Arial" w:hAnsi="Arial" w:cs="Arial"/>
        </w:rPr>
        <w:t xml:space="preserve">, A. T., Prabowo, M. H., </w:t>
      </w:r>
      <w:proofErr w:type="spellStart"/>
      <w:r>
        <w:rPr>
          <w:rFonts w:ascii="Arial" w:eastAsia="Arial" w:hAnsi="Arial" w:cs="Arial"/>
        </w:rPr>
        <w:t>Winaris</w:t>
      </w:r>
      <w:proofErr w:type="spellEnd"/>
      <w:r>
        <w:rPr>
          <w:rFonts w:ascii="Arial" w:eastAsia="Arial" w:hAnsi="Arial" w:cs="Arial"/>
        </w:rPr>
        <w:t xml:space="preserve">, N., &amp; </w:t>
      </w:r>
      <w:proofErr w:type="spellStart"/>
      <w:r>
        <w:rPr>
          <w:rFonts w:ascii="Arial" w:eastAsia="Arial" w:hAnsi="Arial" w:cs="Arial"/>
        </w:rPr>
        <w:t>Nugraha</w:t>
      </w:r>
      <w:proofErr w:type="spellEnd"/>
      <w:r>
        <w:rPr>
          <w:rFonts w:ascii="Arial" w:eastAsia="Arial" w:hAnsi="Arial" w:cs="Arial"/>
        </w:rPr>
        <w:t>, R. Y. B. (2022). Malaria diagnostic update: From conventional to advanced method. Journal of Clinical Laboratory Analysis, 36(4), e24314. https://doi.org/10.1002/jcla.24314</w:t>
      </w:r>
    </w:p>
    <w:p w14:paraId="1B6B05DB"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highlight w:val="red"/>
        </w:rPr>
      </w:pPr>
      <w:r>
        <w:rPr>
          <w:rFonts w:ascii="Arial" w:eastAsia="Arial" w:hAnsi="Arial" w:cs="Arial"/>
        </w:rPr>
        <w:t xml:space="preserve">Liu, G., Zhang, X., Cao, Q., Chen, T., Hu, B., &amp; Shi, H. (2025). The global burden of typhoid and paratyphoid fever from 1990 to 2021 and the impact on prevention and control. </w:t>
      </w:r>
      <w:r>
        <w:rPr>
          <w:rFonts w:ascii="Arial" w:eastAsia="Arial" w:hAnsi="Arial" w:cs="Arial"/>
          <w:i/>
        </w:rPr>
        <w:t>BMC Infectious Diseases, 25</w:t>
      </w:r>
      <w:r>
        <w:rPr>
          <w:rFonts w:ascii="Arial" w:eastAsia="Arial" w:hAnsi="Arial" w:cs="Arial"/>
        </w:rPr>
        <w:t>, Article 919. https://doi.org/10.1186/s12879-025-08991-6</w:t>
      </w:r>
    </w:p>
    <w:p w14:paraId="73CC51E9"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color w:val="000000"/>
        </w:rPr>
      </w:pPr>
      <w:proofErr w:type="spellStart"/>
      <w:r>
        <w:rPr>
          <w:rFonts w:ascii="Times New Roman" w:eastAsia="Times New Roman" w:hAnsi="Times New Roman" w:cs="Times New Roman"/>
        </w:rPr>
        <w:t>Olowookere</w:t>
      </w:r>
      <w:proofErr w:type="spellEnd"/>
      <w:r>
        <w:rPr>
          <w:rFonts w:ascii="Times New Roman" w:eastAsia="Times New Roman" w:hAnsi="Times New Roman" w:cs="Times New Roman"/>
        </w:rPr>
        <w:t xml:space="preserve">, D., &amp; </w:t>
      </w:r>
      <w:proofErr w:type="spellStart"/>
      <w:r>
        <w:rPr>
          <w:rFonts w:ascii="Times New Roman" w:eastAsia="Times New Roman" w:hAnsi="Times New Roman" w:cs="Times New Roman"/>
        </w:rPr>
        <w:t>Gbadeyanka</w:t>
      </w:r>
      <w:proofErr w:type="spellEnd"/>
      <w:r>
        <w:rPr>
          <w:rFonts w:ascii="Times New Roman" w:eastAsia="Times New Roman" w:hAnsi="Times New Roman" w:cs="Times New Roman"/>
        </w:rPr>
        <w:t xml:space="preserve">, M. (2022, November 18). </w:t>
      </w:r>
      <w:r>
        <w:rPr>
          <w:rFonts w:ascii="Times New Roman" w:eastAsia="Times New Roman" w:hAnsi="Times New Roman" w:cs="Times New Roman"/>
          <w:i/>
        </w:rPr>
        <w:t>O.B. Lulu-Briggs Foundation gives wheelchair to flood-displaced person</w:t>
      </w:r>
      <w:r>
        <w:rPr>
          <w:rFonts w:ascii="Times New Roman" w:eastAsia="Times New Roman" w:hAnsi="Times New Roman" w:cs="Times New Roman"/>
        </w:rPr>
        <w:t>. Business Post Nigeria. https://businesspost.ng/general/o-b-lulu-briggs-foundation-gives-wheelchair-to-flood-displaced-person/</w:t>
      </w:r>
      <w:r>
        <w:rPr>
          <w:rFonts w:ascii="Arial" w:eastAsia="Arial" w:hAnsi="Arial" w:cs="Arial"/>
          <w:color w:val="000000"/>
        </w:rPr>
        <w:br/>
      </w:r>
      <w:r>
        <w:rPr>
          <w:rFonts w:ascii="Arial" w:eastAsia="Arial" w:hAnsi="Arial" w:cs="Arial"/>
          <w:color w:val="000000"/>
        </w:rPr>
        <w:br/>
      </w:r>
      <w:r>
        <w:rPr>
          <w:rFonts w:ascii="Arial" w:eastAsia="Arial" w:hAnsi="Arial" w:cs="Arial"/>
        </w:rPr>
        <w:t xml:space="preserve">Murray, C. J. L., Rosenfeld, L. C., Lim, S. S., Andrews, K. G., Foreman, K. J., Haring, D., Fullman, N., </w:t>
      </w:r>
      <w:proofErr w:type="spellStart"/>
      <w:r>
        <w:rPr>
          <w:rFonts w:ascii="Arial" w:eastAsia="Arial" w:hAnsi="Arial" w:cs="Arial"/>
        </w:rPr>
        <w:t>Naghavi</w:t>
      </w:r>
      <w:proofErr w:type="spellEnd"/>
      <w:r>
        <w:rPr>
          <w:rFonts w:ascii="Arial" w:eastAsia="Arial" w:hAnsi="Arial" w:cs="Arial"/>
        </w:rPr>
        <w:t xml:space="preserve">, M., Lozano, R., &amp; Lopez, A. D. (2012). Global malaria mortality between 1980 and 2010: A </w:t>
      </w:r>
      <w:r>
        <w:rPr>
          <w:rFonts w:ascii="Arial" w:eastAsia="Arial" w:hAnsi="Arial" w:cs="Arial"/>
        </w:rPr>
        <w:lastRenderedPageBreak/>
        <w:t xml:space="preserve">systematic analysis. </w:t>
      </w:r>
      <w:r>
        <w:rPr>
          <w:rFonts w:ascii="Arial" w:eastAsia="Arial" w:hAnsi="Arial" w:cs="Arial"/>
          <w:i/>
        </w:rPr>
        <w:t>The Lancet, 379</w:t>
      </w:r>
      <w:r>
        <w:rPr>
          <w:rFonts w:ascii="Arial" w:eastAsia="Arial" w:hAnsi="Arial" w:cs="Arial"/>
        </w:rPr>
        <w:t xml:space="preserve">(9814), 413–431. </w:t>
      </w:r>
      <w:hyperlink r:id="rId16">
        <w:r>
          <w:rPr>
            <w:rFonts w:ascii="Arial" w:eastAsia="Arial" w:hAnsi="Arial" w:cs="Arial"/>
            <w:color w:val="1155CC"/>
            <w:u w:val="single"/>
          </w:rPr>
          <w:t>https://doi.org/10.1016/S0140-6736(12)60034-8</w:t>
        </w:r>
      </w:hyperlink>
      <w:r>
        <w:rPr>
          <w:rFonts w:ascii="Arial" w:eastAsia="Arial" w:hAnsi="Arial" w:cs="Arial"/>
        </w:rPr>
        <w:t xml:space="preserve"> </w:t>
      </w:r>
    </w:p>
    <w:p w14:paraId="006F500F"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color w:val="000000"/>
        </w:rPr>
      </w:pPr>
      <w:proofErr w:type="spellStart"/>
      <w:r>
        <w:rPr>
          <w:rFonts w:ascii="Arial" w:eastAsia="Arial" w:hAnsi="Arial" w:cs="Arial"/>
          <w:color w:val="000000"/>
        </w:rPr>
        <w:t>Ndako</w:t>
      </w:r>
      <w:proofErr w:type="spellEnd"/>
      <w:r>
        <w:rPr>
          <w:rFonts w:ascii="Arial" w:eastAsia="Arial" w:hAnsi="Arial" w:cs="Arial"/>
          <w:color w:val="000000"/>
        </w:rPr>
        <w:t xml:space="preserve">, J. A., </w:t>
      </w:r>
      <w:proofErr w:type="spellStart"/>
      <w:r>
        <w:rPr>
          <w:rFonts w:ascii="Arial" w:eastAsia="Arial" w:hAnsi="Arial" w:cs="Arial"/>
          <w:color w:val="000000"/>
        </w:rPr>
        <w:t>Dojumo</w:t>
      </w:r>
      <w:proofErr w:type="spellEnd"/>
      <w:r>
        <w:rPr>
          <w:rFonts w:ascii="Arial" w:eastAsia="Arial" w:hAnsi="Arial" w:cs="Arial"/>
          <w:color w:val="000000"/>
        </w:rPr>
        <w:t xml:space="preserve">, V. T., </w:t>
      </w:r>
      <w:proofErr w:type="spellStart"/>
      <w:r>
        <w:rPr>
          <w:rFonts w:ascii="Arial" w:eastAsia="Arial" w:hAnsi="Arial" w:cs="Arial"/>
          <w:color w:val="000000"/>
        </w:rPr>
        <w:t>Akinwumi</w:t>
      </w:r>
      <w:proofErr w:type="spellEnd"/>
      <w:r>
        <w:rPr>
          <w:rFonts w:ascii="Arial" w:eastAsia="Arial" w:hAnsi="Arial" w:cs="Arial"/>
          <w:color w:val="000000"/>
        </w:rPr>
        <w:t xml:space="preserve">, J. A., </w:t>
      </w:r>
      <w:proofErr w:type="spellStart"/>
      <w:r>
        <w:rPr>
          <w:rFonts w:ascii="Arial" w:eastAsia="Arial" w:hAnsi="Arial" w:cs="Arial"/>
          <w:color w:val="000000"/>
        </w:rPr>
        <w:t>Fajobi</w:t>
      </w:r>
      <w:proofErr w:type="spellEnd"/>
      <w:r>
        <w:rPr>
          <w:rFonts w:ascii="Arial" w:eastAsia="Arial" w:hAnsi="Arial" w:cs="Arial"/>
          <w:color w:val="000000"/>
        </w:rPr>
        <w:t xml:space="preserve">, V. O., Owolabi, A. O., &amp; </w:t>
      </w:r>
      <w:proofErr w:type="spellStart"/>
      <w:r>
        <w:rPr>
          <w:rFonts w:ascii="Arial" w:eastAsia="Arial" w:hAnsi="Arial" w:cs="Arial"/>
          <w:color w:val="000000"/>
        </w:rPr>
        <w:t>Olatinsu</w:t>
      </w:r>
      <w:proofErr w:type="spellEnd"/>
      <w:r>
        <w:rPr>
          <w:rFonts w:ascii="Arial" w:eastAsia="Arial" w:hAnsi="Arial" w:cs="Arial"/>
          <w:color w:val="000000"/>
        </w:rPr>
        <w:t xml:space="preserve">, O. (2020). Changes in some </w:t>
      </w:r>
      <w:proofErr w:type="spellStart"/>
      <w:r>
        <w:rPr>
          <w:rFonts w:ascii="Arial" w:eastAsia="Arial" w:hAnsi="Arial" w:cs="Arial"/>
          <w:color w:val="000000"/>
        </w:rPr>
        <w:t>haematological</w:t>
      </w:r>
      <w:proofErr w:type="spellEnd"/>
      <w:r>
        <w:rPr>
          <w:rFonts w:ascii="Arial" w:eastAsia="Arial" w:hAnsi="Arial" w:cs="Arial"/>
          <w:color w:val="000000"/>
        </w:rPr>
        <w:t xml:space="preserve"> parameters in typhoid fever patients attending Landmark University Medical Center, </w:t>
      </w:r>
      <w:proofErr w:type="spellStart"/>
      <w:r>
        <w:rPr>
          <w:rFonts w:ascii="Arial" w:eastAsia="Arial" w:hAnsi="Arial" w:cs="Arial"/>
          <w:color w:val="000000"/>
        </w:rPr>
        <w:t>Omuaran</w:t>
      </w:r>
      <w:proofErr w:type="spellEnd"/>
      <w:r>
        <w:rPr>
          <w:rFonts w:ascii="Arial" w:eastAsia="Arial" w:hAnsi="Arial" w:cs="Arial"/>
          <w:color w:val="000000"/>
        </w:rPr>
        <w:t xml:space="preserve">-Nigeria. </w:t>
      </w:r>
      <w:proofErr w:type="spellStart"/>
      <w:r>
        <w:rPr>
          <w:rFonts w:ascii="Arial" w:eastAsia="Arial" w:hAnsi="Arial" w:cs="Arial"/>
          <w:color w:val="000000"/>
        </w:rPr>
        <w:t>Heliyon</w:t>
      </w:r>
      <w:proofErr w:type="spellEnd"/>
      <w:r>
        <w:rPr>
          <w:rFonts w:ascii="Arial" w:eastAsia="Arial" w:hAnsi="Arial" w:cs="Arial"/>
          <w:color w:val="000000"/>
        </w:rPr>
        <w:t xml:space="preserve">, 6(5), e04002. </w:t>
      </w:r>
      <w:hyperlink r:id="rId17">
        <w:r>
          <w:rPr>
            <w:rFonts w:ascii="Arial" w:eastAsia="Arial" w:hAnsi="Arial" w:cs="Arial"/>
            <w:color w:val="000000"/>
          </w:rPr>
          <w:t>https://doi.org/10.1016/j.heliyon.2020.e04002</w:t>
        </w:r>
      </w:hyperlink>
      <w:r>
        <w:rPr>
          <w:rFonts w:ascii="Times New Roman" w:eastAsia="Times New Roman" w:hAnsi="Times New Roman" w:cs="Times New Roman"/>
        </w:rPr>
        <w:br/>
      </w:r>
    </w:p>
    <w:p w14:paraId="495EFF07"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color w:val="000000"/>
        </w:rPr>
      </w:pPr>
      <w:proofErr w:type="spellStart"/>
      <w:r>
        <w:rPr>
          <w:rFonts w:ascii="Times New Roman" w:eastAsia="Times New Roman" w:hAnsi="Times New Roman" w:cs="Times New Roman"/>
        </w:rPr>
        <w:t>Nodem</w:t>
      </w:r>
      <w:proofErr w:type="spellEnd"/>
      <w:r>
        <w:rPr>
          <w:rFonts w:ascii="Times New Roman" w:eastAsia="Times New Roman" w:hAnsi="Times New Roman" w:cs="Times New Roman"/>
        </w:rPr>
        <w:t xml:space="preserve">, F. S. S., Ymele, D., Fadimatou, M., &amp; </w:t>
      </w:r>
      <w:proofErr w:type="spellStart"/>
      <w:r>
        <w:rPr>
          <w:rFonts w:ascii="Times New Roman" w:eastAsia="Times New Roman" w:hAnsi="Times New Roman" w:cs="Times New Roman"/>
        </w:rPr>
        <w:t>Fodouop</w:t>
      </w:r>
      <w:proofErr w:type="spellEnd"/>
      <w:r>
        <w:rPr>
          <w:rFonts w:ascii="Times New Roman" w:eastAsia="Times New Roman" w:hAnsi="Times New Roman" w:cs="Times New Roman"/>
        </w:rPr>
        <w:t xml:space="preserve">, S.-P. C. (2023). Malaria and typhoid fever coinfection among febrile patients in </w:t>
      </w:r>
      <w:proofErr w:type="spellStart"/>
      <w:r>
        <w:rPr>
          <w:rFonts w:ascii="Times New Roman" w:eastAsia="Times New Roman" w:hAnsi="Times New Roman" w:cs="Times New Roman"/>
        </w:rPr>
        <w:t>Ngaoundéré</w:t>
      </w:r>
      <w:proofErr w:type="spellEnd"/>
      <w:r>
        <w:rPr>
          <w:rFonts w:ascii="Times New Roman" w:eastAsia="Times New Roman" w:hAnsi="Times New Roman" w:cs="Times New Roman"/>
        </w:rPr>
        <w:t xml:space="preserve"> (Adamawa, Cameroon): A cross-sectional study. </w:t>
      </w:r>
      <w:r>
        <w:rPr>
          <w:rFonts w:ascii="Times New Roman" w:eastAsia="Times New Roman" w:hAnsi="Times New Roman" w:cs="Times New Roman"/>
          <w:i/>
        </w:rPr>
        <w:t>Journal of Parasitology Research, 2023</w:t>
      </w:r>
      <w:r>
        <w:rPr>
          <w:rFonts w:ascii="Times New Roman" w:eastAsia="Times New Roman" w:hAnsi="Times New Roman" w:cs="Times New Roman"/>
        </w:rPr>
        <w:t xml:space="preserve">, Article 5334813. </w:t>
      </w:r>
      <w:hyperlink r:id="rId18">
        <w:r>
          <w:rPr>
            <w:rFonts w:ascii="Times New Roman" w:eastAsia="Times New Roman" w:hAnsi="Times New Roman" w:cs="Times New Roman"/>
            <w:color w:val="1155CC"/>
            <w:u w:val="single"/>
          </w:rPr>
          <w:t>https://doi.org/10.1155/2023/5334813</w:t>
        </w:r>
      </w:hyperlink>
      <w:r>
        <w:rPr>
          <w:rFonts w:ascii="Times New Roman" w:eastAsia="Times New Roman" w:hAnsi="Times New Roman" w:cs="Times New Roman"/>
        </w:rPr>
        <w:t xml:space="preserve"> </w:t>
      </w:r>
    </w:p>
    <w:p w14:paraId="5C6A967F"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color w:val="000000"/>
        </w:rPr>
      </w:pPr>
      <w:proofErr w:type="spellStart"/>
      <w:r>
        <w:rPr>
          <w:rFonts w:ascii="Arial" w:eastAsia="Arial" w:hAnsi="Arial" w:cs="Arial"/>
          <w:color w:val="000000"/>
        </w:rPr>
        <w:t>Olowolafe</w:t>
      </w:r>
      <w:proofErr w:type="spellEnd"/>
      <w:r>
        <w:rPr>
          <w:rFonts w:ascii="Arial" w:eastAsia="Arial" w:hAnsi="Arial" w:cs="Arial"/>
          <w:color w:val="000000"/>
        </w:rPr>
        <w:t xml:space="preserve">, T. A., </w:t>
      </w:r>
      <w:proofErr w:type="spellStart"/>
      <w:r>
        <w:rPr>
          <w:rFonts w:ascii="Arial" w:eastAsia="Arial" w:hAnsi="Arial" w:cs="Arial"/>
          <w:color w:val="000000"/>
        </w:rPr>
        <w:t>Agosile</w:t>
      </w:r>
      <w:proofErr w:type="spellEnd"/>
      <w:r>
        <w:rPr>
          <w:rFonts w:ascii="Arial" w:eastAsia="Arial" w:hAnsi="Arial" w:cs="Arial"/>
          <w:color w:val="000000"/>
        </w:rPr>
        <w:t xml:space="preserve">, O. F., Akinpelu, A. O., </w:t>
      </w:r>
      <w:proofErr w:type="spellStart"/>
      <w:r>
        <w:rPr>
          <w:rFonts w:ascii="Arial" w:eastAsia="Arial" w:hAnsi="Arial" w:cs="Arial"/>
          <w:color w:val="000000"/>
        </w:rPr>
        <w:t>Aderinto</w:t>
      </w:r>
      <w:proofErr w:type="spellEnd"/>
      <w:r>
        <w:rPr>
          <w:rFonts w:ascii="Arial" w:eastAsia="Arial" w:hAnsi="Arial" w:cs="Arial"/>
          <w:color w:val="000000"/>
        </w:rPr>
        <w:t xml:space="preserve">, N., Wada, O. Z., &amp; </w:t>
      </w:r>
      <w:proofErr w:type="spellStart"/>
      <w:r>
        <w:rPr>
          <w:rFonts w:ascii="Arial" w:eastAsia="Arial" w:hAnsi="Arial" w:cs="Arial"/>
          <w:color w:val="000000"/>
        </w:rPr>
        <w:t>Olawade</w:t>
      </w:r>
      <w:proofErr w:type="spellEnd"/>
      <w:r>
        <w:rPr>
          <w:rFonts w:ascii="Arial" w:eastAsia="Arial" w:hAnsi="Arial" w:cs="Arial"/>
          <w:color w:val="000000"/>
        </w:rPr>
        <w:t xml:space="preserve">, D. B. (2024). Malaria and typhoid fever co-infection: A retrospective analysis of university hospital records in Nigeria. Malaria Journal, 23, Article 220. </w:t>
      </w:r>
      <w:hyperlink r:id="rId19">
        <w:r>
          <w:rPr>
            <w:rFonts w:ascii="Arial" w:eastAsia="Arial" w:hAnsi="Arial" w:cs="Arial"/>
            <w:color w:val="000000"/>
          </w:rPr>
          <w:t>https://doi.org/10.1186/s12936-024-04922-5</w:t>
        </w:r>
      </w:hyperlink>
    </w:p>
    <w:p w14:paraId="001C5B1C" w14:textId="77777777" w:rsidR="00EB21F6" w:rsidRDefault="000176C0">
      <w:pPr>
        <w:pBdr>
          <w:top w:val="nil"/>
          <w:left w:val="nil"/>
          <w:bottom w:val="nil"/>
          <w:right w:val="nil"/>
          <w:between w:val="nil"/>
        </w:pBdr>
        <w:spacing w:before="280" w:after="280"/>
        <w:ind w:left="600"/>
        <w:jc w:val="both"/>
        <w:rPr>
          <w:rFonts w:ascii="Arial" w:eastAsia="Arial" w:hAnsi="Arial" w:cs="Arial"/>
          <w:color w:val="000000"/>
        </w:rPr>
      </w:pPr>
      <w:r>
        <w:rPr>
          <w:rFonts w:ascii="Times New Roman" w:eastAsia="Times New Roman" w:hAnsi="Times New Roman" w:cs="Times New Roman"/>
        </w:rPr>
        <w:t xml:space="preserve">Orok, D. A., </w:t>
      </w:r>
      <w:proofErr w:type="spellStart"/>
      <w:r>
        <w:rPr>
          <w:rFonts w:ascii="Times New Roman" w:eastAsia="Times New Roman" w:hAnsi="Times New Roman" w:cs="Times New Roman"/>
        </w:rPr>
        <w:t>Usang</w:t>
      </w:r>
      <w:proofErr w:type="spellEnd"/>
      <w:r>
        <w:rPr>
          <w:rFonts w:ascii="Times New Roman" w:eastAsia="Times New Roman" w:hAnsi="Times New Roman" w:cs="Times New Roman"/>
        </w:rPr>
        <w:t xml:space="preserve">, A. I., </w:t>
      </w:r>
      <w:proofErr w:type="spellStart"/>
      <w:r>
        <w:rPr>
          <w:rFonts w:ascii="Times New Roman" w:eastAsia="Times New Roman" w:hAnsi="Times New Roman" w:cs="Times New Roman"/>
        </w:rPr>
        <w:t>Ikpan</w:t>
      </w:r>
      <w:proofErr w:type="spellEnd"/>
      <w:r>
        <w:rPr>
          <w:rFonts w:ascii="Times New Roman" w:eastAsia="Times New Roman" w:hAnsi="Times New Roman" w:cs="Times New Roman"/>
        </w:rPr>
        <w:t xml:space="preserve">, O. O., Duke, E. E., Eyo, E. E., </w:t>
      </w:r>
      <w:proofErr w:type="spellStart"/>
      <w:r>
        <w:rPr>
          <w:rFonts w:ascii="Times New Roman" w:eastAsia="Times New Roman" w:hAnsi="Times New Roman" w:cs="Times New Roman"/>
        </w:rPr>
        <w:t>Edadi</w:t>
      </w:r>
      <w:proofErr w:type="spellEnd"/>
      <w:r>
        <w:rPr>
          <w:rFonts w:ascii="Times New Roman" w:eastAsia="Times New Roman" w:hAnsi="Times New Roman" w:cs="Times New Roman"/>
        </w:rPr>
        <w:t xml:space="preserve">, U. E., Ati, B. U., &amp; </w:t>
      </w:r>
      <w:proofErr w:type="spellStart"/>
      <w:r>
        <w:rPr>
          <w:rFonts w:ascii="Times New Roman" w:eastAsia="Times New Roman" w:hAnsi="Times New Roman" w:cs="Times New Roman"/>
        </w:rPr>
        <w:t>Udida</w:t>
      </w:r>
      <w:proofErr w:type="spellEnd"/>
      <w:r>
        <w:rPr>
          <w:rFonts w:ascii="Times New Roman" w:eastAsia="Times New Roman" w:hAnsi="Times New Roman" w:cs="Times New Roman"/>
        </w:rPr>
        <w:t xml:space="preserve">, J. A. (2016). Prevalence of malaria and typhoid fever co‑infection among febrile patients attending College of Health Technology Medical Centre in Calabar, Cross River State, Nigeria. </w:t>
      </w:r>
      <w:r>
        <w:rPr>
          <w:rFonts w:ascii="Times New Roman" w:eastAsia="Times New Roman" w:hAnsi="Times New Roman" w:cs="Times New Roman"/>
          <w:i/>
        </w:rPr>
        <w:t>International Journal of Current Microbiology and Applied Sciences, 5</w:t>
      </w:r>
      <w:r>
        <w:rPr>
          <w:rFonts w:ascii="Times New Roman" w:eastAsia="Times New Roman" w:hAnsi="Times New Roman" w:cs="Times New Roman"/>
        </w:rPr>
        <w:t>(4), 825–835.</w:t>
      </w:r>
      <w:hyperlink r:id="rId20">
        <w:r>
          <w:rPr>
            <w:rFonts w:ascii="Times New Roman" w:eastAsia="Times New Roman" w:hAnsi="Times New Roman" w:cs="Times New Roman"/>
          </w:rPr>
          <w:t xml:space="preserve"> </w:t>
        </w:r>
      </w:hyperlink>
      <w:hyperlink r:id="rId21">
        <w:r>
          <w:rPr>
            <w:rFonts w:ascii="Times New Roman" w:eastAsia="Times New Roman" w:hAnsi="Times New Roman" w:cs="Times New Roman"/>
            <w:color w:val="1155CC"/>
            <w:u w:val="single"/>
          </w:rPr>
          <w:t>https://doi.org/10.20546/ijcmas.2016.504.095</w:t>
        </w:r>
      </w:hyperlink>
      <w:r>
        <w:rPr>
          <w:rFonts w:ascii="Times New Roman" w:eastAsia="Times New Roman" w:hAnsi="Times New Roman" w:cs="Times New Roman"/>
        </w:rPr>
        <w:t xml:space="preserve">  </w:t>
      </w:r>
    </w:p>
    <w:p w14:paraId="5ADFF3E6" w14:textId="77777777" w:rsidR="00EB21F6" w:rsidRDefault="000176C0">
      <w:pPr>
        <w:pBdr>
          <w:top w:val="nil"/>
          <w:left w:val="nil"/>
          <w:bottom w:val="nil"/>
          <w:right w:val="nil"/>
          <w:between w:val="nil"/>
        </w:pBdr>
        <w:spacing w:before="280" w:after="280"/>
        <w:ind w:left="600"/>
        <w:jc w:val="both"/>
        <w:rPr>
          <w:rFonts w:ascii="Arial" w:eastAsia="Arial" w:hAnsi="Arial" w:cs="Arial"/>
        </w:rPr>
      </w:pPr>
      <w:proofErr w:type="spellStart"/>
      <w:r>
        <w:rPr>
          <w:rFonts w:ascii="Arial" w:eastAsia="Arial" w:hAnsi="Arial" w:cs="Arial"/>
        </w:rPr>
        <w:t>Onyido</w:t>
      </w:r>
      <w:proofErr w:type="spellEnd"/>
      <w:r>
        <w:rPr>
          <w:rFonts w:ascii="Arial" w:eastAsia="Arial" w:hAnsi="Arial" w:cs="Arial"/>
        </w:rPr>
        <w:t xml:space="preserve">, A., </w:t>
      </w:r>
      <w:proofErr w:type="spellStart"/>
      <w:r>
        <w:rPr>
          <w:rFonts w:ascii="Arial" w:eastAsia="Arial" w:hAnsi="Arial" w:cs="Arial"/>
        </w:rPr>
        <w:t>Umeanaeto</w:t>
      </w:r>
      <w:proofErr w:type="spellEnd"/>
      <w:r>
        <w:rPr>
          <w:rFonts w:ascii="Arial" w:eastAsia="Arial" w:hAnsi="Arial" w:cs="Arial"/>
        </w:rPr>
        <w:t xml:space="preserve">, P., </w:t>
      </w:r>
      <w:proofErr w:type="spellStart"/>
      <w:r>
        <w:rPr>
          <w:rFonts w:ascii="Arial" w:eastAsia="Arial" w:hAnsi="Arial" w:cs="Arial"/>
        </w:rPr>
        <w:t>Irikannu</w:t>
      </w:r>
      <w:proofErr w:type="spellEnd"/>
      <w:r>
        <w:rPr>
          <w:rFonts w:ascii="Arial" w:eastAsia="Arial" w:hAnsi="Arial" w:cs="Arial"/>
        </w:rPr>
        <w:t xml:space="preserve">, K., </w:t>
      </w:r>
      <w:proofErr w:type="spellStart"/>
      <w:r>
        <w:rPr>
          <w:rFonts w:ascii="Arial" w:eastAsia="Arial" w:hAnsi="Arial" w:cs="Arial"/>
        </w:rPr>
        <w:t>Aribodor</w:t>
      </w:r>
      <w:proofErr w:type="spellEnd"/>
      <w:r>
        <w:rPr>
          <w:rFonts w:ascii="Arial" w:eastAsia="Arial" w:hAnsi="Arial" w:cs="Arial"/>
        </w:rPr>
        <w:t xml:space="preserve">, D. N., &amp; others. (2014). Co-infection of malaria and typhoid fever in </w:t>
      </w:r>
      <w:proofErr w:type="spellStart"/>
      <w:r>
        <w:rPr>
          <w:rFonts w:ascii="Arial" w:eastAsia="Arial" w:hAnsi="Arial" w:cs="Arial"/>
        </w:rPr>
        <w:t>Ekwulumili</w:t>
      </w:r>
      <w:proofErr w:type="spellEnd"/>
      <w:r>
        <w:rPr>
          <w:rFonts w:ascii="Arial" w:eastAsia="Arial" w:hAnsi="Arial" w:cs="Arial"/>
        </w:rPr>
        <w:t xml:space="preserve"> community, Anambra State, Southeastern Nigeria. </w:t>
      </w:r>
      <w:r>
        <w:rPr>
          <w:rFonts w:ascii="Arial" w:eastAsia="Arial" w:hAnsi="Arial" w:cs="Arial"/>
          <w:i/>
        </w:rPr>
        <w:t>Unpublished manuscript</w:t>
      </w:r>
      <w:r>
        <w:rPr>
          <w:rFonts w:ascii="Arial" w:eastAsia="Arial" w:hAnsi="Arial" w:cs="Arial"/>
        </w:rPr>
        <w:t>.</w:t>
      </w:r>
      <w:hyperlink r:id="rId22">
        <w:r>
          <w:rPr>
            <w:rFonts w:ascii="Arial" w:eastAsia="Arial" w:hAnsi="Arial" w:cs="Arial"/>
          </w:rPr>
          <w:t xml:space="preserve"> </w:t>
        </w:r>
      </w:hyperlink>
      <w:hyperlink r:id="rId23">
        <w:r>
          <w:rPr>
            <w:rFonts w:ascii="Arial" w:eastAsia="Arial" w:hAnsi="Arial" w:cs="Arial"/>
            <w:color w:val="1155CC"/>
            <w:u w:val="single"/>
          </w:rPr>
          <w:t>https://www.researchgate.net/publication/318636653</w:t>
        </w:r>
      </w:hyperlink>
    </w:p>
    <w:p w14:paraId="5C9C9745"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color w:val="000000"/>
        </w:rPr>
      </w:pPr>
      <w:r>
        <w:rPr>
          <w:rFonts w:ascii="Arial" w:eastAsia="Arial" w:hAnsi="Arial" w:cs="Arial"/>
          <w:color w:val="000000"/>
        </w:rPr>
        <w:t xml:space="preserve">Peri, A. M., Chatfield, M. D., Ling, W., Furuya-Kanamori, L., Harris, P. N. A., &amp; Paterson, D. L. (2024). Rapid diagnostic tests and antimicrobial stewardship programs for the management of bloodstream infection: What is their relative contribution to improving clinical outcomes? A systematic review and network meta-analysis. Clinical Infectious Diseases, 79(2), 502–515. </w:t>
      </w:r>
      <w:hyperlink r:id="rId24">
        <w:r>
          <w:rPr>
            <w:rFonts w:ascii="Arial" w:eastAsia="Arial" w:hAnsi="Arial" w:cs="Arial"/>
            <w:color w:val="000000"/>
          </w:rPr>
          <w:t>https://doi.org/10.1093/cid/ciae234</w:t>
        </w:r>
      </w:hyperlink>
    </w:p>
    <w:p w14:paraId="7E641CB0"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color w:val="000000"/>
          <w:highlight w:val="red"/>
        </w:rPr>
      </w:pPr>
      <w:r>
        <w:rPr>
          <w:rFonts w:ascii="Arial" w:eastAsia="Arial" w:hAnsi="Arial" w:cs="Arial"/>
        </w:rPr>
        <w:t xml:space="preserve">Sahu, S. S., Gunasekaran, K., &amp; </w:t>
      </w:r>
      <w:proofErr w:type="spellStart"/>
      <w:r>
        <w:rPr>
          <w:rFonts w:ascii="Arial" w:eastAsia="Arial" w:hAnsi="Arial" w:cs="Arial"/>
        </w:rPr>
        <w:t>Jambulingam</w:t>
      </w:r>
      <w:proofErr w:type="spellEnd"/>
      <w:r>
        <w:rPr>
          <w:rFonts w:ascii="Arial" w:eastAsia="Arial" w:hAnsi="Arial" w:cs="Arial"/>
        </w:rPr>
        <w:t>, P. (2015). Field performance of malaria rapid diagnostic test for the detection of Plasmodium falciparum infection in Odisha State, India. Indian Journal of Medical Research, 142(Suppl 1), S52–S58. https://doi.org/10.4103/0971-5916.176620</w:t>
      </w:r>
    </w:p>
    <w:p w14:paraId="61AD77FB" w14:textId="77777777" w:rsidR="00EB21F6" w:rsidRDefault="000176C0">
      <w:pPr>
        <w:spacing w:before="280" w:after="280"/>
        <w:ind w:left="600"/>
        <w:jc w:val="both"/>
        <w:rPr>
          <w:rFonts w:ascii="Arial" w:eastAsia="Arial" w:hAnsi="Arial" w:cs="Arial"/>
        </w:rPr>
      </w:pPr>
      <w:proofErr w:type="spellStart"/>
      <w:r>
        <w:rPr>
          <w:rFonts w:ascii="Arial" w:eastAsia="Arial" w:hAnsi="Arial" w:cs="Arial"/>
        </w:rPr>
        <w:t>Wam</w:t>
      </w:r>
      <w:proofErr w:type="spellEnd"/>
      <w:r>
        <w:rPr>
          <w:rFonts w:ascii="Arial" w:eastAsia="Arial" w:hAnsi="Arial" w:cs="Arial"/>
        </w:rPr>
        <w:t xml:space="preserve">, E. C., Arrey, C. N., Sama, L. F., </w:t>
      </w:r>
      <w:proofErr w:type="spellStart"/>
      <w:r>
        <w:rPr>
          <w:rFonts w:ascii="Arial" w:eastAsia="Arial" w:hAnsi="Arial" w:cs="Arial"/>
        </w:rPr>
        <w:t>Agyingi</w:t>
      </w:r>
      <w:proofErr w:type="spellEnd"/>
      <w:r>
        <w:rPr>
          <w:rFonts w:ascii="Arial" w:eastAsia="Arial" w:hAnsi="Arial" w:cs="Arial"/>
        </w:rPr>
        <w:t xml:space="preserve">, L. A., &amp; </w:t>
      </w:r>
      <w:proofErr w:type="spellStart"/>
      <w:r>
        <w:rPr>
          <w:rFonts w:ascii="Arial" w:eastAsia="Arial" w:hAnsi="Arial" w:cs="Arial"/>
        </w:rPr>
        <w:t>Wam</w:t>
      </w:r>
      <w:proofErr w:type="spellEnd"/>
      <w:r>
        <w:rPr>
          <w:rFonts w:ascii="Arial" w:eastAsia="Arial" w:hAnsi="Arial" w:cs="Arial"/>
        </w:rPr>
        <w:t xml:space="preserve">, A. N. (2019). Comparative study on the use of </w:t>
      </w:r>
      <w:proofErr w:type="spellStart"/>
      <w:r>
        <w:rPr>
          <w:rFonts w:ascii="Arial" w:eastAsia="Arial" w:hAnsi="Arial" w:cs="Arial"/>
        </w:rPr>
        <w:t>Widal</w:t>
      </w:r>
      <w:proofErr w:type="spellEnd"/>
      <w:r>
        <w:rPr>
          <w:rFonts w:ascii="Arial" w:eastAsia="Arial" w:hAnsi="Arial" w:cs="Arial"/>
        </w:rPr>
        <w:t xml:space="preserve"> test to stool culture in the laboratory diagnosis of typhoid fever in Holy Family Hospital Akum, North West Region of Cameroon. The Open Microbiology Journal, 13, Article 73. </w:t>
      </w:r>
      <w:hyperlink r:id="rId25">
        <w:r>
          <w:rPr>
            <w:rFonts w:ascii="Arial" w:eastAsia="Arial" w:hAnsi="Arial" w:cs="Arial"/>
            <w:color w:val="1155CC"/>
            <w:u w:val="single"/>
          </w:rPr>
          <w:t>https://doi.org/10.2174/1874285801913010073</w:t>
        </w:r>
      </w:hyperlink>
      <w:r>
        <w:rPr>
          <w:rFonts w:ascii="Arial" w:eastAsia="Arial" w:hAnsi="Arial" w:cs="Arial"/>
        </w:rPr>
        <w:t xml:space="preserve"> </w:t>
      </w:r>
    </w:p>
    <w:p w14:paraId="56E0D5B0" w14:textId="77777777" w:rsidR="00EB21F6" w:rsidRDefault="000176C0">
      <w:pPr>
        <w:pStyle w:val="Heading3"/>
        <w:ind w:left="600"/>
        <w:jc w:val="both"/>
        <w:rPr>
          <w:rFonts w:ascii="Times New Roman" w:eastAsia="Times New Roman" w:hAnsi="Times New Roman" w:cs="Times New Roman"/>
          <w:b w:val="0"/>
          <w:sz w:val="20"/>
          <w:szCs w:val="20"/>
        </w:rPr>
      </w:pPr>
      <w:bookmarkStart w:id="3" w:name="_ugk92iauhblp" w:colFirst="0" w:colLast="0"/>
      <w:bookmarkEnd w:id="3"/>
      <w:r>
        <w:rPr>
          <w:rFonts w:ascii="Times New Roman" w:eastAsia="Times New Roman" w:hAnsi="Times New Roman" w:cs="Times New Roman"/>
          <w:b w:val="0"/>
          <w:sz w:val="20"/>
          <w:szCs w:val="20"/>
        </w:rPr>
        <w:t xml:space="preserve">Weather Spark. (2023). </w:t>
      </w:r>
      <w:proofErr w:type="spellStart"/>
      <w:r>
        <w:rPr>
          <w:rFonts w:ascii="Times New Roman" w:eastAsia="Times New Roman" w:hAnsi="Times New Roman" w:cs="Times New Roman"/>
          <w:b w:val="0"/>
          <w:i/>
          <w:sz w:val="20"/>
          <w:szCs w:val="20"/>
        </w:rPr>
        <w:t>Akinima</w:t>
      </w:r>
      <w:proofErr w:type="spellEnd"/>
      <w:r>
        <w:rPr>
          <w:rFonts w:ascii="Times New Roman" w:eastAsia="Times New Roman" w:hAnsi="Times New Roman" w:cs="Times New Roman"/>
          <w:b w:val="0"/>
          <w:i/>
          <w:sz w:val="20"/>
          <w:szCs w:val="20"/>
        </w:rPr>
        <w:t xml:space="preserve"> climate, weather by month, average temperature (Nigeria)</w:t>
      </w:r>
      <w:r>
        <w:rPr>
          <w:rFonts w:ascii="Times New Roman" w:eastAsia="Times New Roman" w:hAnsi="Times New Roman" w:cs="Times New Roman"/>
          <w:b w:val="0"/>
          <w:sz w:val="20"/>
          <w:szCs w:val="20"/>
        </w:rPr>
        <w:t>.</w:t>
      </w:r>
      <w:hyperlink r:id="rId26">
        <w:r>
          <w:rPr>
            <w:rFonts w:ascii="Times New Roman" w:eastAsia="Times New Roman" w:hAnsi="Times New Roman" w:cs="Times New Roman"/>
            <w:b w:val="0"/>
            <w:sz w:val="20"/>
            <w:szCs w:val="20"/>
          </w:rPr>
          <w:t xml:space="preserve"> </w:t>
        </w:r>
      </w:hyperlink>
      <w:hyperlink r:id="rId27">
        <w:r>
          <w:rPr>
            <w:rFonts w:ascii="Times New Roman" w:eastAsia="Times New Roman" w:hAnsi="Times New Roman" w:cs="Times New Roman"/>
            <w:b w:val="0"/>
            <w:sz w:val="20"/>
            <w:szCs w:val="20"/>
            <w:u w:val="single"/>
          </w:rPr>
          <w:t>https://weatherspark.com/y/52931/Average-Weather-in-Akinima-Nigeria-Year-Round</w:t>
        </w:r>
      </w:hyperlink>
      <w:r>
        <w:rPr>
          <w:rFonts w:ascii="Arial" w:eastAsia="Arial" w:hAnsi="Arial" w:cs="Arial"/>
          <w:sz w:val="20"/>
          <w:szCs w:val="20"/>
        </w:rPr>
        <w:br/>
      </w:r>
      <w:r>
        <w:rPr>
          <w:rFonts w:ascii="Arial" w:eastAsia="Arial" w:hAnsi="Arial" w:cs="Arial"/>
          <w:sz w:val="20"/>
          <w:szCs w:val="20"/>
        </w:rPr>
        <w:br/>
      </w:r>
      <w:r>
        <w:rPr>
          <w:rFonts w:ascii="Arial" w:eastAsia="Arial" w:hAnsi="Arial" w:cs="Arial"/>
          <w:b w:val="0"/>
          <w:sz w:val="20"/>
          <w:szCs w:val="20"/>
        </w:rPr>
        <w:t xml:space="preserve">World Health Organization (WHO). (2020). World malaria report 2020. </w:t>
      </w:r>
      <w:hyperlink r:id="rId28">
        <w:r>
          <w:rPr>
            <w:rFonts w:ascii="Arial" w:eastAsia="Arial" w:hAnsi="Arial" w:cs="Arial"/>
            <w:b w:val="0"/>
            <w:sz w:val="20"/>
            <w:szCs w:val="20"/>
          </w:rPr>
          <w:t>https://www.who.int/docs/default-source/malaria/world-malaria-reports/9789240015791-double-page-view.pdfsfvrsn=2c24349d_5</w:t>
        </w:r>
      </w:hyperlink>
    </w:p>
    <w:p w14:paraId="0A72A44C"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color w:val="000000"/>
        </w:rPr>
      </w:pPr>
      <w:r>
        <w:rPr>
          <w:rFonts w:ascii="Arial" w:eastAsia="Arial" w:hAnsi="Arial" w:cs="Arial"/>
          <w:color w:val="000000"/>
        </w:rPr>
        <w:t xml:space="preserve">World Health Organization (WHO). (2021, October 6). WHO recommends ground breaking malaria vaccine for children at risk. </w:t>
      </w:r>
      <w:hyperlink r:id="rId29">
        <w:r>
          <w:rPr>
            <w:rFonts w:ascii="Arial" w:eastAsia="Arial" w:hAnsi="Arial" w:cs="Arial"/>
            <w:color w:val="000000"/>
          </w:rPr>
          <w:t>https://www.who.int/news/item/06-10-2021-who-recommends-groundbreaking-malaria-vaccine-for-children-at-risk</w:t>
        </w:r>
      </w:hyperlink>
    </w:p>
    <w:p w14:paraId="6B15A58A"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color w:val="000000"/>
        </w:rPr>
      </w:pPr>
      <w:r>
        <w:rPr>
          <w:rFonts w:ascii="Arial" w:eastAsia="Arial" w:hAnsi="Arial" w:cs="Arial"/>
          <w:color w:val="000000"/>
        </w:rPr>
        <w:t xml:space="preserve">World Health Organization (WHO). (2022). Report on malaria 2022. </w:t>
      </w:r>
      <w:hyperlink r:id="rId30">
        <w:r>
          <w:rPr>
            <w:rFonts w:ascii="Arial" w:eastAsia="Arial" w:hAnsi="Arial" w:cs="Arial"/>
            <w:color w:val="000000"/>
          </w:rPr>
          <w:t>https://www.afro.who.int/countries/nigeria/publication/report-malaria-nigeria-2022</w:t>
        </w:r>
      </w:hyperlink>
    </w:p>
    <w:p w14:paraId="387C863C"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color w:val="000000"/>
        </w:rPr>
      </w:pPr>
      <w:r>
        <w:rPr>
          <w:rFonts w:ascii="Arial" w:eastAsia="Arial" w:hAnsi="Arial" w:cs="Arial"/>
          <w:color w:val="000000"/>
        </w:rPr>
        <w:t xml:space="preserve">World Health Organization (WHO). (2023). Malaria report 2023. </w:t>
      </w:r>
      <w:hyperlink r:id="rId31">
        <w:r>
          <w:rPr>
            <w:rFonts w:ascii="Arial" w:eastAsia="Arial" w:hAnsi="Arial" w:cs="Arial"/>
            <w:color w:val="000000"/>
          </w:rPr>
          <w:t>https://www.who.int/news-room/fact-sheets/detail/malaria</w:t>
        </w:r>
      </w:hyperlink>
    </w:p>
    <w:p w14:paraId="1C36833E"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rPr>
      </w:pPr>
      <w:r>
        <w:rPr>
          <w:rFonts w:ascii="Arial" w:eastAsia="Arial" w:hAnsi="Arial" w:cs="Arial"/>
          <w:color w:val="000000"/>
        </w:rPr>
        <w:lastRenderedPageBreak/>
        <w:t xml:space="preserve">World Health Organization (WHO). (2025). Anemia. </w:t>
      </w:r>
      <w:hyperlink r:id="rId32">
        <w:r>
          <w:rPr>
            <w:rFonts w:ascii="Arial" w:eastAsia="Arial" w:hAnsi="Arial" w:cs="Arial"/>
            <w:color w:val="000000"/>
          </w:rPr>
          <w:t>https://www.who.int/news-room/fact-sheets/detail/anaemia</w:t>
        </w:r>
      </w:hyperlink>
    </w:p>
    <w:p w14:paraId="72559406"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rPr>
      </w:pPr>
      <w:proofErr w:type="spellStart"/>
      <w:r>
        <w:rPr>
          <w:rFonts w:ascii="Times New Roman" w:eastAsia="Times New Roman" w:hAnsi="Times New Roman" w:cs="Times New Roman"/>
        </w:rPr>
        <w:t>WorldWide</w:t>
      </w:r>
      <w:proofErr w:type="spellEnd"/>
      <w:r>
        <w:rPr>
          <w:rFonts w:ascii="Times New Roman" w:eastAsia="Times New Roman" w:hAnsi="Times New Roman" w:cs="Times New Roman"/>
        </w:rPr>
        <w:t xml:space="preserve"> Antimalarial Resistance Network White Blood Cell Count in Malaria Study Group. (2023). Variability in white blood cell count during uncomplicated malaria and implications for parasite density estimation: A </w:t>
      </w:r>
      <w:proofErr w:type="spellStart"/>
      <w:r>
        <w:rPr>
          <w:rFonts w:ascii="Times New Roman" w:eastAsia="Times New Roman" w:hAnsi="Times New Roman" w:cs="Times New Roman"/>
        </w:rPr>
        <w:t>WorldWide</w:t>
      </w:r>
      <w:proofErr w:type="spellEnd"/>
      <w:r>
        <w:rPr>
          <w:rFonts w:ascii="Times New Roman" w:eastAsia="Times New Roman" w:hAnsi="Times New Roman" w:cs="Times New Roman"/>
        </w:rPr>
        <w:t xml:space="preserve"> Antimalarial Resistance Network individual patient data meta-analysis. Malaria Journal, 22(1), Article 174. </w:t>
      </w:r>
      <w:hyperlink r:id="rId33">
        <w:r>
          <w:rPr>
            <w:rFonts w:ascii="Times New Roman" w:eastAsia="Times New Roman" w:hAnsi="Times New Roman" w:cs="Times New Roman"/>
            <w:color w:val="1155CC"/>
            <w:u w:val="single"/>
          </w:rPr>
          <w:t>https://doi.org/10.1186/s12936-023-04761-0</w:t>
        </w:r>
      </w:hyperlink>
      <w:r>
        <w:rPr>
          <w:rFonts w:ascii="Times New Roman" w:eastAsia="Times New Roman" w:hAnsi="Times New Roman" w:cs="Times New Roman"/>
        </w:rPr>
        <w:t xml:space="preserve"> </w:t>
      </w:r>
    </w:p>
    <w:p w14:paraId="581C945A" w14:textId="77777777" w:rsidR="00EB21F6" w:rsidRDefault="000176C0">
      <w:pPr>
        <w:pBdr>
          <w:top w:val="nil"/>
          <w:left w:val="nil"/>
          <w:bottom w:val="nil"/>
          <w:right w:val="nil"/>
          <w:between w:val="nil"/>
        </w:pBdr>
        <w:spacing w:before="280" w:after="280"/>
        <w:ind w:left="600"/>
        <w:jc w:val="both"/>
        <w:rPr>
          <w:rFonts w:ascii="Times New Roman" w:eastAsia="Times New Roman" w:hAnsi="Times New Roman" w:cs="Times New Roman"/>
          <w:color w:val="000000"/>
        </w:rPr>
      </w:pPr>
      <w:proofErr w:type="spellStart"/>
      <w:r>
        <w:rPr>
          <w:rFonts w:ascii="Arial" w:eastAsia="Arial" w:hAnsi="Arial" w:cs="Arial"/>
          <w:color w:val="000000"/>
        </w:rPr>
        <w:t>Zekar</w:t>
      </w:r>
      <w:proofErr w:type="spellEnd"/>
      <w:r>
        <w:rPr>
          <w:rFonts w:ascii="Arial" w:eastAsia="Arial" w:hAnsi="Arial" w:cs="Arial"/>
          <w:color w:val="000000"/>
        </w:rPr>
        <w:t xml:space="preserve">, L., &amp; Sharman, T. (2023, August 8). Plasmodium falciparum malaria. In </w:t>
      </w:r>
      <w:proofErr w:type="spellStart"/>
      <w:r>
        <w:rPr>
          <w:rFonts w:ascii="Arial" w:eastAsia="Arial" w:hAnsi="Arial" w:cs="Arial"/>
          <w:color w:val="000000"/>
        </w:rPr>
        <w:t>StatPearls</w:t>
      </w:r>
      <w:proofErr w:type="spellEnd"/>
      <w:r>
        <w:rPr>
          <w:rFonts w:ascii="Arial" w:eastAsia="Arial" w:hAnsi="Arial" w:cs="Arial"/>
          <w:color w:val="000000"/>
        </w:rPr>
        <w:t xml:space="preserve">. </w:t>
      </w:r>
      <w:proofErr w:type="spellStart"/>
      <w:r>
        <w:rPr>
          <w:rFonts w:ascii="Arial" w:eastAsia="Arial" w:hAnsi="Arial" w:cs="Arial"/>
          <w:color w:val="000000"/>
        </w:rPr>
        <w:t>StatPearls</w:t>
      </w:r>
      <w:proofErr w:type="spellEnd"/>
      <w:r>
        <w:rPr>
          <w:rFonts w:ascii="Arial" w:eastAsia="Arial" w:hAnsi="Arial" w:cs="Arial"/>
          <w:color w:val="000000"/>
        </w:rPr>
        <w:t xml:space="preserve"> Publishing. </w:t>
      </w:r>
      <w:hyperlink r:id="rId34">
        <w:r>
          <w:rPr>
            <w:rFonts w:ascii="Arial" w:eastAsia="Arial" w:hAnsi="Arial" w:cs="Arial"/>
            <w:color w:val="000000"/>
          </w:rPr>
          <w:t>https://www.ncbi.nlm.nih.gov/books/NBK555962/</w:t>
        </w:r>
      </w:hyperlink>
    </w:p>
    <w:p w14:paraId="5B74295E" w14:textId="77777777" w:rsidR="00EB21F6" w:rsidRDefault="00EB21F6">
      <w:pPr>
        <w:spacing w:before="280" w:after="280"/>
        <w:ind w:left="600"/>
        <w:jc w:val="both"/>
        <w:rPr>
          <w:rFonts w:ascii="Arial" w:eastAsia="Arial" w:hAnsi="Arial" w:cs="Arial"/>
          <w:color w:val="000000"/>
        </w:rPr>
      </w:pPr>
    </w:p>
    <w:sectPr w:rsidR="00EB21F6">
      <w:headerReference w:type="even" r:id="rId35"/>
      <w:headerReference w:type="default" r:id="rId36"/>
      <w:footerReference w:type="even" r:id="rId37"/>
      <w:footerReference w:type="default" r:id="rId38"/>
      <w:headerReference w:type="first" r:id="rId39"/>
      <w:footerReference w:type="first" r:id="rId40"/>
      <w:pgSz w:w="11906" w:h="16838"/>
      <w:pgMar w:top="1440" w:right="1800" w:bottom="1440" w:left="60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B8880" w14:textId="77777777" w:rsidR="0095235A" w:rsidRDefault="0095235A" w:rsidP="00AD4E12">
      <w:r>
        <w:separator/>
      </w:r>
    </w:p>
  </w:endnote>
  <w:endnote w:type="continuationSeparator" w:id="0">
    <w:p w14:paraId="00FF7580" w14:textId="77777777" w:rsidR="0095235A" w:rsidRDefault="0095235A" w:rsidP="00AD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81BB0" w14:textId="77777777" w:rsidR="00AD4E12" w:rsidRDefault="00AD4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36D8" w14:textId="77777777" w:rsidR="00AD4E12" w:rsidRDefault="00AD4E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ABA30" w14:textId="77777777" w:rsidR="00AD4E12" w:rsidRDefault="00AD4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89D0B" w14:textId="77777777" w:rsidR="0095235A" w:rsidRDefault="0095235A" w:rsidP="00AD4E12">
      <w:r>
        <w:separator/>
      </w:r>
    </w:p>
  </w:footnote>
  <w:footnote w:type="continuationSeparator" w:id="0">
    <w:p w14:paraId="4E426DBA" w14:textId="77777777" w:rsidR="0095235A" w:rsidRDefault="0095235A" w:rsidP="00AD4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BAC79" w14:textId="765B94D7" w:rsidR="00AD4E12" w:rsidRDefault="00AD4E12">
    <w:pPr>
      <w:pStyle w:val="Header"/>
    </w:pPr>
    <w:r>
      <w:rPr>
        <w:noProof/>
      </w:rPr>
      <w:pict w14:anchorId="346A8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230860" o:spid="_x0000_s2050" type="#_x0000_t136" style="position:absolute;margin-left:0;margin-top:0;width:564.2pt;height:105.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A038C" w14:textId="1B6B27F6" w:rsidR="00AD4E12" w:rsidRDefault="00AD4E12">
    <w:pPr>
      <w:pStyle w:val="Header"/>
    </w:pPr>
    <w:r>
      <w:rPr>
        <w:noProof/>
      </w:rPr>
      <w:pict w14:anchorId="3F2F7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230861" o:spid="_x0000_s2051" type="#_x0000_t136" style="position:absolute;margin-left:0;margin-top:0;width:564.2pt;height:105.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B7A3D" w14:textId="351D38CB" w:rsidR="00AD4E12" w:rsidRDefault="00AD4E12">
    <w:pPr>
      <w:pStyle w:val="Header"/>
    </w:pPr>
    <w:r>
      <w:rPr>
        <w:noProof/>
      </w:rPr>
      <w:pict w14:anchorId="7445C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230859" o:spid="_x0000_s2049" type="#_x0000_t136" style="position:absolute;margin-left:0;margin-top:0;width:564.2pt;height:105.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1F6"/>
    <w:rsid w:val="000176C0"/>
    <w:rsid w:val="003745BB"/>
    <w:rsid w:val="006406E7"/>
    <w:rsid w:val="008D1A90"/>
    <w:rsid w:val="0095235A"/>
    <w:rsid w:val="009F01E7"/>
    <w:rsid w:val="00AD4E12"/>
    <w:rsid w:val="00EB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133CD5"/>
  <w15:docId w15:val="{23FC5AC8-F00D-4270-BA45-DA4491BC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80" w:after="280"/>
      <w:outlineLvl w:val="0"/>
    </w:pPr>
    <w:rPr>
      <w:rFonts w:ascii="SimSun" w:eastAsia="SimSun" w:hAnsi="SimSun" w:cs="SimSun"/>
      <w:b/>
      <w:color w:val="000000"/>
      <w:sz w:val="48"/>
      <w:szCs w:val="48"/>
    </w:rPr>
  </w:style>
  <w:style w:type="paragraph" w:styleId="Heading2">
    <w:name w:val="heading 2"/>
    <w:basedOn w:val="Normal"/>
    <w:next w:val="Normal"/>
    <w:pPr>
      <w:pBdr>
        <w:top w:val="nil"/>
        <w:left w:val="nil"/>
        <w:bottom w:val="nil"/>
        <w:right w:val="nil"/>
        <w:between w:val="nil"/>
      </w:pBdr>
      <w:spacing w:before="280" w:after="280"/>
      <w:outlineLvl w:val="1"/>
    </w:pPr>
    <w:rPr>
      <w:rFonts w:ascii="SimSun" w:eastAsia="SimSun" w:hAnsi="SimSun" w:cs="SimSun"/>
      <w:b/>
      <w:color w:val="000000"/>
      <w:sz w:val="36"/>
      <w:szCs w:val="36"/>
    </w:rPr>
  </w:style>
  <w:style w:type="paragraph" w:styleId="Heading3">
    <w:name w:val="heading 3"/>
    <w:basedOn w:val="Normal"/>
    <w:next w:val="Normal"/>
    <w:pPr>
      <w:pBdr>
        <w:top w:val="nil"/>
        <w:left w:val="nil"/>
        <w:bottom w:val="nil"/>
        <w:right w:val="nil"/>
        <w:between w:val="nil"/>
      </w:pBdr>
      <w:spacing w:before="280" w:after="280"/>
      <w:outlineLvl w:val="2"/>
    </w:pPr>
    <w:rPr>
      <w:rFonts w:ascii="SimSun" w:eastAsia="SimSun" w:hAnsi="SimSun" w:cs="SimSun"/>
      <w:b/>
      <w:color w:val="000000"/>
      <w:sz w:val="27"/>
      <w:szCs w:val="27"/>
    </w:rPr>
  </w:style>
  <w:style w:type="paragraph" w:styleId="Heading4">
    <w:name w:val="heading 4"/>
    <w:basedOn w:val="Normal"/>
    <w:next w:val="Normal"/>
    <w:pPr>
      <w:pBdr>
        <w:top w:val="nil"/>
        <w:left w:val="nil"/>
        <w:bottom w:val="nil"/>
        <w:right w:val="nil"/>
        <w:between w:val="nil"/>
      </w:pBdr>
      <w:spacing w:before="280" w:after="280"/>
      <w:outlineLvl w:val="3"/>
    </w:pPr>
    <w:rPr>
      <w:rFonts w:ascii="SimSun" w:eastAsia="SimSun" w:hAnsi="SimSun" w:cs="SimSun"/>
      <w:b/>
      <w:color w:val="000000"/>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3" w:type="dxa"/>
        <w:right w:w="108" w:type="dxa"/>
      </w:tblCellMar>
    </w:tblPr>
  </w:style>
  <w:style w:type="table" w:customStyle="1" w:styleId="a0">
    <w:basedOn w:val="TableNormal0"/>
    <w:tblPr>
      <w:tblStyleRowBandSize w:val="1"/>
      <w:tblStyleColBandSize w:val="1"/>
      <w:tblCellMar>
        <w:left w:w="103" w:type="dxa"/>
        <w:right w:w="108" w:type="dxa"/>
      </w:tblCellMar>
    </w:tblPr>
  </w:style>
  <w:style w:type="table" w:customStyle="1" w:styleId="a1">
    <w:basedOn w:val="TableNormal0"/>
    <w:tblPr>
      <w:tblStyleRowBandSize w:val="1"/>
      <w:tblStyleColBandSize w:val="1"/>
      <w:tblCellMar>
        <w:left w:w="103" w:type="dxa"/>
        <w:right w:w="108" w:type="dxa"/>
      </w:tblCellMar>
    </w:tblPr>
  </w:style>
  <w:style w:type="table" w:customStyle="1" w:styleId="a2">
    <w:basedOn w:val="TableNormal0"/>
    <w:tblPr>
      <w:tblStyleRowBandSize w:val="1"/>
      <w:tblStyleColBandSize w:val="1"/>
      <w:tblCellMar>
        <w:left w:w="103" w:type="dxa"/>
        <w:right w:w="108" w:type="dxa"/>
      </w:tblCellMar>
    </w:tblPr>
  </w:style>
  <w:style w:type="table" w:customStyle="1" w:styleId="a3">
    <w:basedOn w:val="TableNormal0"/>
    <w:tblPr>
      <w:tblStyleRowBandSize w:val="1"/>
      <w:tblStyleColBandSize w:val="1"/>
      <w:tblCellMar>
        <w:left w:w="103" w:type="dxa"/>
        <w:right w:w="108" w:type="dxa"/>
      </w:tblCellMar>
    </w:tblPr>
  </w:style>
  <w:style w:type="table" w:customStyle="1" w:styleId="a4">
    <w:basedOn w:val="TableNormal0"/>
    <w:tblPr>
      <w:tblStyleRowBandSize w:val="1"/>
      <w:tblStyleColBandSize w:val="1"/>
      <w:tblCellMar>
        <w:left w:w="103" w:type="dxa"/>
        <w:right w:w="108"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176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6C0"/>
    <w:rPr>
      <w:rFonts w:ascii="Segoe UI" w:hAnsi="Segoe UI" w:cs="Segoe UI"/>
      <w:sz w:val="18"/>
      <w:szCs w:val="18"/>
    </w:rPr>
  </w:style>
  <w:style w:type="paragraph" w:styleId="Header">
    <w:name w:val="header"/>
    <w:basedOn w:val="Normal"/>
    <w:link w:val="HeaderChar"/>
    <w:uiPriority w:val="99"/>
    <w:unhideWhenUsed/>
    <w:rsid w:val="00AD4E12"/>
    <w:pPr>
      <w:tabs>
        <w:tab w:val="center" w:pos="4680"/>
        <w:tab w:val="right" w:pos="9360"/>
      </w:tabs>
    </w:pPr>
  </w:style>
  <w:style w:type="character" w:customStyle="1" w:styleId="HeaderChar">
    <w:name w:val="Header Char"/>
    <w:basedOn w:val="DefaultParagraphFont"/>
    <w:link w:val="Header"/>
    <w:uiPriority w:val="99"/>
    <w:rsid w:val="00AD4E12"/>
  </w:style>
  <w:style w:type="paragraph" w:styleId="Footer">
    <w:name w:val="footer"/>
    <w:basedOn w:val="Normal"/>
    <w:link w:val="FooterChar"/>
    <w:uiPriority w:val="99"/>
    <w:unhideWhenUsed/>
    <w:rsid w:val="00AD4E12"/>
    <w:pPr>
      <w:tabs>
        <w:tab w:val="center" w:pos="4680"/>
        <w:tab w:val="right" w:pos="9360"/>
      </w:tabs>
    </w:pPr>
  </w:style>
  <w:style w:type="character" w:customStyle="1" w:styleId="FooterChar">
    <w:name w:val="Footer Char"/>
    <w:basedOn w:val="DefaultParagraphFont"/>
    <w:link w:val="Footer"/>
    <w:uiPriority w:val="99"/>
    <w:rsid w:val="00AD4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rlmc.edu.pk/themes/images/gallery/library/books/Microbiology/Monica%20Cheesbrough%20District%20Laboratory%20Practice%20in%20Tropical%20Countries,%20Part%201,Second%20Edition%20%202005.pdf" TargetMode="External"/><Relationship Id="rId18" Type="http://schemas.openxmlformats.org/officeDocument/2006/relationships/hyperlink" Target="https://doi.org/10.1155/2023/5334813" TargetMode="External"/><Relationship Id="rId26" Type="http://schemas.openxmlformats.org/officeDocument/2006/relationships/hyperlink" Target="https://weatherspark.com/y/52931/Average-Weather-in-Akinima-Nigeria-Year-Round" TargetMode="External"/><Relationship Id="rId39" Type="http://schemas.openxmlformats.org/officeDocument/2006/relationships/header" Target="header3.xml"/><Relationship Id="rId21" Type="http://schemas.openxmlformats.org/officeDocument/2006/relationships/hyperlink" Target="https://doi.org/10.20546/ijcmas.2016.504.095" TargetMode="External"/><Relationship Id="rId34" Type="http://schemas.openxmlformats.org/officeDocument/2006/relationships/hyperlink" Target="https://www.ncbi.nlm.nih.gov/books/NBK555962/" TargetMode="External"/><Relationship Id="rId42" Type="http://schemas.openxmlformats.org/officeDocument/2006/relationships/theme" Target="theme/theme1.xml"/><Relationship Id="rId7" Type="http://schemas.openxmlformats.org/officeDocument/2006/relationships/hyperlink" Target="https://www.iosrjournals.org/iosr-jpbs/papers/Vol2-issue4/C0241519.pdf" TargetMode="External"/><Relationship Id="rId2" Type="http://schemas.openxmlformats.org/officeDocument/2006/relationships/settings" Target="settings.xml"/><Relationship Id="rId16" Type="http://schemas.openxmlformats.org/officeDocument/2006/relationships/hyperlink" Target="https://doi.org/10.1016/S0140-6736(12)60034-8" TargetMode="External"/><Relationship Id="rId20" Type="http://schemas.openxmlformats.org/officeDocument/2006/relationships/hyperlink" Target="https://doi.org/10.20546/ijcmas.2016.504.095" TargetMode="External"/><Relationship Id="rId29" Type="http://schemas.openxmlformats.org/officeDocument/2006/relationships/hyperlink" Target="https://www.who.int/news/item/06-10-2021-who-recommends-groundbreaking-malaria-vaccine-for-children-at-risk"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inelib.com/listing/Ahoada-West-LGA/62253" TargetMode="External"/><Relationship Id="rId11" Type="http://schemas.openxmlformats.org/officeDocument/2006/relationships/hyperlink" Target="https://www.ncbi.nlm.nih.gov/books/NBK557513/" TargetMode="External"/><Relationship Id="rId24" Type="http://schemas.openxmlformats.org/officeDocument/2006/relationships/hyperlink" Target="https://doi.org/10.1093/cid/ciae234" TargetMode="External"/><Relationship Id="rId32" Type="http://schemas.openxmlformats.org/officeDocument/2006/relationships/hyperlink" Target="https://www.who.int/news-room/fact-sheets/detail/anaemia"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cdc.gov/mosquitoes/" TargetMode="External"/><Relationship Id="rId23" Type="http://schemas.openxmlformats.org/officeDocument/2006/relationships/hyperlink" Target="https://www.researchgate.net/publication/318636653" TargetMode="External"/><Relationship Id="rId28" Type="http://schemas.openxmlformats.org/officeDocument/2006/relationships/hyperlink" Target="https://www.who.int/docs/default-source/malaria/world-malaria-reports/9789240015791-double-page-view.pdf?sfvrsn=2c24349d_5" TargetMode="External"/><Relationship Id="rId36" Type="http://schemas.openxmlformats.org/officeDocument/2006/relationships/header" Target="header2.xml"/><Relationship Id="rId10" Type="http://schemas.openxmlformats.org/officeDocument/2006/relationships/hyperlink" Target="https://www.redcrossblood.org/donate-blood/dlp/hematocrit.html" TargetMode="External"/><Relationship Id="rId19" Type="http://schemas.openxmlformats.org/officeDocument/2006/relationships/hyperlink" Target="https://doi.org/10.1186/s12936-024-04922-5" TargetMode="External"/><Relationship Id="rId31" Type="http://schemas.openxmlformats.org/officeDocument/2006/relationships/hyperlink" Target="https://www.who.int/news-room/fact-sheets/detail/malaria" TargetMode="External"/><Relationship Id="rId4" Type="http://schemas.openxmlformats.org/officeDocument/2006/relationships/footnotes" Target="footnotes.xml"/><Relationship Id="rId9" Type="http://schemas.openxmlformats.org/officeDocument/2006/relationships/hyperlink" Target="http://bbrc.in/bbrc/wp-content/uploads/2020/10/BBRC-136.pdf" TargetMode="External"/><Relationship Id="rId14" Type="http://schemas.openxmlformats.org/officeDocument/2006/relationships/hyperlink" Target="https://www.cdc.gov/mosquitoes/" TargetMode="External"/><Relationship Id="rId22" Type="http://schemas.openxmlformats.org/officeDocument/2006/relationships/hyperlink" Target="https://www.researchgate.net/publication/318636653" TargetMode="External"/><Relationship Id="rId27" Type="http://schemas.openxmlformats.org/officeDocument/2006/relationships/hyperlink" Target="https://weatherspark.com/y/52931/Average-Weather-in-Akinima-Nigeria-Year-Round" TargetMode="External"/><Relationship Id="rId30" Type="http://schemas.openxmlformats.org/officeDocument/2006/relationships/hyperlink" Target="https://www.afro.who.int/countries/nigeria/publication/report-malaria-nigeria-2022" TargetMode="External"/><Relationship Id="rId35" Type="http://schemas.openxmlformats.org/officeDocument/2006/relationships/header" Target="header1.xml"/><Relationship Id="rId8" Type="http://schemas.openxmlformats.org/officeDocument/2006/relationships/hyperlink" Target="http://bbrc.in/bbrc/wp-content/uploads/2020/10/BBRC-136.pdf" TargetMode="External"/><Relationship Id="rId3" Type="http://schemas.openxmlformats.org/officeDocument/2006/relationships/webSettings" Target="webSettings.xml"/><Relationship Id="rId12" Type="http://schemas.openxmlformats.org/officeDocument/2006/relationships/hyperlink" Target="https://rlmc.edu.pk/themes/images/gallery/library/books/Microbiology/Monica%20Cheesbrough%20District%20Laboratory%20Practice%20in%20Tropical%20Countries,%20Part%201,Second%20Edition%20%202005.pdf" TargetMode="External"/><Relationship Id="rId17" Type="http://schemas.openxmlformats.org/officeDocument/2006/relationships/hyperlink" Target="https://doi.org/10.1016/j.heliyon.2020.e04002" TargetMode="External"/><Relationship Id="rId25" Type="http://schemas.openxmlformats.org/officeDocument/2006/relationships/hyperlink" Target="https://doi.org/10.2174/1874285801913010073" TargetMode="External"/><Relationship Id="rId33" Type="http://schemas.openxmlformats.org/officeDocument/2006/relationships/hyperlink" Target="https://doi.org/10.1186/s12936-023-04761-0"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6519</Words>
  <Characters>37160</Characters>
  <Application>Microsoft Office Word</Application>
  <DocSecurity>0</DocSecurity>
  <Lines>309</Lines>
  <Paragraphs>87</Paragraphs>
  <ScaleCrop>false</ScaleCrop>
  <Company/>
  <LinksUpToDate>false</LinksUpToDate>
  <CharactersWithSpaces>43592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6</cp:revision>
  <dcterms:created xsi:type="dcterms:W3CDTF">2025-08-06T12:08:00Z</dcterms:created>
  <dcterms:modified xsi:type="dcterms:W3CDTF">2025-08-06T13:45:00Z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ICV">
    <vt:lpwstr>55436818DDD84B6882E1E19DDA3BF133_11</vt:lpwstr>
  </property>
  <property fmtid="{D5CDD505-2E9C-101B-9397-08002B2CF9AE}" pid="4" name="KSOProductBuildVer">
    <vt:lpwstr>1033-12.2.0.21931</vt:lpwstr>
  </property>
</Properties>
</file>