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9B9B" w14:textId="43EB3FC2" w:rsidR="004B1C1B" w:rsidRDefault="00F216D0">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Assessment and Antibacterial Activities of Common Aerobic and Facultative</w:t>
      </w:r>
      <w:r w:rsidR="00AF1262">
        <w:rPr>
          <w:rFonts w:ascii="Times New Roman" w:hAnsi="Times New Roman" w:cs="Times New Roman"/>
          <w:b/>
          <w:sz w:val="24"/>
          <w:szCs w:val="24"/>
        </w:rPr>
        <w:t xml:space="preserve"> </w:t>
      </w:r>
      <w:r>
        <w:rPr>
          <w:rFonts w:ascii="Times New Roman" w:hAnsi="Times New Roman" w:cs="Times New Roman"/>
          <w:b/>
          <w:sz w:val="24"/>
          <w:szCs w:val="24"/>
        </w:rPr>
        <w:t>Bacteria in Patients with Burn wounds in some Hospitals in Rivers State, Nigeria</w:t>
      </w:r>
    </w:p>
    <w:p w14:paraId="35621ECA" w14:textId="77777777" w:rsidR="00DA3116" w:rsidRDefault="00DA3116">
      <w:pPr>
        <w:jc w:val="both"/>
        <w:rPr>
          <w:rFonts w:ascii="Times New Roman" w:hAnsi="Times New Roman" w:cs="Times New Roman"/>
          <w:b/>
          <w:sz w:val="24"/>
          <w:szCs w:val="24"/>
        </w:rPr>
      </w:pPr>
    </w:p>
    <w:p w14:paraId="0F92BE3A" w14:textId="77777777" w:rsidR="00BE3D50" w:rsidRDefault="00BE3D50">
      <w:pPr>
        <w:jc w:val="both"/>
        <w:rPr>
          <w:rFonts w:ascii="Times New Roman" w:hAnsi="Times New Roman" w:cs="Times New Roman"/>
          <w:b/>
          <w:sz w:val="24"/>
          <w:szCs w:val="24"/>
        </w:rPr>
      </w:pPr>
    </w:p>
    <w:p w14:paraId="5792F6F4" w14:textId="0F0A0C9E" w:rsidR="004B1C1B" w:rsidRDefault="00F216D0">
      <w:pPr>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w:t>
      </w:r>
    </w:p>
    <w:p w14:paraId="3C18E135" w14:textId="400E1791"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 Burn wound infections are serious complications of burn injuries which if not treated on time can lead to systemic infections, sepsis and even loss of life. The aim of this study was to assess common and facultative bacteria in patientts with burn wounds in some Hospitals in Port Harcourt, Rivers State. Swab and biopsy samples were aseptically collected using sterile swab sticks and scapels and aseptically inoculated onto Chocolate, Blood and McConkey agar plates and Robertson’s cooked meat broth. The Chocolate blood agar was inoculated at 37</w:t>
      </w:r>
      <w:r>
        <w:rPr>
          <w:rFonts w:ascii="Times New Roman" w:hAnsi="Times New Roman" w:cs="Times New Roman"/>
          <w:sz w:val="24"/>
          <w:szCs w:val="24"/>
          <w:vertAlign w:val="superscript"/>
        </w:rPr>
        <w:t>0</w:t>
      </w:r>
      <w:r>
        <w:rPr>
          <w:rFonts w:ascii="Times New Roman" w:hAnsi="Times New Roman" w:cs="Times New Roman"/>
          <w:sz w:val="24"/>
          <w:szCs w:val="24"/>
        </w:rPr>
        <w:t>C under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enriched atmosphere while blood, McConkey agar plates and Robertson’s cooked meat broth </w:t>
      </w:r>
      <w:r w:rsidR="00173294">
        <w:rPr>
          <w:rFonts w:ascii="Times New Roman" w:hAnsi="Times New Roman" w:cs="Times New Roman"/>
          <w:sz w:val="24"/>
          <w:szCs w:val="24"/>
        </w:rPr>
        <w:t>was</w:t>
      </w:r>
      <w:r>
        <w:rPr>
          <w:rFonts w:ascii="Times New Roman" w:hAnsi="Times New Roman" w:cs="Times New Roman"/>
          <w:sz w:val="24"/>
          <w:szCs w:val="24"/>
        </w:rPr>
        <w:t xml:space="preserve"> incubated aerobically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24- 48hrs. Organisms were identified using standard microbiological techniques based on cultural, morphological and biochemical attributes of the isolates. A total of 115(one hundred and fifteen) burn wound samples were analysed in this study comprising 65 males (56.52%) and 50 females (43.48%). Total number of organisms isolated were 135 which include </w:t>
      </w:r>
      <w:r>
        <w:rPr>
          <w:rFonts w:ascii="Times New Roman" w:hAnsi="Times New Roman" w:cs="Times New Roman"/>
          <w:i/>
          <w:sz w:val="24"/>
          <w:szCs w:val="24"/>
        </w:rPr>
        <w:t>Staphylococcus aureus</w:t>
      </w:r>
      <w:r>
        <w:rPr>
          <w:rFonts w:ascii="Times New Roman" w:hAnsi="Times New Roman" w:cs="Times New Roman"/>
          <w:sz w:val="24"/>
          <w:szCs w:val="24"/>
        </w:rPr>
        <w:t xml:space="preserve"> 45(33.33%), </w:t>
      </w:r>
      <w:r>
        <w:rPr>
          <w:rFonts w:ascii="Times New Roman" w:hAnsi="Times New Roman" w:cs="Times New Roman"/>
          <w:i/>
          <w:sz w:val="24"/>
          <w:szCs w:val="24"/>
        </w:rPr>
        <w:t>Pseudomonas aeruginosa</w:t>
      </w:r>
      <w:r>
        <w:rPr>
          <w:rFonts w:ascii="Times New Roman" w:hAnsi="Times New Roman" w:cs="Times New Roman"/>
          <w:sz w:val="24"/>
          <w:szCs w:val="24"/>
        </w:rPr>
        <w:t xml:space="preserve"> 35(25.93</w:t>
      </w:r>
      <w:r>
        <w:rPr>
          <w:rFonts w:ascii="Times New Roman" w:hAnsi="Times New Roman" w:cs="Times New Roman"/>
          <w:i/>
          <w:sz w:val="24"/>
          <w:szCs w:val="24"/>
        </w:rPr>
        <w:t>%), Klebsiella pneumonia</w:t>
      </w:r>
      <w:r>
        <w:rPr>
          <w:rFonts w:ascii="Times New Roman" w:hAnsi="Times New Roman" w:cs="Times New Roman"/>
          <w:sz w:val="24"/>
          <w:szCs w:val="24"/>
        </w:rPr>
        <w:t xml:space="preserve"> 22(16.30%), </w:t>
      </w:r>
      <w:r>
        <w:rPr>
          <w:rFonts w:ascii="Times New Roman" w:hAnsi="Times New Roman" w:cs="Times New Roman"/>
          <w:i/>
          <w:sz w:val="24"/>
          <w:szCs w:val="24"/>
        </w:rPr>
        <w:t>Proteus mirabilis</w:t>
      </w:r>
      <w:r>
        <w:rPr>
          <w:rFonts w:ascii="Times New Roman" w:hAnsi="Times New Roman" w:cs="Times New Roman"/>
          <w:sz w:val="24"/>
          <w:szCs w:val="24"/>
        </w:rPr>
        <w:t xml:space="preserve"> 12(8.89%), </w:t>
      </w:r>
      <w:r>
        <w:rPr>
          <w:rFonts w:ascii="Times New Roman" w:hAnsi="Times New Roman" w:cs="Times New Roman"/>
          <w:i/>
          <w:sz w:val="24"/>
          <w:szCs w:val="24"/>
        </w:rPr>
        <w:t>Escherichia coli</w:t>
      </w:r>
      <w:r>
        <w:rPr>
          <w:rFonts w:ascii="Times New Roman" w:hAnsi="Times New Roman" w:cs="Times New Roman"/>
          <w:sz w:val="24"/>
          <w:szCs w:val="24"/>
        </w:rPr>
        <w:t xml:space="preserve"> 9(6.67%), </w:t>
      </w:r>
      <w:r>
        <w:rPr>
          <w:rFonts w:ascii="Times New Roman" w:hAnsi="Times New Roman" w:cs="Times New Roman"/>
          <w:i/>
          <w:sz w:val="24"/>
          <w:szCs w:val="24"/>
        </w:rPr>
        <w:t>Staphylococcus epidermidis</w:t>
      </w:r>
      <w:r>
        <w:rPr>
          <w:rFonts w:ascii="Times New Roman" w:hAnsi="Times New Roman" w:cs="Times New Roman"/>
          <w:sz w:val="24"/>
          <w:szCs w:val="24"/>
        </w:rPr>
        <w:t xml:space="preserve"> 8(5.93%), </w:t>
      </w:r>
      <w:r>
        <w:rPr>
          <w:rFonts w:ascii="Times New Roman" w:hAnsi="Times New Roman" w:cs="Times New Roman"/>
          <w:i/>
          <w:sz w:val="24"/>
          <w:szCs w:val="24"/>
        </w:rPr>
        <w:t>beta haemolytic Streptococcus</w:t>
      </w:r>
      <w:r>
        <w:rPr>
          <w:rFonts w:ascii="Times New Roman" w:hAnsi="Times New Roman" w:cs="Times New Roman"/>
          <w:sz w:val="24"/>
          <w:szCs w:val="24"/>
        </w:rPr>
        <w:t xml:space="preserve"> 4(2.96). Male patients had higher incidence of 81(60%) than the female patients 54(40%), also the age brackets of 20-28, 29-37, and 38-46 had the highest number of burn wound isolates. The antimicrobial susceptibility pattern of the isolates showed Ceptazidime with the highest susceptibility to the isolates 95(73.1%) followed by Ciprofloxacin 89(68.5%). Burn wound </w:t>
      </w:r>
      <w:r w:rsidR="00173294">
        <w:rPr>
          <w:rFonts w:ascii="Times New Roman" w:hAnsi="Times New Roman" w:cs="Times New Roman"/>
          <w:sz w:val="24"/>
          <w:szCs w:val="24"/>
        </w:rPr>
        <w:t>patients’</w:t>
      </w:r>
      <w:r>
        <w:rPr>
          <w:rFonts w:ascii="Times New Roman" w:hAnsi="Times New Roman" w:cs="Times New Roman"/>
          <w:sz w:val="24"/>
          <w:szCs w:val="24"/>
        </w:rPr>
        <w:t xml:space="preserve"> management and care should be done with optimal aseptic standard procedures and good infection control measures should be put in place. Healthcare providers should also ensure proper hand washing, avoid cross contamination, adopt </w:t>
      </w:r>
      <w:r w:rsidR="00173294">
        <w:rPr>
          <w:rFonts w:ascii="Times New Roman" w:hAnsi="Times New Roman" w:cs="Times New Roman"/>
          <w:sz w:val="24"/>
          <w:szCs w:val="24"/>
        </w:rPr>
        <w:t>pre-</w:t>
      </w:r>
      <w:r>
        <w:rPr>
          <w:rFonts w:ascii="Times New Roman" w:hAnsi="Times New Roman" w:cs="Times New Roman"/>
          <w:sz w:val="24"/>
          <w:szCs w:val="24"/>
        </w:rPr>
        <w:t xml:space="preserve"> and post- operative standard techniques in patient care and management. </w:t>
      </w:r>
    </w:p>
    <w:p w14:paraId="21847DAE" w14:textId="77777777" w:rsidR="004B1C1B" w:rsidRDefault="00F216D0">
      <w:pPr>
        <w:jc w:val="both"/>
        <w:rPr>
          <w:rFonts w:ascii="Times New Roman" w:hAnsi="Times New Roman" w:cs="Times New Roman"/>
          <w:sz w:val="24"/>
          <w:szCs w:val="24"/>
        </w:rPr>
      </w:pPr>
      <w:r w:rsidRPr="00E9409F">
        <w:rPr>
          <w:rFonts w:ascii="Times New Roman" w:hAnsi="Times New Roman" w:cs="Times New Roman"/>
          <w:b/>
          <w:bCs/>
          <w:sz w:val="24"/>
          <w:szCs w:val="24"/>
        </w:rPr>
        <w:t>Keywords:</w:t>
      </w:r>
      <w:r>
        <w:rPr>
          <w:rFonts w:ascii="Times New Roman" w:hAnsi="Times New Roman" w:cs="Times New Roman"/>
          <w:sz w:val="24"/>
          <w:szCs w:val="24"/>
        </w:rPr>
        <w:t xml:space="preserve"> Burn, infection, wound, patients, Robertson’s cooked meat broth.</w:t>
      </w:r>
    </w:p>
    <w:p w14:paraId="72D6445D" w14:textId="77777777" w:rsidR="004B1C1B" w:rsidRDefault="00F216D0">
      <w:pPr>
        <w:tabs>
          <w:tab w:val="left" w:pos="5526"/>
        </w:tabs>
        <w:jc w:val="both"/>
        <w:rPr>
          <w:rFonts w:ascii="Times New Roman" w:hAnsi="Times New Roman" w:cs="Times New Roman"/>
          <w:sz w:val="24"/>
          <w:szCs w:val="24"/>
        </w:rPr>
      </w:pPr>
      <w:r>
        <w:rPr>
          <w:rFonts w:ascii="Times New Roman" w:hAnsi="Times New Roman" w:cs="Times New Roman"/>
          <w:sz w:val="24"/>
          <w:szCs w:val="24"/>
        </w:rPr>
        <w:tab/>
      </w:r>
    </w:p>
    <w:p w14:paraId="2109A0EB" w14:textId="77777777" w:rsidR="004B1C1B" w:rsidRDefault="00F216D0">
      <w:pPr>
        <w:tabs>
          <w:tab w:val="left" w:pos="1725"/>
        </w:tabs>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14:paraId="096F17E3"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Burns are wounds sustained through thermal injury. These injuries could be heat, chemical, electrical and radiation. Unlike other type of injury, burn wounds induce metabolic and inflammatory alterations that predispose the patient to various complications. Infection is the most common cause of morbidity and mortality in this population, with a greater percentage of death as a result of infection.  Burn injuries by fire and hot liquids and contact with hot surfaces have been recognized as a significant and major public health problem in economically developing countries like Nigeria and Iran. Unfortunately, most of the burn victims in Iran are children and women. </w:t>
      </w:r>
    </w:p>
    <w:p w14:paraId="05F42201"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Bacterial infections of burn wounds have posed various clinical challenges to their victims and health providers generally due to the traumas, prolonged hospitalization and the associated </w:t>
      </w:r>
      <w:r>
        <w:rPr>
          <w:rFonts w:ascii="Times New Roman" w:hAnsi="Times New Roman" w:cs="Times New Roman"/>
          <w:sz w:val="24"/>
          <w:szCs w:val="24"/>
        </w:rPr>
        <w:lastRenderedPageBreak/>
        <w:t>morbidities mortalities arising from different medically inadequately treated and managed individual cases with one form of burn wound or the other globally. Burn wounds are of several types and degrees; they may be possibly due to injuries to tissues caused by contact with dry heat, moist heat, chemicals, electricity, friction, radiant and electromagnetic energy (Church et al., 2016). Clinically burns of the first-degree type show redness while those of the second degree have vesication, and finally third-degree type of burns show necrosis through the entire skin. Burn wounds of the first and second degree are medically categorized as partial thickness burns while those of the third degree are termed full thickness burns (Adeyemi &amp; Udo, 2019).</w:t>
      </w:r>
    </w:p>
    <w:p w14:paraId="01C93F3B"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Several reasons are etiologically significant for acquiring burn wound infections among which are; loss of skin protective covering, presence of nonviable tissue and systemic immunosuppression especially in cases of major burns. Consequently, specific causes of burn wound infection are categorized into those resulting from impaired local host defenses, impaired systemic host defenses and environmental factors. In the case of impaired host local defenses, the intact stratum corneum of the skin provides an effective natural barrier to the body of the individual but upon damage by burn wounds, microbes gain entry into the wounds and increase in numbers and could readily invade the underlying tissues. Most of the floras that colonize the wounds of early stages are endogenous organisms present in the hair follicles and sweat glands or in the nares and oropharynx, perineal and intestinal bacteria are also commonly found (Jaber et al., 2023).</w:t>
      </w:r>
    </w:p>
    <w:p w14:paraId="208B7D1F"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The bacterial agents may gain access to the wounds through water during wet dressings or immersion of the wounds in water through hand contact and less frequently through aerosilization. The reduced blood flow to the surface of the wound due to vascular damage resulting from the burn impairs local immunity of the host individual, as white blood cells become incapacitated in the absence of enough tissue oxygen levels to destroy the bacterial invaders present in the wounds. Moreover, reduced blood flow makes it difficult for phagocytic cells and opsonins to reach the wound as well which also affects the healing process as the amount of available oxygen becomes insufficient (Jaber et al., 2023).</w:t>
      </w:r>
    </w:p>
    <w:p w14:paraId="224BDB11"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Considering the havoc and traumas individuals with different degrees of burn wound infections are subjected to due to bacterial contamination and subsequent infections leading to significant and varying morbidities and subsequent infections leading to significant and varying morbidities and mortalities globally, it becomes imperative to assess common aerobic and facultative bacteria in burn wounds in Port Harcourt. </w:t>
      </w:r>
    </w:p>
    <w:p w14:paraId="531FEC9F"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 Large open wound areas containing necrotic tissue make burn patients more susceptible to infection. In addition, a general state of immunosuppression is caused by the impaired functioning of neutrophils and the cellular and humoral immune system (Vinaik et al., 2019). In these conditions, micro-organisms can easily multiply and colonize wounds to high densities. Immunologically compromised patients are also obliged to stay in high-risk intensive care units for prolonged periods of time, during which they may be submitted to endotracheal intubation and/or catheterization of the blood vessels and bladder; also, in these units, both the air and environmental surfaces are heavily contaminated. That is why burn patients are high-risk groups for infection (Neely et al., 2014). </w:t>
      </w:r>
    </w:p>
    <w:p w14:paraId="0AC57A9D"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lastRenderedPageBreak/>
        <w:t>Infection is the most significant problem in burn wards, causing numerous treatment challenges in patients. The American Burn Association (ABA) analyzed 221,519 patients in burn units between 2009 and 2018 and reported the distribution of infections that have occurred in burn patients (American Burn Association, 2019). According to the ABA report, the most common clinically relevant complications for burn patients admitted to the United States burn centers are pneumonia, urinary tract infections (UTIs), and cellulitis (ABA, 2019). The highest frequency of pneumonia occurred among patients aged 50–60 years and was reported at 4.7%, while in patients over 80 years of age, the most common complication was UTI at 6.3% (ABA, 2019). Other commonly reported complications included respiratory failure, wound infection, septicemia, and renal failure (ABA, 2019). The duration of a mechanical ventilator can be considered a risk factor for all mentioned complications except cellulitis, wound infections, and UTIs (Lachiewicz et al., 2017).</w:t>
      </w:r>
    </w:p>
    <w:p w14:paraId="54FD8D42"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The skin is the body's largest organ and is considered one of the most significant barriers to body protection against external pathogens. Other functions of this organ include hormonal balance, maintaining temperature and humidity, sensory perception, and burn injuries that cause loss of integrity and destruction of skin tissues (Dąbrowska et al., 2018). Due to the self-healing properties of the skin, acute wound healing is quick, while the process of healing chronic wounds is time-consuming, infection in the affected area can prolong the wound for years (Hoversten et al., 2019). Aging, obesity, diabetes, autoimmune disease, and cardiovascular problems are risk factors for chronic wounds that increase their incidences (Oliveira et al., 2020). In this regard, people with diabetes are 20% more likely to develop chronic abscesses (Spampinato et al., 2020) In addition, some comorbidities, such as sporotrichosis, malignant tumors, and dermatophytosis, can provide conditions for chronic wounds in burn patients (Wang et al., 2021). Prolonged exposure to the underlying tissue of chronic wounds with the external environment and bleeding, osteomyelitis, and septicemia increase the chances of mortality among patients with chronic burn wounds (Kushwaha et al., 2022). Moreover, burn wounds cause other challenges, such as many mental problems, reduced quality of life, and increased medical costs in patients. Besides the heavy economic burden of burn injuries, the prolonged hospitalization and employing equipment and labor are other consequences of these wounds for medical systems (Kushwaha et al., 2020).</w:t>
      </w:r>
    </w:p>
    <w:p w14:paraId="1E210DF9"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Burn and its resulting infections have been among the main challenges to the world's medical systems. According to the reports, almost 38,000 patients were admitted to the United States burn centers and provided medical care in 2018. Despite advances in burn care over the past 50 years, burn infections are still one of the leading causes of death nowadays (Vinaik et al., 2019). Over the past decade, several studies have shown that microbial infections cause death in 42 to 65 percent of burn patients (Vinaik et al., 2019). Furthermore, the mortality rate in infectious burn patients is almost twice as high as in noninfectious burns (Alp et al., 2012). The most detrimental effect of burn is the loss of a healthy skin barrier that causes the immune system to lose self-control and makes the body more susceptible to infections. In addition, the more complex interaction of anti-inflammatory signals leads to the irregularities of innate and adaptive immune systems (Neely et al., 2014). Also, increased risk in burn patients is associated with urinary and venous catheters, arterial lines, tracheal intubation, and prolonged hospitalization (Schultz et al., 2013). Antibiotic resistance emerged immediately after the discovery of the first antibiotic, which developed rapidly and is one of the main challenges for the medical community, especially in burn units (Ventola, </w:t>
      </w:r>
      <w:r>
        <w:rPr>
          <w:rFonts w:ascii="Times New Roman" w:hAnsi="Times New Roman" w:cs="Times New Roman"/>
          <w:sz w:val="24"/>
          <w:szCs w:val="24"/>
        </w:rPr>
        <w:lastRenderedPageBreak/>
        <w:t>2015). There is a prediction that by 2050, multidrug-resistant (MDR) organisms will kill almost 2 million people and cost more than $3 million annually (Polinarski et al., 2021).</w:t>
      </w:r>
    </w:p>
    <w:p w14:paraId="7521B9A2"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Considering the havoc and traumas individuals with different degrees of burn wound infections are subjected to due to bacterial contamination and subsequent infections leading to significant and varying morbidities and subsequent infections leading to significant and varying morbidities and mortalities globally, it becomes imperative to assess common aerobic and facultative bacteria in burn wounds in Port Harcourt. </w:t>
      </w:r>
      <w:r>
        <w:rPr>
          <w:rFonts w:ascii="Times New Roman" w:hAnsi="Times New Roman" w:cs="Times New Roman"/>
          <w:sz w:val="24"/>
          <w:szCs w:val="24"/>
        </w:rPr>
        <w:tab/>
        <w:t xml:space="preserve"> </w:t>
      </w:r>
    </w:p>
    <w:p w14:paraId="29DB7430" w14:textId="77777777" w:rsidR="004B1C1B" w:rsidRDefault="00F216D0">
      <w:pPr>
        <w:tabs>
          <w:tab w:val="left" w:pos="5140"/>
        </w:tabs>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3052456"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STUDY DESIGN</w:t>
      </w:r>
    </w:p>
    <w:p w14:paraId="574FDB58"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STUDY POPULATION</w:t>
      </w:r>
    </w:p>
    <w:p w14:paraId="2D9EB296"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The study population included in- patients and out-patients attending University of Port Harcourt Teaching Hospital and Rivers State University Teaching </w:t>
      </w:r>
      <w:proofErr w:type="gramStart"/>
      <w:r>
        <w:rPr>
          <w:rFonts w:ascii="Times New Roman" w:hAnsi="Times New Roman" w:cs="Times New Roman"/>
          <w:sz w:val="24"/>
          <w:szCs w:val="24"/>
        </w:rPr>
        <w:t>Hospital,Port</w:t>
      </w:r>
      <w:proofErr w:type="gramEnd"/>
      <w:r>
        <w:rPr>
          <w:rFonts w:ascii="Times New Roman" w:hAnsi="Times New Roman" w:cs="Times New Roman"/>
          <w:sz w:val="24"/>
          <w:szCs w:val="24"/>
        </w:rPr>
        <w:t xml:space="preserve"> Harcourt with burn wounds or injuries.</w:t>
      </w:r>
    </w:p>
    <w:p w14:paraId="3C35E262"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Study Design</w:t>
      </w:r>
    </w:p>
    <w:p w14:paraId="7A3AA4C9"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A cross – sectional study was conducted in the study population which included male and female patients. Participants were informed on the objectives of the study and confidentiality of each patient was assured. This study was carried out with the consent of the patients.</w:t>
      </w:r>
    </w:p>
    <w:p w14:paraId="36D0B565"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Inclusion criterium</w:t>
      </w:r>
    </w:p>
    <w:p w14:paraId="7FCBBFA0"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These included in-patients and out-patients attending University of Port Harcourt Teaching Hospital and Rivers State University Teaching Hospital, Port Harcourt with burn wounds.</w:t>
      </w:r>
    </w:p>
    <w:p w14:paraId="46835875"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Exclusion criterium</w:t>
      </w:r>
    </w:p>
    <w:p w14:paraId="37E55998"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Patients attending University of Port Harcourt Teaching Hospital and Rivers State University Teaching Hospital, Port Harcourt with other wounds or injuries not as a result of burns.</w:t>
      </w:r>
    </w:p>
    <w:p w14:paraId="74AAF4EE"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Sample size</w:t>
      </w:r>
    </w:p>
    <w:p w14:paraId="5D83510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A total of one Hundred and fifteen burn wound samples were collected from patients comprising sixty-five (65) males and fifty (50) females covering children and adults with ages ranging from 2years to 80 years respectively. Sample coolection had a duration of twelve (12) months with the approval of the hospital authorities. </w:t>
      </w:r>
    </w:p>
    <w:p w14:paraId="11C99D5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Sample collection</w:t>
      </w:r>
    </w:p>
    <w:p w14:paraId="7EA6EEB8"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Swab and biopsy samples were aseptically collected using sterile swab sticks and punch biopsy instrument or sterile scalpel from both in-patient and out-patient cases after cleaning the wounds with disinfectants (Lysol) and cotton wool soaked in 70% alcohol to minimize contamination from skin commensals. The collection of the samples was done with the assistance of the attending clinicians and nurses in the emergency, surgical, intensive care unit and the burns unit of the </w:t>
      </w:r>
      <w:r>
        <w:rPr>
          <w:rFonts w:ascii="Times New Roman" w:hAnsi="Times New Roman" w:cs="Times New Roman"/>
          <w:sz w:val="24"/>
          <w:szCs w:val="24"/>
        </w:rPr>
        <w:lastRenderedPageBreak/>
        <w:t>hospital. All samples collected were quickly sent to the laboratory for investigations and assessment of common aerobic and facultative bacteria present in this study.</w:t>
      </w:r>
    </w:p>
    <w:p w14:paraId="6521054C" w14:textId="77777777" w:rsidR="004B1C1B" w:rsidRDefault="00F216D0">
      <w:pPr>
        <w:tabs>
          <w:tab w:val="center" w:pos="4680"/>
        </w:tabs>
        <w:jc w:val="both"/>
        <w:rPr>
          <w:rFonts w:ascii="Times New Roman" w:hAnsi="Times New Roman" w:cs="Times New Roman"/>
          <w:b/>
          <w:sz w:val="24"/>
          <w:szCs w:val="24"/>
        </w:rPr>
      </w:pPr>
      <w:r>
        <w:rPr>
          <w:rFonts w:ascii="Times New Roman" w:hAnsi="Times New Roman" w:cs="Times New Roman"/>
          <w:b/>
          <w:sz w:val="24"/>
          <w:szCs w:val="24"/>
        </w:rPr>
        <w:t>Cultivation and Identification of Isolates</w:t>
      </w:r>
    </w:p>
    <w:p w14:paraId="3ED52993" w14:textId="77777777" w:rsidR="004B1C1B" w:rsidRDefault="00F216D0">
      <w:pPr>
        <w:tabs>
          <w:tab w:val="center" w:pos="4680"/>
        </w:tabs>
        <w:jc w:val="both"/>
        <w:rPr>
          <w:rFonts w:ascii="Times New Roman" w:hAnsi="Times New Roman" w:cs="Times New Roman"/>
          <w:sz w:val="24"/>
          <w:szCs w:val="24"/>
        </w:rPr>
      </w:pPr>
      <w:r>
        <w:rPr>
          <w:rFonts w:ascii="Times New Roman" w:hAnsi="Times New Roman" w:cs="Times New Roman"/>
          <w:sz w:val="24"/>
          <w:szCs w:val="24"/>
        </w:rPr>
        <w:t>Isolation Media Used</w:t>
      </w:r>
    </w:p>
    <w:p w14:paraId="12A8B4A3" w14:textId="77777777" w:rsidR="004B1C1B" w:rsidRDefault="00F216D0">
      <w:pPr>
        <w:tabs>
          <w:tab w:val="center" w:pos="4680"/>
        </w:tabs>
        <w:jc w:val="both"/>
        <w:rPr>
          <w:rFonts w:ascii="Times New Roman" w:hAnsi="Times New Roman" w:cs="Times New Roman"/>
          <w:sz w:val="24"/>
          <w:szCs w:val="24"/>
        </w:rPr>
      </w:pPr>
      <w:r>
        <w:rPr>
          <w:rFonts w:ascii="Times New Roman" w:hAnsi="Times New Roman" w:cs="Times New Roman"/>
          <w:sz w:val="24"/>
          <w:szCs w:val="24"/>
        </w:rPr>
        <w:t>Microbiological isolation media used for this study include chocolate agar, blood agar, McConkey agar and Robertson’s cooked meat broth, all media used were manufactured by Oxoid limited England.</w:t>
      </w:r>
      <w:r>
        <w:rPr>
          <w:rFonts w:ascii="Times New Roman" w:hAnsi="Times New Roman" w:cs="Times New Roman"/>
          <w:sz w:val="24"/>
          <w:szCs w:val="24"/>
        </w:rPr>
        <w:tab/>
      </w:r>
    </w:p>
    <w:p w14:paraId="6D268896"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Basal Isolation Media Used</w:t>
      </w:r>
    </w:p>
    <w:p w14:paraId="7A52C53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These comprised peptone water, nutrient agar and isosenitest agar, all manufactured by Oxoid Ltd. England. All media were prepared following manufacturer’s insructions.</w:t>
      </w:r>
    </w:p>
    <w:p w14:paraId="5465EB29"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Identification Media Used</w:t>
      </w:r>
    </w:p>
    <w:p w14:paraId="64FB65AD"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These comprise peptone water sugars, Simmon citrate agar, Urea agar, all manufactured by Oxoid Ltd. England and prepared according to manufacturer’s instructions. </w:t>
      </w:r>
    </w:p>
    <w:p w14:paraId="1B787943"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Inoculation of media</w:t>
      </w:r>
    </w:p>
    <w:p w14:paraId="77D0C9E4"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 isolation of microbial agents was done by aseptically inoculating the samples into isolating media for all wound swabs collected after their direct Gram’s staining have been done on grease free glass slides. The inoculated samples were streked on the agar surface of the media using sterile wire loop, flaming the loop and cooling at intervals before subsequent streaks. In the case of biopsy samples, samples were aseptically divided into portions using sterile scalpels and inoculated onto chocolate agar, blood agar and McConkey agar and then into Robertson’s cooked meat broth and direct Gram’s stain done with the remaining portions. All chocolate agar inoculated medium plates were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using carbondioxide enriched candle jar for 48 hours, while the blood agar and McConkey agar plates were incubated aerobically for 24 hours. The inoculated </w:t>
      </w:r>
      <w:proofErr w:type="gramStart"/>
      <w:r>
        <w:rPr>
          <w:rFonts w:ascii="Times New Roman" w:hAnsi="Times New Roman" w:cs="Times New Roman"/>
          <w:sz w:val="24"/>
          <w:szCs w:val="24"/>
        </w:rPr>
        <w:t>Robertson;s</w:t>
      </w:r>
      <w:proofErr w:type="gramEnd"/>
      <w:r>
        <w:rPr>
          <w:rFonts w:ascii="Times New Roman" w:hAnsi="Times New Roman" w:cs="Times New Roman"/>
          <w:sz w:val="24"/>
          <w:szCs w:val="24"/>
        </w:rPr>
        <w:t xml:space="preserve"> cooked meat broth were incubated at 37</w:t>
      </w:r>
      <w:r>
        <w:rPr>
          <w:rFonts w:ascii="Times New Roman" w:hAnsi="Times New Roman" w:cs="Times New Roman"/>
          <w:sz w:val="24"/>
          <w:szCs w:val="24"/>
          <w:vertAlign w:val="superscript"/>
        </w:rPr>
        <w:t>0</w:t>
      </w:r>
      <w:r>
        <w:rPr>
          <w:rFonts w:ascii="Times New Roman" w:hAnsi="Times New Roman" w:cs="Times New Roman"/>
          <w:sz w:val="24"/>
          <w:szCs w:val="24"/>
        </w:rPr>
        <w:t>C for 72 hours and subcultures were made from the cooked meat broths after 24 hours onto chocolate agar medium, blood agar medium and McConkey agar medium and media plates were examined for evidence of microbial growth as colonies.</w:t>
      </w:r>
    </w:p>
    <w:p w14:paraId="1FDE25C4" w14:textId="77777777" w:rsidR="004B1C1B" w:rsidRDefault="00F216D0">
      <w:pPr>
        <w:tabs>
          <w:tab w:val="left" w:pos="2880"/>
        </w:tabs>
        <w:jc w:val="both"/>
        <w:rPr>
          <w:rFonts w:ascii="Times New Roman" w:hAnsi="Times New Roman" w:cs="Times New Roman"/>
          <w:b/>
          <w:sz w:val="24"/>
          <w:szCs w:val="24"/>
        </w:rPr>
      </w:pPr>
      <w:r>
        <w:rPr>
          <w:rFonts w:ascii="Times New Roman" w:hAnsi="Times New Roman" w:cs="Times New Roman"/>
          <w:b/>
          <w:sz w:val="24"/>
          <w:szCs w:val="24"/>
        </w:rPr>
        <w:t xml:space="preserve">Identification of colonies </w:t>
      </w:r>
    </w:p>
    <w:p w14:paraId="285BA64C" w14:textId="77777777" w:rsidR="004B1C1B" w:rsidRDefault="00F216D0">
      <w:pPr>
        <w:tabs>
          <w:tab w:val="left" w:pos="2880"/>
        </w:tabs>
        <w:jc w:val="both"/>
        <w:rPr>
          <w:rFonts w:ascii="Times New Roman" w:hAnsi="Times New Roman" w:cs="Times New Roman"/>
          <w:sz w:val="24"/>
          <w:szCs w:val="24"/>
        </w:rPr>
      </w:pPr>
      <w:r>
        <w:rPr>
          <w:rFonts w:ascii="Times New Roman" w:hAnsi="Times New Roman" w:cs="Times New Roman"/>
          <w:sz w:val="24"/>
          <w:szCs w:val="24"/>
        </w:rPr>
        <w:t xml:space="preserve">Having observed the growth on the isolation media primarily, pure cultures of the isolates were obtained by carefully selecting the colonies and subculturing them onto sterile media to have discrete colonies on the purity plates. The pure cultures were inoculated onto agar slopes and incubated at 370C for 24 hours and then preserved at refrigeration temperature (40C) as stock cultures for appropriate identification. Isolates were identified using their morphological (cultural), microscopic (Gram’s staining) and biochemical characteristics. Morphological identification of isolates was done using attributes such as size in millimeters expressing the diameters, colour, shape, elevation, transparency, opacity, pigmentation and haemolysis on blood agar, lactose fermentation on McConkey agar or not. Biochemical tests used for the further </w:t>
      </w:r>
      <w:r>
        <w:rPr>
          <w:rFonts w:ascii="Times New Roman" w:hAnsi="Times New Roman" w:cs="Times New Roman"/>
          <w:sz w:val="24"/>
          <w:szCs w:val="24"/>
        </w:rPr>
        <w:lastRenderedPageBreak/>
        <w:t>identification/confirmation of the isolates include: slide and tube coagulase test, catalase, oxidase, citrate utilisation, motility, indole and sugar fermentation.</w:t>
      </w:r>
    </w:p>
    <w:p w14:paraId="5F078022" w14:textId="77777777" w:rsidR="004B1C1B" w:rsidRDefault="00F216D0">
      <w:pPr>
        <w:tabs>
          <w:tab w:val="left" w:pos="2880"/>
        </w:tabs>
        <w:jc w:val="both"/>
        <w:rPr>
          <w:rFonts w:ascii="Times New Roman" w:hAnsi="Times New Roman" w:cs="Times New Roman"/>
          <w:b/>
          <w:sz w:val="24"/>
          <w:szCs w:val="24"/>
        </w:rPr>
      </w:pPr>
      <w:r>
        <w:rPr>
          <w:rFonts w:ascii="Times New Roman" w:hAnsi="Times New Roman" w:cs="Times New Roman"/>
          <w:b/>
          <w:sz w:val="24"/>
          <w:szCs w:val="24"/>
        </w:rPr>
        <w:t xml:space="preserve">Antimicrobial susceptibility testing  </w:t>
      </w:r>
    </w:p>
    <w:p w14:paraId="3DCB7FFA"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Using the Kirby-Bauer disc diffusion procedure, antimicrobial susceptibility test was done using the following antibiotics: Ceftazidime (30ug), Ciprofloxacin (5ug), Gentamycin (10ug), Augumentin (30ug), Erythromycin (15ug), Amoxicillin (30ug). Choice of antibiotics was according to the CSLI guideline of 2013. Zones of inhibition were determined by measuring the size of the clear zones with a graduated ruler in millimeters and results of resistance (R) and susceptibility (S) were recorded to the central Laboratory Standard Institute (CSLI, 2013). The cultures were standardized by serially diluting with sterile normal saline to achieve a Mcfarland standard of 0.5 corresponding to a cell density of 1.5 8 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cfu/ml. Using a sterile </w:t>
      </w:r>
      <w:proofErr w:type="gramStart"/>
      <w:r>
        <w:rPr>
          <w:rFonts w:ascii="Times New Roman" w:hAnsi="Times New Roman" w:cs="Times New Roman"/>
          <w:sz w:val="24"/>
          <w:szCs w:val="24"/>
        </w:rPr>
        <w:t>swab,  Mueller</w:t>
      </w:r>
      <w:proofErr w:type="gramEnd"/>
      <w:r>
        <w:rPr>
          <w:rFonts w:ascii="Times New Roman" w:hAnsi="Times New Roman" w:cs="Times New Roman"/>
          <w:sz w:val="24"/>
          <w:szCs w:val="24"/>
        </w:rPr>
        <w:t xml:space="preserve"> Hinton agar was inoculated while the excess fluid was removed by pressing and rotating the swab against the side of the tube above the level of the suspension. The swab was then streaked evenly over the surface of the medium in three directions rotating the plate approximately at 60</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to ensure even distribution. With the Petri dish lid in place, the surface of the agar was left for 3-5 minutes to dry. Using sterile </w:t>
      </w:r>
      <w:proofErr w:type="gramStart"/>
      <w:r>
        <w:rPr>
          <w:rFonts w:ascii="Times New Roman" w:hAnsi="Times New Roman" w:cs="Times New Roman"/>
          <w:sz w:val="24"/>
          <w:szCs w:val="24"/>
        </w:rPr>
        <w:t>forceps</w:t>
      </w:r>
      <w:proofErr w:type="gramEnd"/>
      <w:r>
        <w:rPr>
          <w:rFonts w:ascii="Times New Roman" w:hAnsi="Times New Roman" w:cs="Times New Roman"/>
          <w:sz w:val="24"/>
          <w:szCs w:val="24"/>
        </w:rPr>
        <w:t xml:space="preserve"> the antimicrobial discs were placed on the inoculated plates. Within 30 minutes of applying the discs, the plates were inverted and incubated aerobicallyat 37</w:t>
      </w:r>
      <w:r>
        <w:rPr>
          <w:rFonts w:ascii="Times New Roman" w:hAnsi="Times New Roman" w:cs="Times New Roman"/>
          <w:sz w:val="24"/>
          <w:szCs w:val="24"/>
          <w:vertAlign w:val="superscript"/>
        </w:rPr>
        <w:t>0</w:t>
      </w:r>
      <w:r>
        <w:rPr>
          <w:rFonts w:ascii="Times New Roman" w:hAnsi="Times New Roman" w:cs="Times New Roman"/>
          <w:sz w:val="24"/>
          <w:szCs w:val="24"/>
        </w:rPr>
        <w:t>C for 24 hours. After overnight incubation the control and test plates were examined to ensure the growth is confluent or near confluent.</w:t>
      </w:r>
    </w:p>
    <w:p w14:paraId="42F97BAD"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 xml:space="preserve">Quality control </w:t>
      </w:r>
    </w:p>
    <w:p w14:paraId="780A7E3A"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Quality control was carried out on culture media, procedures, stains and reagents and in sample collection. All media were tested for sterility by overnight incubation at 370C in air and carbondioxide atmosphere. Differential and enriched media were tested for their performance (lactose fermentation and selectivity) by selective inoculation with designated species, McConkey agar was inoculated with </w:t>
      </w:r>
      <w:r>
        <w:rPr>
          <w:rFonts w:ascii="Times New Roman" w:hAnsi="Times New Roman" w:cs="Times New Roman"/>
          <w:i/>
          <w:sz w:val="24"/>
          <w:szCs w:val="24"/>
        </w:rPr>
        <w:t xml:space="preserve">Escherichia coli </w:t>
      </w:r>
      <w:r>
        <w:rPr>
          <w:rFonts w:ascii="Times New Roman" w:hAnsi="Times New Roman" w:cs="Times New Roman"/>
          <w:sz w:val="24"/>
          <w:szCs w:val="24"/>
        </w:rPr>
        <w:t>for fermentation, blood agar was</w:t>
      </w:r>
      <w:r>
        <w:rPr>
          <w:rFonts w:ascii="Times New Roman" w:hAnsi="Times New Roman" w:cs="Times New Roman"/>
          <w:i/>
          <w:sz w:val="24"/>
          <w:szCs w:val="24"/>
        </w:rPr>
        <w:t xml:space="preserve"> </w:t>
      </w:r>
      <w:r>
        <w:rPr>
          <w:rFonts w:ascii="Times New Roman" w:hAnsi="Times New Roman" w:cs="Times New Roman"/>
          <w:sz w:val="24"/>
          <w:szCs w:val="24"/>
        </w:rPr>
        <w:t>inoculated with</w:t>
      </w:r>
      <w:r>
        <w:rPr>
          <w:rFonts w:ascii="Times New Roman" w:hAnsi="Times New Roman" w:cs="Times New Roman"/>
          <w:i/>
          <w:sz w:val="24"/>
          <w:szCs w:val="24"/>
        </w:rPr>
        <w:t xml:space="preserve"> Streptococcus pyogenes </w:t>
      </w:r>
      <w:r>
        <w:rPr>
          <w:rFonts w:ascii="Times New Roman" w:hAnsi="Times New Roman" w:cs="Times New Roman"/>
          <w:sz w:val="24"/>
          <w:szCs w:val="24"/>
        </w:rPr>
        <w:t xml:space="preserve">for performance. Batches of swab sticks were also randomly tested for sterility by inoculation onto blood agar, chocolate agar, nutrient agar and incubated overnight at 370C in air and in CO2 atmosphere. Plates were examined the following day and the plates with no growth were certified suitable for use. Control organisms used for the antimicrobial susceptibiLity test were </w:t>
      </w:r>
      <w:r>
        <w:rPr>
          <w:rFonts w:ascii="Times New Roman" w:hAnsi="Times New Roman" w:cs="Times New Roman"/>
          <w:i/>
          <w:sz w:val="24"/>
          <w:szCs w:val="24"/>
        </w:rPr>
        <w:t>E. coli</w:t>
      </w:r>
      <w:r>
        <w:rPr>
          <w:rFonts w:ascii="Times New Roman" w:hAnsi="Times New Roman" w:cs="Times New Roman"/>
          <w:sz w:val="24"/>
          <w:szCs w:val="24"/>
        </w:rPr>
        <w:t xml:space="preserve"> ATCC 225922; </w:t>
      </w:r>
      <w:r>
        <w:rPr>
          <w:rFonts w:ascii="Times New Roman" w:hAnsi="Times New Roman" w:cs="Times New Roman"/>
          <w:i/>
          <w:sz w:val="24"/>
          <w:szCs w:val="24"/>
        </w:rPr>
        <w:t>S aureus</w:t>
      </w:r>
      <w:r>
        <w:rPr>
          <w:rFonts w:ascii="Times New Roman" w:hAnsi="Times New Roman" w:cs="Times New Roman"/>
          <w:sz w:val="24"/>
          <w:szCs w:val="24"/>
        </w:rPr>
        <w:t xml:space="preserve"> ATCC 25923; and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aeruginosa</w:t>
      </w:r>
      <w:r>
        <w:rPr>
          <w:rFonts w:ascii="Times New Roman" w:hAnsi="Times New Roman" w:cs="Times New Roman"/>
          <w:sz w:val="24"/>
          <w:szCs w:val="24"/>
        </w:rPr>
        <w:t xml:space="preserve"> ATCC 27853.</w:t>
      </w:r>
    </w:p>
    <w:p w14:paraId="459963DE"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Result</w:t>
      </w:r>
    </w:p>
    <w:p w14:paraId="28990B99"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in relation to sex</w:t>
      </w:r>
    </w:p>
    <w:p w14:paraId="125EBF28"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115 burn wound samples were collected and analyzed, comprising 65 male patients (56.52%) and 50 female patients (43.48%). The distribution of isolates according to sex revealed a higher incidence of bacterial infection among male patients compared to females.</w:t>
      </w:r>
    </w:p>
    <w:p w14:paraId="57D81B73" w14:textId="437CD42E"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 showing percentage sex distribution of burn wound isolates</w:t>
      </w:r>
    </w:p>
    <w:tbl>
      <w:tblPr>
        <w:tblW w:w="4965" w:type="dxa"/>
        <w:tblBorders>
          <w:top w:val="single" w:sz="4" w:space="0" w:color="auto"/>
          <w:bottom w:val="single" w:sz="4" w:space="0" w:color="auto"/>
        </w:tblBorders>
        <w:tblLook w:val="04A0" w:firstRow="1" w:lastRow="0" w:firstColumn="1" w:lastColumn="0" w:noHBand="0" w:noVBand="1"/>
      </w:tblPr>
      <w:tblGrid>
        <w:gridCol w:w="990"/>
        <w:gridCol w:w="2320"/>
        <w:gridCol w:w="1655"/>
      </w:tblGrid>
      <w:tr w:rsidR="004B1C1B" w14:paraId="53799D10" w14:textId="77777777">
        <w:trPr>
          <w:trHeight w:val="396"/>
        </w:trPr>
        <w:tc>
          <w:tcPr>
            <w:tcW w:w="906" w:type="dxa"/>
            <w:tcBorders>
              <w:top w:val="single" w:sz="4" w:space="0" w:color="auto"/>
              <w:bottom w:val="single" w:sz="4" w:space="0" w:color="auto"/>
            </w:tcBorders>
            <w:hideMark/>
          </w:tcPr>
          <w:p w14:paraId="18A1F447"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Gender</w:t>
            </w:r>
          </w:p>
        </w:tc>
        <w:tc>
          <w:tcPr>
            <w:tcW w:w="2320" w:type="dxa"/>
            <w:tcBorders>
              <w:top w:val="single" w:sz="4" w:space="0" w:color="auto"/>
              <w:bottom w:val="single" w:sz="4" w:space="0" w:color="auto"/>
            </w:tcBorders>
            <w:hideMark/>
          </w:tcPr>
          <w:p w14:paraId="1825180B"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Patients</w:t>
            </w:r>
          </w:p>
        </w:tc>
        <w:tc>
          <w:tcPr>
            <w:tcW w:w="0" w:type="auto"/>
            <w:tcBorders>
              <w:top w:val="single" w:sz="4" w:space="0" w:color="auto"/>
              <w:bottom w:val="single" w:sz="4" w:space="0" w:color="auto"/>
            </w:tcBorders>
            <w:hideMark/>
          </w:tcPr>
          <w:p w14:paraId="62182613"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3993BD2B" w14:textId="77777777">
        <w:trPr>
          <w:trHeight w:val="363"/>
        </w:trPr>
        <w:tc>
          <w:tcPr>
            <w:tcW w:w="906" w:type="dxa"/>
            <w:tcBorders>
              <w:top w:val="single" w:sz="4" w:space="0" w:color="auto"/>
            </w:tcBorders>
            <w:hideMark/>
          </w:tcPr>
          <w:p w14:paraId="7B8B59C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320" w:type="dxa"/>
            <w:tcBorders>
              <w:top w:val="single" w:sz="4" w:space="0" w:color="auto"/>
            </w:tcBorders>
            <w:hideMark/>
          </w:tcPr>
          <w:p w14:paraId="2C0142B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tcBorders>
              <w:top w:val="single" w:sz="4" w:space="0" w:color="auto"/>
            </w:tcBorders>
            <w:hideMark/>
          </w:tcPr>
          <w:p w14:paraId="47699C0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56.52</w:t>
            </w:r>
          </w:p>
        </w:tc>
      </w:tr>
      <w:tr w:rsidR="004B1C1B" w14:paraId="77B49E66" w14:textId="77777777">
        <w:trPr>
          <w:trHeight w:val="363"/>
        </w:trPr>
        <w:tc>
          <w:tcPr>
            <w:tcW w:w="906" w:type="dxa"/>
            <w:hideMark/>
          </w:tcPr>
          <w:p w14:paraId="73CCE16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20" w:type="dxa"/>
            <w:hideMark/>
          </w:tcPr>
          <w:p w14:paraId="15F1056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14:paraId="5A688B4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43.48</w:t>
            </w:r>
          </w:p>
        </w:tc>
      </w:tr>
      <w:tr w:rsidR="004B1C1B" w14:paraId="2EE97C82" w14:textId="77777777">
        <w:trPr>
          <w:trHeight w:val="379"/>
        </w:trPr>
        <w:tc>
          <w:tcPr>
            <w:tcW w:w="906" w:type="dxa"/>
            <w:hideMark/>
          </w:tcPr>
          <w:p w14:paraId="672DAD4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2320" w:type="dxa"/>
            <w:hideMark/>
          </w:tcPr>
          <w:p w14:paraId="5E5E8C1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p>
        </w:tc>
        <w:tc>
          <w:tcPr>
            <w:tcW w:w="0" w:type="auto"/>
            <w:hideMark/>
          </w:tcPr>
          <w:p w14:paraId="6C31006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4E5A6244"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in relation to Age</w:t>
      </w:r>
    </w:p>
    <w:p w14:paraId="7C7898C6"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were grouped into age brackets. The age groups 20–28 (30), 29–37 (32), and 38–46 (28) recorded the highest number of isolates, suggesting a higher susceptibility or exposure rate among these age categories.</w:t>
      </w:r>
    </w:p>
    <w:p w14:paraId="3989EE79" w14:textId="2EBE074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 Age Distribution of Patients and Number of Isolates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2247"/>
        <w:gridCol w:w="1668"/>
      </w:tblGrid>
      <w:tr w:rsidR="004B1C1B" w14:paraId="6FF1A594" w14:textId="77777777">
        <w:trPr>
          <w:tblHeader/>
          <w:tblCellSpacing w:w="15" w:type="dxa"/>
        </w:trPr>
        <w:tc>
          <w:tcPr>
            <w:tcW w:w="0" w:type="auto"/>
            <w:tcBorders>
              <w:top w:val="single" w:sz="4" w:space="0" w:color="auto"/>
              <w:bottom w:val="single" w:sz="4" w:space="0" w:color="auto"/>
            </w:tcBorders>
            <w:vAlign w:val="center"/>
            <w:hideMark/>
          </w:tcPr>
          <w:p w14:paraId="7B8E6C40"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Age Bracket (Years)</w:t>
            </w:r>
          </w:p>
        </w:tc>
        <w:tc>
          <w:tcPr>
            <w:tcW w:w="0" w:type="auto"/>
            <w:tcBorders>
              <w:top w:val="single" w:sz="4" w:space="0" w:color="auto"/>
              <w:bottom w:val="single" w:sz="4" w:space="0" w:color="auto"/>
            </w:tcBorders>
            <w:vAlign w:val="center"/>
            <w:hideMark/>
          </w:tcPr>
          <w:p w14:paraId="21DBBA5A"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of Isolates</w:t>
            </w:r>
          </w:p>
        </w:tc>
        <w:tc>
          <w:tcPr>
            <w:tcW w:w="0" w:type="auto"/>
            <w:tcBorders>
              <w:top w:val="single" w:sz="4" w:space="0" w:color="auto"/>
              <w:bottom w:val="single" w:sz="4" w:space="0" w:color="auto"/>
            </w:tcBorders>
            <w:vAlign w:val="center"/>
            <w:hideMark/>
          </w:tcPr>
          <w:p w14:paraId="0588E624"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3F7BE4B9" w14:textId="77777777">
        <w:trPr>
          <w:tblCellSpacing w:w="15" w:type="dxa"/>
        </w:trPr>
        <w:tc>
          <w:tcPr>
            <w:tcW w:w="0" w:type="auto"/>
            <w:vAlign w:val="center"/>
            <w:hideMark/>
          </w:tcPr>
          <w:p w14:paraId="246A08F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hideMark/>
          </w:tcPr>
          <w:p w14:paraId="12E5C7D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hideMark/>
          </w:tcPr>
          <w:p w14:paraId="1431399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r>
      <w:tr w:rsidR="004B1C1B" w14:paraId="11476884" w14:textId="77777777">
        <w:trPr>
          <w:tblCellSpacing w:w="15" w:type="dxa"/>
        </w:trPr>
        <w:tc>
          <w:tcPr>
            <w:tcW w:w="0" w:type="auto"/>
            <w:vAlign w:val="center"/>
            <w:hideMark/>
          </w:tcPr>
          <w:p w14:paraId="0F0258E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10–19</w:t>
            </w:r>
          </w:p>
        </w:tc>
        <w:tc>
          <w:tcPr>
            <w:tcW w:w="0" w:type="auto"/>
            <w:vAlign w:val="center"/>
            <w:hideMark/>
          </w:tcPr>
          <w:p w14:paraId="6818C17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14:paraId="18C323F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4B1C1B" w14:paraId="5A5F8ACB" w14:textId="77777777">
        <w:trPr>
          <w:tblCellSpacing w:w="15" w:type="dxa"/>
        </w:trPr>
        <w:tc>
          <w:tcPr>
            <w:tcW w:w="0" w:type="auto"/>
            <w:vAlign w:val="center"/>
            <w:hideMark/>
          </w:tcPr>
          <w:p w14:paraId="7B8142C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0" w:type="auto"/>
            <w:vAlign w:val="center"/>
            <w:hideMark/>
          </w:tcPr>
          <w:p w14:paraId="28EAC5C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vAlign w:val="center"/>
            <w:hideMark/>
          </w:tcPr>
          <w:p w14:paraId="51B2FB4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p>
        </w:tc>
      </w:tr>
      <w:tr w:rsidR="004B1C1B" w14:paraId="5932D607" w14:textId="77777777">
        <w:trPr>
          <w:tblCellSpacing w:w="15" w:type="dxa"/>
        </w:trPr>
        <w:tc>
          <w:tcPr>
            <w:tcW w:w="0" w:type="auto"/>
            <w:vAlign w:val="center"/>
            <w:hideMark/>
          </w:tcPr>
          <w:p w14:paraId="1E5C751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0" w:type="auto"/>
            <w:vAlign w:val="center"/>
            <w:hideMark/>
          </w:tcPr>
          <w:p w14:paraId="5C041FE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vAlign w:val="center"/>
            <w:hideMark/>
          </w:tcPr>
          <w:p w14:paraId="254813F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23.70</w:t>
            </w:r>
          </w:p>
        </w:tc>
      </w:tr>
      <w:tr w:rsidR="004B1C1B" w14:paraId="73818CDE" w14:textId="77777777">
        <w:trPr>
          <w:tblCellSpacing w:w="15" w:type="dxa"/>
        </w:trPr>
        <w:tc>
          <w:tcPr>
            <w:tcW w:w="0" w:type="auto"/>
            <w:vAlign w:val="center"/>
            <w:hideMark/>
          </w:tcPr>
          <w:p w14:paraId="0E49A89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38–46</w:t>
            </w:r>
          </w:p>
        </w:tc>
        <w:tc>
          <w:tcPr>
            <w:tcW w:w="0" w:type="auto"/>
            <w:vAlign w:val="center"/>
            <w:hideMark/>
          </w:tcPr>
          <w:p w14:paraId="3AD50E0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vAlign w:val="center"/>
            <w:hideMark/>
          </w:tcPr>
          <w:p w14:paraId="1A8821B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20.74</w:t>
            </w:r>
          </w:p>
        </w:tc>
      </w:tr>
      <w:tr w:rsidR="004B1C1B" w14:paraId="7C692507" w14:textId="77777777">
        <w:trPr>
          <w:tblCellSpacing w:w="15" w:type="dxa"/>
        </w:trPr>
        <w:tc>
          <w:tcPr>
            <w:tcW w:w="0" w:type="auto"/>
            <w:vAlign w:val="center"/>
            <w:hideMark/>
          </w:tcPr>
          <w:p w14:paraId="4C060D5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47–55</w:t>
            </w:r>
          </w:p>
        </w:tc>
        <w:tc>
          <w:tcPr>
            <w:tcW w:w="0" w:type="auto"/>
            <w:vAlign w:val="center"/>
            <w:hideMark/>
          </w:tcPr>
          <w:p w14:paraId="1F3BBE9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hideMark/>
          </w:tcPr>
          <w:p w14:paraId="520A9E5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r>
      <w:tr w:rsidR="004B1C1B" w14:paraId="10BD4570" w14:textId="77777777">
        <w:trPr>
          <w:tblCellSpacing w:w="15" w:type="dxa"/>
        </w:trPr>
        <w:tc>
          <w:tcPr>
            <w:tcW w:w="0" w:type="auto"/>
            <w:vAlign w:val="center"/>
            <w:hideMark/>
          </w:tcPr>
          <w:p w14:paraId="68BE6AF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and above</w:t>
            </w:r>
          </w:p>
        </w:tc>
        <w:tc>
          <w:tcPr>
            <w:tcW w:w="0" w:type="auto"/>
            <w:vAlign w:val="center"/>
            <w:hideMark/>
          </w:tcPr>
          <w:p w14:paraId="6C195A8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vAlign w:val="center"/>
            <w:hideMark/>
          </w:tcPr>
          <w:p w14:paraId="23B2784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B1C1B" w14:paraId="187FE361" w14:textId="77777777">
        <w:trPr>
          <w:tblCellSpacing w:w="15" w:type="dxa"/>
        </w:trPr>
        <w:tc>
          <w:tcPr>
            <w:tcW w:w="0" w:type="auto"/>
            <w:vAlign w:val="center"/>
            <w:hideMark/>
          </w:tcPr>
          <w:p w14:paraId="481DA70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hideMark/>
          </w:tcPr>
          <w:p w14:paraId="349D095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135</w:t>
            </w:r>
          </w:p>
        </w:tc>
        <w:tc>
          <w:tcPr>
            <w:tcW w:w="0" w:type="auto"/>
            <w:vAlign w:val="center"/>
            <w:hideMark/>
          </w:tcPr>
          <w:p w14:paraId="077B192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7D42B249"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of Aerobic and facultative organisms in burn wounds</w:t>
      </w:r>
    </w:p>
    <w:p w14:paraId="02BEA79D"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 total of 135 bacterial organisms were isolated from the 115 samples. The most frequently isolated organism was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(33.33%), followed by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(25.93%),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sz w:val="24"/>
          <w:szCs w:val="24"/>
        </w:rPr>
        <w:t xml:space="preserve"> (16.30%), and others.</w:t>
      </w:r>
    </w:p>
    <w:p w14:paraId="6730E6B5" w14:textId="260A46FE"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 Frequency and Percentage of Isolated Bacteria</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1154"/>
        <w:gridCol w:w="1668"/>
      </w:tblGrid>
      <w:tr w:rsidR="004B1C1B" w14:paraId="6DF5D5FB" w14:textId="77777777">
        <w:trPr>
          <w:tblHeader/>
          <w:tblCellSpacing w:w="15" w:type="dxa"/>
        </w:trPr>
        <w:tc>
          <w:tcPr>
            <w:tcW w:w="0" w:type="auto"/>
            <w:tcBorders>
              <w:top w:val="single" w:sz="4" w:space="0" w:color="auto"/>
              <w:bottom w:val="single" w:sz="4" w:space="0" w:color="auto"/>
            </w:tcBorders>
            <w:vAlign w:val="center"/>
            <w:hideMark/>
          </w:tcPr>
          <w:p w14:paraId="5A0FA232"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Bacterial Isolate</w:t>
            </w:r>
          </w:p>
        </w:tc>
        <w:tc>
          <w:tcPr>
            <w:tcW w:w="0" w:type="auto"/>
            <w:tcBorders>
              <w:top w:val="single" w:sz="4" w:space="0" w:color="auto"/>
              <w:bottom w:val="single" w:sz="4" w:space="0" w:color="auto"/>
            </w:tcBorders>
            <w:vAlign w:val="center"/>
            <w:hideMark/>
          </w:tcPr>
          <w:p w14:paraId="24CE2CFC"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14A08AB4"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4AF3D9E3" w14:textId="77777777">
        <w:trPr>
          <w:tblCellSpacing w:w="15" w:type="dxa"/>
        </w:trPr>
        <w:tc>
          <w:tcPr>
            <w:tcW w:w="0" w:type="auto"/>
            <w:vAlign w:val="center"/>
            <w:hideMark/>
          </w:tcPr>
          <w:p w14:paraId="0B1F000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Staphylococcus aureus</w:t>
            </w:r>
          </w:p>
        </w:tc>
        <w:tc>
          <w:tcPr>
            <w:tcW w:w="0" w:type="auto"/>
            <w:vAlign w:val="center"/>
            <w:hideMark/>
          </w:tcPr>
          <w:p w14:paraId="3F512AD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vAlign w:val="center"/>
            <w:hideMark/>
          </w:tcPr>
          <w:p w14:paraId="27E6591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r w:rsidR="004B1C1B" w14:paraId="4EE934FD" w14:textId="77777777">
        <w:trPr>
          <w:tblCellSpacing w:w="15" w:type="dxa"/>
        </w:trPr>
        <w:tc>
          <w:tcPr>
            <w:tcW w:w="0" w:type="auto"/>
            <w:vAlign w:val="center"/>
            <w:hideMark/>
          </w:tcPr>
          <w:p w14:paraId="07FAA4D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Pseudomonas aeruginosa</w:t>
            </w:r>
          </w:p>
        </w:tc>
        <w:tc>
          <w:tcPr>
            <w:tcW w:w="0" w:type="auto"/>
            <w:vAlign w:val="center"/>
            <w:hideMark/>
          </w:tcPr>
          <w:p w14:paraId="3592C1F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vAlign w:val="center"/>
            <w:hideMark/>
          </w:tcPr>
          <w:p w14:paraId="5A28163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25.93</w:t>
            </w:r>
          </w:p>
        </w:tc>
      </w:tr>
      <w:tr w:rsidR="004B1C1B" w14:paraId="6D0496A5" w14:textId="77777777">
        <w:trPr>
          <w:tblCellSpacing w:w="15" w:type="dxa"/>
        </w:trPr>
        <w:tc>
          <w:tcPr>
            <w:tcW w:w="0" w:type="auto"/>
            <w:vAlign w:val="center"/>
            <w:hideMark/>
          </w:tcPr>
          <w:p w14:paraId="63A2B52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Klebsiella pneumoniae</w:t>
            </w:r>
          </w:p>
        </w:tc>
        <w:tc>
          <w:tcPr>
            <w:tcW w:w="0" w:type="auto"/>
            <w:vAlign w:val="center"/>
            <w:hideMark/>
          </w:tcPr>
          <w:p w14:paraId="740CCB4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vAlign w:val="center"/>
            <w:hideMark/>
          </w:tcPr>
          <w:p w14:paraId="29DF0D0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16.30</w:t>
            </w:r>
          </w:p>
        </w:tc>
      </w:tr>
      <w:tr w:rsidR="004B1C1B" w14:paraId="54021964" w14:textId="77777777">
        <w:trPr>
          <w:tblCellSpacing w:w="15" w:type="dxa"/>
        </w:trPr>
        <w:tc>
          <w:tcPr>
            <w:tcW w:w="0" w:type="auto"/>
            <w:vAlign w:val="center"/>
            <w:hideMark/>
          </w:tcPr>
          <w:p w14:paraId="6414197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Proteus mirabilis</w:t>
            </w:r>
          </w:p>
        </w:tc>
        <w:tc>
          <w:tcPr>
            <w:tcW w:w="0" w:type="auto"/>
            <w:vAlign w:val="center"/>
            <w:hideMark/>
          </w:tcPr>
          <w:p w14:paraId="72230A0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14:paraId="4543C5A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4B1C1B" w14:paraId="6063CDC3" w14:textId="77777777">
        <w:trPr>
          <w:tblCellSpacing w:w="15" w:type="dxa"/>
        </w:trPr>
        <w:tc>
          <w:tcPr>
            <w:tcW w:w="0" w:type="auto"/>
            <w:vAlign w:val="center"/>
            <w:hideMark/>
          </w:tcPr>
          <w:p w14:paraId="6F94F1F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Escherichia coli</w:t>
            </w:r>
          </w:p>
        </w:tc>
        <w:tc>
          <w:tcPr>
            <w:tcW w:w="0" w:type="auto"/>
            <w:vAlign w:val="center"/>
            <w:hideMark/>
          </w:tcPr>
          <w:p w14:paraId="4014368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vAlign w:val="center"/>
            <w:hideMark/>
          </w:tcPr>
          <w:p w14:paraId="627C94C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4B1C1B" w14:paraId="653277D7" w14:textId="77777777">
        <w:trPr>
          <w:tblCellSpacing w:w="15" w:type="dxa"/>
        </w:trPr>
        <w:tc>
          <w:tcPr>
            <w:tcW w:w="0" w:type="auto"/>
            <w:vAlign w:val="center"/>
            <w:hideMark/>
          </w:tcPr>
          <w:p w14:paraId="6FD9924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Staphylococcus epidermidis</w:t>
            </w:r>
          </w:p>
        </w:tc>
        <w:tc>
          <w:tcPr>
            <w:tcW w:w="0" w:type="auto"/>
            <w:vAlign w:val="center"/>
            <w:hideMark/>
          </w:tcPr>
          <w:p w14:paraId="08CD588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hideMark/>
          </w:tcPr>
          <w:p w14:paraId="48C914D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4B1C1B" w14:paraId="2B46C5EA" w14:textId="77777777">
        <w:trPr>
          <w:tblCellSpacing w:w="15" w:type="dxa"/>
        </w:trPr>
        <w:tc>
          <w:tcPr>
            <w:tcW w:w="0" w:type="auto"/>
            <w:vAlign w:val="center"/>
            <w:hideMark/>
          </w:tcPr>
          <w:p w14:paraId="5C2C623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Beta-haemolytic Streptococcus</w:t>
            </w:r>
          </w:p>
        </w:tc>
        <w:tc>
          <w:tcPr>
            <w:tcW w:w="0" w:type="auto"/>
            <w:vAlign w:val="center"/>
            <w:hideMark/>
          </w:tcPr>
          <w:p w14:paraId="2DC10CD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621719D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4B1C1B" w14:paraId="15B5016C" w14:textId="77777777">
        <w:trPr>
          <w:tblCellSpacing w:w="15" w:type="dxa"/>
        </w:trPr>
        <w:tc>
          <w:tcPr>
            <w:tcW w:w="0" w:type="auto"/>
            <w:tcBorders>
              <w:bottom w:val="single" w:sz="4" w:space="0" w:color="auto"/>
            </w:tcBorders>
            <w:vAlign w:val="center"/>
            <w:hideMark/>
          </w:tcPr>
          <w:p w14:paraId="55236B1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4ACF227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135</w:t>
            </w:r>
          </w:p>
        </w:tc>
        <w:tc>
          <w:tcPr>
            <w:tcW w:w="0" w:type="auto"/>
            <w:tcBorders>
              <w:bottom w:val="single" w:sz="4" w:space="0" w:color="auto"/>
            </w:tcBorders>
            <w:vAlign w:val="center"/>
            <w:hideMark/>
          </w:tcPr>
          <w:p w14:paraId="076A57B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5C044734"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Distribution of Bacterial Isolates in Relation to Gender</w:t>
      </w:r>
    </w:p>
    <w:p w14:paraId="2B2C6DDC"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Analysis of the bacterial isolates showed that male patients had a higher number of isolates (81; 60%) compared to female patients (54; 40%).</w:t>
      </w:r>
    </w:p>
    <w:p w14:paraId="627F4DD6" w14:textId="290740B2" w:rsidR="004B1C1B" w:rsidRDefault="00F216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 Distribution of Bacterial Isolates by Gender</w:t>
      </w:r>
      <w:r>
        <w:rPr>
          <w:rFonts w:ascii="Times New Roman" w:eastAsia="Times New Roman" w:hAnsi="Times New Roman" w:cs="Times New Roman"/>
          <w:sz w:val="24"/>
          <w:szCs w:val="24"/>
        </w:rPr>
        <w:br/>
      </w:r>
      <w:r>
        <w:rPr>
          <w:rFonts w:ascii="Times New Roman" w:hAnsi="Times New Roman" w:cs="Times New Roman"/>
          <w:noProof/>
          <w:sz w:val="24"/>
          <w:szCs w:val="24"/>
        </w:rPr>
        <w:drawing>
          <wp:inline distT="0" distB="0" distL="114300" distR="114300" wp14:anchorId="734A6940" wp14:editId="08B4ACB9">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D9FE6E"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Antibiotic Susceptibility Profile of Isolate</w:t>
      </w:r>
    </w:p>
    <w:p w14:paraId="6E02AD2E"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antimicrobial susceptibility test showed that </w:t>
      </w:r>
      <w:r>
        <w:rPr>
          <w:rFonts w:ascii="Times New Roman" w:eastAsia="Times New Roman" w:hAnsi="Times New Roman" w:cs="Times New Roman"/>
          <w:i/>
          <w:iCs/>
          <w:sz w:val="24"/>
          <w:szCs w:val="24"/>
        </w:rPr>
        <w:t>Ceftazidime</w:t>
      </w:r>
      <w:r>
        <w:rPr>
          <w:rFonts w:ascii="Times New Roman" w:eastAsia="Times New Roman" w:hAnsi="Times New Roman" w:cs="Times New Roman"/>
          <w:sz w:val="24"/>
          <w:szCs w:val="24"/>
        </w:rPr>
        <w:t xml:space="preserve"> exhibited the highest efficacy (73.1%) against the isolates, followed by </w:t>
      </w:r>
      <w:r>
        <w:rPr>
          <w:rFonts w:ascii="Times New Roman" w:eastAsia="Times New Roman" w:hAnsi="Times New Roman" w:cs="Times New Roman"/>
          <w:i/>
          <w:iCs/>
          <w:sz w:val="24"/>
          <w:szCs w:val="24"/>
        </w:rPr>
        <w:t>Ciprofloxacin</w:t>
      </w:r>
      <w:r>
        <w:rPr>
          <w:rFonts w:ascii="Times New Roman" w:eastAsia="Times New Roman" w:hAnsi="Times New Roman" w:cs="Times New Roman"/>
          <w:sz w:val="24"/>
          <w:szCs w:val="24"/>
        </w:rPr>
        <w:t xml:space="preserve"> (68.5%).</w:t>
      </w:r>
    </w:p>
    <w:p w14:paraId="77BABB23" w14:textId="355C4CA0"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 Antibiotic Susceptibility Profile of Isolates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2974"/>
        <w:gridCol w:w="1668"/>
      </w:tblGrid>
      <w:tr w:rsidR="004B1C1B" w14:paraId="1D79C9FA" w14:textId="77777777">
        <w:trPr>
          <w:tblHeader/>
          <w:tblCellSpacing w:w="15" w:type="dxa"/>
        </w:trPr>
        <w:tc>
          <w:tcPr>
            <w:tcW w:w="0" w:type="auto"/>
            <w:tcBorders>
              <w:top w:val="single" w:sz="4" w:space="0" w:color="auto"/>
              <w:bottom w:val="single" w:sz="4" w:space="0" w:color="auto"/>
            </w:tcBorders>
            <w:vAlign w:val="center"/>
            <w:hideMark/>
          </w:tcPr>
          <w:p w14:paraId="51AA3077"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Antibiotic</w:t>
            </w:r>
          </w:p>
        </w:tc>
        <w:tc>
          <w:tcPr>
            <w:tcW w:w="0" w:type="auto"/>
            <w:tcBorders>
              <w:top w:val="single" w:sz="4" w:space="0" w:color="auto"/>
              <w:bottom w:val="single" w:sz="4" w:space="0" w:color="auto"/>
            </w:tcBorders>
            <w:vAlign w:val="center"/>
            <w:hideMark/>
          </w:tcPr>
          <w:p w14:paraId="09121DB9"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Sensitive Isolates</w:t>
            </w:r>
          </w:p>
        </w:tc>
        <w:tc>
          <w:tcPr>
            <w:tcW w:w="0" w:type="auto"/>
            <w:tcBorders>
              <w:top w:val="single" w:sz="4" w:space="0" w:color="auto"/>
              <w:bottom w:val="single" w:sz="4" w:space="0" w:color="auto"/>
            </w:tcBorders>
            <w:vAlign w:val="center"/>
            <w:hideMark/>
          </w:tcPr>
          <w:p w14:paraId="170B098B"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1CBB2E3A" w14:textId="77777777">
        <w:trPr>
          <w:tblCellSpacing w:w="15" w:type="dxa"/>
        </w:trPr>
        <w:tc>
          <w:tcPr>
            <w:tcW w:w="0" w:type="auto"/>
            <w:vAlign w:val="center"/>
            <w:hideMark/>
          </w:tcPr>
          <w:p w14:paraId="6446434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Ceftazidime</w:t>
            </w:r>
          </w:p>
        </w:tc>
        <w:tc>
          <w:tcPr>
            <w:tcW w:w="0" w:type="auto"/>
            <w:vAlign w:val="center"/>
            <w:hideMark/>
          </w:tcPr>
          <w:p w14:paraId="7690C5C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0" w:type="auto"/>
            <w:vAlign w:val="center"/>
            <w:hideMark/>
          </w:tcPr>
          <w:p w14:paraId="2AFF3C5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r>
      <w:tr w:rsidR="004B1C1B" w14:paraId="57A3DD1C" w14:textId="77777777">
        <w:trPr>
          <w:tblCellSpacing w:w="15" w:type="dxa"/>
        </w:trPr>
        <w:tc>
          <w:tcPr>
            <w:tcW w:w="0" w:type="auto"/>
            <w:vAlign w:val="center"/>
            <w:hideMark/>
          </w:tcPr>
          <w:p w14:paraId="53E91F4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Ciprofloxacin</w:t>
            </w:r>
          </w:p>
        </w:tc>
        <w:tc>
          <w:tcPr>
            <w:tcW w:w="0" w:type="auto"/>
            <w:vAlign w:val="center"/>
            <w:hideMark/>
          </w:tcPr>
          <w:p w14:paraId="3161566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0" w:type="auto"/>
            <w:vAlign w:val="center"/>
            <w:hideMark/>
          </w:tcPr>
          <w:p w14:paraId="7E3BCFE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68.50</w:t>
            </w:r>
          </w:p>
        </w:tc>
      </w:tr>
      <w:tr w:rsidR="004B1C1B" w14:paraId="59686D3F" w14:textId="77777777">
        <w:trPr>
          <w:tblCellSpacing w:w="15" w:type="dxa"/>
        </w:trPr>
        <w:tc>
          <w:tcPr>
            <w:tcW w:w="0" w:type="auto"/>
            <w:vAlign w:val="center"/>
            <w:hideMark/>
          </w:tcPr>
          <w:p w14:paraId="44664F5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Gentamicin</w:t>
            </w:r>
          </w:p>
        </w:tc>
        <w:tc>
          <w:tcPr>
            <w:tcW w:w="0" w:type="auto"/>
            <w:vAlign w:val="center"/>
            <w:hideMark/>
          </w:tcPr>
          <w:p w14:paraId="23FDAF9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hideMark/>
          </w:tcPr>
          <w:p w14:paraId="5646138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51.85</w:t>
            </w:r>
          </w:p>
        </w:tc>
      </w:tr>
      <w:tr w:rsidR="004B1C1B" w14:paraId="3E69BD7F" w14:textId="77777777">
        <w:trPr>
          <w:tblCellSpacing w:w="15" w:type="dxa"/>
        </w:trPr>
        <w:tc>
          <w:tcPr>
            <w:tcW w:w="0" w:type="auto"/>
            <w:vAlign w:val="center"/>
            <w:hideMark/>
          </w:tcPr>
          <w:p w14:paraId="1633FB1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Amoxicillin-Clavulanic Acid</w:t>
            </w:r>
          </w:p>
        </w:tc>
        <w:tc>
          <w:tcPr>
            <w:tcW w:w="0" w:type="auto"/>
            <w:vAlign w:val="center"/>
            <w:hideMark/>
          </w:tcPr>
          <w:p w14:paraId="6334FFE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vAlign w:val="center"/>
            <w:hideMark/>
          </w:tcPr>
          <w:p w14:paraId="0349B9C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39.26</w:t>
            </w:r>
          </w:p>
        </w:tc>
      </w:tr>
      <w:tr w:rsidR="004B1C1B" w14:paraId="1006DDFB" w14:textId="77777777">
        <w:trPr>
          <w:tblCellSpacing w:w="15" w:type="dxa"/>
        </w:trPr>
        <w:tc>
          <w:tcPr>
            <w:tcW w:w="0" w:type="auto"/>
            <w:vAlign w:val="center"/>
            <w:hideMark/>
          </w:tcPr>
          <w:p w14:paraId="79978AA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Cefuroxime</w:t>
            </w:r>
          </w:p>
        </w:tc>
        <w:tc>
          <w:tcPr>
            <w:tcW w:w="0" w:type="auto"/>
            <w:vAlign w:val="center"/>
            <w:hideMark/>
          </w:tcPr>
          <w:p w14:paraId="45B0020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0" w:type="auto"/>
            <w:vAlign w:val="center"/>
            <w:hideMark/>
          </w:tcPr>
          <w:p w14:paraId="0C4A0DF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30.37</w:t>
            </w:r>
          </w:p>
        </w:tc>
      </w:tr>
      <w:tr w:rsidR="004B1C1B" w14:paraId="544BB89F" w14:textId="77777777">
        <w:trPr>
          <w:tblCellSpacing w:w="15" w:type="dxa"/>
        </w:trPr>
        <w:tc>
          <w:tcPr>
            <w:tcW w:w="0" w:type="auto"/>
            <w:vAlign w:val="center"/>
            <w:hideMark/>
          </w:tcPr>
          <w:p w14:paraId="727E957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Erythromycin</w:t>
            </w:r>
          </w:p>
        </w:tc>
        <w:tc>
          <w:tcPr>
            <w:tcW w:w="0" w:type="auto"/>
            <w:vAlign w:val="center"/>
            <w:hideMark/>
          </w:tcPr>
          <w:p w14:paraId="7D38C14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vAlign w:val="center"/>
            <w:hideMark/>
          </w:tcPr>
          <w:p w14:paraId="055CCDB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28.15</w:t>
            </w:r>
          </w:p>
        </w:tc>
      </w:tr>
    </w:tbl>
    <w:p w14:paraId="77F683E0" w14:textId="77777777" w:rsidR="004B1C1B" w:rsidRDefault="004B1C1B">
      <w:pPr>
        <w:tabs>
          <w:tab w:val="left" w:pos="5140"/>
        </w:tabs>
        <w:jc w:val="both"/>
        <w:rPr>
          <w:rFonts w:ascii="Times New Roman" w:hAnsi="Times New Roman" w:cs="Times New Roman"/>
          <w:b/>
          <w:sz w:val="24"/>
          <w:szCs w:val="24"/>
        </w:rPr>
      </w:pPr>
    </w:p>
    <w:p w14:paraId="472E1997" w14:textId="77777777" w:rsidR="004B1C1B" w:rsidRDefault="004B1C1B">
      <w:pPr>
        <w:tabs>
          <w:tab w:val="left" w:pos="5140"/>
        </w:tabs>
        <w:jc w:val="both"/>
        <w:rPr>
          <w:rFonts w:ascii="Times New Roman" w:hAnsi="Times New Roman" w:cs="Times New Roman"/>
          <w:b/>
          <w:sz w:val="24"/>
          <w:szCs w:val="24"/>
        </w:rPr>
      </w:pPr>
    </w:p>
    <w:p w14:paraId="4E98A161"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Discussion</w:t>
      </w:r>
    </w:p>
    <w:p w14:paraId="5073D2D0"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 injuries remain one of the most devastating forms of trauma, with consequences ranging from tissue necrosis to life-threatening systemic infections. The findings of this study confirm the </w:t>
      </w:r>
      <w:r>
        <w:rPr>
          <w:rFonts w:ascii="Times New Roman" w:eastAsia="Times New Roman" w:hAnsi="Times New Roman" w:cs="Times New Roman"/>
          <w:sz w:val="24"/>
          <w:szCs w:val="24"/>
        </w:rPr>
        <w:lastRenderedPageBreak/>
        <w:t>observations of Church et al. (2016) and Adeyemi and Udo (2019) that the severity of burn injuries whether partial or full thickness predisposes patients to infection due to loss of skin integrity, destruction of tissue, and immunosuppression. As previously documented by Vinaik et al. (2019), the presence of necrotic tissue, reduced blood flow to affected areas, and impaired immune responses (especially neutrophil function) collectively create an ideal environment for microbial colonization. The results of this study reinforce these claims, as all 115 wound samples collected yielded bacterial growth, with a total of 135 isolates indicating a high rate of polymicrobial infection.</w:t>
      </w:r>
    </w:p>
    <w:p w14:paraId="066B67D5"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higher incidence of infection among male patients (60%) observed in this study is consistent with previous literature indicating that men are more frequently involved in occupations or activities that predispose them to burns (Odugbemi et al., 2018). The predominance of cases in age groups 20–46 further supports findings by the American Burn Association (2019), which showed that adults in this age bracket are most affected by burn-related complications.</w:t>
      </w:r>
    </w:p>
    <w:p w14:paraId="617B09EE"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predominance of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(33.33%) as the leading pathogen aligns with reports by Church et al. (2016) and Dąbrowska et al. (2018), who identified it as a common endogenous microbe that readily invades compromised tissues. The high isolation rate of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(25.93%) is also consistent with its role as a notorious nosocomial pathogen, especially in moist environments like burn units (Weinstein et al., 2014).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Proteus mirabilis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Staphylococcus epidermidis</w:t>
      </w:r>
      <w:r>
        <w:rPr>
          <w:rFonts w:ascii="Times New Roman" w:eastAsia="Times New Roman" w:hAnsi="Times New Roman" w:cs="Times New Roman"/>
          <w:sz w:val="24"/>
          <w:szCs w:val="24"/>
        </w:rPr>
        <w:t xml:space="preserve"> were also identified, supporting findings by Neely et al. (2014) and Wang et al. (2021), who emphasized the polymicrobial nature of burn wound infections. These organisms often originate from the patient’s own flora or from environmental contamination via dressings, healthcare staff, or instrumentation.</w:t>
      </w:r>
    </w:p>
    <w:p w14:paraId="4838C81A"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antimicrobial susceptibility profile revealed high sensitivity of isolates to Ceftazidime (73.1%) and Ciprofloxacin (68.5%). These results align with current practices in burn wound management, where third-generation cephalosporins and fluoroquinolones are commonly used. However, the study also revealed declining efficacy of Amoxicillin-Clavulanic acid, Erythromycin, and Cefuroxime mirroring concerns raised by Ventola (2015) about the rapid development of antibiotic resistance, especially in burn units. This increasing resistance poses significant challenges for clinicians and aligns with predictions by Polinarski et al. (2021) that multidrug-resistant organisms could become leading causes of death globally by 2050. In line with reports by Kushwaha et al. (2020), prolonged hospitalization, overuse of antibiotics, and lack of effective infection control are likely contributors to this growing resistance in local healthcare facilities.</w:t>
      </w:r>
    </w:p>
    <w:p w14:paraId="456162B7"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4414D515" w14:textId="77777777" w:rsidR="004B1C1B" w:rsidRDefault="00F216D0">
      <w:pPr>
        <w:pStyle w:val="NormalWeb"/>
        <w:jc w:val="both"/>
      </w:pPr>
      <w:r>
        <w:t xml:space="preserve">Aerobic and facultative bacteria have constituted a considerable menace in burn wounds contamination, colonization and subsequent infections as shown in this study especially exogenous and endogenous flora found in human habitats and body. This study underscores the significant burden of burn wound infections and highlights the common and facultative bacterial pathogens associated with burn injuries in selected hospitals in Port Harcourt, Rivers State. A total of 135 organisms were isolated from 115 burn wound samples, with </w:t>
      </w:r>
      <w:r>
        <w:rPr>
          <w:rStyle w:val="Emphasis"/>
        </w:rPr>
        <w:t>Staphylococcus aureus</w:t>
      </w:r>
      <w:r>
        <w:t xml:space="preserve"> and </w:t>
      </w:r>
      <w:r>
        <w:rPr>
          <w:rStyle w:val="Emphasis"/>
        </w:rPr>
        <w:t>Pseudomonas aeruginosa</w:t>
      </w:r>
      <w:r>
        <w:t xml:space="preserve"> being the most prevalent, indicating their critical role in burn wound colonization and infection. The predominance of these pathogens, particularly among male </w:t>
      </w:r>
      <w:r>
        <w:lastRenderedPageBreak/>
        <w:t>patients and in specific age groups (20–46 years), reveals important demographic trends that can inform targeted interventions. The findings also emphasize the growing concern of antibiotic resistance among burn wound pathogens. While Ceftazidime and Ciprofloxacin demonstrated the highest susceptibility rates, the presence of multi-resistant strains necessitates continuous antimicrobial surveillance and the prudent use of antibiotics.</w:t>
      </w:r>
    </w:p>
    <w:p w14:paraId="6E3F4EDB" w14:textId="77777777" w:rsidR="004B1C1B" w:rsidRDefault="00F216D0">
      <w:pPr>
        <w:tabs>
          <w:tab w:val="left" w:pos="5140"/>
        </w:tabs>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0DC12BA9" w14:textId="77777777" w:rsidR="004B1C1B" w:rsidRDefault="00F216D0">
      <w:pPr>
        <w:pStyle w:val="NormalWeb"/>
        <w:ind w:left="720" w:hanging="720"/>
      </w:pPr>
      <w:r>
        <w:t xml:space="preserve">Adeyemi, S. K., &amp; Udo, C. F. (2019). Classification and clinical presentation of burn injuries. </w:t>
      </w:r>
      <w:r>
        <w:rPr>
          <w:rStyle w:val="Emphasis"/>
        </w:rPr>
        <w:t>West African Journal of Clinical Medicine, 15</w:t>
      </w:r>
      <w:r>
        <w:t>(2), 87–94.</w:t>
      </w:r>
    </w:p>
    <w:p w14:paraId="46B4AEDD" w14:textId="77777777" w:rsidR="004B1C1B" w:rsidRDefault="00F216D0">
      <w:pPr>
        <w:pStyle w:val="NormalWeb"/>
        <w:ind w:left="720" w:hanging="720"/>
      </w:pPr>
      <w:r>
        <w:t xml:space="preserve">Alp, E., Coruh, A., Gunay, G. K., Yontar, Y., &amp; Doganay, M. (2012). Risk factors for nosocomial infection and mortality in burn patients: 10 years of experience at a university hospital. </w:t>
      </w:r>
      <w:r>
        <w:rPr>
          <w:rStyle w:val="Emphasis"/>
        </w:rPr>
        <w:t>Journal of Burn Care &amp; Research, 33</w:t>
      </w:r>
      <w:r>
        <w:t>(3), 379–385. https://doi.org/10.1097/BCR.0b013e318234966c</w:t>
      </w:r>
    </w:p>
    <w:p w14:paraId="1CA51E2B" w14:textId="77777777" w:rsidR="004B1C1B" w:rsidRDefault="00F216D0">
      <w:pPr>
        <w:pStyle w:val="NormalWeb"/>
        <w:ind w:left="720" w:hanging="720"/>
      </w:pPr>
      <w:r>
        <w:t xml:space="preserve">American Burn Association. (2012). </w:t>
      </w:r>
      <w:r>
        <w:rPr>
          <w:rStyle w:val="Emphasis"/>
        </w:rPr>
        <w:t>National Burn Repository</w:t>
      </w:r>
      <w:r>
        <w:t>. Chicago, IL: American Burn Association.</w:t>
      </w:r>
    </w:p>
    <w:p w14:paraId="05830ED9" w14:textId="77777777" w:rsidR="004B1C1B" w:rsidRDefault="00F216D0">
      <w:pPr>
        <w:pStyle w:val="NormalWeb"/>
        <w:ind w:left="720" w:hanging="720"/>
      </w:pPr>
      <w:r>
        <w:t xml:space="preserve">American Burn Association. (2019). </w:t>
      </w:r>
      <w:r>
        <w:rPr>
          <w:rStyle w:val="Emphasis"/>
        </w:rPr>
        <w:t>National Burn Repository 2019 Annual Report</w:t>
      </w:r>
      <w:r>
        <w:t xml:space="preserve">. </w:t>
      </w:r>
      <w:hyperlink r:id="rId8" w:tgtFrame="_new" w:history="1">
        <w:r>
          <w:rPr>
            <w:rStyle w:val="Hyperlink"/>
          </w:rPr>
          <w:t>https://ameriburn.org/research/american-burn-association-national-burn-repository/</w:t>
        </w:r>
      </w:hyperlink>
    </w:p>
    <w:p w14:paraId="0FDD494A" w14:textId="77777777" w:rsidR="004B1C1B" w:rsidRDefault="00F216D0">
      <w:pPr>
        <w:pStyle w:val="NormalWeb"/>
        <w:ind w:left="720" w:hanging="720"/>
      </w:pPr>
      <w:r>
        <w:t xml:space="preserve">Church, D., Elsayed, S., Reid, O., Winston, B., &amp; Lindsay, R. (2016). Burn wound infections. </w:t>
      </w:r>
      <w:r>
        <w:rPr>
          <w:rStyle w:val="Emphasis"/>
        </w:rPr>
        <w:t>Clinical Microbiology Reviews, 19</w:t>
      </w:r>
      <w:r>
        <w:t xml:space="preserve">(2), 403–434. </w:t>
      </w:r>
      <w:hyperlink r:id="rId9" w:tgtFrame="_new" w:history="1">
        <w:r>
          <w:rPr>
            <w:rStyle w:val="Hyperlink"/>
          </w:rPr>
          <w:t>https://doi.org/10.1128/CMR.19.2.403-434.2006</w:t>
        </w:r>
      </w:hyperlink>
    </w:p>
    <w:p w14:paraId="37516709" w14:textId="77777777" w:rsidR="004B1C1B" w:rsidRDefault="00F216D0">
      <w:pPr>
        <w:pStyle w:val="NormalWeb"/>
        <w:ind w:left="720" w:hanging="720"/>
      </w:pPr>
      <w:r>
        <w:t xml:space="preserve">Dąbrowska, A. K., Rotaru, G.-M., Derler, S., Spano, F., Camenzind, M., Annaheim, S., ... &amp; Rossi, R. M. (2018). Materials used to simulate physical properties of human skin. </w:t>
      </w:r>
      <w:r>
        <w:rPr>
          <w:rStyle w:val="Emphasis"/>
        </w:rPr>
        <w:t>Skin Research and Technology, 24</w:t>
      </w:r>
      <w:r>
        <w:t xml:space="preserve">(4), 503–514. </w:t>
      </w:r>
      <w:hyperlink r:id="rId10" w:tgtFrame="_new" w:history="1">
        <w:r>
          <w:rPr>
            <w:rStyle w:val="Hyperlink"/>
          </w:rPr>
          <w:t>https://doi.org/10.1111/srt.12459</w:t>
        </w:r>
      </w:hyperlink>
    </w:p>
    <w:p w14:paraId="48EAA53A" w14:textId="77777777" w:rsidR="004B1C1B" w:rsidRDefault="00F216D0">
      <w:pPr>
        <w:pStyle w:val="NormalWeb"/>
        <w:ind w:left="720" w:hanging="720"/>
      </w:pPr>
      <w:r>
        <w:t xml:space="preserve">Hemmati, J., Azizi, M., &amp; Asghari, B. (2023). Multidrug-resistant pathogens in burn wound: Prevention, diagnosis, and therapeutic approaches (Conventional antimicrobials and nanoparticles). </w:t>
      </w:r>
      <w:r>
        <w:rPr>
          <w:rStyle w:val="Emphasis"/>
        </w:rPr>
        <w:t>Canadian Journal of Infectious Diseases and Medical Microbiology, 2023</w:t>
      </w:r>
      <w:r>
        <w:t>, Article 8854311. https://doi.org/10.1155/2023/8854311</w:t>
      </w:r>
    </w:p>
    <w:p w14:paraId="6CD17D8E" w14:textId="77777777" w:rsidR="004B1C1B" w:rsidRDefault="00F216D0">
      <w:pPr>
        <w:pStyle w:val="NormalWeb"/>
        <w:ind w:left="720" w:hanging="720"/>
      </w:pPr>
      <w:r>
        <w:t xml:space="preserve">Hoversten, K. P., Kiemele, L. J., Stolp, A. M., Takahashi, P. Y., &amp; Verdoorn, B. P. (2020). Prevention, diagnosis, and management of chronic wounds in older adults. </w:t>
      </w:r>
      <w:r>
        <w:rPr>
          <w:rStyle w:val="Emphasis"/>
        </w:rPr>
        <w:t>Mayo Clinic Proceedings, 95</w:t>
      </w:r>
      <w:r>
        <w:t>(9), 2021–2034. https://doi.org/10.1016/j.mayocp.2019.10.014</w:t>
      </w:r>
    </w:p>
    <w:p w14:paraId="3BCAA879" w14:textId="77777777" w:rsidR="004B1C1B" w:rsidRDefault="00F216D0">
      <w:pPr>
        <w:pStyle w:val="NormalWeb"/>
        <w:ind w:left="720" w:hanging="720"/>
      </w:pPr>
      <w:r>
        <w:t xml:space="preserve">Kushwaha, A., Goswami, L., &amp; Kim, B. S. (2022). Nanomaterial-based therapy for wound healing. </w:t>
      </w:r>
      <w:r>
        <w:rPr>
          <w:rStyle w:val="Emphasis"/>
        </w:rPr>
        <w:t>Nanomaterials, 12</w:t>
      </w:r>
      <w:r>
        <w:t>(4), 618. https://doi.org/10.3390/nano12040618</w:t>
      </w:r>
    </w:p>
    <w:p w14:paraId="68ADF568" w14:textId="77777777" w:rsidR="004B1C1B" w:rsidRDefault="00F216D0">
      <w:pPr>
        <w:pStyle w:val="NormalWeb"/>
        <w:ind w:left="720" w:hanging="720"/>
      </w:pPr>
      <w:r>
        <w:t xml:space="preserve">Lachiewicz, A. M., Hauck, C. G., Weber, D. J., Cairns, B. A., &amp; Van Duin, D. (2017). Bacterial infections after burn injuries: Impact of multidrug resistance. </w:t>
      </w:r>
      <w:r>
        <w:rPr>
          <w:rStyle w:val="Emphasis"/>
        </w:rPr>
        <w:t>Clinical Infectious Diseases, 65</w:t>
      </w:r>
      <w:r>
        <w:t>(12), 2130–2136. https://doi.org/10.1093/cid/cix682</w:t>
      </w:r>
    </w:p>
    <w:p w14:paraId="74AC939C" w14:textId="77777777" w:rsidR="004B1C1B" w:rsidRDefault="00F216D0">
      <w:pPr>
        <w:pStyle w:val="NormalWeb"/>
        <w:ind w:left="720" w:hanging="720"/>
      </w:pPr>
      <w:r>
        <w:lastRenderedPageBreak/>
        <w:t xml:space="preserve">Neely, C. J., Kartchner, L. B., Mendoza, A. E., Koyama, T., Zinkel, S. S., &amp; Prince, L. S. (2014). Flagellin treatment prevents increased susceptibility to systemic bacterial infection after injury by inhibiting anti-inflammatory IL-10+ IL-12− neutrophil polarization. </w:t>
      </w:r>
      <w:r>
        <w:rPr>
          <w:rStyle w:val="Emphasis"/>
        </w:rPr>
        <w:t>PLOS ONE, 9</w:t>
      </w:r>
      <w:r>
        <w:t>(1), e85623. https://doi.org/10.1371/journal.pone.0085623</w:t>
      </w:r>
    </w:p>
    <w:p w14:paraId="1BA7B90A" w14:textId="77777777" w:rsidR="004B1C1B" w:rsidRDefault="00F216D0">
      <w:pPr>
        <w:pStyle w:val="NormalWeb"/>
        <w:ind w:left="720" w:hanging="720"/>
      </w:pPr>
      <w:r>
        <w:t xml:space="preserve">Oliveira, A., Simões, S., Ascenso, A., &amp; Reis, C. P. (2020). Therapeutic advances in wound healing. </w:t>
      </w:r>
      <w:r>
        <w:rPr>
          <w:rStyle w:val="Emphasis"/>
        </w:rPr>
        <w:t>Journal of Dermatological Treatment, 33</w:t>
      </w:r>
      <w:r>
        <w:t>, 2–22. https://doi.org/10.1080/09546634.2020.1730296</w:t>
      </w:r>
    </w:p>
    <w:p w14:paraId="0C7287BB" w14:textId="77777777" w:rsidR="004B1C1B" w:rsidRDefault="00F216D0">
      <w:pPr>
        <w:pStyle w:val="NormalWeb"/>
        <w:ind w:left="720" w:hanging="720"/>
      </w:pPr>
      <w:r>
        <w:t xml:space="preserve">Polinarski, M. A., Beal, A. L., Silva, F. E., Andrade, L. R., &amp; Souza, C. C. (2021). New perspectives of using chitosan, silver, and chitosan–silver nanoparticles against multidrug‐resistant bacteria. </w:t>
      </w:r>
      <w:r>
        <w:rPr>
          <w:rStyle w:val="Emphasis"/>
        </w:rPr>
        <w:t>Particle &amp; Particle Systems Characterization, 38</w:t>
      </w:r>
      <w:r>
        <w:t>(4), 2100009. https://doi.org/10.1002/ppsc.202100009</w:t>
      </w:r>
    </w:p>
    <w:p w14:paraId="20CDD545" w14:textId="77777777" w:rsidR="004B1C1B" w:rsidRDefault="00F216D0">
      <w:pPr>
        <w:pStyle w:val="NormalWeb"/>
        <w:ind w:left="720" w:hanging="720"/>
      </w:pPr>
      <w:r>
        <w:t xml:space="preserve">Schultz, L., Walker, S. A., Elligsen, M., Colby, D., &amp; Walker, K. (2013). Identification of predictors of early infection in acute burn patients. </w:t>
      </w:r>
      <w:r>
        <w:rPr>
          <w:rStyle w:val="Emphasis"/>
        </w:rPr>
        <w:t>Burns, 39</w:t>
      </w:r>
      <w:r>
        <w:t>(7), 1355–1366. https://doi.org/10.1016/j.burns.2013.04.009</w:t>
      </w:r>
    </w:p>
    <w:p w14:paraId="137B84B9" w14:textId="77777777" w:rsidR="004B1C1B" w:rsidRDefault="00F216D0">
      <w:pPr>
        <w:pStyle w:val="NormalWeb"/>
        <w:ind w:left="720" w:hanging="720"/>
      </w:pPr>
      <w:r>
        <w:t xml:space="preserve">Spampinato, S. F., Caruso, G. I., De Pasquale, R., Sortino, M. A., &amp; Merlo, S. (2020). The treatment of impaired wound healing in diabetes: Looking among old drugs. </w:t>
      </w:r>
      <w:r>
        <w:rPr>
          <w:rStyle w:val="Emphasis"/>
        </w:rPr>
        <w:t>Pharmaceuticals, 13</w:t>
      </w:r>
      <w:r>
        <w:t>(4), 60. https://doi.org/10.3390/ph13040060</w:t>
      </w:r>
    </w:p>
    <w:p w14:paraId="049F59B8" w14:textId="77777777" w:rsidR="004B1C1B" w:rsidRDefault="00F216D0">
      <w:pPr>
        <w:pStyle w:val="NormalWeb"/>
        <w:ind w:left="720" w:hanging="720"/>
      </w:pPr>
      <w:r>
        <w:t xml:space="preserve">Ventola, C. L. (2015). The antibiotic resistance crisis: Part 1: Causes and threats. </w:t>
      </w:r>
      <w:r>
        <w:rPr>
          <w:rStyle w:val="Emphasis"/>
        </w:rPr>
        <w:t>P &amp; T: A Peer-Reviewed Journal for Formulary Management, 40</w:t>
      </w:r>
      <w:r>
        <w:t>(4), 277–283.</w:t>
      </w:r>
    </w:p>
    <w:p w14:paraId="70419745" w14:textId="77777777" w:rsidR="004B1C1B" w:rsidRDefault="00F216D0">
      <w:pPr>
        <w:pStyle w:val="NormalWeb"/>
        <w:ind w:left="720" w:hanging="720"/>
      </w:pPr>
      <w:r>
        <w:t xml:space="preserve">Vinaik, R., Barayan, D., Shahrokhi, S., &amp; Jeschke, M. G. (2019). Management and prevention of drug resistant infections in burn patients. </w:t>
      </w:r>
      <w:r>
        <w:rPr>
          <w:rStyle w:val="Emphasis"/>
        </w:rPr>
        <w:t>Expert Review of Anti-infective Therapy, 17</w:t>
      </w:r>
      <w:r>
        <w:t>(8), 607–619. https://doi.org/10.1080/14787210.2019.1648208</w:t>
      </w:r>
    </w:p>
    <w:p w14:paraId="1F553172" w14:textId="77777777" w:rsidR="004B1C1B" w:rsidRDefault="00F216D0">
      <w:pPr>
        <w:pStyle w:val="NormalWeb"/>
        <w:ind w:left="720" w:hanging="720"/>
      </w:pPr>
      <w:r>
        <w:t xml:space="preserve">Wang, M., Huang, X., Zheng, H., Zhang, J., Zhang, H., &amp; Yang, F. (2021). Nanomaterials applied in wound healing: Mechanisms, limitations and perspectives. </w:t>
      </w:r>
      <w:r>
        <w:rPr>
          <w:rStyle w:val="Emphasis"/>
        </w:rPr>
        <w:t>Journal of Controlled Release, 337</w:t>
      </w:r>
      <w:r>
        <w:t>, 236–247. https://doi.org/10.1016/j.jconrel.2021.07.017</w:t>
      </w:r>
    </w:p>
    <w:p w14:paraId="2256B42A" w14:textId="77777777" w:rsidR="004B1C1B" w:rsidRDefault="004B1C1B">
      <w:pPr>
        <w:tabs>
          <w:tab w:val="left" w:pos="5140"/>
        </w:tabs>
        <w:jc w:val="both"/>
        <w:rPr>
          <w:rFonts w:ascii="Times New Roman" w:hAnsi="Times New Roman" w:cs="Times New Roman"/>
          <w:b/>
          <w:sz w:val="24"/>
          <w:szCs w:val="24"/>
        </w:rPr>
      </w:pPr>
    </w:p>
    <w:sectPr w:rsidR="004B1C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695F7" w14:textId="77777777" w:rsidR="00036033" w:rsidRDefault="00036033" w:rsidP="00B37428">
      <w:pPr>
        <w:spacing w:after="0" w:line="240" w:lineRule="auto"/>
      </w:pPr>
      <w:r>
        <w:separator/>
      </w:r>
    </w:p>
  </w:endnote>
  <w:endnote w:type="continuationSeparator" w:id="0">
    <w:p w14:paraId="337ABB8F" w14:textId="77777777" w:rsidR="00036033" w:rsidRDefault="00036033" w:rsidP="00B3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3896" w14:textId="77777777" w:rsidR="00B37428" w:rsidRDefault="00B3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9155" w14:textId="77777777" w:rsidR="00B37428" w:rsidRDefault="00B37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E29B" w14:textId="77777777" w:rsidR="00B37428" w:rsidRDefault="00B3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B65C" w14:textId="77777777" w:rsidR="00036033" w:rsidRDefault="00036033" w:rsidP="00B37428">
      <w:pPr>
        <w:spacing w:after="0" w:line="240" w:lineRule="auto"/>
      </w:pPr>
      <w:r>
        <w:separator/>
      </w:r>
    </w:p>
  </w:footnote>
  <w:footnote w:type="continuationSeparator" w:id="0">
    <w:p w14:paraId="2795FE4D" w14:textId="77777777" w:rsidR="00036033" w:rsidRDefault="00036033" w:rsidP="00B3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ECD3" w14:textId="5D8A298F" w:rsidR="00B37428" w:rsidRDefault="00B37428">
    <w:pPr>
      <w:pStyle w:val="Header"/>
    </w:pPr>
    <w:r>
      <w:rPr>
        <w:noProof/>
      </w:rPr>
      <w:pict w14:anchorId="2E3FB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67BD" w14:textId="7A97A5FA" w:rsidR="00B37428" w:rsidRDefault="00B37428">
    <w:pPr>
      <w:pStyle w:val="Header"/>
    </w:pPr>
    <w:r>
      <w:rPr>
        <w:noProof/>
      </w:rPr>
      <w:pict w14:anchorId="1D525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18CC" w14:textId="11174E55" w:rsidR="00B37428" w:rsidRDefault="00B37428">
    <w:pPr>
      <w:pStyle w:val="Header"/>
    </w:pPr>
    <w:r>
      <w:rPr>
        <w:noProof/>
      </w:rPr>
      <w:pict w14:anchorId="4274A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92DE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C0CAE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E6C19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6D62BB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CA12317"/>
    <w:multiLevelType w:val="multilevel"/>
    <w:tmpl w:val="FEE402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1B"/>
    <w:rsid w:val="00036033"/>
    <w:rsid w:val="00173294"/>
    <w:rsid w:val="00402B23"/>
    <w:rsid w:val="004B0506"/>
    <w:rsid w:val="004B1C1B"/>
    <w:rsid w:val="005B3C7E"/>
    <w:rsid w:val="00785705"/>
    <w:rsid w:val="00AF1262"/>
    <w:rsid w:val="00B37428"/>
    <w:rsid w:val="00BE3D50"/>
    <w:rsid w:val="00C109D9"/>
    <w:rsid w:val="00DA3116"/>
    <w:rsid w:val="00DB4A8A"/>
    <w:rsid w:val="00E9409F"/>
    <w:rsid w:val="00F216D0"/>
    <w:rsid w:val="00F5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A99169"/>
  <w15:docId w15:val="{1B171886-2462-8C41-BF23-9D73140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full-docsum">
    <w:name w:val="full-docsum"/>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style>
  <w:style w:type="character" w:customStyle="1" w:styleId="cit">
    <w:name w:val="cit"/>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78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92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eriburn.org/research/american-burn-association-national-burn-reposito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11/srt.12459" TargetMode="External"/><Relationship Id="rId4" Type="http://schemas.openxmlformats.org/officeDocument/2006/relationships/webSettings" Target="webSettings.xml"/><Relationship Id="rId9" Type="http://schemas.openxmlformats.org/officeDocument/2006/relationships/hyperlink" Target="https://doi.org/10.1128/CMR.19.2.403-434.200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Bacterial</a:t>
            </a:r>
            <a:r>
              <a:rPr lang="en-US" baseline="0"/>
              <a:t> isolate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Male</c:v>
                </c:pt>
              </c:strCache>
            </c:strRef>
          </c:tx>
          <c:spPr>
            <a:solidFill>
              <a:schemeClr val="accent1"/>
            </a:solidFill>
            <a:ln>
              <a:noFill/>
            </a:ln>
            <a:effectLst/>
          </c:spPr>
          <c:invertIfNegative val="0"/>
          <c:cat>
            <c:strRef>
              <c:f>Sheet1!$B$1:$C$1</c:f>
              <c:strCache>
                <c:ptCount val="2"/>
                <c:pt idx="0">
                  <c:v>Number of Isolates</c:v>
                </c:pt>
                <c:pt idx="1">
                  <c:v>Percentage (%)</c:v>
                </c:pt>
              </c:strCache>
            </c:strRef>
          </c:cat>
          <c:val>
            <c:numRef>
              <c:f>Sheet1!$B$2:$C$2</c:f>
              <c:numCache>
                <c:formatCode>General</c:formatCode>
                <c:ptCount val="2"/>
                <c:pt idx="0">
                  <c:v>81</c:v>
                </c:pt>
                <c:pt idx="1">
                  <c:v>60</c:v>
                </c:pt>
              </c:numCache>
            </c:numRef>
          </c:val>
          <c:extLst>
            <c:ext xmlns:c16="http://schemas.microsoft.com/office/drawing/2014/chart" uri="{C3380CC4-5D6E-409C-BE32-E72D297353CC}">
              <c16:uniqueId val="{00000000-A67C-7D44-8DCF-0C75D341CC80}"/>
            </c:ext>
          </c:extLst>
        </c:ser>
        <c:ser>
          <c:idx val="1"/>
          <c:order val="1"/>
          <c:tx>
            <c:strRef>
              <c:f>Sheet1!$A$3</c:f>
              <c:strCache>
                <c:ptCount val="1"/>
                <c:pt idx="0">
                  <c:v>Female</c:v>
                </c:pt>
              </c:strCache>
            </c:strRef>
          </c:tx>
          <c:spPr>
            <a:solidFill>
              <a:schemeClr val="accent2"/>
            </a:solidFill>
            <a:ln>
              <a:noFill/>
            </a:ln>
            <a:effectLst/>
          </c:spPr>
          <c:invertIfNegative val="0"/>
          <c:cat>
            <c:strRef>
              <c:f>Sheet1!$B$1:$C$1</c:f>
              <c:strCache>
                <c:ptCount val="2"/>
                <c:pt idx="0">
                  <c:v>Number of Isolates</c:v>
                </c:pt>
                <c:pt idx="1">
                  <c:v>Percentage (%)</c:v>
                </c:pt>
              </c:strCache>
            </c:strRef>
          </c:cat>
          <c:val>
            <c:numRef>
              <c:f>Sheet1!$B$3:$C$3</c:f>
              <c:numCache>
                <c:formatCode>General</c:formatCode>
                <c:ptCount val="2"/>
                <c:pt idx="0">
                  <c:v>54</c:v>
                </c:pt>
                <c:pt idx="1">
                  <c:v>40</c:v>
                </c:pt>
              </c:numCache>
            </c:numRef>
          </c:val>
          <c:extLst>
            <c:ext xmlns:c16="http://schemas.microsoft.com/office/drawing/2014/chart" uri="{C3380CC4-5D6E-409C-BE32-E72D297353CC}">
              <c16:uniqueId val="{00000001-A67C-7D44-8DCF-0C75D341CC80}"/>
            </c:ext>
          </c:extLst>
        </c:ser>
        <c:dLbls>
          <c:showLegendKey val="0"/>
          <c:showVal val="0"/>
          <c:showCatName val="0"/>
          <c:showSerName val="0"/>
          <c:showPercent val="0"/>
          <c:showBubbleSize val="0"/>
        </c:dLbls>
        <c:gapWidth val="219"/>
        <c:overlap val="-27"/>
        <c:axId val="1299438016"/>
        <c:axId val="1299438432"/>
      </c:barChart>
      <c:catAx>
        <c:axId val="12994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438432"/>
        <c:crosses val="autoZero"/>
        <c:auto val="1"/>
        <c:lblAlgn val="ctr"/>
        <c:lblOffset val="100"/>
        <c:noMultiLvlLbl val="0"/>
      </c:catAx>
      <c:valAx>
        <c:axId val="129943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43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4407</Words>
  <Characters>25120</Characters>
  <Application>Microsoft Office Word</Application>
  <DocSecurity>0</DocSecurity>
  <Lines>209</Lines>
  <Paragraphs>58</Paragraphs>
  <ScaleCrop>false</ScaleCrop>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2025-08-02T09:30:00Z</dcterms:created>
  <dcterms:modified xsi:type="dcterms:W3CDTF">2025-08-04T08:24:00Z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f7b48fa885274525a8d46c28ea14db3a</vt:lpwstr>
  </property>
  <property fmtid="{D5CDD505-2E9C-101B-9397-08002B2CF9AE}" pid="3" name="GrammarlyDocumentId">
    <vt:lpwstr>d75c61d3-1572-46be-aebc-1d041a192169</vt:lpwstr>
  </property>
</Properties>
</file>