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5DBD3" w14:textId="77777777" w:rsidR="007836E5" w:rsidRPr="007836E5" w:rsidRDefault="007836E5" w:rsidP="00537CF5">
      <w:pPr>
        <w:pStyle w:val="Heading1"/>
        <w:rPr>
          <w:rFonts w:eastAsia="Times New Roman"/>
          <w:i/>
          <w:iCs/>
          <w:kern w:val="28"/>
          <w:sz w:val="40"/>
          <w:szCs w:val="40"/>
          <w:u w:val="single"/>
        </w:rPr>
      </w:pPr>
      <w:bookmarkStart w:id="0" w:name="_Hlk182654942"/>
      <w:bookmarkStart w:id="1" w:name="_GoBack"/>
      <w:r w:rsidRPr="007836E5">
        <w:rPr>
          <w:rFonts w:eastAsia="Times New Roman"/>
          <w:i/>
          <w:iCs/>
          <w:kern w:val="28"/>
          <w:sz w:val="40"/>
          <w:szCs w:val="40"/>
          <w:u w:val="single"/>
        </w:rPr>
        <w:t xml:space="preserve">Original Research Article </w:t>
      </w:r>
    </w:p>
    <w:p w14:paraId="624E2FE5" w14:textId="77777777" w:rsidR="007836E5" w:rsidRDefault="007836E5" w:rsidP="00537CF5">
      <w:pPr>
        <w:pStyle w:val="Heading1"/>
        <w:rPr>
          <w:rFonts w:eastAsia="Times New Roman"/>
          <w:iCs/>
          <w:kern w:val="28"/>
          <w:sz w:val="40"/>
          <w:szCs w:val="40"/>
        </w:rPr>
      </w:pPr>
    </w:p>
    <w:p w14:paraId="707FBF2F" w14:textId="151F06A2" w:rsidR="00DC40C5" w:rsidRDefault="00DC40C5" w:rsidP="00537CF5">
      <w:pPr>
        <w:pStyle w:val="Heading1"/>
        <w:rPr>
          <w:rFonts w:eastAsia="Times New Roman"/>
          <w:iCs/>
          <w:kern w:val="28"/>
          <w:sz w:val="40"/>
          <w:szCs w:val="40"/>
        </w:rPr>
      </w:pPr>
      <w:r>
        <w:rPr>
          <w:rFonts w:eastAsia="Times New Roman"/>
          <w:iCs/>
          <w:kern w:val="28"/>
          <w:sz w:val="40"/>
          <w:szCs w:val="40"/>
        </w:rPr>
        <w:t>Endotyping Cellular and Humoral</w:t>
      </w:r>
      <w:r w:rsidRPr="005E2A7F">
        <w:rPr>
          <w:rFonts w:eastAsia="Times New Roman"/>
          <w:iCs/>
          <w:kern w:val="28"/>
          <w:sz w:val="40"/>
          <w:szCs w:val="40"/>
        </w:rPr>
        <w:t xml:space="preserve"> </w:t>
      </w:r>
    </w:p>
    <w:p w14:paraId="6FD65566" w14:textId="77777777" w:rsidR="00DC40C5" w:rsidRDefault="00DC40C5" w:rsidP="00537CF5">
      <w:pPr>
        <w:pStyle w:val="Heading1"/>
        <w:rPr>
          <w:rFonts w:eastAsia="Times New Roman"/>
          <w:iCs/>
          <w:kern w:val="28"/>
          <w:sz w:val="40"/>
          <w:szCs w:val="40"/>
        </w:rPr>
      </w:pPr>
      <w:r>
        <w:rPr>
          <w:rFonts w:eastAsia="Times New Roman"/>
          <w:iCs/>
          <w:kern w:val="28"/>
          <w:sz w:val="40"/>
          <w:szCs w:val="40"/>
        </w:rPr>
        <w:t xml:space="preserve">Cross-reactivity against Chicken Meat </w:t>
      </w:r>
    </w:p>
    <w:p w14:paraId="0C97167B" w14:textId="4382E832" w:rsidR="00DC40C5" w:rsidRPr="006279D3" w:rsidRDefault="00DC40C5" w:rsidP="00537CF5">
      <w:pPr>
        <w:pStyle w:val="Heading1"/>
        <w:rPr>
          <w:rFonts w:eastAsia="Times New Roman"/>
          <w:iCs/>
          <w:kern w:val="28"/>
          <w:sz w:val="40"/>
          <w:szCs w:val="40"/>
        </w:rPr>
      </w:pPr>
      <w:r>
        <w:rPr>
          <w:rFonts w:eastAsia="Times New Roman"/>
          <w:iCs/>
          <w:kern w:val="28"/>
          <w:sz w:val="40"/>
          <w:szCs w:val="40"/>
        </w:rPr>
        <w:t>and Egg Yolk in Non-</w:t>
      </w:r>
      <w:r w:rsidRPr="009F5207">
        <w:rPr>
          <w:rFonts w:eastAsia="Times New Roman"/>
          <w:iCs/>
          <w:kern w:val="28"/>
          <w:sz w:val="40"/>
          <w:szCs w:val="40"/>
        </w:rPr>
        <w:t>IgE-mediated</w:t>
      </w:r>
      <w:r>
        <w:rPr>
          <w:rFonts w:eastAsia="Times New Roman"/>
          <w:iCs/>
          <w:kern w:val="28"/>
          <w:sz w:val="40"/>
          <w:szCs w:val="40"/>
        </w:rPr>
        <w:t xml:space="preserve"> </w:t>
      </w:r>
      <w:r w:rsidR="00640F91">
        <w:rPr>
          <w:rFonts w:eastAsia="Times New Roman"/>
          <w:iCs/>
          <w:kern w:val="28"/>
          <w:sz w:val="40"/>
          <w:szCs w:val="40"/>
        </w:rPr>
        <w:t xml:space="preserve">Food Protein-Induced </w:t>
      </w:r>
      <w:r>
        <w:rPr>
          <w:rFonts w:eastAsia="Times New Roman"/>
          <w:iCs/>
          <w:kern w:val="28"/>
          <w:sz w:val="40"/>
          <w:szCs w:val="40"/>
        </w:rPr>
        <w:t>Gastrointestinal Allergies</w:t>
      </w:r>
      <w:r w:rsidRPr="005E2A7F">
        <w:rPr>
          <w:rFonts w:eastAsia="Times New Roman"/>
          <w:iCs/>
          <w:kern w:val="28"/>
          <w:sz w:val="40"/>
          <w:szCs w:val="40"/>
        </w:rPr>
        <w:t>.</w:t>
      </w:r>
    </w:p>
    <w:bookmarkEnd w:id="0"/>
    <w:p w14:paraId="1B4619DE" w14:textId="77777777" w:rsidR="00DC40C5" w:rsidRPr="00917BFA" w:rsidRDefault="00DC40C5" w:rsidP="00537CF5">
      <w:pPr>
        <w:pStyle w:val="Heading1"/>
        <w:rPr>
          <w:rFonts w:eastAsia="Times New Roman" w:cs="Arial"/>
          <w:b w:val="0"/>
          <w:bCs w:val="0"/>
          <w:szCs w:val="20"/>
        </w:rPr>
      </w:pPr>
    </w:p>
    <w:p w14:paraId="4EDEA750" w14:textId="77777777" w:rsidR="00DC40C5" w:rsidRPr="005E2A7F" w:rsidRDefault="00DC40C5" w:rsidP="00B45921">
      <w:pPr>
        <w:spacing w:after="0" w:line="240" w:lineRule="auto"/>
        <w:jc w:val="right"/>
        <w:rPr>
          <w:rFonts w:ascii="Arial" w:eastAsia="Times New Roman" w:hAnsi="Arial" w:cs="Arial"/>
          <w:b/>
          <w:sz w:val="16"/>
          <w:szCs w:val="20"/>
        </w:rPr>
      </w:pPr>
    </w:p>
    <w:p w14:paraId="41B6D7DC" w14:textId="3F51AAC3" w:rsidR="00DC40C5" w:rsidRPr="005E2A7F" w:rsidRDefault="00DC40C5" w:rsidP="00B45921">
      <w:pPr>
        <w:spacing w:after="0" w:line="240" w:lineRule="auto"/>
        <w:jc w:val="right"/>
        <w:rPr>
          <w:rFonts w:ascii="Arial" w:eastAsia="Times New Roman" w:hAnsi="Arial" w:cs="Arial"/>
          <w:b/>
          <w:sz w:val="24"/>
          <w:szCs w:val="20"/>
        </w:rPr>
      </w:pPr>
    </w:p>
    <w:p w14:paraId="1E83E3D9" w14:textId="77777777" w:rsidR="00DC40C5" w:rsidRPr="005E2A7F" w:rsidRDefault="00DC40C5" w:rsidP="00646870">
      <w:pPr>
        <w:pStyle w:val="Heading2"/>
        <w:rPr>
          <w:rFonts w:eastAsia="Times New Roman"/>
        </w:rPr>
      </w:pPr>
      <w:r w:rsidRPr="005E2A7F">
        <w:rPr>
          <w:rFonts w:eastAsia="Times New Roman"/>
        </w:rPr>
        <w:t>ABSTRACT</w:t>
      </w:r>
    </w:p>
    <w:p w14:paraId="44C8B5E7" w14:textId="77777777" w:rsidR="00DC40C5" w:rsidRPr="005E2A7F" w:rsidRDefault="00DC40C5" w:rsidP="0060324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8"/>
      </w:tblGrid>
      <w:tr w:rsidR="00DC40C5" w:rsidRPr="0059262C" w14:paraId="08636120" w14:textId="77777777" w:rsidTr="00FC1F87">
        <w:trPr>
          <w:jc w:val="center"/>
        </w:trPr>
        <w:tc>
          <w:tcPr>
            <w:tcW w:w="9018" w:type="dxa"/>
            <w:shd w:val="clear" w:color="auto" w:fill="auto"/>
          </w:tcPr>
          <w:p w14:paraId="62F72FFD" w14:textId="2D90017D" w:rsidR="00DC40C5" w:rsidRPr="009F549E" w:rsidRDefault="00DC40C5" w:rsidP="00300E61">
            <w:pPr>
              <w:spacing w:after="0" w:line="240" w:lineRule="auto"/>
              <w:jc w:val="both"/>
              <w:rPr>
                <w:rFonts w:ascii="Arial" w:eastAsia="Calibri" w:hAnsi="Arial" w:cs="Arial"/>
                <w:b/>
                <w:sz w:val="20"/>
              </w:rPr>
            </w:pPr>
            <w:r w:rsidRPr="009F549E">
              <w:rPr>
                <w:rFonts w:ascii="Arial" w:eastAsia="Calibri" w:hAnsi="Arial" w:cs="Arial"/>
                <w:b/>
                <w:sz w:val="20"/>
              </w:rPr>
              <w:t>Background:</w:t>
            </w:r>
            <w:r w:rsidRPr="009F549E">
              <w:rPr>
                <w:rFonts w:ascii="Arial" w:eastAsia="Calibri" w:hAnsi="Arial" w:cs="Arial"/>
                <w:bCs/>
                <w:sz w:val="20"/>
              </w:rPr>
              <w:t xml:space="preserve"> Patients with poultry meat allergy may present several phenotypes regarding clinical </w:t>
            </w:r>
            <w:r>
              <w:rPr>
                <w:rFonts w:ascii="Arial" w:eastAsia="Calibri" w:hAnsi="Arial" w:cs="Arial"/>
                <w:bCs/>
                <w:sz w:val="20"/>
              </w:rPr>
              <w:t>presentations and a wide range of symptom severity,</w:t>
            </w:r>
            <w:r w:rsidRPr="009F549E">
              <w:rPr>
                <w:rFonts w:ascii="Arial" w:eastAsia="Calibri" w:hAnsi="Arial" w:cs="Arial"/>
                <w:bCs/>
                <w:sz w:val="20"/>
              </w:rPr>
              <w:t xml:space="preserve"> suggesting the existence of several endotypes underlying </w:t>
            </w:r>
            <w:r>
              <w:rPr>
                <w:rFonts w:ascii="Arial" w:eastAsia="Calibri" w:hAnsi="Arial" w:cs="Arial"/>
                <w:bCs/>
                <w:sz w:val="20"/>
              </w:rPr>
              <w:t>their diseases</w:t>
            </w:r>
            <w:r w:rsidRPr="009F549E">
              <w:rPr>
                <w:rFonts w:ascii="Arial" w:eastAsia="Calibri" w:hAnsi="Arial" w:cs="Arial"/>
                <w:bCs/>
                <w:sz w:val="20"/>
              </w:rPr>
              <w:t xml:space="preserve">. </w:t>
            </w:r>
            <w:r>
              <w:rPr>
                <w:rFonts w:ascii="Arial" w:eastAsia="Calibri" w:hAnsi="Arial" w:cs="Arial"/>
                <w:bCs/>
                <w:sz w:val="20"/>
              </w:rPr>
              <w:t>The IgE-mediated hypersensitivities are well-established</w:t>
            </w:r>
            <w:r w:rsidR="00640F91">
              <w:rPr>
                <w:rFonts w:ascii="Arial" w:eastAsia="Calibri" w:hAnsi="Arial" w:cs="Arial"/>
                <w:bCs/>
                <w:sz w:val="20"/>
              </w:rPr>
              <w:t>;</w:t>
            </w:r>
            <w:r>
              <w:rPr>
                <w:rFonts w:ascii="Arial" w:eastAsia="Calibri" w:hAnsi="Arial" w:cs="Arial"/>
                <w:bCs/>
                <w:sz w:val="20"/>
              </w:rPr>
              <w:t xml:space="preserve"> </w:t>
            </w:r>
            <w:r w:rsidRPr="009F549E">
              <w:rPr>
                <w:rFonts w:ascii="Arial" w:eastAsia="Calibri" w:hAnsi="Arial" w:cs="Arial"/>
                <w:bCs/>
                <w:sz w:val="20"/>
              </w:rPr>
              <w:t xml:space="preserve">however, the non-IgE-mediated immunoreactivity against </w:t>
            </w:r>
            <w:r>
              <w:rPr>
                <w:rFonts w:ascii="Arial" w:eastAsia="Calibri" w:hAnsi="Arial" w:cs="Arial"/>
                <w:bCs/>
                <w:sz w:val="20"/>
              </w:rPr>
              <w:t>food</w:t>
            </w:r>
            <w:r w:rsidRPr="009F549E">
              <w:rPr>
                <w:rFonts w:ascii="Arial" w:eastAsia="Calibri" w:hAnsi="Arial" w:cs="Arial"/>
                <w:bCs/>
                <w:sz w:val="20"/>
              </w:rPr>
              <w:t xml:space="preserve"> allergens has not yet been </w:t>
            </w:r>
            <w:r w:rsidR="00640F91">
              <w:rPr>
                <w:rFonts w:ascii="Arial" w:eastAsia="Calibri" w:hAnsi="Arial" w:cs="Arial"/>
                <w:bCs/>
                <w:sz w:val="20"/>
              </w:rPr>
              <w:t>adequate</w:t>
            </w:r>
            <w:r>
              <w:rPr>
                <w:rFonts w:ascii="Arial" w:eastAsia="Calibri" w:hAnsi="Arial" w:cs="Arial"/>
                <w:bCs/>
                <w:sz w:val="20"/>
              </w:rPr>
              <w:t>ly</w:t>
            </w:r>
            <w:r w:rsidRPr="009F549E">
              <w:rPr>
                <w:rFonts w:ascii="Arial" w:eastAsia="Calibri" w:hAnsi="Arial" w:cs="Arial"/>
                <w:bCs/>
                <w:sz w:val="20"/>
              </w:rPr>
              <w:t xml:space="preserve"> </w:t>
            </w:r>
            <w:r>
              <w:rPr>
                <w:rFonts w:ascii="Arial" w:eastAsia="Calibri" w:hAnsi="Arial" w:cs="Arial"/>
                <w:bCs/>
                <w:sz w:val="20"/>
              </w:rPr>
              <w:t>characterized</w:t>
            </w:r>
            <w:r w:rsidRPr="009F549E">
              <w:rPr>
                <w:rFonts w:ascii="Arial" w:eastAsia="Calibri" w:hAnsi="Arial" w:cs="Arial"/>
                <w:bCs/>
                <w:sz w:val="20"/>
              </w:rPr>
              <w:t>.</w:t>
            </w:r>
          </w:p>
          <w:p w14:paraId="3FF8EB48" w14:textId="77777777" w:rsidR="00DC40C5" w:rsidRPr="00B66DC3" w:rsidRDefault="00DC40C5" w:rsidP="00333662">
            <w:pPr>
              <w:spacing w:after="0" w:line="240" w:lineRule="auto"/>
              <w:jc w:val="both"/>
              <w:rPr>
                <w:rFonts w:ascii="Arial" w:eastAsia="Calibri" w:hAnsi="Arial" w:cs="Arial"/>
                <w:bCs/>
                <w:sz w:val="20"/>
              </w:rPr>
            </w:pPr>
            <w:r w:rsidRPr="00B66DC3">
              <w:rPr>
                <w:rFonts w:ascii="Arial" w:eastAsia="Calibri" w:hAnsi="Arial" w:cs="Arial"/>
                <w:b/>
                <w:sz w:val="20"/>
              </w:rPr>
              <w:t xml:space="preserve">Aim: </w:t>
            </w:r>
            <w:r w:rsidRPr="00B66DC3">
              <w:rPr>
                <w:rFonts w:ascii="Arial" w:eastAsia="Calibri" w:hAnsi="Arial" w:cs="Arial"/>
                <w:bCs/>
                <w:sz w:val="20"/>
              </w:rPr>
              <w:t>To evaluate the potential of the Tube Titration of Precipitins (TTP) and the Leukocyte Adherence Inhibition Test (LAIT) to discriminate cellular and humoral immunoreactivity against chicken meat extract</w:t>
            </w:r>
            <w:r>
              <w:rPr>
                <w:rFonts w:ascii="Arial" w:eastAsia="Calibri" w:hAnsi="Arial" w:cs="Arial"/>
                <w:bCs/>
                <w:sz w:val="20"/>
              </w:rPr>
              <w:t xml:space="preserve"> and chicken egg yolk extract</w:t>
            </w:r>
            <w:r w:rsidRPr="00B66DC3">
              <w:rPr>
                <w:rFonts w:ascii="Arial" w:eastAsia="Calibri" w:hAnsi="Arial" w:cs="Arial"/>
                <w:bCs/>
                <w:sz w:val="20"/>
              </w:rPr>
              <w:t xml:space="preserve"> in patients with non–IgE-mediated </w:t>
            </w:r>
            <w:r>
              <w:rPr>
                <w:rFonts w:ascii="Arial" w:eastAsia="Calibri" w:hAnsi="Arial" w:cs="Arial"/>
                <w:bCs/>
                <w:sz w:val="20"/>
              </w:rPr>
              <w:t>gastrointestinal f</w:t>
            </w:r>
            <w:r w:rsidRPr="00B66DC3">
              <w:rPr>
                <w:rFonts w:ascii="Arial" w:eastAsia="Calibri" w:hAnsi="Arial" w:cs="Arial"/>
                <w:bCs/>
                <w:sz w:val="20"/>
              </w:rPr>
              <w:t xml:space="preserve">ood </w:t>
            </w:r>
            <w:r>
              <w:rPr>
                <w:rFonts w:ascii="Arial" w:eastAsia="Calibri" w:hAnsi="Arial" w:cs="Arial"/>
                <w:bCs/>
                <w:sz w:val="20"/>
              </w:rPr>
              <w:t>p</w:t>
            </w:r>
            <w:r w:rsidRPr="00B66DC3">
              <w:rPr>
                <w:rFonts w:ascii="Arial" w:eastAsia="Calibri" w:hAnsi="Arial" w:cs="Arial"/>
                <w:bCs/>
                <w:sz w:val="20"/>
              </w:rPr>
              <w:t>rotein-</w:t>
            </w:r>
            <w:r>
              <w:rPr>
                <w:rFonts w:ascii="Arial" w:eastAsia="Calibri" w:hAnsi="Arial" w:cs="Arial"/>
                <w:bCs/>
                <w:sz w:val="20"/>
              </w:rPr>
              <w:t>i</w:t>
            </w:r>
            <w:r w:rsidRPr="00B66DC3">
              <w:rPr>
                <w:rFonts w:ascii="Arial" w:eastAsia="Calibri" w:hAnsi="Arial" w:cs="Arial"/>
                <w:bCs/>
                <w:sz w:val="20"/>
              </w:rPr>
              <w:t>nduced</w:t>
            </w:r>
            <w:r>
              <w:rPr>
                <w:rFonts w:ascii="Arial" w:eastAsia="Calibri" w:hAnsi="Arial" w:cs="Arial"/>
                <w:bCs/>
                <w:sz w:val="20"/>
              </w:rPr>
              <w:t xml:space="preserve"> allergic phenotypes.</w:t>
            </w:r>
          </w:p>
          <w:p w14:paraId="4B66F1FC" w14:textId="77777777" w:rsidR="00DC40C5" w:rsidRPr="005F409A" w:rsidRDefault="00DC40C5" w:rsidP="00FC1F87">
            <w:pPr>
              <w:spacing w:after="0" w:line="240" w:lineRule="auto"/>
              <w:jc w:val="both"/>
              <w:rPr>
                <w:rFonts w:ascii="Arial" w:eastAsia="Calibri" w:hAnsi="Arial" w:cs="Arial"/>
                <w:bCs/>
                <w:sz w:val="20"/>
              </w:rPr>
            </w:pPr>
            <w:r w:rsidRPr="005F409A">
              <w:rPr>
                <w:rFonts w:ascii="Arial" w:eastAsia="Calibri" w:hAnsi="Arial" w:cs="Arial"/>
                <w:b/>
                <w:sz w:val="20"/>
              </w:rPr>
              <w:t xml:space="preserve">Study Design: </w:t>
            </w:r>
            <w:r w:rsidRPr="005F409A">
              <w:rPr>
                <w:rFonts w:ascii="Arial" w:eastAsia="Calibri" w:hAnsi="Arial" w:cs="Arial"/>
                <w:bCs/>
                <w:sz w:val="20"/>
              </w:rPr>
              <w:t>We examined retrospectively</w:t>
            </w:r>
            <w:r>
              <w:rPr>
                <w:rFonts w:ascii="Arial" w:eastAsia="Calibri" w:hAnsi="Arial" w:cs="Arial"/>
                <w:bCs/>
                <w:sz w:val="20"/>
              </w:rPr>
              <w:t xml:space="preserve"> </w:t>
            </w:r>
            <w:r w:rsidRPr="005F409A">
              <w:rPr>
                <w:rFonts w:ascii="Arial" w:eastAsia="Calibri" w:hAnsi="Arial" w:cs="Arial"/>
                <w:bCs/>
                <w:sz w:val="20"/>
              </w:rPr>
              <w:t xml:space="preserve">the medical charts of two cohorts of patients clinically diagnosed with </w:t>
            </w:r>
            <w:r w:rsidRPr="00B66DC3">
              <w:rPr>
                <w:rFonts w:ascii="Arial" w:eastAsia="Calibri" w:hAnsi="Arial" w:cs="Arial"/>
                <w:bCs/>
                <w:sz w:val="20"/>
              </w:rPr>
              <w:t xml:space="preserve">non–IgE-mediated </w:t>
            </w:r>
            <w:r>
              <w:rPr>
                <w:rFonts w:ascii="Arial" w:eastAsia="Calibri" w:hAnsi="Arial" w:cs="Arial"/>
                <w:bCs/>
                <w:sz w:val="20"/>
              </w:rPr>
              <w:t>gastrointestinal f</w:t>
            </w:r>
            <w:r w:rsidRPr="00B66DC3">
              <w:rPr>
                <w:rFonts w:ascii="Arial" w:eastAsia="Calibri" w:hAnsi="Arial" w:cs="Arial"/>
                <w:bCs/>
                <w:sz w:val="20"/>
              </w:rPr>
              <w:t xml:space="preserve">ood </w:t>
            </w:r>
            <w:r>
              <w:rPr>
                <w:rFonts w:ascii="Arial" w:eastAsia="Calibri" w:hAnsi="Arial" w:cs="Arial"/>
                <w:bCs/>
                <w:sz w:val="20"/>
              </w:rPr>
              <w:t>p</w:t>
            </w:r>
            <w:r w:rsidRPr="00B66DC3">
              <w:rPr>
                <w:rFonts w:ascii="Arial" w:eastAsia="Calibri" w:hAnsi="Arial" w:cs="Arial"/>
                <w:bCs/>
                <w:sz w:val="20"/>
              </w:rPr>
              <w:t>rotein-</w:t>
            </w:r>
            <w:r>
              <w:rPr>
                <w:rFonts w:ascii="Arial" w:eastAsia="Calibri" w:hAnsi="Arial" w:cs="Arial"/>
                <w:bCs/>
                <w:sz w:val="20"/>
              </w:rPr>
              <w:t>i</w:t>
            </w:r>
            <w:r w:rsidRPr="00B66DC3">
              <w:rPr>
                <w:rFonts w:ascii="Arial" w:eastAsia="Calibri" w:hAnsi="Arial" w:cs="Arial"/>
                <w:bCs/>
                <w:sz w:val="20"/>
              </w:rPr>
              <w:t>nduced</w:t>
            </w:r>
            <w:r>
              <w:rPr>
                <w:rFonts w:ascii="Arial" w:eastAsia="Calibri" w:hAnsi="Arial" w:cs="Arial"/>
                <w:bCs/>
                <w:sz w:val="20"/>
              </w:rPr>
              <w:t xml:space="preserve"> allergic phenotypes related to consumption of </w:t>
            </w:r>
            <w:r w:rsidRPr="005F409A">
              <w:rPr>
                <w:rFonts w:ascii="Arial" w:eastAsia="Calibri" w:hAnsi="Arial" w:cs="Arial"/>
                <w:bCs/>
                <w:sz w:val="20"/>
              </w:rPr>
              <w:t xml:space="preserve">chicken meat </w:t>
            </w:r>
            <w:r>
              <w:rPr>
                <w:rFonts w:ascii="Arial" w:eastAsia="Calibri" w:hAnsi="Arial" w:cs="Arial"/>
                <w:bCs/>
                <w:sz w:val="20"/>
              </w:rPr>
              <w:t>and/or chicken egg yolk</w:t>
            </w:r>
            <w:r w:rsidRPr="005F409A">
              <w:rPr>
                <w:rFonts w:ascii="Arial" w:eastAsia="Calibri" w:hAnsi="Arial" w:cs="Arial"/>
                <w:bCs/>
                <w:sz w:val="20"/>
              </w:rPr>
              <w:t>, who were investigated with the help of TTP or LAIT.</w:t>
            </w:r>
          </w:p>
          <w:p w14:paraId="475E3FAA" w14:textId="79142E98" w:rsidR="00DC40C5" w:rsidRDefault="00DC40C5" w:rsidP="00E120BE">
            <w:pPr>
              <w:spacing w:after="0" w:line="240" w:lineRule="auto"/>
              <w:jc w:val="both"/>
              <w:rPr>
                <w:rFonts w:ascii="Arial" w:eastAsia="Calibri" w:hAnsi="Arial" w:cs="Arial"/>
                <w:bCs/>
                <w:sz w:val="20"/>
              </w:rPr>
            </w:pPr>
            <w:r w:rsidRPr="00E57E69">
              <w:rPr>
                <w:rFonts w:ascii="Arial" w:eastAsia="Calibri" w:hAnsi="Arial" w:cs="Arial"/>
                <w:b/>
                <w:sz w:val="20"/>
              </w:rPr>
              <w:t xml:space="preserve">Methodology: </w:t>
            </w:r>
            <w:r w:rsidRPr="00E57E69">
              <w:rPr>
                <w:rFonts w:ascii="Arial" w:eastAsia="Calibri" w:hAnsi="Arial" w:cs="Arial"/>
                <w:bCs/>
                <w:sz w:val="20"/>
              </w:rPr>
              <w:t xml:space="preserve">The </w:t>
            </w:r>
            <w:r w:rsidR="00640F91">
              <w:rPr>
                <w:rFonts w:ascii="Arial" w:eastAsia="Calibri" w:hAnsi="Arial" w:cs="Arial"/>
                <w:bCs/>
                <w:sz w:val="20"/>
              </w:rPr>
              <w:t>TTP and LAIT's registered results against chicken meat and chicken egg yolk extracts</w:t>
            </w:r>
            <w:r>
              <w:rPr>
                <w:rFonts w:ascii="Arial" w:eastAsia="Calibri" w:hAnsi="Arial" w:cs="Arial"/>
                <w:bCs/>
                <w:sz w:val="20"/>
              </w:rPr>
              <w:t xml:space="preserve"> </w:t>
            </w:r>
            <w:r w:rsidRPr="00E57E69">
              <w:rPr>
                <w:rFonts w:ascii="Arial" w:eastAsia="Calibri" w:hAnsi="Arial" w:cs="Arial"/>
                <w:bCs/>
                <w:sz w:val="20"/>
              </w:rPr>
              <w:t xml:space="preserve">were distributed in ranges through a cascade distribution chart to outline the variability of the results </w:t>
            </w:r>
            <w:r>
              <w:rPr>
                <w:rFonts w:ascii="Arial" w:eastAsia="Calibri" w:hAnsi="Arial" w:cs="Arial"/>
                <w:bCs/>
                <w:sz w:val="20"/>
              </w:rPr>
              <w:t>within</w:t>
            </w:r>
            <w:r w:rsidRPr="00E57E69">
              <w:rPr>
                <w:rFonts w:ascii="Arial" w:eastAsia="Calibri" w:hAnsi="Arial" w:cs="Arial"/>
                <w:bCs/>
                <w:sz w:val="20"/>
              </w:rPr>
              <w:t xml:space="preserve"> the</w:t>
            </w:r>
            <w:r>
              <w:rPr>
                <w:rFonts w:ascii="Arial" w:eastAsia="Calibri" w:hAnsi="Arial" w:cs="Arial"/>
                <w:bCs/>
                <w:sz w:val="20"/>
              </w:rPr>
              <w:t xml:space="preserve"> </w:t>
            </w:r>
            <w:r w:rsidRPr="00E57E69">
              <w:rPr>
                <w:rFonts w:ascii="Arial" w:eastAsia="Calibri" w:hAnsi="Arial" w:cs="Arial"/>
                <w:bCs/>
                <w:sz w:val="20"/>
              </w:rPr>
              <w:t>cohort</w:t>
            </w:r>
            <w:r>
              <w:rPr>
                <w:rFonts w:ascii="Arial" w:eastAsia="Calibri" w:hAnsi="Arial" w:cs="Arial"/>
                <w:bCs/>
                <w:sz w:val="20"/>
              </w:rPr>
              <w:t>s</w:t>
            </w:r>
            <w:r w:rsidRPr="00E57E69">
              <w:rPr>
                <w:rFonts w:ascii="Arial" w:eastAsia="Calibri" w:hAnsi="Arial" w:cs="Arial"/>
                <w:bCs/>
                <w:sz w:val="20"/>
              </w:rPr>
              <w:t xml:space="preserve">. </w:t>
            </w:r>
            <w:r>
              <w:rPr>
                <w:rFonts w:ascii="Arial" w:eastAsia="Times New Roman" w:hAnsi="Arial" w:cs="Arial"/>
                <w:sz w:val="20"/>
                <w:szCs w:val="20"/>
              </w:rPr>
              <w:t>T</w:t>
            </w:r>
            <w:r w:rsidRPr="00E000B2">
              <w:rPr>
                <w:rFonts w:ascii="Arial" w:eastAsia="Times New Roman" w:hAnsi="Arial" w:cs="Arial"/>
                <w:sz w:val="20"/>
                <w:szCs w:val="20"/>
              </w:rPr>
              <w:t xml:space="preserve">he </w:t>
            </w:r>
            <w:r>
              <w:rPr>
                <w:rFonts w:ascii="Arial" w:eastAsia="Times New Roman" w:hAnsi="Arial" w:cs="Arial"/>
                <w:sz w:val="20"/>
                <w:szCs w:val="20"/>
              </w:rPr>
              <w:t>P</w:t>
            </w:r>
            <w:r w:rsidRPr="00E000B2">
              <w:rPr>
                <w:rFonts w:ascii="Arial" w:eastAsia="Times New Roman" w:hAnsi="Arial" w:cs="Arial"/>
                <w:sz w:val="20"/>
                <w:szCs w:val="20"/>
              </w:rPr>
              <w:t xml:space="preserve">earson </w:t>
            </w:r>
            <w:r>
              <w:rPr>
                <w:rFonts w:ascii="Arial" w:eastAsia="Times New Roman" w:hAnsi="Arial" w:cs="Arial"/>
                <w:sz w:val="20"/>
                <w:szCs w:val="20"/>
              </w:rPr>
              <w:t>correlation test was used to evaluate the correlation between the results obtained simultaneously with both food allergens.</w:t>
            </w:r>
          </w:p>
          <w:p w14:paraId="05BD44E9" w14:textId="0F51EB89" w:rsidR="00DC40C5" w:rsidRPr="008F1B7A" w:rsidRDefault="00DC40C5" w:rsidP="004673BB">
            <w:pPr>
              <w:spacing w:after="0" w:line="240" w:lineRule="auto"/>
              <w:jc w:val="both"/>
              <w:rPr>
                <w:rFonts w:ascii="Arial" w:eastAsia="Times New Roman" w:hAnsi="Arial" w:cs="Arial"/>
                <w:sz w:val="20"/>
                <w:szCs w:val="20"/>
              </w:rPr>
            </w:pPr>
            <w:r w:rsidRPr="00E120BE">
              <w:rPr>
                <w:rFonts w:ascii="Arial" w:eastAsia="Calibri" w:hAnsi="Arial" w:cs="Arial"/>
                <w:b/>
                <w:sz w:val="20"/>
              </w:rPr>
              <w:t xml:space="preserve">Results: </w:t>
            </w:r>
            <w:r w:rsidRPr="00B26EB7">
              <w:rPr>
                <w:rFonts w:ascii="Arial" w:eastAsia="Times New Roman" w:hAnsi="Arial" w:cs="Arial"/>
                <w:sz w:val="20"/>
                <w:szCs w:val="20"/>
              </w:rPr>
              <w:t xml:space="preserve">The LAIT for the chicken meat extract </w:t>
            </w:r>
            <w:r>
              <w:rPr>
                <w:rFonts w:ascii="Arial" w:eastAsia="Times New Roman" w:hAnsi="Arial" w:cs="Arial"/>
                <w:sz w:val="20"/>
                <w:szCs w:val="20"/>
              </w:rPr>
              <w:t xml:space="preserve">and egg yolk extract </w:t>
            </w:r>
            <w:r w:rsidRPr="00B26EB7">
              <w:rPr>
                <w:rFonts w:ascii="Arial" w:eastAsia="Times New Roman" w:hAnsi="Arial" w:cs="Arial"/>
                <w:sz w:val="20"/>
                <w:szCs w:val="20"/>
              </w:rPr>
              <w:t>showed a wide distribution range of results.</w:t>
            </w:r>
            <w:r>
              <w:rPr>
                <w:rFonts w:ascii="Arial" w:eastAsia="Times New Roman" w:hAnsi="Arial" w:cs="Arial"/>
                <w:sz w:val="20"/>
                <w:szCs w:val="20"/>
              </w:rPr>
              <w:t xml:space="preserve"> </w:t>
            </w:r>
            <w:r w:rsidRPr="00837994">
              <w:rPr>
                <w:rFonts w:ascii="Arial" w:eastAsia="Times New Roman" w:hAnsi="Arial" w:cs="Arial"/>
                <w:sz w:val="20"/>
                <w:szCs w:val="20"/>
              </w:rPr>
              <w:t xml:space="preserve">The TTP for the chicken meat </w:t>
            </w:r>
            <w:r>
              <w:rPr>
                <w:rFonts w:ascii="Arial" w:eastAsia="Times New Roman" w:hAnsi="Arial" w:cs="Arial"/>
                <w:sz w:val="20"/>
                <w:szCs w:val="20"/>
              </w:rPr>
              <w:t>and egg yolk extract</w:t>
            </w:r>
            <w:r w:rsidR="00640F91">
              <w:rPr>
                <w:rFonts w:ascii="Arial" w:eastAsia="Times New Roman" w:hAnsi="Arial" w:cs="Arial"/>
                <w:sz w:val="20"/>
                <w:szCs w:val="20"/>
              </w:rPr>
              <w:t>s</w:t>
            </w:r>
            <w:r>
              <w:rPr>
                <w:rFonts w:ascii="Arial" w:eastAsia="Times New Roman" w:hAnsi="Arial" w:cs="Arial"/>
                <w:sz w:val="20"/>
                <w:szCs w:val="20"/>
              </w:rPr>
              <w:t xml:space="preserve"> </w:t>
            </w:r>
            <w:r w:rsidRPr="00837994">
              <w:rPr>
                <w:rFonts w:ascii="Arial" w:eastAsia="Times New Roman" w:hAnsi="Arial" w:cs="Arial"/>
                <w:sz w:val="20"/>
                <w:szCs w:val="20"/>
              </w:rPr>
              <w:t>showed a distribution concentrated on the higher dilutions</w:t>
            </w:r>
            <w:r>
              <w:rPr>
                <w:rFonts w:ascii="Arial" w:eastAsia="Times New Roman" w:hAnsi="Arial" w:cs="Arial"/>
                <w:sz w:val="20"/>
                <w:szCs w:val="20"/>
              </w:rPr>
              <w:t>. T</w:t>
            </w:r>
            <w:r w:rsidRPr="00E000B2">
              <w:rPr>
                <w:rFonts w:ascii="Arial" w:eastAsia="Times New Roman" w:hAnsi="Arial" w:cs="Arial"/>
                <w:sz w:val="20"/>
                <w:szCs w:val="20"/>
              </w:rPr>
              <w:t xml:space="preserve">he </w:t>
            </w:r>
            <w:r>
              <w:rPr>
                <w:rFonts w:ascii="Arial" w:eastAsia="Times New Roman" w:hAnsi="Arial" w:cs="Arial"/>
                <w:sz w:val="20"/>
                <w:szCs w:val="20"/>
              </w:rPr>
              <w:t>P</w:t>
            </w:r>
            <w:r w:rsidRPr="00E000B2">
              <w:rPr>
                <w:rFonts w:ascii="Arial" w:eastAsia="Times New Roman" w:hAnsi="Arial" w:cs="Arial"/>
                <w:sz w:val="20"/>
                <w:szCs w:val="20"/>
              </w:rPr>
              <w:t xml:space="preserve">earson </w:t>
            </w:r>
            <w:r>
              <w:rPr>
                <w:rFonts w:ascii="Arial" w:eastAsia="Times New Roman" w:hAnsi="Arial" w:cs="Arial"/>
                <w:sz w:val="20"/>
                <w:szCs w:val="20"/>
              </w:rPr>
              <w:t>correlation test showed</w:t>
            </w:r>
            <w:r w:rsidRPr="00E000B2">
              <w:rPr>
                <w:rFonts w:ascii="Arial" w:eastAsia="Times New Roman" w:hAnsi="Arial" w:cs="Arial"/>
                <w:sz w:val="20"/>
                <w:szCs w:val="20"/>
              </w:rPr>
              <w:t xml:space="preserve"> a non-significant positive </w:t>
            </w:r>
            <w:r>
              <w:rPr>
                <w:rFonts w:ascii="Arial" w:eastAsia="Times New Roman" w:hAnsi="Arial" w:cs="Arial"/>
                <w:sz w:val="20"/>
                <w:szCs w:val="20"/>
              </w:rPr>
              <w:t>cor</w:t>
            </w:r>
            <w:r w:rsidRPr="00E000B2">
              <w:rPr>
                <w:rFonts w:ascii="Arial" w:eastAsia="Times New Roman" w:hAnsi="Arial" w:cs="Arial"/>
                <w:sz w:val="20"/>
                <w:szCs w:val="20"/>
              </w:rPr>
              <w:t>relation between</w:t>
            </w:r>
            <w:r>
              <w:rPr>
                <w:rFonts w:ascii="Arial" w:eastAsia="Times New Roman" w:hAnsi="Arial" w:cs="Arial"/>
                <w:sz w:val="20"/>
                <w:szCs w:val="20"/>
              </w:rPr>
              <w:t xml:space="preserve"> LAIT for egg yolk and LAIT for chicken meat extract;</w:t>
            </w:r>
            <w:r w:rsidRPr="00E000B2">
              <w:rPr>
                <w:rFonts w:ascii="Arial" w:eastAsia="Times New Roman" w:hAnsi="Arial" w:cs="Arial"/>
                <w:sz w:val="20"/>
                <w:szCs w:val="20"/>
              </w:rPr>
              <w:t xml:space="preserve"> r(98) = </w:t>
            </w:r>
            <w:r>
              <w:rPr>
                <w:rFonts w:ascii="Arial" w:eastAsia="Times New Roman" w:hAnsi="Arial" w:cs="Arial"/>
                <w:sz w:val="20"/>
                <w:szCs w:val="20"/>
              </w:rPr>
              <w:t>0</w:t>
            </w:r>
            <w:r w:rsidRPr="00E000B2">
              <w:rPr>
                <w:rFonts w:ascii="Arial" w:eastAsia="Times New Roman" w:hAnsi="Arial" w:cs="Arial"/>
                <w:sz w:val="20"/>
                <w:szCs w:val="20"/>
              </w:rPr>
              <w:t xml:space="preserve">.156, p = </w:t>
            </w:r>
            <w:r>
              <w:rPr>
                <w:rFonts w:ascii="Arial" w:eastAsia="Times New Roman" w:hAnsi="Arial" w:cs="Arial"/>
                <w:sz w:val="20"/>
                <w:szCs w:val="20"/>
              </w:rPr>
              <w:t>0</w:t>
            </w:r>
            <w:r w:rsidRPr="00E000B2">
              <w:rPr>
                <w:rFonts w:ascii="Arial" w:eastAsia="Times New Roman" w:hAnsi="Arial" w:cs="Arial"/>
                <w:sz w:val="20"/>
                <w:szCs w:val="20"/>
              </w:rPr>
              <w:t>.121</w:t>
            </w:r>
            <w:r>
              <w:rPr>
                <w:rFonts w:ascii="Arial" w:eastAsia="Times New Roman" w:hAnsi="Arial" w:cs="Arial"/>
                <w:sz w:val="20"/>
                <w:szCs w:val="20"/>
              </w:rPr>
              <w:t>. T</w:t>
            </w:r>
            <w:r w:rsidRPr="00E000B2">
              <w:rPr>
                <w:rFonts w:ascii="Arial" w:eastAsia="Times New Roman" w:hAnsi="Arial" w:cs="Arial"/>
                <w:sz w:val="20"/>
                <w:szCs w:val="20"/>
              </w:rPr>
              <w:t xml:space="preserve">he </w:t>
            </w:r>
            <w:r>
              <w:rPr>
                <w:rFonts w:ascii="Arial" w:eastAsia="Times New Roman" w:hAnsi="Arial" w:cs="Arial"/>
                <w:sz w:val="20"/>
                <w:szCs w:val="20"/>
              </w:rPr>
              <w:t>P</w:t>
            </w:r>
            <w:r w:rsidRPr="00E000B2">
              <w:rPr>
                <w:rFonts w:ascii="Arial" w:eastAsia="Times New Roman" w:hAnsi="Arial" w:cs="Arial"/>
                <w:sz w:val="20"/>
                <w:szCs w:val="20"/>
              </w:rPr>
              <w:t xml:space="preserve">earson </w:t>
            </w:r>
            <w:r>
              <w:rPr>
                <w:rFonts w:ascii="Arial" w:eastAsia="Times New Roman" w:hAnsi="Arial" w:cs="Arial"/>
                <w:sz w:val="20"/>
                <w:szCs w:val="20"/>
              </w:rPr>
              <w:t>correlation test showed</w:t>
            </w:r>
            <w:r w:rsidRPr="00E000B2">
              <w:rPr>
                <w:rFonts w:ascii="Arial" w:eastAsia="Times New Roman" w:hAnsi="Arial" w:cs="Arial"/>
                <w:sz w:val="20"/>
                <w:szCs w:val="20"/>
              </w:rPr>
              <w:t xml:space="preserve"> a non-significant positive </w:t>
            </w:r>
            <w:r>
              <w:rPr>
                <w:rFonts w:ascii="Arial" w:eastAsia="Times New Roman" w:hAnsi="Arial" w:cs="Arial"/>
                <w:sz w:val="20"/>
                <w:szCs w:val="20"/>
              </w:rPr>
              <w:t>cor</w:t>
            </w:r>
            <w:r w:rsidRPr="00E000B2">
              <w:rPr>
                <w:rFonts w:ascii="Arial" w:eastAsia="Times New Roman" w:hAnsi="Arial" w:cs="Arial"/>
                <w:sz w:val="20"/>
                <w:szCs w:val="20"/>
              </w:rPr>
              <w:t>relation between</w:t>
            </w:r>
            <w:r w:rsidRPr="00E120BE">
              <w:rPr>
                <w:rFonts w:ascii="Arial" w:eastAsia="Times New Roman" w:hAnsi="Arial" w:cs="Arial"/>
                <w:sz w:val="20"/>
                <w:szCs w:val="20"/>
              </w:rPr>
              <w:t xml:space="preserve"> TTP for the</w:t>
            </w:r>
            <w:r w:rsidRPr="008F1B7A">
              <w:rPr>
                <w:rFonts w:ascii="Arial" w:eastAsia="Times New Roman" w:hAnsi="Arial" w:cs="Arial"/>
                <w:sz w:val="20"/>
                <w:szCs w:val="20"/>
              </w:rPr>
              <w:t xml:space="preserve"> egg yolk extract and TTP for the chicken meat extract</w:t>
            </w:r>
            <w:r>
              <w:rPr>
                <w:rFonts w:ascii="Arial" w:eastAsia="Times New Roman" w:hAnsi="Arial" w:cs="Arial"/>
                <w:sz w:val="20"/>
                <w:szCs w:val="20"/>
              </w:rPr>
              <w:t>;</w:t>
            </w:r>
            <w:r w:rsidRPr="008F1B7A">
              <w:rPr>
                <w:rFonts w:ascii="Arial" w:eastAsia="Times New Roman" w:hAnsi="Arial" w:cs="Arial"/>
                <w:sz w:val="20"/>
                <w:szCs w:val="20"/>
              </w:rPr>
              <w:t xml:space="preserve"> r(98) = 0.181, p = 0.072.</w:t>
            </w:r>
          </w:p>
          <w:p w14:paraId="4909648D" w14:textId="550B55A7" w:rsidR="00DC40C5" w:rsidRPr="0059262C" w:rsidRDefault="00DC40C5" w:rsidP="007A39CE">
            <w:pPr>
              <w:spacing w:after="0" w:line="240" w:lineRule="auto"/>
              <w:jc w:val="both"/>
              <w:rPr>
                <w:rFonts w:ascii="Arial" w:eastAsia="Calibri" w:hAnsi="Arial" w:cs="Arial"/>
                <w:bCs/>
                <w:color w:val="C00000"/>
                <w:sz w:val="20"/>
              </w:rPr>
            </w:pPr>
            <w:r w:rsidRPr="009D66A4">
              <w:rPr>
                <w:rFonts w:ascii="Arial" w:eastAsia="Calibri" w:hAnsi="Arial" w:cs="Arial"/>
                <w:b/>
                <w:sz w:val="20"/>
              </w:rPr>
              <w:t xml:space="preserve">Conclusion: </w:t>
            </w:r>
            <w:r w:rsidRPr="009D66A4">
              <w:rPr>
                <w:rFonts w:ascii="Arial" w:eastAsia="Calibri" w:hAnsi="Arial" w:cs="Arial"/>
                <w:bCs/>
                <w:sz w:val="20"/>
              </w:rPr>
              <w:t xml:space="preserve">Our preliminary results support that the TTP and LAIT performed with </w:t>
            </w:r>
            <w:r>
              <w:rPr>
                <w:rFonts w:ascii="Arial" w:eastAsia="Calibri" w:hAnsi="Arial" w:cs="Arial"/>
                <w:bCs/>
                <w:sz w:val="20"/>
              </w:rPr>
              <w:t>chicken meat and egg yolk</w:t>
            </w:r>
            <w:r w:rsidRPr="009D66A4">
              <w:rPr>
                <w:rFonts w:ascii="Arial" w:eastAsia="Calibri" w:hAnsi="Arial" w:cs="Arial"/>
                <w:bCs/>
                <w:sz w:val="20"/>
              </w:rPr>
              <w:t xml:space="preserve"> extracts may discriminate diverse </w:t>
            </w:r>
            <w:r>
              <w:rPr>
                <w:rFonts w:ascii="Arial" w:eastAsia="Calibri" w:hAnsi="Arial" w:cs="Arial"/>
                <w:bCs/>
                <w:sz w:val="20"/>
              </w:rPr>
              <w:t>humoral and cellular immunoreactivity degrees</w:t>
            </w:r>
            <w:r w:rsidRPr="009D66A4">
              <w:rPr>
                <w:rFonts w:ascii="Arial" w:eastAsia="Calibri" w:hAnsi="Arial" w:cs="Arial"/>
                <w:bCs/>
                <w:sz w:val="20"/>
              </w:rPr>
              <w:t xml:space="preserve"> in patients suffering from </w:t>
            </w:r>
            <w:r w:rsidR="0079059B">
              <w:rPr>
                <w:rFonts w:ascii="Arial" w:eastAsia="Calibri" w:hAnsi="Arial" w:cs="Arial"/>
                <w:bCs/>
                <w:sz w:val="20"/>
              </w:rPr>
              <w:t xml:space="preserve">food protein-induced </w:t>
            </w:r>
            <w:r>
              <w:rPr>
                <w:rFonts w:ascii="Arial" w:eastAsia="Calibri" w:hAnsi="Arial" w:cs="Arial"/>
                <w:bCs/>
                <w:sz w:val="20"/>
              </w:rPr>
              <w:t>gastrointestinal allergies</w:t>
            </w:r>
            <w:r w:rsidR="00640F91">
              <w:rPr>
                <w:rFonts w:ascii="Arial" w:eastAsia="Calibri" w:hAnsi="Arial" w:cs="Arial"/>
                <w:bCs/>
                <w:sz w:val="20"/>
              </w:rPr>
              <w:t>. However,</w:t>
            </w:r>
            <w:r>
              <w:rPr>
                <w:rFonts w:ascii="Arial" w:eastAsia="Calibri" w:hAnsi="Arial" w:cs="Arial"/>
                <w:bCs/>
                <w:sz w:val="20"/>
              </w:rPr>
              <w:t xml:space="preserve"> there </w:t>
            </w:r>
            <w:r w:rsidR="00640F91">
              <w:rPr>
                <w:rFonts w:ascii="Arial" w:eastAsia="Calibri" w:hAnsi="Arial" w:cs="Arial"/>
                <w:bCs/>
                <w:sz w:val="20"/>
              </w:rPr>
              <w:t>was</w:t>
            </w:r>
            <w:r>
              <w:rPr>
                <w:rFonts w:ascii="Arial" w:eastAsia="Calibri" w:hAnsi="Arial" w:cs="Arial"/>
                <w:bCs/>
                <w:sz w:val="20"/>
              </w:rPr>
              <w:t xml:space="preserve"> no </w:t>
            </w:r>
            <w:r w:rsidR="00640F91">
              <w:rPr>
                <w:rFonts w:ascii="Arial" w:eastAsia="Calibri" w:hAnsi="Arial" w:cs="Arial"/>
                <w:bCs/>
                <w:sz w:val="20"/>
              </w:rPr>
              <w:t xml:space="preserve">statistically </w:t>
            </w:r>
            <w:r>
              <w:rPr>
                <w:rFonts w:ascii="Arial" w:eastAsia="Calibri" w:hAnsi="Arial" w:cs="Arial"/>
                <w:bCs/>
                <w:sz w:val="20"/>
              </w:rPr>
              <w:t>significant quantitative correlation between the results.</w:t>
            </w:r>
          </w:p>
        </w:tc>
      </w:tr>
    </w:tbl>
    <w:p w14:paraId="6791AB51" w14:textId="77777777" w:rsidR="00DC40C5" w:rsidRPr="005E2A7F" w:rsidRDefault="00DC40C5" w:rsidP="00646870">
      <w:pPr>
        <w:spacing w:after="0" w:line="240" w:lineRule="auto"/>
        <w:ind w:left="990" w:hanging="990"/>
        <w:jc w:val="both"/>
        <w:textAlignment w:val="top"/>
        <w:rPr>
          <w:rFonts w:ascii="Arial" w:eastAsia="Times New Roman" w:hAnsi="Arial" w:cs="Arial"/>
          <w:i/>
          <w:szCs w:val="20"/>
        </w:rPr>
      </w:pPr>
    </w:p>
    <w:p w14:paraId="5A662016" w14:textId="77777777" w:rsidR="00DC40C5" w:rsidRPr="00B3293C" w:rsidRDefault="00DC40C5" w:rsidP="00646870">
      <w:pPr>
        <w:spacing w:after="0" w:line="240" w:lineRule="auto"/>
        <w:ind w:left="1080" w:hanging="1080"/>
        <w:jc w:val="both"/>
        <w:rPr>
          <w:rFonts w:ascii="Arial" w:eastAsia="Times New Roman" w:hAnsi="Arial" w:cs="Arial"/>
          <w:bCs/>
          <w:i/>
          <w:iCs/>
          <w:sz w:val="20"/>
          <w:szCs w:val="20"/>
        </w:rPr>
      </w:pPr>
      <w:r w:rsidRPr="00101139">
        <w:rPr>
          <w:rFonts w:ascii="Arial" w:eastAsia="Times New Roman" w:hAnsi="Arial" w:cs="Arial"/>
          <w:i/>
          <w:sz w:val="20"/>
          <w:szCs w:val="20"/>
        </w:rPr>
        <w:t xml:space="preserve">Keywords: </w:t>
      </w:r>
      <w:r w:rsidRPr="00B3293C">
        <w:rPr>
          <w:rFonts w:ascii="Arial" w:eastAsia="Times New Roman" w:hAnsi="Arial" w:cs="Arial"/>
          <w:bCs/>
          <w:i/>
          <w:iCs/>
          <w:sz w:val="20"/>
          <w:szCs w:val="20"/>
        </w:rPr>
        <w:t xml:space="preserve">Endotype; Hypersensitivity; Chicken meat; Food Protein-Induced Enterocolitis Syndrome; </w:t>
      </w:r>
      <w:r w:rsidRPr="00B3293C">
        <w:rPr>
          <w:rFonts w:ascii="Arial" w:eastAsia="Calibri" w:hAnsi="Arial" w:cs="Arial"/>
          <w:bCs/>
          <w:i/>
          <w:iCs/>
          <w:sz w:val="20"/>
        </w:rPr>
        <w:t>Leukocyte Adherence Inhibition Test</w:t>
      </w:r>
      <w:r w:rsidRPr="00B3293C">
        <w:rPr>
          <w:rFonts w:ascii="Arial" w:eastAsia="Times New Roman" w:hAnsi="Arial" w:cs="Arial"/>
          <w:bCs/>
          <w:i/>
          <w:iCs/>
          <w:sz w:val="20"/>
          <w:szCs w:val="20"/>
        </w:rPr>
        <w:t xml:space="preserve">; Non–IgE-mediated Immunoreactivity; </w:t>
      </w:r>
      <w:r>
        <w:rPr>
          <w:rFonts w:ascii="Arial" w:eastAsia="Times New Roman" w:hAnsi="Arial" w:cs="Arial"/>
          <w:bCs/>
          <w:i/>
          <w:iCs/>
          <w:sz w:val="20"/>
          <w:szCs w:val="20"/>
        </w:rPr>
        <w:t xml:space="preserve">Poultry meat; </w:t>
      </w:r>
      <w:r w:rsidRPr="00B3293C">
        <w:rPr>
          <w:rFonts w:ascii="Arial" w:eastAsia="Times New Roman" w:hAnsi="Arial" w:cs="Arial"/>
          <w:bCs/>
          <w:i/>
          <w:iCs/>
          <w:sz w:val="20"/>
          <w:szCs w:val="20"/>
        </w:rPr>
        <w:t>Precipitins.</w:t>
      </w:r>
    </w:p>
    <w:p w14:paraId="1AE9C7C8" w14:textId="77777777" w:rsidR="00DC40C5" w:rsidRPr="002D7DE5" w:rsidRDefault="00DC40C5" w:rsidP="00646870">
      <w:pPr>
        <w:pStyle w:val="Heading2"/>
        <w:rPr>
          <w:rFonts w:eastAsia="Times New Roman"/>
          <w:color w:val="FF0000"/>
        </w:rPr>
      </w:pPr>
    </w:p>
    <w:p w14:paraId="15A20AB1" w14:textId="77777777" w:rsidR="00DC40C5" w:rsidRPr="006F4DDA" w:rsidRDefault="00DC40C5" w:rsidP="00806635">
      <w:pPr>
        <w:spacing w:after="0" w:line="240" w:lineRule="auto"/>
        <w:rPr>
          <w:rFonts w:ascii="Arial" w:hAnsi="Arial" w:cs="Arial"/>
          <w:b/>
          <w:bCs/>
          <w:sz w:val="20"/>
          <w:szCs w:val="20"/>
        </w:rPr>
      </w:pPr>
      <w:r w:rsidRPr="006F4DDA">
        <w:rPr>
          <w:rFonts w:ascii="Arial" w:hAnsi="Arial" w:cs="Arial"/>
          <w:b/>
          <w:bCs/>
          <w:sz w:val="20"/>
          <w:szCs w:val="20"/>
        </w:rPr>
        <w:t>Abbreviations:</w:t>
      </w:r>
    </w:p>
    <w:p w14:paraId="35C23E97" w14:textId="77777777" w:rsidR="0038144A" w:rsidRDefault="0038144A" w:rsidP="00C73615">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FA: Food Allergies</w:t>
      </w:r>
    </w:p>
    <w:p w14:paraId="0A6783CC" w14:textId="1D48AD76" w:rsidR="00294DB2" w:rsidRDefault="00294DB2" w:rsidP="00C73615">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FPIGA: Food </w:t>
      </w:r>
      <w:r w:rsidR="00C66394">
        <w:rPr>
          <w:rFonts w:ascii="Arial" w:eastAsia="Times New Roman" w:hAnsi="Arial" w:cs="Arial"/>
          <w:color w:val="000000" w:themeColor="text1"/>
          <w:sz w:val="20"/>
          <w:szCs w:val="20"/>
        </w:rPr>
        <w:t>P</w:t>
      </w:r>
      <w:r>
        <w:rPr>
          <w:rFonts w:ascii="Arial" w:eastAsia="Times New Roman" w:hAnsi="Arial" w:cs="Arial"/>
          <w:color w:val="000000" w:themeColor="text1"/>
          <w:sz w:val="20"/>
          <w:szCs w:val="20"/>
        </w:rPr>
        <w:t>rotein-</w:t>
      </w:r>
      <w:r w:rsidR="00C66394">
        <w:rPr>
          <w:rFonts w:ascii="Arial" w:eastAsia="Times New Roman" w:hAnsi="Arial" w:cs="Arial"/>
          <w:color w:val="000000" w:themeColor="text1"/>
          <w:sz w:val="20"/>
          <w:szCs w:val="20"/>
        </w:rPr>
        <w:t>I</w:t>
      </w:r>
      <w:r>
        <w:rPr>
          <w:rFonts w:ascii="Arial" w:eastAsia="Times New Roman" w:hAnsi="Arial" w:cs="Arial"/>
          <w:color w:val="000000" w:themeColor="text1"/>
          <w:sz w:val="20"/>
          <w:szCs w:val="20"/>
        </w:rPr>
        <w:t xml:space="preserve">nduced </w:t>
      </w:r>
      <w:r w:rsidR="00C66394">
        <w:rPr>
          <w:rFonts w:ascii="Arial" w:eastAsia="Times New Roman" w:hAnsi="Arial" w:cs="Arial"/>
          <w:color w:val="000000" w:themeColor="text1"/>
          <w:sz w:val="20"/>
          <w:szCs w:val="20"/>
        </w:rPr>
        <w:t>G</w:t>
      </w:r>
      <w:r>
        <w:rPr>
          <w:rFonts w:ascii="Arial" w:eastAsia="Times New Roman" w:hAnsi="Arial" w:cs="Arial"/>
          <w:color w:val="000000" w:themeColor="text1"/>
          <w:sz w:val="20"/>
          <w:szCs w:val="20"/>
        </w:rPr>
        <w:t xml:space="preserve">astrointestinal </w:t>
      </w:r>
      <w:r w:rsidR="00952A8C">
        <w:rPr>
          <w:rFonts w:ascii="Arial" w:eastAsia="Times New Roman" w:hAnsi="Arial" w:cs="Arial"/>
          <w:color w:val="000000" w:themeColor="text1"/>
          <w:sz w:val="20"/>
          <w:szCs w:val="20"/>
        </w:rPr>
        <w:t>A</w:t>
      </w:r>
      <w:r>
        <w:rPr>
          <w:rFonts w:ascii="Arial" w:eastAsia="Times New Roman" w:hAnsi="Arial" w:cs="Arial"/>
          <w:color w:val="000000" w:themeColor="text1"/>
          <w:sz w:val="20"/>
          <w:szCs w:val="20"/>
        </w:rPr>
        <w:t>llergies</w:t>
      </w:r>
    </w:p>
    <w:p w14:paraId="74538B52" w14:textId="77777777" w:rsidR="00C73615" w:rsidRDefault="00DC40C5" w:rsidP="00C73615">
      <w:pPr>
        <w:spacing w:after="0" w:line="240" w:lineRule="auto"/>
        <w:rPr>
          <w:rFonts w:ascii="Arial" w:hAnsi="Arial" w:cs="Arial"/>
          <w:sz w:val="20"/>
          <w:szCs w:val="20"/>
        </w:rPr>
      </w:pPr>
      <w:r w:rsidRPr="006F4DDA">
        <w:rPr>
          <w:rFonts w:ascii="Arial" w:hAnsi="Arial" w:cs="Arial"/>
          <w:sz w:val="20"/>
          <w:szCs w:val="20"/>
        </w:rPr>
        <w:t>LAI: Leukocyte Adherence Inhibition</w:t>
      </w:r>
    </w:p>
    <w:p w14:paraId="5F9BA608" w14:textId="2898431E" w:rsidR="00DC40C5" w:rsidRDefault="00DC40C5" w:rsidP="00C73615">
      <w:pPr>
        <w:spacing w:after="0" w:line="240" w:lineRule="auto"/>
        <w:rPr>
          <w:rFonts w:ascii="Arial" w:hAnsi="Arial" w:cs="Arial"/>
          <w:sz w:val="20"/>
          <w:szCs w:val="20"/>
        </w:rPr>
      </w:pPr>
      <w:r w:rsidRPr="006F4DDA">
        <w:rPr>
          <w:rFonts w:ascii="Arial" w:hAnsi="Arial" w:cs="Arial"/>
          <w:sz w:val="20"/>
          <w:szCs w:val="20"/>
        </w:rPr>
        <w:t>LAIT: Leukocyte Adherence Inhibition Test</w:t>
      </w:r>
    </w:p>
    <w:p w14:paraId="2BA4E322" w14:textId="074FD91C" w:rsidR="00952A8C" w:rsidRPr="006F4DDA" w:rsidRDefault="00952A8C" w:rsidP="00C73615">
      <w:pPr>
        <w:spacing w:after="0" w:line="240" w:lineRule="auto"/>
        <w:rPr>
          <w:rFonts w:ascii="Arial" w:hAnsi="Arial" w:cs="Arial"/>
          <w:sz w:val="20"/>
          <w:szCs w:val="20"/>
        </w:rPr>
      </w:pPr>
      <w:r>
        <w:rPr>
          <w:rFonts w:ascii="Arial" w:eastAsia="Times New Roman" w:hAnsi="Arial" w:cs="Arial"/>
          <w:sz w:val="20"/>
          <w:szCs w:val="20"/>
        </w:rPr>
        <w:t xml:space="preserve">LMIT: </w:t>
      </w:r>
      <w:r w:rsidRPr="00F53AD0">
        <w:rPr>
          <w:rFonts w:ascii="Arial" w:eastAsia="Times New Roman" w:hAnsi="Arial" w:cs="Arial"/>
          <w:sz w:val="20"/>
          <w:szCs w:val="20"/>
        </w:rPr>
        <w:t>Leukocyte Migration Inhibition Test</w:t>
      </w:r>
    </w:p>
    <w:p w14:paraId="713D642F" w14:textId="77777777" w:rsidR="00DC40C5" w:rsidRPr="006F4DDA" w:rsidRDefault="00DC40C5" w:rsidP="00C73615">
      <w:pPr>
        <w:spacing w:after="0" w:line="240" w:lineRule="auto"/>
        <w:rPr>
          <w:rFonts w:ascii="Arial" w:hAnsi="Arial" w:cs="Arial"/>
          <w:sz w:val="20"/>
          <w:szCs w:val="20"/>
        </w:rPr>
      </w:pPr>
      <w:r w:rsidRPr="006F4DDA">
        <w:rPr>
          <w:rFonts w:ascii="Arial" w:hAnsi="Arial" w:cs="Arial"/>
          <w:sz w:val="20"/>
          <w:szCs w:val="20"/>
        </w:rPr>
        <w:t>TTP: Tube Titration of Precipitins</w:t>
      </w:r>
    </w:p>
    <w:p w14:paraId="5B3952C3" w14:textId="77777777" w:rsidR="00DC40C5" w:rsidRPr="002D7DE5" w:rsidRDefault="00DC40C5" w:rsidP="00C73615">
      <w:pPr>
        <w:spacing w:after="0" w:line="240" w:lineRule="auto"/>
        <w:rPr>
          <w:rFonts w:ascii="Arial" w:hAnsi="Arial" w:cs="Arial"/>
          <w:color w:val="FF0000"/>
          <w:sz w:val="20"/>
          <w:szCs w:val="20"/>
        </w:rPr>
      </w:pPr>
    </w:p>
    <w:p w14:paraId="0053AA5D" w14:textId="1CF201CA" w:rsidR="0079059B" w:rsidRPr="00312292" w:rsidRDefault="00DC40C5" w:rsidP="00312292">
      <w:pPr>
        <w:pStyle w:val="Heading2"/>
        <w:rPr>
          <w:rFonts w:eastAsia="Times New Roman"/>
          <w:color w:val="FF0000"/>
        </w:rPr>
      </w:pPr>
      <w:r w:rsidRPr="00405785">
        <w:rPr>
          <w:rFonts w:eastAsia="Times New Roman"/>
        </w:rPr>
        <w:lastRenderedPageBreak/>
        <w:t xml:space="preserve">1. INTRODUCTION </w:t>
      </w:r>
      <w:bookmarkStart w:id="2" w:name="_Hlk139722355"/>
    </w:p>
    <w:p w14:paraId="448A489E" w14:textId="77777777" w:rsidR="0079059B" w:rsidRDefault="0079059B" w:rsidP="00B07010">
      <w:pPr>
        <w:spacing w:after="0" w:line="240" w:lineRule="auto"/>
        <w:jc w:val="both"/>
        <w:rPr>
          <w:rFonts w:ascii="Arial" w:eastAsia="Times New Roman" w:hAnsi="Arial" w:cs="Arial"/>
          <w:color w:val="000000" w:themeColor="text1"/>
          <w:sz w:val="20"/>
          <w:szCs w:val="20"/>
        </w:rPr>
      </w:pPr>
    </w:p>
    <w:p w14:paraId="01761BFA" w14:textId="086E0C38" w:rsidR="0079059B" w:rsidRDefault="0079059B" w:rsidP="00B07010">
      <w:pPr>
        <w:spacing w:after="0"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b/>
        <w:t>Food protein-induced gastrointestinal allergies</w:t>
      </w:r>
      <w:r w:rsidR="00312292">
        <w:rPr>
          <w:rFonts w:ascii="Arial" w:eastAsia="Times New Roman" w:hAnsi="Arial" w:cs="Arial"/>
          <w:color w:val="000000" w:themeColor="text1"/>
          <w:sz w:val="20"/>
          <w:szCs w:val="20"/>
        </w:rPr>
        <w:t xml:space="preserve"> (FPIGA) </w:t>
      </w:r>
      <w:r w:rsidR="001B6D7D">
        <w:rPr>
          <w:rFonts w:ascii="Arial" w:eastAsia="Times New Roman" w:hAnsi="Arial" w:cs="Arial"/>
          <w:color w:val="000000" w:themeColor="text1"/>
          <w:sz w:val="20"/>
          <w:szCs w:val="20"/>
        </w:rPr>
        <w:t>and</w:t>
      </w:r>
      <w:r w:rsidR="00312292">
        <w:rPr>
          <w:rFonts w:ascii="Arial" w:eastAsia="Times New Roman" w:hAnsi="Arial" w:cs="Arial"/>
          <w:color w:val="000000" w:themeColor="text1"/>
          <w:sz w:val="20"/>
          <w:szCs w:val="20"/>
        </w:rPr>
        <w:t xml:space="preserve"> Food Allergies (FA) are </w:t>
      </w:r>
      <w:r w:rsidR="00CE6EC1">
        <w:rPr>
          <w:rFonts w:ascii="Arial" w:eastAsia="Times New Roman" w:hAnsi="Arial" w:cs="Arial"/>
          <w:color w:val="000000" w:themeColor="text1"/>
          <w:sz w:val="20"/>
          <w:szCs w:val="20"/>
        </w:rPr>
        <w:t xml:space="preserve">yet </w:t>
      </w:r>
      <w:r w:rsidR="00312292">
        <w:rPr>
          <w:rFonts w:ascii="Arial" w:eastAsia="Times New Roman" w:hAnsi="Arial" w:cs="Arial"/>
          <w:color w:val="000000" w:themeColor="text1"/>
          <w:sz w:val="20"/>
          <w:szCs w:val="20"/>
        </w:rPr>
        <w:t xml:space="preserve">a </w:t>
      </w:r>
      <w:r w:rsidR="00CE6EC1">
        <w:rPr>
          <w:rFonts w:ascii="Arial" w:eastAsia="Times New Roman" w:hAnsi="Arial" w:cs="Arial"/>
          <w:color w:val="000000" w:themeColor="text1"/>
          <w:sz w:val="20"/>
          <w:szCs w:val="20"/>
        </w:rPr>
        <w:t>conundrum</w:t>
      </w:r>
      <w:r w:rsidR="00312292">
        <w:rPr>
          <w:rFonts w:ascii="Arial" w:eastAsia="Times New Roman" w:hAnsi="Arial" w:cs="Arial"/>
          <w:color w:val="000000" w:themeColor="text1"/>
          <w:sz w:val="20"/>
          <w:szCs w:val="20"/>
        </w:rPr>
        <w:t xml:space="preserve"> for physicians, gastroenterologists, nutritionists, allergists, but mainly for patients who suffer from these conditions</w:t>
      </w:r>
      <w:r w:rsidR="00312292" w:rsidRPr="00312292">
        <w:rPr>
          <w:rFonts w:ascii="Arial" w:eastAsia="Times New Roman" w:hAnsi="Arial" w:cs="Arial"/>
          <w:color w:val="000000" w:themeColor="text1"/>
          <w:sz w:val="20"/>
          <w:szCs w:val="20"/>
        </w:rPr>
        <w:t xml:space="preserve"> (Olivier 2013).</w:t>
      </w:r>
    </w:p>
    <w:p w14:paraId="25783E20" w14:textId="0D283DE3" w:rsidR="00DC40C5" w:rsidRPr="009F5207" w:rsidRDefault="00312292" w:rsidP="0079059B">
      <w:pPr>
        <w:spacing w:after="0" w:line="240" w:lineRule="auto"/>
        <w:ind w:firstLine="708"/>
        <w:jc w:val="both"/>
        <w:rPr>
          <w:rFonts w:ascii="Arial" w:eastAsia="Times New Roman" w:hAnsi="Arial" w:cs="Arial"/>
          <w:sz w:val="20"/>
          <w:szCs w:val="20"/>
        </w:rPr>
      </w:pPr>
      <w:r>
        <w:rPr>
          <w:rFonts w:ascii="Arial" w:eastAsia="Times New Roman" w:hAnsi="Arial" w:cs="Arial"/>
          <w:color w:val="000000" w:themeColor="text1"/>
          <w:sz w:val="20"/>
          <w:szCs w:val="20"/>
        </w:rPr>
        <w:t xml:space="preserve">IgE-dependent mechanisms may produce </w:t>
      </w:r>
      <w:r w:rsidR="00740DD1">
        <w:rPr>
          <w:rFonts w:ascii="Arial" w:eastAsia="Times New Roman" w:hAnsi="Arial" w:cs="Arial"/>
          <w:color w:val="000000" w:themeColor="text1"/>
          <w:sz w:val="20"/>
          <w:szCs w:val="20"/>
        </w:rPr>
        <w:t>FPIGA</w:t>
      </w:r>
      <w:r w:rsidR="00DC40C5">
        <w:rPr>
          <w:rFonts w:ascii="Arial" w:eastAsia="Times New Roman" w:hAnsi="Arial" w:cs="Arial"/>
          <w:color w:val="000000" w:themeColor="text1"/>
          <w:sz w:val="20"/>
          <w:szCs w:val="20"/>
        </w:rPr>
        <w:t xml:space="preserve">; however, most cases are produced by hypersensitivities endotypes not mediated by IgE </w:t>
      </w:r>
      <w:r w:rsidR="00DC40C5">
        <w:rPr>
          <w:rFonts w:ascii="Arial" w:eastAsia="Times New Roman" w:hAnsi="Arial" w:cs="Arial"/>
          <w:noProof/>
          <w:color w:val="000000" w:themeColor="text1"/>
          <w:sz w:val="20"/>
          <w:szCs w:val="20"/>
        </w:rPr>
        <w:t>(Heine 2015, Khan 2016, Ahmed</w:t>
      </w:r>
      <w:r w:rsidR="006E77F3">
        <w:rPr>
          <w:rFonts w:ascii="Arial" w:eastAsia="Times New Roman" w:hAnsi="Arial" w:cs="Arial"/>
          <w:noProof/>
          <w:color w:val="000000" w:themeColor="text1"/>
          <w:sz w:val="20"/>
          <w:szCs w:val="20"/>
        </w:rPr>
        <w:t xml:space="preserve"> et al.</w:t>
      </w:r>
      <w:r w:rsidR="00DC40C5">
        <w:rPr>
          <w:rFonts w:ascii="Arial" w:eastAsia="Times New Roman" w:hAnsi="Arial" w:cs="Arial"/>
          <w:noProof/>
          <w:color w:val="000000" w:themeColor="text1"/>
          <w:sz w:val="20"/>
          <w:szCs w:val="20"/>
        </w:rPr>
        <w:t xml:space="preserve"> 2021)</w:t>
      </w:r>
      <w:r w:rsidR="00DC40C5">
        <w:rPr>
          <w:rFonts w:ascii="Arial" w:eastAsia="Times New Roman" w:hAnsi="Arial" w:cs="Arial"/>
          <w:color w:val="000000" w:themeColor="text1"/>
          <w:sz w:val="20"/>
          <w:szCs w:val="20"/>
        </w:rPr>
        <w:t xml:space="preserve">. </w:t>
      </w:r>
      <w:r w:rsidR="00DC40C5" w:rsidRPr="009F5207">
        <w:rPr>
          <w:rFonts w:ascii="Arial" w:eastAsia="Times New Roman" w:hAnsi="Arial" w:cs="Arial"/>
          <w:sz w:val="20"/>
          <w:szCs w:val="20"/>
        </w:rPr>
        <w:t>Non-IgE-mediated F</w:t>
      </w:r>
      <w:r w:rsidR="00740DD1">
        <w:rPr>
          <w:rFonts w:ascii="Arial" w:eastAsia="Times New Roman" w:hAnsi="Arial" w:cs="Arial"/>
          <w:sz w:val="20"/>
          <w:szCs w:val="20"/>
        </w:rPr>
        <w:t>PIGA</w:t>
      </w:r>
      <w:r w:rsidR="00DC40C5" w:rsidRPr="009F5207">
        <w:rPr>
          <w:rFonts w:ascii="Arial" w:eastAsia="Times New Roman" w:hAnsi="Arial" w:cs="Arial"/>
          <w:sz w:val="20"/>
          <w:szCs w:val="20"/>
        </w:rPr>
        <w:t xml:space="preserve"> </w:t>
      </w:r>
      <w:r w:rsidR="00740DD1">
        <w:rPr>
          <w:rFonts w:ascii="Arial" w:eastAsia="Times New Roman" w:hAnsi="Arial" w:cs="Arial"/>
          <w:sz w:val="20"/>
          <w:szCs w:val="20"/>
        </w:rPr>
        <w:t>are</w:t>
      </w:r>
      <w:r w:rsidR="00DC40C5" w:rsidRPr="009F5207">
        <w:rPr>
          <w:rFonts w:ascii="Arial" w:eastAsia="Times New Roman" w:hAnsi="Arial" w:cs="Arial"/>
          <w:sz w:val="20"/>
          <w:szCs w:val="20"/>
        </w:rPr>
        <w:t xml:space="preserve"> associated with a large spectrum of </w:t>
      </w:r>
      <w:r w:rsidR="00DC40C5">
        <w:rPr>
          <w:rFonts w:ascii="Arial" w:eastAsia="Times New Roman" w:hAnsi="Arial" w:cs="Arial"/>
          <w:sz w:val="20"/>
          <w:szCs w:val="20"/>
        </w:rPr>
        <w:t xml:space="preserve">phenotypic </w:t>
      </w:r>
      <w:r w:rsidR="00DC40C5" w:rsidRPr="009F5207">
        <w:rPr>
          <w:rFonts w:ascii="Arial" w:eastAsia="Times New Roman" w:hAnsi="Arial" w:cs="Arial"/>
          <w:sz w:val="20"/>
          <w:szCs w:val="20"/>
        </w:rPr>
        <w:t xml:space="preserve">conditions, </w:t>
      </w:r>
      <w:r w:rsidR="00DC40C5">
        <w:rPr>
          <w:rFonts w:ascii="Arial" w:eastAsia="Times New Roman" w:hAnsi="Arial" w:cs="Arial"/>
          <w:sz w:val="20"/>
          <w:szCs w:val="20"/>
        </w:rPr>
        <w:t xml:space="preserve">clinically </w:t>
      </w:r>
      <w:r w:rsidR="00DC40C5" w:rsidRPr="009F5207">
        <w:rPr>
          <w:rFonts w:ascii="Arial" w:eastAsia="Times New Roman" w:hAnsi="Arial" w:cs="Arial"/>
          <w:sz w:val="20"/>
          <w:szCs w:val="20"/>
        </w:rPr>
        <w:t xml:space="preserve">classified by </w:t>
      </w:r>
      <w:r w:rsidR="00DC40C5">
        <w:rPr>
          <w:rFonts w:ascii="Arial" w:eastAsia="Times New Roman" w:hAnsi="Arial" w:cs="Arial"/>
          <w:sz w:val="20"/>
          <w:szCs w:val="20"/>
        </w:rPr>
        <w:t xml:space="preserve">the predominant </w:t>
      </w:r>
      <w:r w:rsidR="00DC40C5" w:rsidRPr="009F5207">
        <w:rPr>
          <w:rFonts w:ascii="Arial" w:eastAsia="Times New Roman" w:hAnsi="Arial" w:cs="Arial"/>
          <w:sz w:val="20"/>
          <w:szCs w:val="20"/>
        </w:rPr>
        <w:t xml:space="preserve">anatomic </w:t>
      </w:r>
      <w:r w:rsidR="00DC40C5">
        <w:rPr>
          <w:rFonts w:ascii="Arial" w:eastAsia="Times New Roman" w:hAnsi="Arial" w:cs="Arial"/>
          <w:sz w:val="20"/>
          <w:szCs w:val="20"/>
        </w:rPr>
        <w:t>localization of the symptoms</w:t>
      </w:r>
      <w:r w:rsidR="00DC40C5" w:rsidRPr="009F5207">
        <w:rPr>
          <w:rFonts w:ascii="Arial" w:eastAsia="Times New Roman" w:hAnsi="Arial" w:cs="Arial"/>
          <w:sz w:val="20"/>
          <w:szCs w:val="20"/>
        </w:rPr>
        <w:t xml:space="preserve"> (such as </w:t>
      </w:r>
      <w:r w:rsidR="00CE6EC1" w:rsidRPr="009F5207">
        <w:rPr>
          <w:rFonts w:ascii="Arial" w:eastAsia="Times New Roman" w:hAnsi="Arial" w:cs="Arial"/>
          <w:sz w:val="20"/>
          <w:szCs w:val="20"/>
        </w:rPr>
        <w:t>food protein-induced proctocolitis, food protein-induced enterocolitis, food protein-induced enteropathy</w:t>
      </w:r>
      <w:r w:rsidR="00CE6EC1">
        <w:rPr>
          <w:rFonts w:ascii="Arial" w:eastAsia="Times New Roman" w:hAnsi="Arial" w:cs="Arial"/>
          <w:sz w:val="20"/>
          <w:szCs w:val="20"/>
        </w:rPr>
        <w:t xml:space="preserve">, </w:t>
      </w:r>
      <w:r w:rsidR="00DC40C5">
        <w:rPr>
          <w:rFonts w:ascii="Arial" w:eastAsia="Times New Roman" w:hAnsi="Arial" w:cs="Arial"/>
          <w:sz w:val="20"/>
          <w:szCs w:val="20"/>
        </w:rPr>
        <w:t>e</w:t>
      </w:r>
      <w:r w:rsidR="00DC40C5" w:rsidRPr="00A80F5F">
        <w:rPr>
          <w:rFonts w:ascii="Arial" w:eastAsia="Times New Roman" w:hAnsi="Arial" w:cs="Arial"/>
          <w:sz w:val="20"/>
          <w:szCs w:val="20"/>
        </w:rPr>
        <w:t xml:space="preserve">osinophilic </w:t>
      </w:r>
      <w:r w:rsidR="00DC40C5">
        <w:rPr>
          <w:rFonts w:ascii="Arial" w:eastAsia="Times New Roman" w:hAnsi="Arial" w:cs="Arial"/>
          <w:sz w:val="20"/>
          <w:szCs w:val="20"/>
        </w:rPr>
        <w:t>e</w:t>
      </w:r>
      <w:r w:rsidR="00DC40C5" w:rsidRPr="00A80F5F">
        <w:rPr>
          <w:rFonts w:ascii="Arial" w:eastAsia="Times New Roman" w:hAnsi="Arial" w:cs="Arial"/>
          <w:sz w:val="20"/>
          <w:szCs w:val="20"/>
        </w:rPr>
        <w:t>sophagitis</w:t>
      </w:r>
      <w:r w:rsidR="00DC40C5">
        <w:rPr>
          <w:rFonts w:ascii="Arial" w:eastAsia="Times New Roman" w:hAnsi="Arial" w:cs="Arial"/>
          <w:sz w:val="20"/>
          <w:szCs w:val="20"/>
        </w:rPr>
        <w:t xml:space="preserve">, eosinophilic gastroenteritis, </w:t>
      </w:r>
      <w:r w:rsidR="00DC40C5" w:rsidRPr="00B07010">
        <w:rPr>
          <w:rFonts w:ascii="Arial" w:eastAsia="Times New Roman" w:hAnsi="Arial" w:cs="Arial"/>
          <w:sz w:val="20"/>
          <w:szCs w:val="20"/>
        </w:rPr>
        <w:t>food protein-induced gastro-esophageal reflux disease</w:t>
      </w:r>
      <w:r w:rsidR="00DC40C5">
        <w:rPr>
          <w:rFonts w:ascii="Arial" w:eastAsia="Times New Roman" w:hAnsi="Arial" w:cs="Arial"/>
          <w:sz w:val="20"/>
          <w:szCs w:val="20"/>
        </w:rPr>
        <w:t>, celiac disease, m</w:t>
      </w:r>
      <w:r w:rsidR="00DC40C5" w:rsidRPr="00C8433C">
        <w:rPr>
          <w:rFonts w:ascii="Arial" w:eastAsia="Times New Roman" w:hAnsi="Arial" w:cs="Arial"/>
          <w:sz w:val="20"/>
          <w:szCs w:val="20"/>
        </w:rPr>
        <w:t xml:space="preserve">ultiple </w:t>
      </w:r>
      <w:r w:rsidR="00DC40C5">
        <w:rPr>
          <w:rFonts w:ascii="Arial" w:eastAsia="Times New Roman" w:hAnsi="Arial" w:cs="Arial"/>
          <w:sz w:val="20"/>
          <w:szCs w:val="20"/>
        </w:rPr>
        <w:t>f</w:t>
      </w:r>
      <w:r w:rsidR="00DC40C5" w:rsidRPr="00C8433C">
        <w:rPr>
          <w:rFonts w:ascii="Arial" w:eastAsia="Times New Roman" w:hAnsi="Arial" w:cs="Arial"/>
          <w:sz w:val="20"/>
          <w:szCs w:val="20"/>
        </w:rPr>
        <w:t xml:space="preserve">ood </w:t>
      </w:r>
      <w:r w:rsidR="00DC40C5">
        <w:rPr>
          <w:rFonts w:ascii="Arial" w:eastAsia="Times New Roman" w:hAnsi="Arial" w:cs="Arial"/>
          <w:sz w:val="20"/>
          <w:szCs w:val="20"/>
        </w:rPr>
        <w:t>p</w:t>
      </w:r>
      <w:r w:rsidR="00DC40C5" w:rsidRPr="00C8433C">
        <w:rPr>
          <w:rFonts w:ascii="Arial" w:eastAsia="Times New Roman" w:hAnsi="Arial" w:cs="Arial"/>
          <w:sz w:val="20"/>
          <w:szCs w:val="20"/>
        </w:rPr>
        <w:t xml:space="preserve">rotein </w:t>
      </w:r>
      <w:r w:rsidR="00DC40C5">
        <w:rPr>
          <w:rFonts w:ascii="Arial" w:eastAsia="Times New Roman" w:hAnsi="Arial" w:cs="Arial"/>
          <w:sz w:val="20"/>
          <w:szCs w:val="20"/>
        </w:rPr>
        <w:t>i</w:t>
      </w:r>
      <w:r w:rsidR="00DC40C5" w:rsidRPr="00C8433C">
        <w:rPr>
          <w:rFonts w:ascii="Arial" w:eastAsia="Times New Roman" w:hAnsi="Arial" w:cs="Arial"/>
          <w:sz w:val="20"/>
          <w:szCs w:val="20"/>
        </w:rPr>
        <w:t xml:space="preserve">ntolerance of </w:t>
      </w:r>
      <w:r w:rsidR="00DC40C5">
        <w:rPr>
          <w:rFonts w:ascii="Arial" w:eastAsia="Times New Roman" w:hAnsi="Arial" w:cs="Arial"/>
          <w:sz w:val="20"/>
          <w:szCs w:val="20"/>
        </w:rPr>
        <w:t>i</w:t>
      </w:r>
      <w:r w:rsidR="00DC40C5" w:rsidRPr="00C8433C">
        <w:rPr>
          <w:rFonts w:ascii="Arial" w:eastAsia="Times New Roman" w:hAnsi="Arial" w:cs="Arial"/>
          <w:sz w:val="20"/>
          <w:szCs w:val="20"/>
        </w:rPr>
        <w:t>nfancy</w:t>
      </w:r>
      <w:r w:rsidR="00DC40C5">
        <w:rPr>
          <w:rFonts w:ascii="Arial" w:eastAsia="Times New Roman" w:hAnsi="Arial" w:cs="Arial"/>
          <w:sz w:val="20"/>
          <w:szCs w:val="20"/>
        </w:rPr>
        <w:t xml:space="preserve">, </w:t>
      </w:r>
      <w:r w:rsidR="00DC40C5" w:rsidRPr="00B07010">
        <w:rPr>
          <w:rFonts w:ascii="Arial" w:eastAsia="Times New Roman" w:hAnsi="Arial" w:cs="Arial"/>
          <w:sz w:val="20"/>
          <w:szCs w:val="20"/>
        </w:rPr>
        <w:t>food protein-induced gastrointestinal motility</w:t>
      </w:r>
      <w:r w:rsidR="00DC40C5">
        <w:rPr>
          <w:rFonts w:ascii="Arial" w:eastAsia="Times New Roman" w:hAnsi="Arial" w:cs="Arial"/>
          <w:sz w:val="20"/>
          <w:szCs w:val="20"/>
        </w:rPr>
        <w:t xml:space="preserve"> </w:t>
      </w:r>
      <w:r w:rsidR="00DC40C5" w:rsidRPr="00B07010">
        <w:rPr>
          <w:rFonts w:ascii="Arial" w:eastAsia="Times New Roman" w:hAnsi="Arial" w:cs="Arial"/>
          <w:sz w:val="20"/>
          <w:szCs w:val="20"/>
        </w:rPr>
        <w:t>disorders</w:t>
      </w:r>
      <w:r w:rsidR="00DC40C5">
        <w:rPr>
          <w:rFonts w:ascii="Arial" w:eastAsia="Times New Roman" w:hAnsi="Arial" w:cs="Arial"/>
          <w:sz w:val="20"/>
          <w:szCs w:val="20"/>
        </w:rPr>
        <w:t>), as well as some “functional” conditions, such as i</w:t>
      </w:r>
      <w:r w:rsidR="00DC40C5" w:rsidRPr="00FC52D1">
        <w:rPr>
          <w:rFonts w:ascii="Arial" w:eastAsia="Times New Roman" w:hAnsi="Arial" w:cs="Arial"/>
          <w:sz w:val="20"/>
          <w:szCs w:val="20"/>
        </w:rPr>
        <w:t xml:space="preserve">nfantile </w:t>
      </w:r>
      <w:r w:rsidR="00DC40C5">
        <w:rPr>
          <w:rFonts w:ascii="Arial" w:eastAsia="Times New Roman" w:hAnsi="Arial" w:cs="Arial"/>
          <w:sz w:val="20"/>
          <w:szCs w:val="20"/>
        </w:rPr>
        <w:t>c</w:t>
      </w:r>
      <w:r w:rsidR="00DC40C5" w:rsidRPr="00FC52D1">
        <w:rPr>
          <w:rFonts w:ascii="Arial" w:eastAsia="Times New Roman" w:hAnsi="Arial" w:cs="Arial"/>
          <w:sz w:val="20"/>
          <w:szCs w:val="20"/>
        </w:rPr>
        <w:t>olic</w:t>
      </w:r>
      <w:r w:rsidR="00DC40C5">
        <w:rPr>
          <w:rFonts w:ascii="Arial" w:eastAsia="Times New Roman" w:hAnsi="Arial" w:cs="Arial"/>
          <w:sz w:val="20"/>
          <w:szCs w:val="20"/>
        </w:rPr>
        <w:t xml:space="preserve">, which </w:t>
      </w:r>
      <w:r w:rsidR="00F951CA">
        <w:rPr>
          <w:rFonts w:ascii="Arial" w:eastAsia="Times New Roman" w:hAnsi="Arial" w:cs="Arial"/>
          <w:sz w:val="20"/>
          <w:szCs w:val="20"/>
        </w:rPr>
        <w:t>food proteins may also induce</w:t>
      </w:r>
      <w:r w:rsidR="00DC40C5" w:rsidRPr="009F5207">
        <w:rPr>
          <w:rFonts w:ascii="Arial" w:eastAsia="Times New Roman" w:hAnsi="Arial" w:cs="Arial"/>
          <w:sz w:val="20"/>
          <w:szCs w:val="20"/>
        </w:rPr>
        <w:t xml:space="preserve"> </w:t>
      </w:r>
      <w:r w:rsidR="00DC40C5">
        <w:rPr>
          <w:rFonts w:ascii="Arial" w:eastAsia="Times New Roman" w:hAnsi="Arial" w:cs="Arial"/>
          <w:noProof/>
          <w:sz w:val="20"/>
          <w:szCs w:val="20"/>
        </w:rPr>
        <w:t>(Groetch</w:t>
      </w:r>
      <w:r w:rsidR="006E77F3">
        <w:rPr>
          <w:rFonts w:ascii="Arial" w:eastAsia="Times New Roman" w:hAnsi="Arial" w:cs="Arial"/>
          <w:noProof/>
          <w:sz w:val="20"/>
          <w:szCs w:val="20"/>
        </w:rPr>
        <w:t xml:space="preserve"> et al.</w:t>
      </w:r>
      <w:r w:rsidR="00CE6EC1">
        <w:rPr>
          <w:rFonts w:ascii="Arial" w:eastAsia="Times New Roman" w:hAnsi="Arial" w:cs="Arial"/>
          <w:noProof/>
          <w:sz w:val="20"/>
          <w:szCs w:val="20"/>
        </w:rPr>
        <w:t xml:space="preserve"> </w:t>
      </w:r>
      <w:r w:rsidR="00DC40C5">
        <w:rPr>
          <w:rFonts w:ascii="Arial" w:eastAsia="Times New Roman" w:hAnsi="Arial" w:cs="Arial"/>
          <w:noProof/>
          <w:sz w:val="20"/>
          <w:szCs w:val="20"/>
        </w:rPr>
        <w:t>2025, Huang and White 2025)</w:t>
      </w:r>
      <w:r w:rsidR="00DC40C5" w:rsidRPr="009F5207">
        <w:rPr>
          <w:rFonts w:ascii="Arial" w:eastAsia="Times New Roman" w:hAnsi="Arial" w:cs="Arial"/>
          <w:sz w:val="20"/>
          <w:szCs w:val="20"/>
        </w:rPr>
        <w:t>.</w:t>
      </w:r>
      <w:r w:rsidR="00DC40C5">
        <w:rPr>
          <w:rFonts w:ascii="Arial" w:eastAsia="Times New Roman" w:hAnsi="Arial" w:cs="Arial"/>
          <w:sz w:val="20"/>
          <w:szCs w:val="20"/>
        </w:rPr>
        <w:t xml:space="preserve"> These so-called food protein-induced allergic syndromes </w:t>
      </w:r>
      <w:r w:rsidR="00DC40C5" w:rsidRPr="009F27E2">
        <w:rPr>
          <w:rFonts w:ascii="Arial" w:eastAsia="Times New Roman" w:hAnsi="Arial" w:cs="Arial"/>
          <w:sz w:val="20"/>
          <w:szCs w:val="20"/>
        </w:rPr>
        <w:t>may manifest through exchangeable, heterogeneous, and recurrent symptoms with mild, moderate</w:t>
      </w:r>
      <w:r w:rsidR="00DC40C5">
        <w:rPr>
          <w:rFonts w:ascii="Arial" w:eastAsia="Times New Roman" w:hAnsi="Arial" w:cs="Arial"/>
          <w:sz w:val="20"/>
          <w:szCs w:val="20"/>
        </w:rPr>
        <w:t>,</w:t>
      </w:r>
      <w:r w:rsidR="00DC40C5" w:rsidRPr="009F27E2">
        <w:rPr>
          <w:rFonts w:ascii="Arial" w:eastAsia="Times New Roman" w:hAnsi="Arial" w:cs="Arial"/>
          <w:sz w:val="20"/>
          <w:szCs w:val="20"/>
        </w:rPr>
        <w:t xml:space="preserve"> or severe presentations</w:t>
      </w:r>
      <w:r w:rsidR="00DC40C5">
        <w:rPr>
          <w:rFonts w:ascii="Arial" w:eastAsia="Times New Roman" w:hAnsi="Arial" w:cs="Arial"/>
          <w:sz w:val="20"/>
          <w:szCs w:val="20"/>
        </w:rPr>
        <w:t xml:space="preserve">, </w:t>
      </w:r>
      <w:r w:rsidR="00DC40C5" w:rsidRPr="009F27E2">
        <w:rPr>
          <w:rFonts w:ascii="Arial" w:eastAsia="Times New Roman" w:hAnsi="Arial" w:cs="Arial"/>
          <w:sz w:val="20"/>
          <w:szCs w:val="20"/>
        </w:rPr>
        <w:t>pos</w:t>
      </w:r>
      <w:r w:rsidR="00DC40C5">
        <w:rPr>
          <w:rFonts w:ascii="Arial" w:eastAsia="Times New Roman" w:hAnsi="Arial" w:cs="Arial"/>
          <w:sz w:val="20"/>
          <w:szCs w:val="20"/>
        </w:rPr>
        <w:t>ing</w:t>
      </w:r>
      <w:r w:rsidR="00DC40C5" w:rsidRPr="009F27E2">
        <w:rPr>
          <w:rFonts w:ascii="Arial" w:eastAsia="Times New Roman" w:hAnsi="Arial" w:cs="Arial"/>
          <w:sz w:val="20"/>
          <w:szCs w:val="20"/>
        </w:rPr>
        <w:t xml:space="preserve"> diagnostic and therapeutic dilemmas</w:t>
      </w:r>
      <w:r w:rsidR="00DC40C5">
        <w:rPr>
          <w:rFonts w:ascii="Arial" w:eastAsia="Times New Roman" w:hAnsi="Arial" w:cs="Arial"/>
          <w:sz w:val="20"/>
          <w:szCs w:val="20"/>
        </w:rPr>
        <w:t xml:space="preserve"> </w:t>
      </w:r>
      <w:r w:rsidR="00DC40C5">
        <w:rPr>
          <w:rFonts w:ascii="Arial" w:eastAsia="Times New Roman" w:hAnsi="Arial" w:cs="Arial"/>
          <w:noProof/>
          <w:sz w:val="20"/>
          <w:szCs w:val="20"/>
        </w:rPr>
        <w:t>(Heine 2004)</w:t>
      </w:r>
      <w:r w:rsidR="00DC40C5">
        <w:rPr>
          <w:rFonts w:ascii="Arial" w:eastAsia="Times New Roman" w:hAnsi="Arial" w:cs="Arial"/>
          <w:sz w:val="20"/>
          <w:szCs w:val="20"/>
        </w:rPr>
        <w:t>.</w:t>
      </w:r>
    </w:p>
    <w:p w14:paraId="10F42A0B" w14:textId="0A7EB0CD" w:rsidR="00DC40C5" w:rsidRDefault="00DC40C5" w:rsidP="003D10AB">
      <w:pPr>
        <w:spacing w:after="0" w:line="240" w:lineRule="auto"/>
        <w:ind w:firstLine="708"/>
        <w:jc w:val="both"/>
        <w:rPr>
          <w:rFonts w:ascii="Arial" w:eastAsia="Times New Roman" w:hAnsi="Arial" w:cs="Arial"/>
          <w:bCs/>
          <w:sz w:val="20"/>
          <w:szCs w:val="20"/>
        </w:rPr>
      </w:pPr>
      <w:r w:rsidRPr="00126C0C">
        <w:rPr>
          <w:rFonts w:ascii="Arial" w:eastAsia="Times New Roman" w:hAnsi="Arial" w:cs="Arial"/>
          <w:sz w:val="20"/>
          <w:szCs w:val="20"/>
        </w:rPr>
        <w:t>Self-r</w:t>
      </w:r>
      <w:r w:rsidRPr="004748FE">
        <w:rPr>
          <w:rFonts w:ascii="Arial" w:eastAsia="Times New Roman" w:hAnsi="Arial" w:cs="Arial"/>
          <w:sz w:val="20"/>
          <w:szCs w:val="20"/>
        </w:rPr>
        <w:t xml:space="preserve">eported allergy to poultry meat is not a very common complaint in clinical practice </w:t>
      </w:r>
      <w:r>
        <w:rPr>
          <w:rFonts w:ascii="Arial" w:eastAsia="Times New Roman" w:hAnsi="Arial" w:cs="Arial"/>
          <w:noProof/>
          <w:sz w:val="20"/>
          <w:szCs w:val="20"/>
        </w:rPr>
        <w:t>(Sloan and Powers 1986)</w:t>
      </w:r>
      <w:r w:rsidRPr="004748FE">
        <w:rPr>
          <w:rFonts w:ascii="Arial" w:eastAsia="Times New Roman" w:hAnsi="Arial" w:cs="Arial"/>
          <w:sz w:val="20"/>
          <w:szCs w:val="20"/>
        </w:rPr>
        <w:t>.</w:t>
      </w:r>
      <w:r>
        <w:rPr>
          <w:rFonts w:ascii="Arial" w:eastAsia="Times New Roman" w:hAnsi="Arial" w:cs="Arial"/>
          <w:sz w:val="20"/>
          <w:szCs w:val="20"/>
        </w:rPr>
        <w:t xml:space="preserve"> </w:t>
      </w:r>
      <w:r w:rsidRPr="004748FE">
        <w:rPr>
          <w:rFonts w:ascii="Arial" w:eastAsia="Times New Roman" w:hAnsi="Arial" w:cs="Arial"/>
          <w:bCs/>
          <w:sz w:val="20"/>
          <w:szCs w:val="20"/>
        </w:rPr>
        <w:t xml:space="preserve">However, when researched, the incidence of diagnosis of hypersensitivity to chicken meat </w:t>
      </w:r>
      <w:r>
        <w:rPr>
          <w:rFonts w:ascii="Arial" w:eastAsia="Times New Roman" w:hAnsi="Arial" w:cs="Arial"/>
          <w:sz w:val="20"/>
          <w:szCs w:val="20"/>
        </w:rPr>
        <w:t>(</w:t>
      </w:r>
      <w:r w:rsidRPr="00904587">
        <w:rPr>
          <w:rFonts w:ascii="Arial" w:eastAsia="Times New Roman" w:hAnsi="Arial" w:cs="Arial"/>
          <w:i/>
          <w:iCs/>
          <w:sz w:val="20"/>
          <w:szCs w:val="20"/>
        </w:rPr>
        <w:t>Gallus</w:t>
      </w:r>
      <w:r>
        <w:rPr>
          <w:rFonts w:ascii="Arial" w:eastAsia="Times New Roman" w:hAnsi="Arial" w:cs="Arial"/>
          <w:sz w:val="20"/>
          <w:szCs w:val="20"/>
        </w:rPr>
        <w:t xml:space="preserve"> </w:t>
      </w:r>
      <w:r w:rsidRPr="00904587">
        <w:rPr>
          <w:rFonts w:ascii="Arial" w:eastAsia="Times New Roman" w:hAnsi="Arial" w:cs="Arial"/>
          <w:i/>
          <w:iCs/>
          <w:sz w:val="20"/>
          <w:szCs w:val="20"/>
        </w:rPr>
        <w:t>domesticus</w:t>
      </w:r>
      <w:r>
        <w:rPr>
          <w:rFonts w:ascii="Arial" w:eastAsia="Times New Roman" w:hAnsi="Arial" w:cs="Arial"/>
          <w:sz w:val="20"/>
          <w:szCs w:val="20"/>
        </w:rPr>
        <w:t xml:space="preserve">) </w:t>
      </w:r>
      <w:r w:rsidRPr="004748FE">
        <w:rPr>
          <w:rFonts w:ascii="Arial" w:eastAsia="Times New Roman" w:hAnsi="Arial" w:cs="Arial"/>
          <w:bCs/>
          <w:sz w:val="20"/>
          <w:szCs w:val="20"/>
        </w:rPr>
        <w:t>may be surprising. Sampson reported an incidence of 16,8% of positive skin prick tests to chicken meat among children with atopic dermatitis</w:t>
      </w:r>
      <w:r w:rsidR="006C3BF0">
        <w:rPr>
          <w:rFonts w:ascii="Arial" w:eastAsia="Times New Roman" w:hAnsi="Arial" w:cs="Arial"/>
          <w:bCs/>
          <w:sz w:val="20"/>
          <w:szCs w:val="20"/>
        </w:rPr>
        <w:t xml:space="preserve"> due to FA</w:t>
      </w:r>
      <w:r w:rsidRPr="004748FE">
        <w:rPr>
          <w:rFonts w:ascii="Arial" w:eastAsia="Times New Roman" w:hAnsi="Arial" w:cs="Arial"/>
          <w:bCs/>
          <w:sz w:val="20"/>
          <w:szCs w:val="20"/>
        </w:rPr>
        <w:t xml:space="preserve"> </w:t>
      </w:r>
      <w:r>
        <w:rPr>
          <w:rFonts w:ascii="Arial" w:eastAsia="Times New Roman" w:hAnsi="Arial" w:cs="Arial"/>
          <w:bCs/>
          <w:noProof/>
          <w:sz w:val="20"/>
          <w:szCs w:val="20"/>
        </w:rPr>
        <w:t>(Sampson and McCaskill 1985)</w:t>
      </w:r>
      <w:r w:rsidRPr="004748FE">
        <w:rPr>
          <w:rFonts w:ascii="Arial" w:eastAsia="Times New Roman" w:hAnsi="Arial" w:cs="Arial"/>
          <w:bCs/>
          <w:sz w:val="20"/>
          <w:szCs w:val="20"/>
        </w:rPr>
        <w:t>.</w:t>
      </w:r>
      <w:r>
        <w:rPr>
          <w:rFonts w:ascii="Arial" w:eastAsia="Times New Roman" w:hAnsi="Arial" w:cs="Arial"/>
          <w:bCs/>
          <w:sz w:val="20"/>
          <w:szCs w:val="20"/>
        </w:rPr>
        <w:t xml:space="preserve"> </w:t>
      </w:r>
    </w:p>
    <w:p w14:paraId="01FDA85D" w14:textId="61FE076E" w:rsidR="00DC40C5" w:rsidRDefault="00DC40C5" w:rsidP="0001275F">
      <w:pPr>
        <w:spacing w:after="0" w:line="240" w:lineRule="auto"/>
        <w:ind w:firstLine="708"/>
        <w:jc w:val="both"/>
        <w:rPr>
          <w:rFonts w:ascii="Arial" w:eastAsia="Times New Roman" w:hAnsi="Arial" w:cs="Arial"/>
          <w:bCs/>
          <w:sz w:val="20"/>
          <w:szCs w:val="20"/>
        </w:rPr>
      </w:pPr>
      <w:r w:rsidRPr="00126C0C">
        <w:rPr>
          <w:rFonts w:ascii="Arial" w:eastAsia="Times New Roman" w:hAnsi="Arial" w:cs="Arial"/>
          <w:sz w:val="20"/>
          <w:szCs w:val="20"/>
        </w:rPr>
        <w:t xml:space="preserve">The first report of chicken meat allergy was described in 1982 as a </w:t>
      </w:r>
      <w:r w:rsidRPr="00126C0C">
        <w:rPr>
          <w:rFonts w:ascii="Arial" w:eastAsia="Times New Roman" w:hAnsi="Arial" w:cs="Arial"/>
          <w:bCs/>
          <w:sz w:val="20"/>
          <w:szCs w:val="20"/>
        </w:rPr>
        <w:t xml:space="preserve">non–IgE-mediated enteropathy in a child </w:t>
      </w:r>
      <w:r>
        <w:rPr>
          <w:rFonts w:ascii="Arial" w:eastAsia="Times New Roman" w:hAnsi="Arial" w:cs="Arial"/>
          <w:bCs/>
          <w:sz w:val="20"/>
          <w:szCs w:val="20"/>
        </w:rPr>
        <w:t xml:space="preserve">who </w:t>
      </w:r>
      <w:r w:rsidRPr="00126C0C">
        <w:rPr>
          <w:rFonts w:ascii="Arial" w:eastAsia="Times New Roman" w:hAnsi="Arial" w:cs="Arial"/>
          <w:bCs/>
          <w:sz w:val="20"/>
          <w:szCs w:val="20"/>
        </w:rPr>
        <w:t>proved to be alle</w:t>
      </w:r>
      <w:r w:rsidRPr="004748FE">
        <w:rPr>
          <w:rFonts w:ascii="Arial" w:eastAsia="Times New Roman" w:hAnsi="Arial" w:cs="Arial"/>
          <w:bCs/>
          <w:sz w:val="20"/>
          <w:szCs w:val="20"/>
        </w:rPr>
        <w:t xml:space="preserve">rgic to chicken meat and cow’s milk through provocation tests monitored by jejunal biopsies demonstrating severe villous atrophy after ingestion of chicken meat </w:t>
      </w:r>
      <w:r>
        <w:rPr>
          <w:rFonts w:ascii="Arial" w:eastAsia="Times New Roman" w:hAnsi="Arial" w:cs="Arial"/>
          <w:bCs/>
          <w:noProof/>
          <w:sz w:val="20"/>
          <w:szCs w:val="20"/>
        </w:rPr>
        <w:t xml:space="preserve">(Vitoria </w:t>
      </w:r>
      <w:r w:rsidR="000B711F" w:rsidRPr="000B711F">
        <w:rPr>
          <w:rFonts w:ascii="Arial" w:eastAsia="Times New Roman" w:hAnsi="Arial" w:cs="Arial"/>
          <w:bCs/>
          <w:noProof/>
          <w:sz w:val="20"/>
          <w:szCs w:val="20"/>
        </w:rPr>
        <w:t>et al</w:t>
      </w:r>
      <w:r>
        <w:rPr>
          <w:rFonts w:ascii="Arial" w:eastAsia="Times New Roman" w:hAnsi="Arial" w:cs="Arial"/>
          <w:bCs/>
          <w:noProof/>
          <w:sz w:val="20"/>
          <w:szCs w:val="20"/>
        </w:rPr>
        <w:t>. 1982)</w:t>
      </w:r>
      <w:r w:rsidRPr="004748FE">
        <w:rPr>
          <w:rFonts w:ascii="Arial" w:eastAsia="Times New Roman" w:hAnsi="Arial" w:cs="Arial"/>
          <w:bCs/>
          <w:sz w:val="20"/>
          <w:szCs w:val="20"/>
        </w:rPr>
        <w:t>.</w:t>
      </w:r>
      <w:r>
        <w:rPr>
          <w:rFonts w:ascii="Arial" w:eastAsia="Times New Roman" w:hAnsi="Arial" w:cs="Arial"/>
          <w:bCs/>
          <w:sz w:val="20"/>
          <w:szCs w:val="20"/>
        </w:rPr>
        <w:t xml:space="preserve"> It took fourteen years for the subsequent description of a </w:t>
      </w:r>
      <w:r w:rsidRPr="00126C0C">
        <w:rPr>
          <w:rFonts w:ascii="Arial" w:eastAsia="Times New Roman" w:hAnsi="Arial" w:cs="Arial"/>
          <w:bCs/>
          <w:sz w:val="20"/>
          <w:szCs w:val="20"/>
        </w:rPr>
        <w:t>non–IgE-mediated</w:t>
      </w:r>
      <w:r>
        <w:rPr>
          <w:rFonts w:ascii="Arial" w:eastAsia="Times New Roman" w:hAnsi="Arial" w:cs="Arial"/>
          <w:bCs/>
          <w:sz w:val="20"/>
          <w:szCs w:val="20"/>
        </w:rPr>
        <w:t xml:space="preserve"> Eosinophilic Gastroenteritis to be documented after a chicken meat provocation test monitored by intestinal biopsies </w:t>
      </w:r>
      <w:r>
        <w:rPr>
          <w:rFonts w:ascii="Arial" w:eastAsia="Times New Roman" w:hAnsi="Arial" w:cs="Arial"/>
          <w:bCs/>
          <w:noProof/>
          <w:sz w:val="20"/>
          <w:szCs w:val="20"/>
        </w:rPr>
        <w:t xml:space="preserve">(Vandenplas </w:t>
      </w:r>
      <w:r w:rsidR="006E77F3">
        <w:rPr>
          <w:rFonts w:ascii="Arial" w:eastAsia="Times New Roman" w:hAnsi="Arial" w:cs="Arial"/>
          <w:bCs/>
          <w:noProof/>
          <w:sz w:val="20"/>
          <w:szCs w:val="20"/>
        </w:rPr>
        <w:t>et al.</w:t>
      </w:r>
      <w:r>
        <w:rPr>
          <w:rFonts w:ascii="Arial" w:eastAsia="Times New Roman" w:hAnsi="Arial" w:cs="Arial"/>
          <w:bCs/>
          <w:noProof/>
          <w:sz w:val="20"/>
          <w:szCs w:val="20"/>
        </w:rPr>
        <w:t xml:space="preserve"> 1994)</w:t>
      </w:r>
      <w:r>
        <w:rPr>
          <w:rFonts w:ascii="Arial" w:eastAsia="Times New Roman" w:hAnsi="Arial" w:cs="Arial"/>
          <w:bCs/>
          <w:sz w:val="20"/>
          <w:szCs w:val="20"/>
        </w:rPr>
        <w:t xml:space="preserve">. </w:t>
      </w:r>
      <w:r w:rsidRPr="005F6E99">
        <w:rPr>
          <w:rFonts w:ascii="Arial" w:eastAsia="Times New Roman" w:hAnsi="Arial" w:cs="Arial"/>
          <w:bCs/>
          <w:sz w:val="20"/>
          <w:szCs w:val="20"/>
        </w:rPr>
        <w:t xml:space="preserve">Food protein-induced enterocolitis syndrome is a non-IgE-mediated </w:t>
      </w:r>
      <w:r w:rsidR="00B55664">
        <w:rPr>
          <w:rFonts w:ascii="Arial" w:eastAsia="Times New Roman" w:hAnsi="Arial" w:cs="Arial"/>
          <w:bCs/>
          <w:sz w:val="20"/>
          <w:szCs w:val="20"/>
        </w:rPr>
        <w:t>FPIGA</w:t>
      </w:r>
      <w:r w:rsidRPr="005F6E99">
        <w:rPr>
          <w:rFonts w:ascii="Arial" w:eastAsia="Times New Roman" w:hAnsi="Arial" w:cs="Arial"/>
          <w:bCs/>
          <w:sz w:val="20"/>
          <w:szCs w:val="20"/>
        </w:rPr>
        <w:t xml:space="preserve"> that may present with symptoms such as </w:t>
      </w:r>
      <w:r w:rsidRPr="004E143B">
        <w:rPr>
          <w:rFonts w:ascii="Arial" w:eastAsia="Times New Roman" w:hAnsi="Arial" w:cs="Arial"/>
          <w:bCs/>
          <w:sz w:val="20"/>
          <w:szCs w:val="20"/>
        </w:rPr>
        <w:t>flatulence, bloating, cramps, postprandial discomfort</w:t>
      </w:r>
      <w:r>
        <w:rPr>
          <w:rFonts w:ascii="Arial" w:eastAsia="Times New Roman" w:hAnsi="Arial" w:cs="Arial"/>
          <w:bCs/>
          <w:sz w:val="20"/>
          <w:szCs w:val="20"/>
        </w:rPr>
        <w:t xml:space="preserve">, </w:t>
      </w:r>
      <w:r w:rsidRPr="005F6E99">
        <w:rPr>
          <w:rFonts w:ascii="Arial" w:eastAsia="Times New Roman" w:hAnsi="Arial" w:cs="Arial"/>
          <w:bCs/>
          <w:sz w:val="20"/>
          <w:szCs w:val="20"/>
        </w:rPr>
        <w:t>vomiting</w:t>
      </w:r>
      <w:r>
        <w:rPr>
          <w:rFonts w:ascii="Arial" w:eastAsia="Times New Roman" w:hAnsi="Arial" w:cs="Arial"/>
          <w:bCs/>
          <w:sz w:val="20"/>
          <w:szCs w:val="20"/>
        </w:rPr>
        <w:t>,</w:t>
      </w:r>
      <w:r w:rsidRPr="005F6E99">
        <w:rPr>
          <w:rFonts w:ascii="Arial" w:eastAsia="Times New Roman" w:hAnsi="Arial" w:cs="Arial"/>
          <w:bCs/>
          <w:sz w:val="20"/>
          <w:szCs w:val="20"/>
        </w:rPr>
        <w:t xml:space="preserve"> and diarrhea</w:t>
      </w:r>
      <w:r>
        <w:rPr>
          <w:rFonts w:ascii="Arial" w:eastAsia="Times New Roman" w:hAnsi="Arial" w:cs="Arial"/>
          <w:bCs/>
          <w:sz w:val="20"/>
          <w:szCs w:val="20"/>
        </w:rPr>
        <w:t>,</w:t>
      </w:r>
      <w:r w:rsidRPr="005F6E99">
        <w:rPr>
          <w:rFonts w:ascii="Arial" w:eastAsia="Times New Roman" w:hAnsi="Arial" w:cs="Arial"/>
          <w:bCs/>
          <w:sz w:val="20"/>
          <w:szCs w:val="20"/>
        </w:rPr>
        <w:t xml:space="preserve"> or </w:t>
      </w:r>
      <w:r>
        <w:rPr>
          <w:rFonts w:ascii="Arial" w:eastAsia="Times New Roman" w:hAnsi="Arial" w:cs="Arial"/>
          <w:bCs/>
          <w:sz w:val="20"/>
          <w:szCs w:val="20"/>
        </w:rPr>
        <w:t>general</w:t>
      </w:r>
      <w:r w:rsidRPr="005F6E99">
        <w:rPr>
          <w:rFonts w:ascii="Arial" w:eastAsia="Times New Roman" w:hAnsi="Arial" w:cs="Arial"/>
          <w:bCs/>
          <w:sz w:val="20"/>
          <w:szCs w:val="20"/>
        </w:rPr>
        <w:t xml:space="preserve"> </w:t>
      </w:r>
      <w:r>
        <w:rPr>
          <w:rFonts w:ascii="Arial" w:eastAsia="Times New Roman" w:hAnsi="Arial" w:cs="Arial"/>
          <w:bCs/>
          <w:sz w:val="20"/>
          <w:szCs w:val="20"/>
        </w:rPr>
        <w:t>symptoms, such as failure to thrive, due to</w:t>
      </w:r>
      <w:r w:rsidRPr="005F6E99">
        <w:rPr>
          <w:rFonts w:ascii="Arial" w:eastAsia="Times New Roman" w:hAnsi="Arial" w:cs="Arial"/>
          <w:bCs/>
          <w:sz w:val="20"/>
          <w:szCs w:val="20"/>
        </w:rPr>
        <w:t xml:space="preserve"> chronic exposure to an offending food </w:t>
      </w:r>
      <w:r>
        <w:rPr>
          <w:rFonts w:ascii="Arial" w:eastAsia="Times New Roman" w:hAnsi="Arial" w:cs="Arial"/>
          <w:bCs/>
          <w:noProof/>
          <w:sz w:val="20"/>
          <w:szCs w:val="20"/>
        </w:rPr>
        <w:t>(Agyemang and Nowak-Wegrzyn 2019)</w:t>
      </w:r>
      <w:r w:rsidRPr="005F6E99">
        <w:rPr>
          <w:rFonts w:ascii="Arial" w:eastAsia="Times New Roman" w:hAnsi="Arial" w:cs="Arial"/>
          <w:bCs/>
          <w:sz w:val="20"/>
          <w:szCs w:val="20"/>
        </w:rPr>
        <w:t>.</w:t>
      </w:r>
      <w:r>
        <w:rPr>
          <w:rFonts w:ascii="Arial" w:eastAsia="Times New Roman" w:hAnsi="Arial" w:cs="Arial"/>
          <w:bCs/>
          <w:sz w:val="20"/>
          <w:szCs w:val="20"/>
        </w:rPr>
        <w:t xml:space="preserve"> Initially described by pediatricians and attributed to liquid foods, such as cow’s milk and liquid infant soy formulas, it was becoming apparent that solid foods (including poultry meat) could also be responsible for </w:t>
      </w:r>
      <w:r w:rsidR="00E67486">
        <w:rPr>
          <w:rFonts w:ascii="Arial" w:eastAsia="Times New Roman" w:hAnsi="Arial" w:cs="Arial"/>
          <w:bCs/>
          <w:sz w:val="20"/>
          <w:szCs w:val="20"/>
        </w:rPr>
        <w:t>f</w:t>
      </w:r>
      <w:r w:rsidR="00E67486" w:rsidRPr="005F6E99">
        <w:rPr>
          <w:rFonts w:ascii="Arial" w:eastAsia="Times New Roman" w:hAnsi="Arial" w:cs="Arial"/>
          <w:bCs/>
          <w:sz w:val="20"/>
          <w:szCs w:val="20"/>
        </w:rPr>
        <w:t>ood protein-induced enterocolitis syndrome</w:t>
      </w:r>
      <w:r>
        <w:rPr>
          <w:rFonts w:ascii="Arial" w:eastAsia="Times New Roman" w:hAnsi="Arial" w:cs="Arial"/>
          <w:bCs/>
          <w:sz w:val="20"/>
          <w:szCs w:val="20"/>
        </w:rPr>
        <w:t xml:space="preserve"> </w:t>
      </w:r>
      <w:r>
        <w:rPr>
          <w:rFonts w:ascii="Arial" w:eastAsia="Times New Roman" w:hAnsi="Arial" w:cs="Arial"/>
          <w:bCs/>
          <w:noProof/>
          <w:sz w:val="20"/>
          <w:szCs w:val="20"/>
        </w:rPr>
        <w:t xml:space="preserve">(Nowak-Wegrzyn </w:t>
      </w:r>
      <w:r w:rsidR="000B711F" w:rsidRPr="000B711F">
        <w:rPr>
          <w:rFonts w:ascii="Arial" w:eastAsia="Times New Roman" w:hAnsi="Arial" w:cs="Arial"/>
          <w:bCs/>
          <w:noProof/>
          <w:sz w:val="20"/>
          <w:szCs w:val="20"/>
        </w:rPr>
        <w:t>et al</w:t>
      </w:r>
      <w:r>
        <w:rPr>
          <w:rFonts w:ascii="Arial" w:eastAsia="Times New Roman" w:hAnsi="Arial" w:cs="Arial"/>
          <w:bCs/>
          <w:noProof/>
          <w:sz w:val="20"/>
          <w:szCs w:val="20"/>
        </w:rPr>
        <w:t>. 2003)</w:t>
      </w:r>
      <w:r>
        <w:rPr>
          <w:rFonts w:ascii="Arial" w:eastAsia="Times New Roman" w:hAnsi="Arial" w:cs="Arial"/>
          <w:bCs/>
          <w:sz w:val="20"/>
          <w:szCs w:val="20"/>
        </w:rPr>
        <w:t>.</w:t>
      </w:r>
    </w:p>
    <w:p w14:paraId="15521914" w14:textId="13A5AA4E" w:rsidR="00DC40C5" w:rsidRDefault="00DC40C5" w:rsidP="00774C67">
      <w:pPr>
        <w:spacing w:after="0" w:line="240" w:lineRule="auto"/>
        <w:ind w:firstLine="708"/>
        <w:jc w:val="both"/>
        <w:rPr>
          <w:rFonts w:ascii="Arial" w:eastAsia="Times New Roman" w:hAnsi="Arial" w:cs="Arial"/>
          <w:bCs/>
          <w:sz w:val="20"/>
          <w:szCs w:val="20"/>
        </w:rPr>
      </w:pPr>
      <w:r>
        <w:rPr>
          <w:rFonts w:ascii="Arial" w:eastAsia="Times New Roman" w:hAnsi="Arial" w:cs="Arial"/>
          <w:bCs/>
          <w:sz w:val="20"/>
          <w:szCs w:val="20"/>
        </w:rPr>
        <w:t>P</w:t>
      </w:r>
      <w:r w:rsidRPr="00112C32">
        <w:rPr>
          <w:rFonts w:ascii="Arial" w:eastAsia="Times New Roman" w:hAnsi="Arial" w:cs="Arial"/>
          <w:bCs/>
          <w:sz w:val="20"/>
          <w:szCs w:val="20"/>
        </w:rPr>
        <w:t xml:space="preserve">atients with poultry meat </w:t>
      </w:r>
      <w:r w:rsidR="00957DAD">
        <w:rPr>
          <w:rFonts w:ascii="Arial" w:eastAsia="Times New Roman" w:hAnsi="Arial" w:cs="Arial"/>
          <w:bCs/>
          <w:sz w:val="20"/>
          <w:szCs w:val="20"/>
        </w:rPr>
        <w:t>FA</w:t>
      </w:r>
      <w:r>
        <w:rPr>
          <w:rFonts w:ascii="Arial" w:eastAsia="Times New Roman" w:hAnsi="Arial" w:cs="Arial"/>
          <w:bCs/>
          <w:sz w:val="20"/>
          <w:szCs w:val="20"/>
        </w:rPr>
        <w:t xml:space="preserve"> may present several phenotypes </w:t>
      </w:r>
      <w:r w:rsidRPr="00112C32">
        <w:rPr>
          <w:rFonts w:ascii="Arial" w:eastAsia="Times New Roman" w:hAnsi="Arial" w:cs="Arial"/>
          <w:bCs/>
          <w:sz w:val="20"/>
          <w:szCs w:val="20"/>
        </w:rPr>
        <w:t>regarding clinical severity</w:t>
      </w:r>
      <w:r>
        <w:rPr>
          <w:rFonts w:ascii="Arial" w:eastAsia="Times New Roman" w:hAnsi="Arial" w:cs="Arial"/>
          <w:bCs/>
          <w:sz w:val="20"/>
          <w:szCs w:val="20"/>
        </w:rPr>
        <w:t xml:space="preserve"> and features, suggesting the existence of several endotypes underlying clinical symptoms </w:t>
      </w:r>
      <w:r>
        <w:rPr>
          <w:rFonts w:ascii="Arial" w:eastAsia="Times New Roman" w:hAnsi="Arial" w:cs="Arial"/>
          <w:bCs/>
          <w:noProof/>
          <w:sz w:val="20"/>
          <w:szCs w:val="20"/>
        </w:rPr>
        <w:t xml:space="preserve">(Wanniang </w:t>
      </w:r>
      <w:r w:rsidR="000B711F" w:rsidRPr="000B711F">
        <w:rPr>
          <w:rFonts w:ascii="Arial" w:eastAsia="Times New Roman" w:hAnsi="Arial" w:cs="Arial"/>
          <w:bCs/>
          <w:noProof/>
          <w:sz w:val="20"/>
          <w:szCs w:val="20"/>
        </w:rPr>
        <w:t>et al</w:t>
      </w:r>
      <w:r>
        <w:rPr>
          <w:rFonts w:ascii="Arial" w:eastAsia="Times New Roman" w:hAnsi="Arial" w:cs="Arial"/>
          <w:bCs/>
          <w:noProof/>
          <w:sz w:val="20"/>
          <w:szCs w:val="20"/>
        </w:rPr>
        <w:t>. 2022)</w:t>
      </w:r>
      <w:r>
        <w:rPr>
          <w:rFonts w:ascii="Arial" w:eastAsia="Times New Roman" w:hAnsi="Arial" w:cs="Arial"/>
          <w:bCs/>
          <w:sz w:val="20"/>
          <w:szCs w:val="20"/>
        </w:rPr>
        <w:t xml:space="preserve">. As with any </w:t>
      </w:r>
      <w:r w:rsidR="00957DAD">
        <w:rPr>
          <w:rFonts w:ascii="Arial" w:eastAsia="Times New Roman" w:hAnsi="Arial" w:cs="Arial"/>
          <w:bCs/>
          <w:sz w:val="20"/>
          <w:szCs w:val="20"/>
        </w:rPr>
        <w:t>FA</w:t>
      </w:r>
      <w:r>
        <w:rPr>
          <w:rFonts w:ascii="Arial" w:eastAsia="Times New Roman" w:hAnsi="Arial" w:cs="Arial"/>
          <w:bCs/>
          <w:sz w:val="20"/>
          <w:szCs w:val="20"/>
        </w:rPr>
        <w:t xml:space="preserve">, the endotypes behind poultry allergy are primarily classified as IgE-mediated and </w:t>
      </w:r>
      <w:r w:rsidRPr="00126C0C">
        <w:rPr>
          <w:rFonts w:ascii="Arial" w:eastAsia="Times New Roman" w:hAnsi="Arial" w:cs="Arial"/>
          <w:bCs/>
          <w:sz w:val="20"/>
          <w:szCs w:val="20"/>
        </w:rPr>
        <w:t>non–IgE-mediated</w:t>
      </w:r>
      <w:r>
        <w:rPr>
          <w:rFonts w:ascii="Arial" w:eastAsia="Times New Roman" w:hAnsi="Arial" w:cs="Arial"/>
          <w:bCs/>
          <w:sz w:val="20"/>
          <w:szCs w:val="20"/>
        </w:rPr>
        <w:t>.</w:t>
      </w:r>
      <w:r w:rsidR="00957DAD">
        <w:rPr>
          <w:rFonts w:ascii="Arial" w:eastAsia="Times New Roman" w:hAnsi="Arial" w:cs="Arial"/>
          <w:bCs/>
          <w:sz w:val="20"/>
          <w:szCs w:val="20"/>
        </w:rPr>
        <w:t xml:space="preserve"> </w:t>
      </w:r>
      <w:r w:rsidRPr="006240B3">
        <w:rPr>
          <w:rFonts w:ascii="Arial" w:eastAsia="Times New Roman" w:hAnsi="Arial" w:cs="Arial"/>
          <w:bCs/>
          <w:sz w:val="20"/>
          <w:szCs w:val="20"/>
        </w:rPr>
        <w:t xml:space="preserve">Chicken meat allergy </w:t>
      </w:r>
      <w:r>
        <w:rPr>
          <w:rFonts w:ascii="Arial" w:eastAsia="Times New Roman" w:hAnsi="Arial" w:cs="Arial"/>
          <w:bCs/>
          <w:sz w:val="20"/>
          <w:szCs w:val="20"/>
        </w:rPr>
        <w:t>has c</w:t>
      </w:r>
      <w:r w:rsidRPr="006240B3">
        <w:rPr>
          <w:rFonts w:ascii="Arial" w:eastAsia="Times New Roman" w:hAnsi="Arial" w:cs="Arial"/>
          <w:bCs/>
          <w:sz w:val="20"/>
          <w:szCs w:val="20"/>
        </w:rPr>
        <w:t>omplex sensitization profiles</w:t>
      </w:r>
      <w:r>
        <w:rPr>
          <w:rFonts w:ascii="Arial" w:eastAsia="Times New Roman" w:hAnsi="Arial" w:cs="Arial"/>
          <w:bCs/>
          <w:sz w:val="20"/>
          <w:szCs w:val="20"/>
        </w:rPr>
        <w:t xml:space="preserve"> </w:t>
      </w:r>
      <w:r w:rsidRPr="006240B3">
        <w:rPr>
          <w:rFonts w:ascii="Arial" w:eastAsia="Times New Roman" w:hAnsi="Arial" w:cs="Arial"/>
          <w:bCs/>
          <w:sz w:val="20"/>
          <w:szCs w:val="20"/>
        </w:rPr>
        <w:t xml:space="preserve">with </w:t>
      </w:r>
      <w:r>
        <w:rPr>
          <w:rFonts w:ascii="Arial" w:eastAsia="Times New Roman" w:hAnsi="Arial" w:cs="Arial"/>
          <w:bCs/>
          <w:sz w:val="20"/>
          <w:szCs w:val="20"/>
        </w:rPr>
        <w:t xml:space="preserve">nine major established </w:t>
      </w:r>
      <w:r w:rsidRPr="006240B3">
        <w:rPr>
          <w:rFonts w:ascii="Arial" w:eastAsia="Times New Roman" w:hAnsi="Arial" w:cs="Arial"/>
          <w:bCs/>
          <w:sz w:val="20"/>
          <w:szCs w:val="20"/>
        </w:rPr>
        <w:t>allergen</w:t>
      </w:r>
      <w:r>
        <w:rPr>
          <w:rFonts w:ascii="Arial" w:eastAsia="Times New Roman" w:hAnsi="Arial" w:cs="Arial"/>
          <w:bCs/>
          <w:sz w:val="20"/>
          <w:szCs w:val="20"/>
        </w:rPr>
        <w:t>s</w:t>
      </w:r>
      <w:r w:rsidRPr="006240B3">
        <w:rPr>
          <w:rFonts w:ascii="Arial" w:eastAsia="Times New Roman" w:hAnsi="Arial" w:cs="Arial"/>
          <w:bCs/>
          <w:sz w:val="20"/>
          <w:szCs w:val="20"/>
        </w:rPr>
        <w:t xml:space="preserve"> </w:t>
      </w:r>
      <w:r>
        <w:rPr>
          <w:rFonts w:ascii="Arial" w:eastAsia="Times New Roman" w:hAnsi="Arial" w:cs="Arial"/>
          <w:bCs/>
          <w:sz w:val="20"/>
          <w:szCs w:val="20"/>
        </w:rPr>
        <w:t>and twenty-five</w:t>
      </w:r>
      <w:r w:rsidR="00312292">
        <w:rPr>
          <w:rFonts w:ascii="Arial" w:eastAsia="Times New Roman" w:hAnsi="Arial" w:cs="Arial"/>
          <w:bCs/>
          <w:sz w:val="20"/>
          <w:szCs w:val="20"/>
        </w:rPr>
        <w:t xml:space="preserve"> </w:t>
      </w:r>
      <w:r>
        <w:rPr>
          <w:rFonts w:ascii="Arial" w:eastAsia="Times New Roman" w:hAnsi="Arial" w:cs="Arial"/>
          <w:bCs/>
          <w:sz w:val="20"/>
          <w:szCs w:val="20"/>
        </w:rPr>
        <w:t xml:space="preserve">proposed </w:t>
      </w:r>
      <w:r w:rsidRPr="006240B3">
        <w:rPr>
          <w:rFonts w:ascii="Arial" w:eastAsia="Times New Roman" w:hAnsi="Arial" w:cs="Arial"/>
          <w:bCs/>
          <w:sz w:val="20"/>
          <w:szCs w:val="20"/>
        </w:rPr>
        <w:t>candidates</w:t>
      </w:r>
      <w:r>
        <w:rPr>
          <w:rFonts w:ascii="Arial" w:eastAsia="Times New Roman" w:hAnsi="Arial" w:cs="Arial"/>
          <w:bCs/>
          <w:sz w:val="20"/>
          <w:szCs w:val="20"/>
        </w:rPr>
        <w:t xml:space="preserve"> </w:t>
      </w:r>
      <w:r>
        <w:rPr>
          <w:rFonts w:ascii="Arial" w:eastAsia="Times New Roman" w:hAnsi="Arial" w:cs="Arial"/>
          <w:bCs/>
          <w:noProof/>
          <w:sz w:val="20"/>
          <w:szCs w:val="20"/>
        </w:rPr>
        <w:t xml:space="preserve">(Guiddir </w:t>
      </w:r>
      <w:r w:rsidR="000B711F" w:rsidRPr="000B711F">
        <w:rPr>
          <w:rFonts w:ascii="Arial" w:eastAsia="Times New Roman" w:hAnsi="Arial" w:cs="Arial"/>
          <w:bCs/>
          <w:noProof/>
          <w:sz w:val="20"/>
          <w:szCs w:val="20"/>
        </w:rPr>
        <w:t>et al</w:t>
      </w:r>
      <w:r>
        <w:rPr>
          <w:rFonts w:ascii="Arial" w:eastAsia="Times New Roman" w:hAnsi="Arial" w:cs="Arial"/>
          <w:bCs/>
          <w:noProof/>
          <w:sz w:val="20"/>
          <w:szCs w:val="20"/>
        </w:rPr>
        <w:t>. 2024)</w:t>
      </w:r>
      <w:r>
        <w:rPr>
          <w:rFonts w:ascii="Arial" w:eastAsia="Times New Roman" w:hAnsi="Arial" w:cs="Arial"/>
          <w:bCs/>
          <w:sz w:val="20"/>
          <w:szCs w:val="20"/>
        </w:rPr>
        <w:t>. T</w:t>
      </w:r>
      <w:r w:rsidRPr="00910512">
        <w:rPr>
          <w:rFonts w:ascii="Arial" w:eastAsia="Times New Roman" w:hAnsi="Arial" w:cs="Arial"/>
          <w:bCs/>
          <w:sz w:val="20"/>
          <w:szCs w:val="20"/>
        </w:rPr>
        <w:t xml:space="preserve">he major chicken meat allergen identified by </w:t>
      </w:r>
      <w:r>
        <w:rPr>
          <w:rFonts w:ascii="Arial" w:eastAsia="Times New Roman" w:hAnsi="Arial" w:cs="Arial"/>
          <w:bCs/>
          <w:sz w:val="20"/>
          <w:szCs w:val="20"/>
        </w:rPr>
        <w:t xml:space="preserve">a </w:t>
      </w:r>
      <w:r w:rsidRPr="00910512">
        <w:rPr>
          <w:rFonts w:ascii="Arial" w:eastAsia="Times New Roman" w:hAnsi="Arial" w:cs="Arial"/>
          <w:bCs/>
          <w:sz w:val="20"/>
          <w:szCs w:val="20"/>
        </w:rPr>
        <w:t>proteomics-based approach</w:t>
      </w:r>
      <w:r>
        <w:rPr>
          <w:rFonts w:ascii="Arial" w:eastAsia="Times New Roman" w:hAnsi="Arial" w:cs="Arial"/>
          <w:bCs/>
          <w:sz w:val="20"/>
          <w:szCs w:val="20"/>
        </w:rPr>
        <w:t xml:space="preserve"> is </w:t>
      </w:r>
      <w:r w:rsidRPr="00910512">
        <w:rPr>
          <w:rFonts w:ascii="Arial" w:eastAsia="Times New Roman" w:hAnsi="Arial" w:cs="Arial"/>
          <w:bCs/>
          <w:sz w:val="20"/>
          <w:szCs w:val="20"/>
        </w:rPr>
        <w:t xml:space="preserve">a myosin light chain protein designated Gal d 7 </w:t>
      </w:r>
      <w:r>
        <w:rPr>
          <w:rFonts w:ascii="Arial" w:eastAsia="Times New Roman" w:hAnsi="Arial" w:cs="Arial"/>
          <w:bCs/>
          <w:sz w:val="20"/>
          <w:szCs w:val="20"/>
        </w:rPr>
        <w:t>(</w:t>
      </w:r>
      <w:r w:rsidRPr="00910512">
        <w:rPr>
          <w:rFonts w:ascii="Arial" w:eastAsia="Times New Roman" w:hAnsi="Arial" w:cs="Arial"/>
          <w:bCs/>
          <w:sz w:val="20"/>
          <w:szCs w:val="20"/>
        </w:rPr>
        <w:t>shared by several poultry species</w:t>
      </w:r>
      <w:r>
        <w:rPr>
          <w:rFonts w:ascii="Arial" w:eastAsia="Times New Roman" w:hAnsi="Arial" w:cs="Arial"/>
          <w:bCs/>
          <w:sz w:val="20"/>
          <w:szCs w:val="20"/>
        </w:rPr>
        <w:t>), containing</w:t>
      </w:r>
      <w:r w:rsidRPr="00910512">
        <w:rPr>
          <w:rFonts w:ascii="Arial" w:eastAsia="Times New Roman" w:hAnsi="Arial" w:cs="Arial"/>
          <w:bCs/>
          <w:sz w:val="20"/>
          <w:szCs w:val="20"/>
        </w:rPr>
        <w:t xml:space="preserve"> the majority of IgE-binding epitopes, </w:t>
      </w:r>
      <w:r>
        <w:rPr>
          <w:rFonts w:ascii="Arial" w:eastAsia="Times New Roman" w:hAnsi="Arial" w:cs="Arial"/>
          <w:bCs/>
          <w:sz w:val="20"/>
          <w:szCs w:val="20"/>
        </w:rPr>
        <w:t xml:space="preserve">characterized by </w:t>
      </w:r>
      <w:r w:rsidRPr="00910512">
        <w:rPr>
          <w:rFonts w:ascii="Arial" w:eastAsia="Times New Roman" w:hAnsi="Arial" w:cs="Arial"/>
          <w:bCs/>
          <w:sz w:val="20"/>
          <w:szCs w:val="20"/>
        </w:rPr>
        <w:t xml:space="preserve">remarkable thermal stability, refolding capacity, and resistance to salivary and gastrointestinal enzymes </w:t>
      </w:r>
      <w:r>
        <w:rPr>
          <w:rFonts w:ascii="Arial" w:eastAsia="Times New Roman" w:hAnsi="Arial" w:cs="Arial"/>
          <w:bCs/>
          <w:noProof/>
          <w:sz w:val="20"/>
          <w:szCs w:val="20"/>
        </w:rPr>
        <w:t xml:space="preserve">(Klug </w:t>
      </w:r>
      <w:r w:rsidR="000B711F" w:rsidRPr="000B711F">
        <w:rPr>
          <w:rFonts w:ascii="Arial" w:eastAsia="Times New Roman" w:hAnsi="Arial" w:cs="Arial"/>
          <w:bCs/>
          <w:noProof/>
          <w:sz w:val="20"/>
          <w:szCs w:val="20"/>
        </w:rPr>
        <w:t>et al</w:t>
      </w:r>
      <w:r>
        <w:rPr>
          <w:rFonts w:ascii="Arial" w:eastAsia="Times New Roman" w:hAnsi="Arial" w:cs="Arial"/>
          <w:bCs/>
          <w:noProof/>
          <w:sz w:val="20"/>
          <w:szCs w:val="20"/>
        </w:rPr>
        <w:t>. 2020)</w:t>
      </w:r>
      <w:r w:rsidRPr="00910512">
        <w:rPr>
          <w:rFonts w:ascii="Arial" w:eastAsia="Times New Roman" w:hAnsi="Arial" w:cs="Arial"/>
          <w:bCs/>
          <w:sz w:val="20"/>
          <w:szCs w:val="20"/>
        </w:rPr>
        <w:t>.</w:t>
      </w:r>
      <w:r>
        <w:rPr>
          <w:rFonts w:ascii="Arial" w:eastAsia="Times New Roman" w:hAnsi="Arial" w:cs="Arial"/>
          <w:bCs/>
          <w:sz w:val="20"/>
          <w:szCs w:val="20"/>
        </w:rPr>
        <w:t xml:space="preserve"> Poultry species develop common allergens, making usual cross-reactivity between chicken meat and turkey meat, as well as with other species </w:t>
      </w:r>
      <w:r>
        <w:rPr>
          <w:rFonts w:ascii="Arial" w:eastAsia="Times New Roman" w:hAnsi="Arial" w:cs="Arial"/>
          <w:bCs/>
          <w:noProof/>
          <w:sz w:val="20"/>
          <w:szCs w:val="20"/>
        </w:rPr>
        <w:t>(Cahen</w:t>
      </w:r>
      <w:r w:rsidR="006E77F3">
        <w:rPr>
          <w:rFonts w:ascii="Arial" w:eastAsia="Times New Roman" w:hAnsi="Arial" w:cs="Arial"/>
          <w:bCs/>
          <w:noProof/>
          <w:sz w:val="20"/>
          <w:szCs w:val="20"/>
        </w:rPr>
        <w:t xml:space="preserve"> et al.</w:t>
      </w:r>
      <w:r>
        <w:rPr>
          <w:rFonts w:ascii="Arial" w:eastAsia="Times New Roman" w:hAnsi="Arial" w:cs="Arial"/>
          <w:bCs/>
          <w:noProof/>
          <w:sz w:val="20"/>
          <w:szCs w:val="20"/>
        </w:rPr>
        <w:t xml:space="preserve"> 1998)</w:t>
      </w:r>
      <w:r>
        <w:rPr>
          <w:rFonts w:ascii="Arial" w:eastAsia="Times New Roman" w:hAnsi="Arial" w:cs="Arial"/>
          <w:bCs/>
          <w:sz w:val="20"/>
          <w:szCs w:val="20"/>
        </w:rPr>
        <w:t>.</w:t>
      </w:r>
    </w:p>
    <w:p w14:paraId="0998C6D9" w14:textId="3C6054AE" w:rsidR="00DC40C5" w:rsidRDefault="00DC40C5" w:rsidP="008B4795">
      <w:pPr>
        <w:tabs>
          <w:tab w:val="left" w:pos="4110"/>
        </w:tabs>
        <w:spacing w:after="0" w:line="240" w:lineRule="auto"/>
        <w:ind w:firstLine="708"/>
        <w:jc w:val="both"/>
        <w:rPr>
          <w:rFonts w:ascii="Arial" w:eastAsia="Times New Roman" w:hAnsi="Arial" w:cs="Arial"/>
          <w:bCs/>
          <w:sz w:val="20"/>
          <w:szCs w:val="20"/>
        </w:rPr>
      </w:pPr>
      <w:r>
        <w:rPr>
          <w:rFonts w:ascii="Arial" w:eastAsia="Times New Roman" w:hAnsi="Arial" w:cs="Arial"/>
          <w:bCs/>
          <w:sz w:val="20"/>
          <w:szCs w:val="20"/>
        </w:rPr>
        <w:t xml:space="preserve">Allergic reactions </w:t>
      </w:r>
      <w:r w:rsidRPr="00AF6B7E">
        <w:rPr>
          <w:rFonts w:ascii="Arial" w:eastAsia="Times New Roman" w:hAnsi="Arial" w:cs="Arial"/>
          <w:bCs/>
          <w:sz w:val="20"/>
          <w:szCs w:val="20"/>
        </w:rPr>
        <w:t xml:space="preserve">following </w:t>
      </w:r>
      <w:r>
        <w:rPr>
          <w:rFonts w:ascii="Arial" w:eastAsia="Times New Roman" w:hAnsi="Arial" w:cs="Arial"/>
          <w:bCs/>
          <w:sz w:val="20"/>
          <w:szCs w:val="20"/>
        </w:rPr>
        <w:t xml:space="preserve">the administration of hen’s egg yolk-based vaccines (such as for </w:t>
      </w:r>
      <w:r w:rsidRPr="00AF6B7E">
        <w:rPr>
          <w:rFonts w:ascii="Arial" w:eastAsia="Times New Roman" w:hAnsi="Arial" w:cs="Arial"/>
          <w:bCs/>
          <w:sz w:val="20"/>
          <w:szCs w:val="20"/>
        </w:rPr>
        <w:t>yellow-fever</w:t>
      </w:r>
      <w:r>
        <w:rPr>
          <w:rFonts w:ascii="Arial" w:eastAsia="Times New Roman" w:hAnsi="Arial" w:cs="Arial"/>
          <w:bCs/>
          <w:sz w:val="20"/>
          <w:szCs w:val="20"/>
        </w:rPr>
        <w:t xml:space="preserve"> and </w:t>
      </w:r>
      <w:r w:rsidRPr="00AF6B7E">
        <w:rPr>
          <w:rFonts w:ascii="Arial" w:eastAsia="Times New Roman" w:hAnsi="Arial" w:cs="Arial"/>
          <w:bCs/>
          <w:sz w:val="20"/>
          <w:szCs w:val="20"/>
        </w:rPr>
        <w:t>typhus</w:t>
      </w:r>
      <w:r>
        <w:rPr>
          <w:rFonts w:ascii="Arial" w:eastAsia="Times New Roman" w:hAnsi="Arial" w:cs="Arial"/>
          <w:bCs/>
          <w:sz w:val="20"/>
          <w:szCs w:val="20"/>
        </w:rPr>
        <w:t>)</w:t>
      </w:r>
      <w:r w:rsidRPr="00AF6B7E">
        <w:rPr>
          <w:rFonts w:ascii="Arial" w:eastAsia="Times New Roman" w:hAnsi="Arial" w:cs="Arial"/>
          <w:bCs/>
          <w:sz w:val="20"/>
          <w:szCs w:val="20"/>
        </w:rPr>
        <w:t xml:space="preserve"> </w:t>
      </w:r>
      <w:r>
        <w:rPr>
          <w:rFonts w:ascii="Arial" w:eastAsia="Times New Roman" w:hAnsi="Arial" w:cs="Arial"/>
          <w:bCs/>
          <w:sz w:val="20"/>
          <w:szCs w:val="20"/>
        </w:rPr>
        <w:t xml:space="preserve">have been described since the forties </w:t>
      </w:r>
      <w:r>
        <w:rPr>
          <w:rFonts w:ascii="Arial" w:eastAsia="Times New Roman" w:hAnsi="Arial" w:cs="Arial"/>
          <w:bCs/>
          <w:noProof/>
          <w:sz w:val="20"/>
          <w:szCs w:val="20"/>
        </w:rPr>
        <w:t>(Rubin 1946)</w:t>
      </w:r>
      <w:r>
        <w:rPr>
          <w:rFonts w:ascii="Arial" w:eastAsia="Times New Roman" w:hAnsi="Arial" w:cs="Arial"/>
          <w:bCs/>
          <w:sz w:val="20"/>
          <w:szCs w:val="20"/>
        </w:rPr>
        <w:t xml:space="preserve">. Allergic symptoms related to ingestion of hen’s egg yolk have been reported since the 1950s, mainly in children, including </w:t>
      </w:r>
      <w:r w:rsidRPr="006D1DD5">
        <w:rPr>
          <w:rFonts w:ascii="Arial" w:eastAsia="Times New Roman" w:hAnsi="Arial" w:cs="Arial"/>
          <w:bCs/>
          <w:sz w:val="20"/>
          <w:szCs w:val="20"/>
        </w:rPr>
        <w:t>regurgitation,</w:t>
      </w:r>
      <w:r>
        <w:rPr>
          <w:rFonts w:ascii="Arial" w:eastAsia="Times New Roman" w:hAnsi="Arial" w:cs="Arial"/>
          <w:bCs/>
          <w:sz w:val="20"/>
          <w:szCs w:val="20"/>
        </w:rPr>
        <w:t xml:space="preserve"> e</w:t>
      </w:r>
      <w:r w:rsidRPr="006D1DD5">
        <w:rPr>
          <w:rFonts w:ascii="Arial" w:eastAsia="Times New Roman" w:hAnsi="Arial" w:cs="Arial"/>
          <w:bCs/>
          <w:sz w:val="20"/>
          <w:szCs w:val="20"/>
        </w:rPr>
        <w:t>czema</w:t>
      </w:r>
      <w:r>
        <w:rPr>
          <w:rFonts w:ascii="Arial" w:eastAsia="Times New Roman" w:hAnsi="Arial" w:cs="Arial"/>
          <w:bCs/>
          <w:sz w:val="20"/>
          <w:szCs w:val="20"/>
        </w:rPr>
        <w:t>, and</w:t>
      </w:r>
      <w:r w:rsidRPr="006D1DD5">
        <w:rPr>
          <w:rFonts w:ascii="Arial" w:eastAsia="Times New Roman" w:hAnsi="Arial" w:cs="Arial"/>
          <w:bCs/>
          <w:sz w:val="20"/>
          <w:szCs w:val="20"/>
        </w:rPr>
        <w:t xml:space="preserve"> respiratory symptoms</w:t>
      </w:r>
      <w:r>
        <w:rPr>
          <w:rFonts w:ascii="Arial" w:eastAsia="Times New Roman" w:hAnsi="Arial" w:cs="Arial"/>
          <w:bCs/>
          <w:sz w:val="20"/>
          <w:szCs w:val="20"/>
        </w:rPr>
        <w:t xml:space="preserve"> </w:t>
      </w:r>
      <w:r>
        <w:rPr>
          <w:rFonts w:ascii="Arial" w:eastAsia="Times New Roman" w:hAnsi="Arial" w:cs="Arial"/>
          <w:bCs/>
          <w:noProof/>
          <w:sz w:val="20"/>
          <w:szCs w:val="20"/>
        </w:rPr>
        <w:t xml:space="preserve">(Todd </w:t>
      </w:r>
      <w:r w:rsidR="000B711F" w:rsidRPr="000B711F">
        <w:rPr>
          <w:rFonts w:ascii="Arial" w:eastAsia="Times New Roman" w:hAnsi="Arial" w:cs="Arial"/>
          <w:bCs/>
          <w:noProof/>
          <w:sz w:val="20"/>
          <w:szCs w:val="20"/>
        </w:rPr>
        <w:t>et al</w:t>
      </w:r>
      <w:r>
        <w:rPr>
          <w:rFonts w:ascii="Arial" w:eastAsia="Times New Roman" w:hAnsi="Arial" w:cs="Arial"/>
          <w:bCs/>
          <w:noProof/>
          <w:sz w:val="20"/>
          <w:szCs w:val="20"/>
        </w:rPr>
        <w:t>. 1957)</w:t>
      </w:r>
      <w:r>
        <w:rPr>
          <w:rFonts w:ascii="Arial" w:eastAsia="Times New Roman" w:hAnsi="Arial" w:cs="Arial"/>
          <w:bCs/>
          <w:sz w:val="20"/>
          <w:szCs w:val="20"/>
        </w:rPr>
        <w:t>.</w:t>
      </w:r>
    </w:p>
    <w:p w14:paraId="4511173F" w14:textId="0A626C19" w:rsidR="00DC40C5" w:rsidRDefault="00DC40C5" w:rsidP="00CB6059">
      <w:pPr>
        <w:tabs>
          <w:tab w:val="left" w:pos="4110"/>
        </w:tabs>
        <w:spacing w:after="0" w:line="240" w:lineRule="auto"/>
        <w:ind w:firstLine="708"/>
        <w:jc w:val="both"/>
        <w:rPr>
          <w:rFonts w:ascii="Arial" w:eastAsia="Times New Roman" w:hAnsi="Arial" w:cs="Arial"/>
          <w:bCs/>
          <w:sz w:val="20"/>
          <w:szCs w:val="20"/>
        </w:rPr>
      </w:pPr>
      <w:r w:rsidRPr="00B04B3A">
        <w:rPr>
          <w:rFonts w:ascii="Arial" w:eastAsia="Times New Roman" w:hAnsi="Arial" w:cs="Arial"/>
          <w:bCs/>
          <w:sz w:val="20"/>
          <w:szCs w:val="20"/>
        </w:rPr>
        <w:t xml:space="preserve">Allergy to chicken meat can </w:t>
      </w:r>
      <w:r>
        <w:rPr>
          <w:rFonts w:ascii="Arial" w:eastAsia="Times New Roman" w:hAnsi="Arial" w:cs="Arial"/>
          <w:bCs/>
          <w:sz w:val="20"/>
          <w:szCs w:val="20"/>
        </w:rPr>
        <w:t xml:space="preserve">also </w:t>
      </w:r>
      <w:r w:rsidRPr="00B04B3A">
        <w:rPr>
          <w:rFonts w:ascii="Arial" w:eastAsia="Times New Roman" w:hAnsi="Arial" w:cs="Arial"/>
          <w:bCs/>
          <w:sz w:val="20"/>
          <w:szCs w:val="20"/>
        </w:rPr>
        <w:t>develop as a cross-sensitivity against hen egg proteins</w:t>
      </w:r>
      <w:r>
        <w:rPr>
          <w:rFonts w:ascii="Arial" w:eastAsia="Times New Roman" w:hAnsi="Arial" w:cs="Arial"/>
          <w:bCs/>
          <w:sz w:val="20"/>
          <w:szCs w:val="20"/>
        </w:rPr>
        <w:t xml:space="preserve"> (bird-egg syndrome)</w:t>
      </w:r>
      <w:r w:rsidRPr="00B04B3A">
        <w:rPr>
          <w:rFonts w:ascii="Arial" w:eastAsia="Times New Roman" w:hAnsi="Arial" w:cs="Arial"/>
          <w:bCs/>
          <w:sz w:val="20"/>
          <w:szCs w:val="20"/>
        </w:rPr>
        <w:t xml:space="preserve"> </w:t>
      </w:r>
      <w:r>
        <w:rPr>
          <w:rFonts w:ascii="Arial" w:eastAsia="Times New Roman" w:hAnsi="Arial" w:cs="Arial"/>
          <w:bCs/>
          <w:noProof/>
          <w:sz w:val="20"/>
          <w:szCs w:val="20"/>
        </w:rPr>
        <w:t xml:space="preserve">(Hemmer </w:t>
      </w:r>
      <w:r w:rsidR="006E77F3">
        <w:rPr>
          <w:rFonts w:ascii="Arial" w:eastAsia="Times New Roman" w:hAnsi="Arial" w:cs="Arial"/>
          <w:bCs/>
          <w:noProof/>
          <w:sz w:val="20"/>
          <w:szCs w:val="20"/>
        </w:rPr>
        <w:t>et al.</w:t>
      </w:r>
      <w:r>
        <w:rPr>
          <w:rFonts w:ascii="Arial" w:eastAsia="Times New Roman" w:hAnsi="Arial" w:cs="Arial"/>
          <w:bCs/>
          <w:noProof/>
          <w:sz w:val="20"/>
          <w:szCs w:val="20"/>
        </w:rPr>
        <w:t xml:space="preserve"> 2016)</w:t>
      </w:r>
      <w:r w:rsidRPr="00B04B3A">
        <w:rPr>
          <w:rFonts w:ascii="Arial" w:eastAsia="Times New Roman" w:hAnsi="Arial" w:cs="Arial"/>
          <w:bCs/>
          <w:sz w:val="20"/>
          <w:szCs w:val="20"/>
        </w:rPr>
        <w:t>.</w:t>
      </w:r>
      <w:r>
        <w:rPr>
          <w:rFonts w:ascii="Arial" w:eastAsia="Times New Roman" w:hAnsi="Arial" w:cs="Arial"/>
          <w:bCs/>
          <w:sz w:val="20"/>
          <w:szCs w:val="20"/>
        </w:rPr>
        <w:t xml:space="preserve"> B</w:t>
      </w:r>
      <w:r w:rsidRPr="00B04B3A">
        <w:rPr>
          <w:rFonts w:ascii="Arial" w:eastAsia="Times New Roman" w:hAnsi="Arial" w:cs="Arial"/>
          <w:bCs/>
          <w:sz w:val="20"/>
          <w:szCs w:val="20"/>
        </w:rPr>
        <w:t>ird-egg syndrome</w:t>
      </w:r>
      <w:r>
        <w:rPr>
          <w:rFonts w:ascii="Arial" w:eastAsia="Times New Roman" w:hAnsi="Arial" w:cs="Arial"/>
          <w:bCs/>
          <w:sz w:val="20"/>
          <w:szCs w:val="20"/>
        </w:rPr>
        <w:t xml:space="preserve"> is a</w:t>
      </w:r>
      <w:r w:rsidRPr="00B04B3A">
        <w:rPr>
          <w:rFonts w:ascii="Arial" w:eastAsia="Times New Roman" w:hAnsi="Arial" w:cs="Arial"/>
          <w:bCs/>
          <w:sz w:val="20"/>
          <w:szCs w:val="20"/>
        </w:rPr>
        <w:t xml:space="preserve"> peculiar IgE-mediated </w:t>
      </w:r>
      <w:r>
        <w:rPr>
          <w:rFonts w:ascii="Arial" w:eastAsia="Times New Roman" w:hAnsi="Arial" w:cs="Arial"/>
          <w:bCs/>
          <w:sz w:val="20"/>
          <w:szCs w:val="20"/>
        </w:rPr>
        <w:t xml:space="preserve">cross-hypersensitivity </w:t>
      </w:r>
      <w:r w:rsidRPr="00B04B3A">
        <w:rPr>
          <w:rFonts w:ascii="Arial" w:eastAsia="Times New Roman" w:hAnsi="Arial" w:cs="Arial"/>
          <w:bCs/>
          <w:sz w:val="20"/>
          <w:szCs w:val="20"/>
        </w:rPr>
        <w:t xml:space="preserve">to egg-yolk </w:t>
      </w:r>
      <w:r w:rsidRPr="00666F77">
        <w:rPr>
          <w:rFonts w:ascii="Arial" w:eastAsia="Times New Roman" w:hAnsi="Arial" w:cs="Arial"/>
          <w:bCs/>
          <w:sz w:val="20"/>
          <w:szCs w:val="20"/>
        </w:rPr>
        <w:t>alpha-livetin (chicken serum albumin</w:t>
      </w:r>
      <w:r>
        <w:rPr>
          <w:rFonts w:ascii="Arial" w:eastAsia="Times New Roman" w:hAnsi="Arial" w:cs="Arial"/>
          <w:bCs/>
          <w:sz w:val="20"/>
          <w:szCs w:val="20"/>
        </w:rPr>
        <w:t xml:space="preserve"> or Gal d 5</w:t>
      </w:r>
      <w:r w:rsidRPr="00666F77">
        <w:rPr>
          <w:rFonts w:ascii="Arial" w:eastAsia="Times New Roman" w:hAnsi="Arial" w:cs="Arial"/>
          <w:bCs/>
          <w:sz w:val="20"/>
          <w:szCs w:val="20"/>
        </w:rPr>
        <w:t>)</w:t>
      </w:r>
      <w:r>
        <w:rPr>
          <w:rFonts w:ascii="Arial" w:eastAsia="Times New Roman" w:hAnsi="Arial" w:cs="Arial"/>
          <w:bCs/>
          <w:sz w:val="20"/>
          <w:szCs w:val="20"/>
        </w:rPr>
        <w:t>,</w:t>
      </w:r>
      <w:r w:rsidRPr="00B04B3A">
        <w:rPr>
          <w:rFonts w:ascii="Arial" w:eastAsia="Times New Roman" w:hAnsi="Arial" w:cs="Arial"/>
          <w:bCs/>
          <w:sz w:val="20"/>
          <w:szCs w:val="20"/>
        </w:rPr>
        <w:t xml:space="preserve"> </w:t>
      </w:r>
      <w:r>
        <w:rPr>
          <w:rFonts w:ascii="Arial" w:eastAsia="Times New Roman" w:hAnsi="Arial" w:cs="Arial"/>
          <w:bCs/>
          <w:sz w:val="20"/>
          <w:szCs w:val="20"/>
        </w:rPr>
        <w:t>also associated with inhaling</w:t>
      </w:r>
      <w:r w:rsidRPr="00B04B3A">
        <w:rPr>
          <w:rFonts w:ascii="Arial" w:eastAsia="Times New Roman" w:hAnsi="Arial" w:cs="Arial"/>
          <w:bCs/>
          <w:sz w:val="20"/>
          <w:szCs w:val="20"/>
        </w:rPr>
        <w:t xml:space="preserve"> bird</w:t>
      </w:r>
      <w:r>
        <w:rPr>
          <w:rFonts w:ascii="Arial" w:eastAsia="Times New Roman" w:hAnsi="Arial" w:cs="Arial"/>
          <w:bCs/>
          <w:sz w:val="20"/>
          <w:szCs w:val="20"/>
        </w:rPr>
        <w:t>s’ feathers and</w:t>
      </w:r>
      <w:r w:rsidRPr="00B04B3A">
        <w:rPr>
          <w:rFonts w:ascii="Arial" w:eastAsia="Times New Roman" w:hAnsi="Arial" w:cs="Arial"/>
          <w:bCs/>
          <w:sz w:val="20"/>
          <w:szCs w:val="20"/>
        </w:rPr>
        <w:t xml:space="preserve"> dander</w:t>
      </w:r>
      <w:r>
        <w:rPr>
          <w:rFonts w:ascii="Arial" w:eastAsia="Times New Roman" w:hAnsi="Arial" w:cs="Arial"/>
          <w:bCs/>
          <w:sz w:val="20"/>
          <w:szCs w:val="20"/>
        </w:rPr>
        <w:t xml:space="preserve"> </w:t>
      </w:r>
      <w:r>
        <w:rPr>
          <w:rFonts w:ascii="Arial" w:eastAsia="Times New Roman" w:hAnsi="Arial" w:cs="Arial"/>
          <w:bCs/>
          <w:noProof/>
          <w:sz w:val="20"/>
          <w:szCs w:val="20"/>
        </w:rPr>
        <w:t>(Mandallaz</w:t>
      </w:r>
      <w:r w:rsidR="006E77F3">
        <w:rPr>
          <w:rFonts w:ascii="Arial" w:eastAsia="Times New Roman" w:hAnsi="Arial" w:cs="Arial"/>
          <w:bCs/>
          <w:noProof/>
          <w:sz w:val="20"/>
          <w:szCs w:val="20"/>
        </w:rPr>
        <w:t xml:space="preserve"> et al.</w:t>
      </w:r>
      <w:r>
        <w:rPr>
          <w:rFonts w:ascii="Arial" w:eastAsia="Times New Roman" w:hAnsi="Arial" w:cs="Arial"/>
          <w:bCs/>
          <w:noProof/>
          <w:sz w:val="20"/>
          <w:szCs w:val="20"/>
        </w:rPr>
        <w:t xml:space="preserve"> 1988, Szépfalusi </w:t>
      </w:r>
      <w:r w:rsidR="000B711F" w:rsidRPr="000B711F">
        <w:rPr>
          <w:rFonts w:ascii="Arial" w:eastAsia="Times New Roman" w:hAnsi="Arial" w:cs="Arial"/>
          <w:bCs/>
          <w:noProof/>
          <w:sz w:val="20"/>
          <w:szCs w:val="20"/>
        </w:rPr>
        <w:t>et al</w:t>
      </w:r>
      <w:r>
        <w:rPr>
          <w:rFonts w:ascii="Arial" w:eastAsia="Times New Roman" w:hAnsi="Arial" w:cs="Arial"/>
          <w:bCs/>
          <w:noProof/>
          <w:sz w:val="20"/>
          <w:szCs w:val="20"/>
        </w:rPr>
        <w:t>. 1994)</w:t>
      </w:r>
      <w:r w:rsidRPr="00B04B3A">
        <w:rPr>
          <w:rFonts w:ascii="Arial" w:eastAsia="Times New Roman" w:hAnsi="Arial" w:cs="Arial"/>
          <w:bCs/>
          <w:sz w:val="20"/>
          <w:szCs w:val="20"/>
        </w:rPr>
        <w:t xml:space="preserve">. </w:t>
      </w:r>
      <w:r>
        <w:rPr>
          <w:rFonts w:ascii="Arial" w:eastAsia="Times New Roman" w:hAnsi="Arial" w:cs="Arial"/>
          <w:bCs/>
          <w:sz w:val="20"/>
          <w:szCs w:val="20"/>
        </w:rPr>
        <w:t xml:space="preserve">Three </w:t>
      </w:r>
      <w:r w:rsidRPr="00CB6059">
        <w:rPr>
          <w:rFonts w:ascii="Arial" w:eastAsia="Times New Roman" w:hAnsi="Arial" w:cs="Arial"/>
          <w:bCs/>
          <w:sz w:val="20"/>
          <w:szCs w:val="20"/>
        </w:rPr>
        <w:t>chicken meat allergens</w:t>
      </w:r>
      <w:r>
        <w:rPr>
          <w:rFonts w:ascii="Arial" w:eastAsia="Times New Roman" w:hAnsi="Arial" w:cs="Arial"/>
          <w:bCs/>
          <w:sz w:val="20"/>
          <w:szCs w:val="20"/>
        </w:rPr>
        <w:t>: parvalbumin</w:t>
      </w:r>
      <w:r w:rsidRPr="00CB6059">
        <w:rPr>
          <w:rFonts w:ascii="Arial" w:eastAsia="Times New Roman" w:hAnsi="Arial" w:cs="Arial"/>
          <w:bCs/>
          <w:sz w:val="20"/>
          <w:szCs w:val="20"/>
        </w:rPr>
        <w:t xml:space="preserve"> </w:t>
      </w:r>
      <w:r>
        <w:rPr>
          <w:rFonts w:ascii="Arial" w:eastAsia="Times New Roman" w:hAnsi="Arial" w:cs="Arial"/>
          <w:bCs/>
          <w:sz w:val="20"/>
          <w:szCs w:val="20"/>
        </w:rPr>
        <w:t>(</w:t>
      </w:r>
      <w:r w:rsidRPr="00CB6059">
        <w:rPr>
          <w:rFonts w:ascii="Arial" w:eastAsia="Times New Roman" w:hAnsi="Arial" w:cs="Arial"/>
          <w:bCs/>
          <w:sz w:val="20"/>
          <w:szCs w:val="20"/>
        </w:rPr>
        <w:t>Gal d 8</w:t>
      </w:r>
      <w:r>
        <w:rPr>
          <w:rFonts w:ascii="Arial" w:eastAsia="Times New Roman" w:hAnsi="Arial" w:cs="Arial"/>
          <w:bCs/>
          <w:sz w:val="20"/>
          <w:szCs w:val="20"/>
        </w:rPr>
        <w:t>)</w:t>
      </w:r>
      <w:r w:rsidRPr="00CB6059">
        <w:rPr>
          <w:rFonts w:ascii="Arial" w:eastAsia="Times New Roman" w:hAnsi="Arial" w:cs="Arial"/>
          <w:bCs/>
          <w:sz w:val="20"/>
          <w:szCs w:val="20"/>
        </w:rPr>
        <w:t>,</w:t>
      </w:r>
      <w:r>
        <w:rPr>
          <w:rFonts w:ascii="Arial" w:eastAsia="Times New Roman" w:hAnsi="Arial" w:cs="Arial"/>
          <w:bCs/>
          <w:sz w:val="20"/>
          <w:szCs w:val="20"/>
        </w:rPr>
        <w:t xml:space="preserve"> </w:t>
      </w:r>
      <w:r w:rsidRPr="00CB6059">
        <w:rPr>
          <w:rFonts w:ascii="Arial" w:eastAsia="Times New Roman" w:hAnsi="Arial" w:cs="Arial"/>
          <w:bCs/>
          <w:sz w:val="20"/>
          <w:szCs w:val="20"/>
        </w:rPr>
        <w:t>enolase</w:t>
      </w:r>
      <w:r>
        <w:rPr>
          <w:rFonts w:ascii="Arial" w:eastAsia="Times New Roman" w:hAnsi="Arial" w:cs="Arial"/>
          <w:bCs/>
          <w:sz w:val="20"/>
          <w:szCs w:val="20"/>
        </w:rPr>
        <w:t xml:space="preserve"> (</w:t>
      </w:r>
      <w:r w:rsidRPr="00CB6059">
        <w:rPr>
          <w:rFonts w:ascii="Arial" w:eastAsia="Times New Roman" w:hAnsi="Arial" w:cs="Arial"/>
          <w:bCs/>
          <w:sz w:val="20"/>
          <w:szCs w:val="20"/>
        </w:rPr>
        <w:t>Gal d 9</w:t>
      </w:r>
      <w:r>
        <w:rPr>
          <w:rFonts w:ascii="Arial" w:eastAsia="Times New Roman" w:hAnsi="Arial" w:cs="Arial"/>
          <w:bCs/>
          <w:sz w:val="20"/>
          <w:szCs w:val="20"/>
        </w:rPr>
        <w:t>)</w:t>
      </w:r>
      <w:r w:rsidRPr="00CB6059">
        <w:rPr>
          <w:rFonts w:ascii="Arial" w:eastAsia="Times New Roman" w:hAnsi="Arial" w:cs="Arial"/>
          <w:bCs/>
          <w:sz w:val="20"/>
          <w:szCs w:val="20"/>
        </w:rPr>
        <w:t>, and aldolase</w:t>
      </w:r>
      <w:r>
        <w:rPr>
          <w:rFonts w:ascii="Arial" w:eastAsia="Times New Roman" w:hAnsi="Arial" w:cs="Arial"/>
          <w:bCs/>
          <w:sz w:val="20"/>
          <w:szCs w:val="20"/>
        </w:rPr>
        <w:t xml:space="preserve"> (</w:t>
      </w:r>
      <w:r w:rsidRPr="00CB6059">
        <w:rPr>
          <w:rFonts w:ascii="Arial" w:eastAsia="Times New Roman" w:hAnsi="Arial" w:cs="Arial"/>
          <w:bCs/>
          <w:sz w:val="20"/>
          <w:szCs w:val="20"/>
        </w:rPr>
        <w:t>Gal d 10</w:t>
      </w:r>
      <w:r>
        <w:rPr>
          <w:rFonts w:ascii="Arial" w:eastAsia="Times New Roman" w:hAnsi="Arial" w:cs="Arial"/>
          <w:bCs/>
          <w:sz w:val="20"/>
          <w:szCs w:val="20"/>
        </w:rPr>
        <w:t>)</w:t>
      </w:r>
      <w:r w:rsidRPr="00CB6059">
        <w:rPr>
          <w:rFonts w:ascii="Arial" w:eastAsia="Times New Roman" w:hAnsi="Arial" w:cs="Arial"/>
          <w:bCs/>
          <w:sz w:val="20"/>
          <w:szCs w:val="20"/>
        </w:rPr>
        <w:t xml:space="preserve"> </w:t>
      </w:r>
      <w:r>
        <w:rPr>
          <w:rFonts w:ascii="Arial" w:eastAsia="Times New Roman" w:hAnsi="Arial" w:cs="Arial"/>
          <w:bCs/>
          <w:sz w:val="20"/>
          <w:szCs w:val="20"/>
        </w:rPr>
        <w:t>are also present in fish and are responsible for a cross-reactivity hypersensitivity condition called the “</w:t>
      </w:r>
      <w:r w:rsidRPr="00CB6059">
        <w:rPr>
          <w:rFonts w:ascii="Arial" w:eastAsia="Times New Roman" w:hAnsi="Arial" w:cs="Arial"/>
          <w:bCs/>
          <w:sz w:val="20"/>
          <w:szCs w:val="20"/>
        </w:rPr>
        <w:t>fish–chicken syndrome</w:t>
      </w:r>
      <w:r>
        <w:rPr>
          <w:rFonts w:ascii="Arial" w:eastAsia="Times New Roman" w:hAnsi="Arial" w:cs="Arial"/>
          <w:bCs/>
          <w:sz w:val="20"/>
          <w:szCs w:val="20"/>
        </w:rPr>
        <w:t xml:space="preserve">” </w:t>
      </w:r>
      <w:r>
        <w:rPr>
          <w:rFonts w:ascii="Arial" w:eastAsia="Times New Roman" w:hAnsi="Arial" w:cs="Arial"/>
          <w:bCs/>
          <w:noProof/>
          <w:sz w:val="20"/>
          <w:szCs w:val="20"/>
        </w:rPr>
        <w:t xml:space="preserve">(Kuehn </w:t>
      </w:r>
      <w:r w:rsidR="000B711F" w:rsidRPr="000B711F">
        <w:rPr>
          <w:rFonts w:ascii="Arial" w:eastAsia="Times New Roman" w:hAnsi="Arial" w:cs="Arial"/>
          <w:bCs/>
          <w:noProof/>
          <w:sz w:val="20"/>
          <w:szCs w:val="20"/>
        </w:rPr>
        <w:t>et al</w:t>
      </w:r>
      <w:r>
        <w:rPr>
          <w:rFonts w:ascii="Arial" w:eastAsia="Times New Roman" w:hAnsi="Arial" w:cs="Arial"/>
          <w:bCs/>
          <w:noProof/>
          <w:sz w:val="20"/>
          <w:szCs w:val="20"/>
        </w:rPr>
        <w:t>. 2016)</w:t>
      </w:r>
      <w:r>
        <w:rPr>
          <w:rFonts w:ascii="Arial" w:eastAsia="Times New Roman" w:hAnsi="Arial" w:cs="Arial"/>
          <w:bCs/>
          <w:sz w:val="20"/>
          <w:szCs w:val="20"/>
        </w:rPr>
        <w:t>.</w:t>
      </w:r>
    </w:p>
    <w:p w14:paraId="3BB5B05E" w14:textId="1CA9682E" w:rsidR="00DC40C5" w:rsidRDefault="00DC40C5" w:rsidP="00F53AD0">
      <w:pPr>
        <w:spacing w:after="0" w:line="240" w:lineRule="auto"/>
        <w:ind w:firstLine="708"/>
        <w:jc w:val="both"/>
        <w:rPr>
          <w:rFonts w:ascii="Arial" w:eastAsia="Times New Roman" w:hAnsi="Arial" w:cs="Arial"/>
          <w:sz w:val="20"/>
          <w:szCs w:val="20"/>
        </w:rPr>
      </w:pPr>
      <w:r w:rsidRPr="00647E92">
        <w:rPr>
          <w:rFonts w:ascii="Arial" w:eastAsia="Times New Roman" w:hAnsi="Arial" w:cs="Arial"/>
          <w:sz w:val="20"/>
          <w:szCs w:val="20"/>
        </w:rPr>
        <w:t>Usually, patients</w:t>
      </w:r>
      <w:r>
        <w:rPr>
          <w:rFonts w:ascii="Arial" w:eastAsia="Times New Roman" w:hAnsi="Arial" w:cs="Arial"/>
          <w:sz w:val="20"/>
          <w:szCs w:val="20"/>
        </w:rPr>
        <w:t xml:space="preserve"> present</w:t>
      </w:r>
      <w:r w:rsidRPr="00647E92">
        <w:rPr>
          <w:rFonts w:ascii="Arial" w:eastAsia="Times New Roman" w:hAnsi="Arial" w:cs="Arial"/>
          <w:sz w:val="20"/>
          <w:szCs w:val="20"/>
        </w:rPr>
        <w:t xml:space="preserve"> reactions to multiple foods, a</w:t>
      </w:r>
      <w:r>
        <w:rPr>
          <w:rFonts w:ascii="Arial" w:eastAsia="Times New Roman" w:hAnsi="Arial" w:cs="Arial"/>
          <w:sz w:val="20"/>
          <w:szCs w:val="20"/>
        </w:rPr>
        <w:t>n issue</w:t>
      </w:r>
      <w:r w:rsidRPr="00647E92">
        <w:rPr>
          <w:rFonts w:ascii="Arial" w:eastAsia="Times New Roman" w:hAnsi="Arial" w:cs="Arial"/>
          <w:sz w:val="20"/>
          <w:szCs w:val="20"/>
        </w:rPr>
        <w:t xml:space="preserve"> reinforced by the </w:t>
      </w:r>
      <w:r>
        <w:rPr>
          <w:rFonts w:ascii="Arial" w:eastAsia="Times New Roman" w:hAnsi="Arial" w:cs="Arial"/>
          <w:sz w:val="20"/>
          <w:szCs w:val="20"/>
        </w:rPr>
        <w:t>few laboratory tests which can suggest</w:t>
      </w:r>
      <w:r w:rsidRPr="00647E92">
        <w:rPr>
          <w:rFonts w:ascii="Arial" w:eastAsia="Times New Roman" w:hAnsi="Arial" w:cs="Arial"/>
          <w:sz w:val="20"/>
          <w:szCs w:val="20"/>
        </w:rPr>
        <w:t xml:space="preserve"> the possibility of</w:t>
      </w:r>
      <w:r w:rsidRPr="00647E92">
        <w:rPr>
          <w:rFonts w:ascii="Arial" w:eastAsia="Times New Roman" w:hAnsi="Arial" w:cs="Arial"/>
          <w:bCs/>
          <w:sz w:val="20"/>
          <w:szCs w:val="20"/>
        </w:rPr>
        <w:t xml:space="preserve"> non-IgE-mediated hyper</w:t>
      </w:r>
      <w:r w:rsidRPr="00647E92">
        <w:rPr>
          <w:rFonts w:ascii="Arial" w:eastAsia="Times New Roman" w:hAnsi="Arial" w:cs="Arial"/>
          <w:sz w:val="20"/>
          <w:szCs w:val="20"/>
        </w:rPr>
        <w:t>sensitivit</w:t>
      </w:r>
      <w:r>
        <w:rPr>
          <w:rFonts w:ascii="Arial" w:eastAsia="Times New Roman" w:hAnsi="Arial" w:cs="Arial"/>
          <w:sz w:val="20"/>
          <w:szCs w:val="20"/>
        </w:rPr>
        <w:t>ies</w:t>
      </w:r>
      <w:r w:rsidRPr="00647E92">
        <w:rPr>
          <w:rFonts w:ascii="Arial" w:eastAsia="Times New Roman" w:hAnsi="Arial" w:cs="Arial"/>
          <w:sz w:val="20"/>
          <w:szCs w:val="20"/>
        </w:rPr>
        <w:t xml:space="preserve"> </w:t>
      </w:r>
      <w:r>
        <w:rPr>
          <w:rFonts w:ascii="Arial" w:eastAsia="Times New Roman" w:hAnsi="Arial" w:cs="Arial"/>
          <w:noProof/>
          <w:sz w:val="20"/>
          <w:szCs w:val="20"/>
        </w:rPr>
        <w:t xml:space="preserve">(Katz </w:t>
      </w:r>
      <w:r>
        <w:rPr>
          <w:rFonts w:ascii="Arial" w:eastAsia="Times New Roman" w:hAnsi="Arial" w:cs="Arial"/>
          <w:noProof/>
          <w:sz w:val="20"/>
          <w:szCs w:val="20"/>
        </w:rPr>
        <w:lastRenderedPageBreak/>
        <w:t>and Goldberg 2014)</w:t>
      </w:r>
      <w:r w:rsidRPr="00647E92">
        <w:rPr>
          <w:rFonts w:ascii="Arial" w:eastAsia="Times New Roman" w:hAnsi="Arial" w:cs="Arial"/>
          <w:sz w:val="20"/>
          <w:szCs w:val="20"/>
        </w:rPr>
        <w:t>.</w:t>
      </w:r>
      <w:r>
        <w:rPr>
          <w:rFonts w:ascii="Arial" w:eastAsia="Times New Roman" w:hAnsi="Arial" w:cs="Arial"/>
          <w:sz w:val="20"/>
          <w:szCs w:val="20"/>
        </w:rPr>
        <w:t xml:space="preserve"> Some facilities employ the L</w:t>
      </w:r>
      <w:r w:rsidRPr="00401164">
        <w:rPr>
          <w:rFonts w:ascii="Arial" w:eastAsia="Times New Roman" w:hAnsi="Arial" w:cs="Arial"/>
          <w:sz w:val="20"/>
          <w:szCs w:val="20"/>
        </w:rPr>
        <w:t xml:space="preserve">ymphocyte </w:t>
      </w:r>
      <w:r>
        <w:rPr>
          <w:rFonts w:ascii="Arial" w:eastAsia="Times New Roman" w:hAnsi="Arial" w:cs="Arial"/>
          <w:sz w:val="20"/>
          <w:szCs w:val="20"/>
        </w:rPr>
        <w:t>S</w:t>
      </w:r>
      <w:r w:rsidRPr="00401164">
        <w:rPr>
          <w:rFonts w:ascii="Arial" w:eastAsia="Times New Roman" w:hAnsi="Arial" w:cs="Arial"/>
          <w:sz w:val="20"/>
          <w:szCs w:val="20"/>
        </w:rPr>
        <w:t xml:space="preserve">timulation </w:t>
      </w:r>
      <w:r>
        <w:rPr>
          <w:rFonts w:ascii="Arial" w:eastAsia="Times New Roman" w:hAnsi="Arial" w:cs="Arial"/>
          <w:sz w:val="20"/>
          <w:szCs w:val="20"/>
        </w:rPr>
        <w:t>T</w:t>
      </w:r>
      <w:r w:rsidRPr="00401164">
        <w:rPr>
          <w:rFonts w:ascii="Arial" w:eastAsia="Times New Roman" w:hAnsi="Arial" w:cs="Arial"/>
          <w:sz w:val="20"/>
          <w:szCs w:val="20"/>
        </w:rPr>
        <w:t>est for diagnosing</w:t>
      </w:r>
      <w:r>
        <w:rPr>
          <w:rFonts w:ascii="Arial" w:eastAsia="Times New Roman" w:hAnsi="Arial" w:cs="Arial"/>
          <w:sz w:val="20"/>
          <w:szCs w:val="20"/>
        </w:rPr>
        <w:t xml:space="preserve"> </w:t>
      </w:r>
      <w:r w:rsidRPr="00401164">
        <w:rPr>
          <w:rFonts w:ascii="Arial" w:eastAsia="Times New Roman" w:hAnsi="Arial" w:cs="Arial"/>
          <w:sz w:val="20"/>
          <w:szCs w:val="20"/>
        </w:rPr>
        <w:t>hen’s egg yolk–induced enterocolitis syndrome</w:t>
      </w:r>
      <w:r>
        <w:rPr>
          <w:rFonts w:ascii="Arial" w:eastAsia="Times New Roman" w:hAnsi="Arial" w:cs="Arial"/>
          <w:sz w:val="20"/>
          <w:szCs w:val="20"/>
        </w:rPr>
        <w:t xml:space="preserve"> </w:t>
      </w:r>
      <w:r>
        <w:rPr>
          <w:rFonts w:ascii="Arial" w:eastAsia="Times New Roman" w:hAnsi="Arial" w:cs="Arial"/>
          <w:noProof/>
          <w:sz w:val="20"/>
          <w:szCs w:val="20"/>
        </w:rPr>
        <w:t xml:space="preserve">(Kajita </w:t>
      </w:r>
      <w:r w:rsidR="000B711F" w:rsidRPr="000B711F">
        <w:rPr>
          <w:rFonts w:ascii="Arial" w:eastAsia="Times New Roman" w:hAnsi="Arial" w:cs="Arial"/>
          <w:noProof/>
          <w:sz w:val="20"/>
          <w:szCs w:val="20"/>
        </w:rPr>
        <w:t>et al</w:t>
      </w:r>
      <w:r>
        <w:rPr>
          <w:rFonts w:ascii="Arial" w:eastAsia="Times New Roman" w:hAnsi="Arial" w:cs="Arial"/>
          <w:noProof/>
          <w:sz w:val="20"/>
          <w:szCs w:val="20"/>
        </w:rPr>
        <w:t>. 2023)</w:t>
      </w:r>
      <w:r>
        <w:rPr>
          <w:rFonts w:ascii="Arial" w:eastAsia="Times New Roman" w:hAnsi="Arial" w:cs="Arial"/>
          <w:sz w:val="20"/>
          <w:szCs w:val="20"/>
        </w:rPr>
        <w:t xml:space="preserve">. </w:t>
      </w:r>
    </w:p>
    <w:p w14:paraId="443BCFE1" w14:textId="58D46A52" w:rsidR="00DC40C5" w:rsidRPr="000355FE" w:rsidRDefault="00DC40C5" w:rsidP="000355FE">
      <w:pPr>
        <w:spacing w:after="0" w:line="240" w:lineRule="auto"/>
        <w:ind w:firstLine="708"/>
        <w:jc w:val="both"/>
        <w:rPr>
          <w:rFonts w:ascii="Arial" w:eastAsia="Times New Roman" w:hAnsi="Arial" w:cs="Arial"/>
          <w:sz w:val="20"/>
          <w:szCs w:val="20"/>
        </w:rPr>
      </w:pPr>
      <w:r w:rsidRPr="00F53AD0">
        <w:rPr>
          <w:rFonts w:ascii="Arial" w:eastAsia="Times New Roman" w:hAnsi="Arial" w:cs="Arial"/>
          <w:sz w:val="20"/>
          <w:szCs w:val="20"/>
        </w:rPr>
        <w:t>Humoral immunoreactivity against food allergens and aeroallergens had been classically evaluated by</w:t>
      </w:r>
      <w:r w:rsidRPr="00F53AD0">
        <w:rPr>
          <w:rFonts w:ascii="Arial" w:eastAsia="Times New Roman" w:hAnsi="Arial" w:cs="Arial"/>
          <w:iCs/>
          <w:sz w:val="20"/>
          <w:szCs w:val="20"/>
        </w:rPr>
        <w:t xml:space="preserve"> Precipitins </w:t>
      </w:r>
      <w:r>
        <w:rPr>
          <w:rFonts w:ascii="Arial" w:eastAsia="Times New Roman" w:hAnsi="Arial" w:cs="Arial"/>
          <w:iCs/>
          <w:noProof/>
          <w:sz w:val="20"/>
          <w:szCs w:val="20"/>
        </w:rPr>
        <w:t>(Augustin 1953, Augustin</w:t>
      </w:r>
      <w:r w:rsidR="006E77F3">
        <w:rPr>
          <w:rFonts w:ascii="Arial" w:eastAsia="Times New Roman" w:hAnsi="Arial" w:cs="Arial"/>
          <w:iCs/>
          <w:noProof/>
          <w:sz w:val="20"/>
          <w:szCs w:val="20"/>
        </w:rPr>
        <w:t xml:space="preserve"> et al.</w:t>
      </w:r>
      <w:r>
        <w:rPr>
          <w:rFonts w:ascii="Arial" w:eastAsia="Times New Roman" w:hAnsi="Arial" w:cs="Arial"/>
          <w:iCs/>
          <w:noProof/>
          <w:sz w:val="20"/>
          <w:szCs w:val="20"/>
        </w:rPr>
        <w:t xml:space="preserve"> 1960, Cunningham-Rundles </w:t>
      </w:r>
      <w:r w:rsidR="000B711F" w:rsidRPr="000B711F">
        <w:rPr>
          <w:rFonts w:ascii="Arial" w:eastAsia="Times New Roman" w:hAnsi="Arial" w:cs="Arial"/>
          <w:noProof/>
          <w:sz w:val="20"/>
          <w:szCs w:val="20"/>
        </w:rPr>
        <w:t>et al</w:t>
      </w:r>
      <w:r>
        <w:rPr>
          <w:rFonts w:ascii="Arial" w:eastAsia="Times New Roman" w:hAnsi="Arial" w:cs="Arial"/>
          <w:iCs/>
          <w:noProof/>
          <w:sz w:val="20"/>
          <w:szCs w:val="20"/>
        </w:rPr>
        <w:t>. 1978, Ferguson and Carswell 1972, Heiner</w:t>
      </w:r>
      <w:r w:rsidR="006E77F3">
        <w:rPr>
          <w:rFonts w:ascii="Arial" w:eastAsia="Times New Roman" w:hAnsi="Arial" w:cs="Arial"/>
          <w:iCs/>
          <w:noProof/>
          <w:sz w:val="20"/>
          <w:szCs w:val="20"/>
        </w:rPr>
        <w:t xml:space="preserve"> et al.</w:t>
      </w:r>
      <w:r>
        <w:rPr>
          <w:rFonts w:ascii="Arial" w:eastAsia="Times New Roman" w:hAnsi="Arial" w:cs="Arial"/>
          <w:iCs/>
          <w:noProof/>
          <w:sz w:val="20"/>
          <w:szCs w:val="20"/>
        </w:rPr>
        <w:t xml:space="preserve"> 1962)</w:t>
      </w:r>
      <w:r w:rsidRPr="00F53AD0">
        <w:rPr>
          <w:rFonts w:ascii="Arial" w:eastAsia="Times New Roman" w:hAnsi="Arial" w:cs="Arial"/>
          <w:iCs/>
          <w:sz w:val="20"/>
          <w:szCs w:val="20"/>
        </w:rPr>
        <w:t>.</w:t>
      </w:r>
      <w:r w:rsidRPr="00F53AD0">
        <w:rPr>
          <w:rFonts w:ascii="Arial" w:eastAsia="Times New Roman" w:hAnsi="Arial" w:cs="Arial"/>
          <w:sz w:val="20"/>
          <w:szCs w:val="20"/>
        </w:rPr>
        <w:t xml:space="preserve"> We</w:t>
      </w:r>
      <w:r w:rsidRPr="00F53AD0">
        <w:rPr>
          <w:rFonts w:ascii="Arial" w:eastAsia="Times New Roman" w:hAnsi="Arial" w:cs="Arial"/>
          <w:iCs/>
          <w:sz w:val="20"/>
          <w:szCs w:val="20"/>
        </w:rPr>
        <w:t xml:space="preserve"> also routinely employ the Tube Research of Precipitins (TTP) in our facilities as a triage to evaluate humoral </w:t>
      </w:r>
      <w:r w:rsidRPr="00F53AD0">
        <w:rPr>
          <w:rFonts w:ascii="Arial" w:eastAsia="Times New Roman" w:hAnsi="Arial" w:cs="Arial"/>
          <w:sz w:val="20"/>
          <w:szCs w:val="20"/>
        </w:rPr>
        <w:t xml:space="preserve">non–IgE-mediated immunoreactivity against suspected allergens </w:t>
      </w:r>
      <w:r w:rsidRPr="00F53AD0">
        <w:rPr>
          <w:rFonts w:ascii="Arial" w:eastAsia="Times New Roman" w:hAnsi="Arial" w:cs="Arial"/>
          <w:iCs/>
          <w:sz w:val="20"/>
          <w:szCs w:val="20"/>
        </w:rPr>
        <w:t xml:space="preserve">before performing more exhaustive </w:t>
      </w:r>
      <w:r w:rsidRPr="00F53AD0">
        <w:rPr>
          <w:rFonts w:ascii="Arial" w:eastAsia="Times New Roman" w:hAnsi="Arial" w:cs="Arial"/>
          <w:i/>
          <w:sz w:val="20"/>
          <w:szCs w:val="20"/>
        </w:rPr>
        <w:t>in vivo</w:t>
      </w:r>
      <w:r w:rsidRPr="00F53AD0">
        <w:rPr>
          <w:rFonts w:ascii="Arial" w:eastAsia="Times New Roman" w:hAnsi="Arial" w:cs="Arial"/>
          <w:iCs/>
          <w:sz w:val="20"/>
          <w:szCs w:val="20"/>
        </w:rPr>
        <w:t xml:space="preserve"> provocation tests </w:t>
      </w:r>
      <w:r>
        <w:rPr>
          <w:rFonts w:ascii="Arial" w:eastAsia="Times New Roman" w:hAnsi="Arial" w:cs="Arial"/>
          <w:iCs/>
          <w:noProof/>
          <w:sz w:val="20"/>
          <w:szCs w:val="20"/>
        </w:rPr>
        <w:t xml:space="preserve">(Olivier </w:t>
      </w:r>
      <w:r w:rsidR="000B711F" w:rsidRPr="000B711F">
        <w:rPr>
          <w:rFonts w:ascii="Arial" w:eastAsia="Times New Roman" w:hAnsi="Arial" w:cs="Arial"/>
          <w:noProof/>
          <w:sz w:val="20"/>
          <w:szCs w:val="20"/>
        </w:rPr>
        <w:t>et al</w:t>
      </w:r>
      <w:r>
        <w:rPr>
          <w:rFonts w:ascii="Arial" w:eastAsia="Times New Roman" w:hAnsi="Arial" w:cs="Arial"/>
          <w:iCs/>
          <w:noProof/>
          <w:sz w:val="20"/>
          <w:szCs w:val="20"/>
        </w:rPr>
        <w:t xml:space="preserve">. 2023b, Olivier </w:t>
      </w:r>
      <w:r w:rsidR="000B711F" w:rsidRPr="000B711F">
        <w:rPr>
          <w:rFonts w:ascii="Arial" w:eastAsia="Times New Roman" w:hAnsi="Arial" w:cs="Arial"/>
          <w:noProof/>
          <w:sz w:val="20"/>
          <w:szCs w:val="20"/>
        </w:rPr>
        <w:t>et al</w:t>
      </w:r>
      <w:r>
        <w:rPr>
          <w:rFonts w:ascii="Arial" w:eastAsia="Times New Roman" w:hAnsi="Arial" w:cs="Arial"/>
          <w:iCs/>
          <w:noProof/>
          <w:sz w:val="20"/>
          <w:szCs w:val="20"/>
        </w:rPr>
        <w:t xml:space="preserve">. 2021e, Olivier </w:t>
      </w:r>
      <w:r w:rsidR="000B711F" w:rsidRPr="000B711F">
        <w:rPr>
          <w:rFonts w:ascii="Arial" w:eastAsia="Times New Roman" w:hAnsi="Arial" w:cs="Arial"/>
          <w:noProof/>
          <w:sz w:val="20"/>
          <w:szCs w:val="20"/>
        </w:rPr>
        <w:t>et al</w:t>
      </w:r>
      <w:r>
        <w:rPr>
          <w:rFonts w:ascii="Arial" w:eastAsia="Times New Roman" w:hAnsi="Arial" w:cs="Arial"/>
          <w:iCs/>
          <w:noProof/>
          <w:sz w:val="20"/>
          <w:szCs w:val="20"/>
        </w:rPr>
        <w:t xml:space="preserve">. 2021d, Olivier </w:t>
      </w:r>
      <w:r w:rsidR="000B711F" w:rsidRPr="000B711F">
        <w:rPr>
          <w:rFonts w:ascii="Arial" w:eastAsia="Times New Roman" w:hAnsi="Arial" w:cs="Arial"/>
          <w:noProof/>
          <w:sz w:val="20"/>
          <w:szCs w:val="20"/>
        </w:rPr>
        <w:t>et al</w:t>
      </w:r>
      <w:r>
        <w:rPr>
          <w:rFonts w:ascii="Arial" w:eastAsia="Times New Roman" w:hAnsi="Arial" w:cs="Arial"/>
          <w:iCs/>
          <w:noProof/>
          <w:sz w:val="20"/>
          <w:szCs w:val="20"/>
        </w:rPr>
        <w:t xml:space="preserve">. 2024e, Olivier </w:t>
      </w:r>
      <w:r w:rsidR="000B711F" w:rsidRPr="000B711F">
        <w:rPr>
          <w:rFonts w:ascii="Arial" w:eastAsia="Times New Roman" w:hAnsi="Arial" w:cs="Arial"/>
          <w:noProof/>
          <w:sz w:val="20"/>
          <w:szCs w:val="20"/>
        </w:rPr>
        <w:t>et al</w:t>
      </w:r>
      <w:r>
        <w:rPr>
          <w:rFonts w:ascii="Arial" w:eastAsia="Times New Roman" w:hAnsi="Arial" w:cs="Arial"/>
          <w:iCs/>
          <w:noProof/>
          <w:sz w:val="20"/>
          <w:szCs w:val="20"/>
        </w:rPr>
        <w:t>. 2024c)</w:t>
      </w:r>
      <w:r w:rsidRPr="00F53AD0">
        <w:rPr>
          <w:rFonts w:ascii="Arial" w:eastAsia="Times New Roman" w:hAnsi="Arial" w:cs="Arial"/>
          <w:iCs/>
          <w:sz w:val="20"/>
          <w:szCs w:val="20"/>
        </w:rPr>
        <w:t xml:space="preserve">. </w:t>
      </w:r>
    </w:p>
    <w:p w14:paraId="45A2BA63" w14:textId="78F95500" w:rsidR="00DC40C5" w:rsidRPr="000355FE" w:rsidRDefault="00DC40C5" w:rsidP="000355FE">
      <w:pPr>
        <w:spacing w:after="0" w:line="240" w:lineRule="auto"/>
        <w:ind w:firstLine="708"/>
        <w:jc w:val="both"/>
        <w:rPr>
          <w:rFonts w:ascii="Arial" w:eastAsia="Times New Roman" w:hAnsi="Arial" w:cs="Arial"/>
          <w:sz w:val="20"/>
          <w:szCs w:val="20"/>
        </w:rPr>
      </w:pPr>
      <w:r w:rsidRPr="00F53AD0">
        <w:rPr>
          <w:rFonts w:ascii="Arial" w:eastAsia="Times New Roman" w:hAnsi="Arial" w:cs="Arial"/>
          <w:sz w:val="20"/>
          <w:szCs w:val="20"/>
        </w:rPr>
        <w:t>The Leukocyte Adherence Inhibition Test (LAIT) and its similar assay</w:t>
      </w:r>
      <w:r>
        <w:rPr>
          <w:rFonts w:ascii="Arial" w:eastAsia="Times New Roman" w:hAnsi="Arial" w:cs="Arial"/>
          <w:sz w:val="20"/>
          <w:szCs w:val="20"/>
        </w:rPr>
        <w:t>,</w:t>
      </w:r>
      <w:r w:rsidRPr="00F53AD0">
        <w:rPr>
          <w:rFonts w:ascii="Arial" w:eastAsia="Times New Roman" w:hAnsi="Arial" w:cs="Arial"/>
          <w:sz w:val="20"/>
          <w:szCs w:val="20"/>
        </w:rPr>
        <w:t xml:space="preserve"> the Leukocyte Migration Inhibition Test (LMIT)</w:t>
      </w:r>
      <w:r>
        <w:rPr>
          <w:rFonts w:ascii="Arial" w:eastAsia="Times New Roman" w:hAnsi="Arial" w:cs="Arial"/>
          <w:sz w:val="20"/>
          <w:szCs w:val="20"/>
        </w:rPr>
        <w:t>,</w:t>
      </w:r>
      <w:r w:rsidRPr="00F53AD0">
        <w:rPr>
          <w:rFonts w:ascii="Arial" w:eastAsia="Times New Roman" w:hAnsi="Arial" w:cs="Arial"/>
          <w:sz w:val="20"/>
          <w:szCs w:val="20"/>
        </w:rPr>
        <w:t xml:space="preserve"> have classically been used to differentiate </w:t>
      </w:r>
      <w:r>
        <w:rPr>
          <w:rFonts w:ascii="Arial" w:eastAsia="Times New Roman" w:hAnsi="Arial" w:cs="Arial"/>
          <w:sz w:val="20"/>
          <w:szCs w:val="20"/>
        </w:rPr>
        <w:t>n</w:t>
      </w:r>
      <w:r w:rsidRPr="00F53AD0">
        <w:rPr>
          <w:rFonts w:ascii="Arial" w:eastAsia="Times New Roman" w:hAnsi="Arial" w:cs="Arial"/>
          <w:sz w:val="20"/>
          <w:szCs w:val="20"/>
        </w:rPr>
        <w:t xml:space="preserve">on–IgE-mediated immunoreactivity against microorganisms and aeroallergens </w:t>
      </w:r>
      <w:r>
        <w:rPr>
          <w:rFonts w:ascii="Arial" w:eastAsia="Times New Roman" w:hAnsi="Arial" w:cs="Arial"/>
          <w:noProof/>
          <w:sz w:val="20"/>
          <w:szCs w:val="20"/>
        </w:rPr>
        <w:t xml:space="preserve">(Fink </w:t>
      </w:r>
      <w:r w:rsidR="000B711F" w:rsidRPr="000B711F">
        <w:rPr>
          <w:rFonts w:ascii="Arial" w:eastAsia="Times New Roman" w:hAnsi="Arial" w:cs="Arial"/>
          <w:noProof/>
          <w:sz w:val="20"/>
          <w:szCs w:val="20"/>
        </w:rPr>
        <w:t>et al</w:t>
      </w:r>
      <w:r>
        <w:rPr>
          <w:rFonts w:ascii="Arial" w:eastAsia="Times New Roman" w:hAnsi="Arial" w:cs="Arial"/>
          <w:noProof/>
          <w:sz w:val="20"/>
          <w:szCs w:val="20"/>
        </w:rPr>
        <w:t>. 1987, Kallen and Nilsson 1979, Kuratsuji 1981, Thomson 1982)</w:t>
      </w:r>
      <w:r w:rsidRPr="00F53AD0">
        <w:rPr>
          <w:rFonts w:ascii="Arial" w:eastAsia="Times New Roman" w:hAnsi="Arial" w:cs="Arial"/>
          <w:sz w:val="20"/>
          <w:szCs w:val="20"/>
        </w:rPr>
        <w:t xml:space="preserve">. The LAIT and the LMIT have also classically been used to differentiate </w:t>
      </w:r>
      <w:r w:rsidR="00FD4DCF">
        <w:rPr>
          <w:rFonts w:ascii="Arial" w:eastAsia="Times New Roman" w:hAnsi="Arial" w:cs="Arial"/>
          <w:sz w:val="20"/>
          <w:szCs w:val="20"/>
        </w:rPr>
        <w:t>non-</w:t>
      </w:r>
      <w:r w:rsidRPr="00F53AD0">
        <w:rPr>
          <w:rFonts w:ascii="Arial" w:eastAsia="Times New Roman" w:hAnsi="Arial" w:cs="Arial"/>
          <w:sz w:val="20"/>
          <w:szCs w:val="20"/>
        </w:rPr>
        <w:t xml:space="preserve">IgE-mediated immunoreactivity against food allergens </w:t>
      </w:r>
      <w:r>
        <w:rPr>
          <w:rFonts w:ascii="Arial" w:eastAsia="Times New Roman" w:hAnsi="Arial" w:cs="Arial"/>
          <w:noProof/>
          <w:sz w:val="20"/>
          <w:szCs w:val="20"/>
        </w:rPr>
        <w:t xml:space="preserve">(Allardyce and Shearman 1975, George and Vaughan 1962, Ashkenazi </w:t>
      </w:r>
      <w:r w:rsidR="000B711F" w:rsidRPr="000B711F">
        <w:rPr>
          <w:rFonts w:ascii="Arial" w:eastAsia="Times New Roman" w:hAnsi="Arial" w:cs="Arial"/>
          <w:noProof/>
          <w:sz w:val="20"/>
          <w:szCs w:val="20"/>
        </w:rPr>
        <w:t>et al</w:t>
      </w:r>
      <w:r>
        <w:rPr>
          <w:rFonts w:ascii="Arial" w:eastAsia="Times New Roman" w:hAnsi="Arial" w:cs="Arial"/>
          <w:noProof/>
          <w:sz w:val="20"/>
          <w:szCs w:val="20"/>
        </w:rPr>
        <w:t xml:space="preserve">. 1980, Butler </w:t>
      </w:r>
      <w:r w:rsidR="000B711F" w:rsidRPr="000B711F">
        <w:rPr>
          <w:rFonts w:ascii="Arial" w:eastAsia="Times New Roman" w:hAnsi="Arial" w:cs="Arial"/>
          <w:noProof/>
          <w:sz w:val="20"/>
          <w:szCs w:val="20"/>
        </w:rPr>
        <w:t>et al</w:t>
      </w:r>
      <w:r>
        <w:rPr>
          <w:rFonts w:ascii="Arial" w:eastAsia="Times New Roman" w:hAnsi="Arial" w:cs="Arial"/>
          <w:noProof/>
          <w:sz w:val="20"/>
          <w:szCs w:val="20"/>
        </w:rPr>
        <w:t xml:space="preserve">. 1981, Papageorgiou </w:t>
      </w:r>
      <w:r w:rsidR="000B711F" w:rsidRPr="000B711F">
        <w:rPr>
          <w:rFonts w:ascii="Arial" w:eastAsia="Times New Roman" w:hAnsi="Arial" w:cs="Arial"/>
          <w:noProof/>
          <w:sz w:val="20"/>
          <w:szCs w:val="20"/>
        </w:rPr>
        <w:t>et al</w:t>
      </w:r>
      <w:r>
        <w:rPr>
          <w:rFonts w:ascii="Arial" w:eastAsia="Times New Roman" w:hAnsi="Arial" w:cs="Arial"/>
          <w:noProof/>
          <w:sz w:val="20"/>
          <w:szCs w:val="20"/>
        </w:rPr>
        <w:t>. 1983)</w:t>
      </w:r>
      <w:r w:rsidRPr="00F53AD0">
        <w:rPr>
          <w:rFonts w:ascii="Arial" w:eastAsia="Times New Roman" w:hAnsi="Arial" w:cs="Arial"/>
          <w:sz w:val="20"/>
          <w:szCs w:val="20"/>
        </w:rPr>
        <w:t xml:space="preserve">. Non–IgE-mediated cellular immunoreactivity against food allergens had also been reported by our group with the help of the </w:t>
      </w:r>
      <w:r w:rsidRPr="00F53AD0">
        <w:rPr>
          <w:rFonts w:ascii="Arial" w:eastAsia="Times New Roman" w:hAnsi="Arial" w:cs="Arial"/>
          <w:iCs/>
          <w:sz w:val="20"/>
          <w:szCs w:val="20"/>
        </w:rPr>
        <w:t xml:space="preserve">LAIT </w:t>
      </w:r>
      <w:r>
        <w:rPr>
          <w:rFonts w:ascii="Arial" w:eastAsia="Times New Roman" w:hAnsi="Arial" w:cs="Arial"/>
          <w:iCs/>
          <w:noProof/>
          <w:sz w:val="20"/>
          <w:szCs w:val="20"/>
        </w:rPr>
        <w:t xml:space="preserve">(Olivier </w:t>
      </w:r>
      <w:r w:rsidR="000B711F" w:rsidRPr="000B711F">
        <w:rPr>
          <w:rFonts w:ascii="Arial" w:eastAsia="Times New Roman" w:hAnsi="Arial" w:cs="Arial"/>
          <w:noProof/>
          <w:sz w:val="20"/>
          <w:szCs w:val="20"/>
        </w:rPr>
        <w:t>et al</w:t>
      </w:r>
      <w:r>
        <w:rPr>
          <w:rFonts w:ascii="Arial" w:eastAsia="Times New Roman" w:hAnsi="Arial" w:cs="Arial"/>
          <w:iCs/>
          <w:noProof/>
          <w:sz w:val="20"/>
          <w:szCs w:val="20"/>
        </w:rPr>
        <w:t xml:space="preserve">. 2022b, Olivier </w:t>
      </w:r>
      <w:r w:rsidR="000B711F" w:rsidRPr="000B711F">
        <w:rPr>
          <w:rFonts w:ascii="Arial" w:eastAsia="Times New Roman" w:hAnsi="Arial" w:cs="Arial"/>
          <w:noProof/>
          <w:sz w:val="20"/>
          <w:szCs w:val="20"/>
        </w:rPr>
        <w:t>et al</w:t>
      </w:r>
      <w:r>
        <w:rPr>
          <w:rFonts w:ascii="Arial" w:eastAsia="Times New Roman" w:hAnsi="Arial" w:cs="Arial"/>
          <w:iCs/>
          <w:noProof/>
          <w:sz w:val="20"/>
          <w:szCs w:val="20"/>
        </w:rPr>
        <w:t xml:space="preserve">. 2022a, Olivier </w:t>
      </w:r>
      <w:r w:rsidR="000B711F" w:rsidRPr="000B711F">
        <w:rPr>
          <w:rFonts w:ascii="Arial" w:eastAsia="Times New Roman" w:hAnsi="Arial" w:cs="Arial"/>
          <w:noProof/>
          <w:sz w:val="20"/>
          <w:szCs w:val="20"/>
        </w:rPr>
        <w:t>et al</w:t>
      </w:r>
      <w:r>
        <w:rPr>
          <w:rFonts w:ascii="Arial" w:eastAsia="Times New Roman" w:hAnsi="Arial" w:cs="Arial"/>
          <w:iCs/>
          <w:noProof/>
          <w:sz w:val="20"/>
          <w:szCs w:val="20"/>
        </w:rPr>
        <w:t xml:space="preserve">. 2022c, Olivier </w:t>
      </w:r>
      <w:r w:rsidR="000B711F" w:rsidRPr="000B711F">
        <w:rPr>
          <w:rFonts w:ascii="Arial" w:eastAsia="Times New Roman" w:hAnsi="Arial" w:cs="Arial"/>
          <w:noProof/>
          <w:sz w:val="20"/>
          <w:szCs w:val="20"/>
        </w:rPr>
        <w:t>et al</w:t>
      </w:r>
      <w:r>
        <w:rPr>
          <w:rFonts w:ascii="Arial" w:eastAsia="Times New Roman" w:hAnsi="Arial" w:cs="Arial"/>
          <w:iCs/>
          <w:noProof/>
          <w:sz w:val="20"/>
          <w:szCs w:val="20"/>
        </w:rPr>
        <w:t>. 2023a)</w:t>
      </w:r>
      <w:r w:rsidRPr="00F53AD0">
        <w:rPr>
          <w:rFonts w:ascii="Arial" w:eastAsia="Times New Roman" w:hAnsi="Arial" w:cs="Arial"/>
          <w:iCs/>
          <w:sz w:val="20"/>
          <w:szCs w:val="20"/>
        </w:rPr>
        <w:t>.</w:t>
      </w:r>
    </w:p>
    <w:p w14:paraId="0ED54507" w14:textId="77777777" w:rsidR="00DC40C5" w:rsidRPr="005E4CAE" w:rsidRDefault="00DC40C5" w:rsidP="00F53AD0">
      <w:pPr>
        <w:spacing w:after="0" w:line="240" w:lineRule="auto"/>
        <w:ind w:firstLine="708"/>
        <w:jc w:val="both"/>
        <w:rPr>
          <w:rFonts w:ascii="Arial" w:eastAsia="Times New Roman" w:hAnsi="Arial" w:cs="Arial"/>
          <w:sz w:val="20"/>
          <w:szCs w:val="20"/>
        </w:rPr>
      </w:pPr>
      <w:r w:rsidRPr="005E4CAE">
        <w:rPr>
          <w:rFonts w:ascii="Arial" w:eastAsia="Calibri" w:hAnsi="Arial" w:cs="Arial"/>
          <w:bCs/>
          <w:sz w:val="20"/>
        </w:rPr>
        <w:t xml:space="preserve">To evaluate the potential of the LAIT and TTP to endotyping </w:t>
      </w:r>
      <w:r>
        <w:rPr>
          <w:rFonts w:ascii="Arial" w:eastAsia="Calibri" w:hAnsi="Arial" w:cs="Arial"/>
          <w:bCs/>
          <w:sz w:val="20"/>
        </w:rPr>
        <w:t>n</w:t>
      </w:r>
      <w:r w:rsidRPr="005E4CAE">
        <w:rPr>
          <w:rFonts w:ascii="Arial" w:eastAsia="Calibri" w:hAnsi="Arial" w:cs="Arial"/>
          <w:bCs/>
          <w:sz w:val="20"/>
        </w:rPr>
        <w:t xml:space="preserve">on–IgE-mediated cellular and humoral immunoreactivity against </w:t>
      </w:r>
      <w:r>
        <w:rPr>
          <w:rFonts w:ascii="Arial" w:eastAsia="Calibri" w:hAnsi="Arial" w:cs="Arial"/>
          <w:bCs/>
          <w:sz w:val="20"/>
        </w:rPr>
        <w:t xml:space="preserve">egg yolk and </w:t>
      </w:r>
      <w:r w:rsidRPr="005E4CAE">
        <w:rPr>
          <w:rFonts w:ascii="Arial" w:eastAsia="Calibri" w:hAnsi="Arial" w:cs="Arial"/>
          <w:bCs/>
          <w:sz w:val="20"/>
        </w:rPr>
        <w:t>chicken meat, w</w:t>
      </w:r>
      <w:r w:rsidRPr="005E4CAE">
        <w:rPr>
          <w:rFonts w:ascii="Arial" w:eastAsia="Times New Roman" w:hAnsi="Arial" w:cs="Arial"/>
          <w:sz w:val="20"/>
          <w:szCs w:val="20"/>
        </w:rPr>
        <w:t>e retrospectively compiled the electronic medical charts of</w:t>
      </w:r>
      <w:r w:rsidRPr="005E4CAE">
        <w:rPr>
          <w:rFonts w:ascii="Arial" w:eastAsia="Calibri" w:hAnsi="Arial" w:cs="Arial"/>
          <w:bCs/>
          <w:sz w:val="20"/>
        </w:rPr>
        <w:t xml:space="preserve"> patients diagnosed</w:t>
      </w:r>
      <w:r>
        <w:rPr>
          <w:rFonts w:ascii="Arial" w:eastAsia="Calibri" w:hAnsi="Arial" w:cs="Arial"/>
          <w:bCs/>
          <w:sz w:val="20"/>
        </w:rPr>
        <w:t xml:space="preserve"> primarily with gastrointestinal food allergies (associated or not with other extra-intestinal allergic phenotypes) related to</w:t>
      </w:r>
      <w:r w:rsidRPr="005E4CAE">
        <w:rPr>
          <w:rFonts w:ascii="Arial" w:eastAsia="Calibri" w:hAnsi="Arial" w:cs="Arial"/>
          <w:bCs/>
          <w:sz w:val="20"/>
        </w:rPr>
        <w:t xml:space="preserve"> </w:t>
      </w:r>
      <w:r w:rsidRPr="005E4CAE">
        <w:rPr>
          <w:rFonts w:ascii="Arial" w:eastAsia="Times New Roman" w:hAnsi="Arial" w:cs="Arial"/>
          <w:sz w:val="20"/>
          <w:szCs w:val="20"/>
        </w:rPr>
        <w:t>non–IgE-mediated hypersensitivity</w:t>
      </w:r>
      <w:r>
        <w:rPr>
          <w:rFonts w:ascii="Arial" w:eastAsia="Times New Roman" w:hAnsi="Arial" w:cs="Arial"/>
          <w:sz w:val="20"/>
          <w:szCs w:val="20"/>
        </w:rPr>
        <w:t>,</w:t>
      </w:r>
      <w:r w:rsidRPr="005E4CAE">
        <w:rPr>
          <w:rFonts w:ascii="Arial" w:eastAsia="Calibri" w:hAnsi="Arial" w:cs="Arial"/>
          <w:bCs/>
          <w:sz w:val="20"/>
        </w:rPr>
        <w:t xml:space="preserve"> </w:t>
      </w:r>
      <w:r w:rsidRPr="005E4CAE">
        <w:rPr>
          <w:rFonts w:ascii="Arial" w:eastAsia="Times New Roman" w:hAnsi="Arial" w:cs="Arial"/>
          <w:sz w:val="20"/>
          <w:szCs w:val="20"/>
        </w:rPr>
        <w:t xml:space="preserve">who were investigated for immunoreactivity by one of these </w:t>
      </w:r>
      <w:r>
        <w:rPr>
          <w:rFonts w:ascii="Arial" w:eastAsia="Times New Roman" w:hAnsi="Arial" w:cs="Arial"/>
          <w:sz w:val="20"/>
          <w:szCs w:val="20"/>
        </w:rPr>
        <w:t xml:space="preserve">two </w:t>
      </w:r>
      <w:r w:rsidRPr="005E4CAE">
        <w:rPr>
          <w:rFonts w:ascii="Arial" w:eastAsia="Times New Roman" w:hAnsi="Arial" w:cs="Arial"/>
          <w:sz w:val="20"/>
          <w:szCs w:val="20"/>
        </w:rPr>
        <w:t>assays.</w:t>
      </w:r>
    </w:p>
    <w:p w14:paraId="26C5E7F3" w14:textId="609C9F20" w:rsidR="00DC40C5" w:rsidRPr="00E9512B" w:rsidRDefault="00DC40C5" w:rsidP="009E4CE0">
      <w:pPr>
        <w:spacing w:after="0" w:line="240" w:lineRule="auto"/>
        <w:ind w:firstLine="709"/>
        <w:jc w:val="both"/>
        <w:rPr>
          <w:rFonts w:ascii="Arial" w:eastAsia="Times New Roman" w:hAnsi="Arial" w:cs="Arial"/>
          <w:sz w:val="20"/>
          <w:szCs w:val="20"/>
        </w:rPr>
      </w:pPr>
      <w:r w:rsidRPr="00E9512B">
        <w:rPr>
          <w:rFonts w:ascii="Arial" w:eastAsia="Times New Roman" w:hAnsi="Arial" w:cs="Arial"/>
          <w:sz w:val="20"/>
          <w:szCs w:val="20"/>
        </w:rPr>
        <w:t xml:space="preserve">The present study is a proof-of-concept that hypothesizes that LAIT and the TTP may demonstrate a correlation between cellular and/or humoral immunoreactivity </w:t>
      </w:r>
      <w:r>
        <w:rPr>
          <w:rFonts w:ascii="Arial" w:eastAsia="Times New Roman" w:hAnsi="Arial" w:cs="Arial"/>
          <w:sz w:val="20"/>
          <w:szCs w:val="20"/>
        </w:rPr>
        <w:t>between egg yolk and</w:t>
      </w:r>
      <w:r w:rsidRPr="00E9512B">
        <w:rPr>
          <w:rFonts w:ascii="Arial" w:eastAsia="Times New Roman" w:hAnsi="Arial" w:cs="Arial"/>
          <w:sz w:val="20"/>
          <w:szCs w:val="20"/>
        </w:rPr>
        <w:t xml:space="preserve"> chicken meat proteins in patients suffering from non–IgE-mediated </w:t>
      </w:r>
      <w:r w:rsidR="00020FF7">
        <w:rPr>
          <w:rFonts w:ascii="Arial" w:eastAsia="Calibri" w:hAnsi="Arial" w:cs="Arial"/>
          <w:bCs/>
          <w:sz w:val="20"/>
        </w:rPr>
        <w:t>FPIGA</w:t>
      </w:r>
      <w:r w:rsidRPr="00E9512B">
        <w:rPr>
          <w:rFonts w:ascii="Arial" w:eastAsia="Times New Roman" w:hAnsi="Arial" w:cs="Arial"/>
          <w:sz w:val="20"/>
          <w:szCs w:val="20"/>
        </w:rPr>
        <w:t>.</w:t>
      </w:r>
    </w:p>
    <w:p w14:paraId="116016EB" w14:textId="77777777" w:rsidR="00DC40C5" w:rsidRPr="00E9512B" w:rsidRDefault="00DC40C5" w:rsidP="005207D9">
      <w:pPr>
        <w:spacing w:after="0" w:line="240" w:lineRule="auto"/>
        <w:ind w:firstLine="709"/>
        <w:jc w:val="both"/>
        <w:rPr>
          <w:rFonts w:ascii="Arial" w:eastAsia="Times New Roman" w:hAnsi="Arial" w:cs="Arial"/>
          <w:sz w:val="20"/>
          <w:szCs w:val="20"/>
        </w:rPr>
      </w:pPr>
    </w:p>
    <w:bookmarkEnd w:id="2"/>
    <w:p w14:paraId="2E5BED58" w14:textId="77777777" w:rsidR="00DC40C5" w:rsidRPr="00E9512B" w:rsidRDefault="00DC40C5" w:rsidP="00FD0E60">
      <w:pPr>
        <w:pStyle w:val="Heading2"/>
        <w:jc w:val="both"/>
      </w:pPr>
      <w:r w:rsidRPr="00E9512B">
        <w:t xml:space="preserve">2. MATERIALS AND METHODS </w:t>
      </w:r>
    </w:p>
    <w:p w14:paraId="17AD16BF" w14:textId="77777777" w:rsidR="00DC40C5" w:rsidRPr="00B1443F" w:rsidRDefault="00DC40C5" w:rsidP="00FD0E60">
      <w:pPr>
        <w:spacing w:after="0" w:line="240" w:lineRule="auto"/>
        <w:jc w:val="both"/>
        <w:rPr>
          <w:rFonts w:ascii="Arial" w:eastAsia="Times New Roman" w:hAnsi="Arial" w:cs="Arial"/>
          <w:b/>
          <w:bCs/>
          <w:color w:val="FF0000"/>
          <w:sz w:val="16"/>
          <w:szCs w:val="20"/>
        </w:rPr>
      </w:pPr>
    </w:p>
    <w:p w14:paraId="664E65B1" w14:textId="77777777" w:rsidR="00DC40C5" w:rsidRPr="00167C7C" w:rsidRDefault="00DC40C5" w:rsidP="00FD0E60">
      <w:pPr>
        <w:pStyle w:val="Heading2"/>
        <w:jc w:val="both"/>
        <w:rPr>
          <w:rFonts w:eastAsia="Times New Roman"/>
          <w:sz w:val="20"/>
          <w:szCs w:val="24"/>
        </w:rPr>
      </w:pPr>
      <w:r w:rsidRPr="00167C7C">
        <w:rPr>
          <w:rFonts w:eastAsia="Times New Roman"/>
          <w:sz w:val="20"/>
          <w:szCs w:val="24"/>
        </w:rPr>
        <w:t>2.1 Subjects</w:t>
      </w:r>
    </w:p>
    <w:p w14:paraId="68A01C01" w14:textId="77777777" w:rsidR="00DC40C5" w:rsidRPr="00537CF5" w:rsidRDefault="00DC40C5" w:rsidP="00FD0E60">
      <w:pPr>
        <w:spacing w:after="0" w:line="240" w:lineRule="auto"/>
        <w:jc w:val="both"/>
        <w:rPr>
          <w:rFonts w:ascii="Arial" w:eastAsia="Times New Roman" w:hAnsi="Arial" w:cs="Arial"/>
          <w:b/>
          <w:bCs/>
          <w:color w:val="FF0000"/>
          <w:sz w:val="16"/>
          <w:szCs w:val="20"/>
        </w:rPr>
      </w:pPr>
    </w:p>
    <w:p w14:paraId="1BE7904A" w14:textId="043C46FC" w:rsidR="00DC40C5" w:rsidRPr="00FD4DCF" w:rsidRDefault="00DC40C5" w:rsidP="00FD4DCF">
      <w:pPr>
        <w:spacing w:after="0" w:line="240" w:lineRule="auto"/>
        <w:ind w:firstLine="708"/>
        <w:jc w:val="both"/>
        <w:rPr>
          <w:rFonts w:ascii="Arial" w:eastAsia="Times New Roman" w:hAnsi="Arial" w:cs="Arial"/>
          <w:sz w:val="20"/>
          <w:szCs w:val="20"/>
        </w:rPr>
      </w:pPr>
      <w:r w:rsidRPr="00507AD9">
        <w:rPr>
          <w:rFonts w:ascii="Arial" w:eastAsia="Times New Roman" w:hAnsi="Arial" w:cs="Arial"/>
          <w:sz w:val="20"/>
          <w:szCs w:val="20"/>
        </w:rPr>
        <w:t xml:space="preserve">After receiving Institutional Review Board approval from the Instituto Alergoimuno de Americana (Brazil; 05/2025), we reviewed the electronic chart of 10.600 outpatients who attended our facility from January 2018 to </w:t>
      </w:r>
      <w:r>
        <w:rPr>
          <w:rFonts w:ascii="Arial" w:eastAsia="Times New Roman" w:hAnsi="Arial" w:cs="Arial"/>
          <w:sz w:val="20"/>
          <w:szCs w:val="20"/>
        </w:rPr>
        <w:t>July</w:t>
      </w:r>
      <w:r w:rsidRPr="00507AD9">
        <w:rPr>
          <w:rFonts w:ascii="Arial" w:eastAsia="Times New Roman" w:hAnsi="Arial" w:cs="Arial"/>
          <w:sz w:val="20"/>
          <w:szCs w:val="20"/>
        </w:rPr>
        <w:t xml:space="preserve"> 2025. </w:t>
      </w:r>
    </w:p>
    <w:p w14:paraId="1D971EB5" w14:textId="474D8EBF" w:rsidR="00DC40C5" w:rsidRPr="00C82894" w:rsidRDefault="00DC40C5" w:rsidP="00FF405A">
      <w:pPr>
        <w:spacing w:after="0" w:line="240" w:lineRule="auto"/>
        <w:ind w:firstLine="708"/>
        <w:jc w:val="both"/>
        <w:rPr>
          <w:rFonts w:ascii="Arial" w:eastAsia="Calibri" w:hAnsi="Arial" w:cs="Arial"/>
          <w:bCs/>
          <w:sz w:val="20"/>
        </w:rPr>
      </w:pPr>
      <w:r w:rsidRPr="00C82894">
        <w:rPr>
          <w:rFonts w:ascii="Arial" w:eastAsia="Times New Roman" w:hAnsi="Arial" w:cs="Arial"/>
          <w:sz w:val="20"/>
          <w:szCs w:val="20"/>
        </w:rPr>
        <w:t xml:space="preserve">A cohort of 100 consecutive outside patients (TTP cohort) had been submitted to TTP with chicken meat extract </w:t>
      </w:r>
      <w:r>
        <w:rPr>
          <w:rFonts w:ascii="Arial" w:eastAsia="Times New Roman" w:hAnsi="Arial" w:cs="Arial"/>
          <w:sz w:val="20"/>
          <w:szCs w:val="20"/>
        </w:rPr>
        <w:t xml:space="preserve">and egg yolk extract </w:t>
      </w:r>
      <w:r w:rsidRPr="00C82894">
        <w:rPr>
          <w:rFonts w:ascii="Arial" w:eastAsia="Times New Roman" w:hAnsi="Arial" w:cs="Arial"/>
          <w:sz w:val="20"/>
          <w:szCs w:val="20"/>
        </w:rPr>
        <w:t xml:space="preserve">for presenting </w:t>
      </w:r>
      <w:r w:rsidRPr="00C82894">
        <w:rPr>
          <w:rFonts w:ascii="Arial" w:eastAsia="Calibri" w:hAnsi="Arial" w:cs="Arial"/>
          <w:bCs/>
          <w:sz w:val="20"/>
        </w:rPr>
        <w:t>non–IgE-mediated FP</w:t>
      </w:r>
      <w:r w:rsidR="00DD115F">
        <w:rPr>
          <w:rFonts w:ascii="Arial" w:eastAsia="Calibri" w:hAnsi="Arial" w:cs="Arial"/>
          <w:bCs/>
          <w:sz w:val="20"/>
        </w:rPr>
        <w:t>IGA</w:t>
      </w:r>
      <w:r w:rsidRPr="00C82894">
        <w:rPr>
          <w:rFonts w:ascii="Arial" w:eastAsia="Calibri" w:hAnsi="Arial" w:cs="Arial"/>
          <w:bCs/>
          <w:sz w:val="20"/>
        </w:rPr>
        <w:t xml:space="preserve">. </w:t>
      </w:r>
      <w:r w:rsidRPr="00C82894">
        <w:rPr>
          <w:rFonts w:ascii="Arial" w:eastAsia="Times New Roman" w:hAnsi="Arial" w:cs="Arial"/>
          <w:sz w:val="20"/>
          <w:szCs w:val="20"/>
        </w:rPr>
        <w:t xml:space="preserve">This cohort counted 35 males; mean age 43.6 years; SD 22 years; range 5 to 94 years; median 42.5 years; modes = 46 (appeared four times); geometric mean = 36.5 years. </w:t>
      </w:r>
    </w:p>
    <w:p w14:paraId="128628C5" w14:textId="0D0A6736" w:rsidR="00DC40C5" w:rsidRPr="00FD4DCF" w:rsidRDefault="00DC40C5" w:rsidP="00FD4DCF">
      <w:pPr>
        <w:spacing w:after="0" w:line="240" w:lineRule="auto"/>
        <w:ind w:firstLine="708"/>
        <w:jc w:val="both"/>
        <w:rPr>
          <w:rFonts w:ascii="Arial" w:eastAsia="Calibri" w:hAnsi="Arial" w:cs="Arial"/>
          <w:bCs/>
          <w:sz w:val="20"/>
        </w:rPr>
      </w:pPr>
      <w:r w:rsidRPr="00E9512B">
        <w:rPr>
          <w:rFonts w:ascii="Arial" w:eastAsia="Times New Roman" w:hAnsi="Arial" w:cs="Arial"/>
          <w:sz w:val="20"/>
          <w:szCs w:val="20"/>
        </w:rPr>
        <w:t>A cohort of 100 consecutive outside patients (LAIT cohort) had be</w:t>
      </w:r>
      <w:r w:rsidRPr="000769FE">
        <w:rPr>
          <w:rFonts w:ascii="Arial" w:eastAsia="Times New Roman" w:hAnsi="Arial" w:cs="Arial"/>
          <w:sz w:val="20"/>
          <w:szCs w:val="20"/>
        </w:rPr>
        <w:t>en simultaneously submitted to LAIT with</w:t>
      </w:r>
      <w:r>
        <w:rPr>
          <w:rFonts w:ascii="Arial" w:eastAsia="Times New Roman" w:hAnsi="Arial" w:cs="Arial"/>
          <w:sz w:val="20"/>
          <w:szCs w:val="20"/>
        </w:rPr>
        <w:t xml:space="preserve"> </w:t>
      </w:r>
      <w:r w:rsidRPr="000769FE">
        <w:rPr>
          <w:rFonts w:ascii="Arial" w:eastAsia="Times New Roman" w:hAnsi="Arial" w:cs="Arial"/>
          <w:sz w:val="20"/>
          <w:szCs w:val="20"/>
        </w:rPr>
        <w:t>chicken meat extract</w:t>
      </w:r>
      <w:r>
        <w:rPr>
          <w:rFonts w:ascii="Arial" w:eastAsia="Times New Roman" w:hAnsi="Arial" w:cs="Arial"/>
          <w:sz w:val="20"/>
          <w:szCs w:val="20"/>
        </w:rPr>
        <w:t xml:space="preserve"> and egg yolk extract</w:t>
      </w:r>
      <w:r w:rsidRPr="000769FE">
        <w:rPr>
          <w:rFonts w:ascii="Arial" w:eastAsia="Times New Roman" w:hAnsi="Arial" w:cs="Arial"/>
          <w:sz w:val="20"/>
          <w:szCs w:val="20"/>
        </w:rPr>
        <w:t xml:space="preserve"> for presenting </w:t>
      </w:r>
      <w:r w:rsidRPr="000769FE">
        <w:rPr>
          <w:rFonts w:ascii="Arial" w:eastAsia="Calibri" w:hAnsi="Arial" w:cs="Arial"/>
          <w:bCs/>
          <w:sz w:val="20"/>
        </w:rPr>
        <w:t>non–IgE-mediated FPI</w:t>
      </w:r>
      <w:r w:rsidR="00DD115F">
        <w:rPr>
          <w:rFonts w:ascii="Arial" w:eastAsia="Calibri" w:hAnsi="Arial" w:cs="Arial"/>
          <w:bCs/>
          <w:sz w:val="20"/>
        </w:rPr>
        <w:t>GA</w:t>
      </w:r>
      <w:r w:rsidRPr="000769FE">
        <w:rPr>
          <w:rFonts w:ascii="Arial" w:eastAsia="Calibri" w:hAnsi="Arial" w:cs="Arial"/>
          <w:bCs/>
          <w:sz w:val="20"/>
        </w:rPr>
        <w:t xml:space="preserve">. </w:t>
      </w:r>
      <w:r w:rsidRPr="000769FE">
        <w:rPr>
          <w:rFonts w:ascii="Arial" w:eastAsia="Times New Roman" w:hAnsi="Arial" w:cs="Arial"/>
          <w:sz w:val="20"/>
          <w:szCs w:val="20"/>
        </w:rPr>
        <w:t>This cohort counted 35 males; mean age 34 years; SD 24.</w:t>
      </w:r>
      <w:r>
        <w:rPr>
          <w:rFonts w:ascii="Arial" w:eastAsia="Times New Roman" w:hAnsi="Arial" w:cs="Arial"/>
          <w:sz w:val="20"/>
          <w:szCs w:val="20"/>
        </w:rPr>
        <w:t>7</w:t>
      </w:r>
      <w:r w:rsidRPr="000769FE">
        <w:rPr>
          <w:rFonts w:ascii="Arial" w:eastAsia="Times New Roman" w:hAnsi="Arial" w:cs="Arial"/>
          <w:sz w:val="20"/>
          <w:szCs w:val="20"/>
        </w:rPr>
        <w:t xml:space="preserve"> years; range 1 to 100 years; median 31 years; modes = 5 years (appeared six times); geometric mean = 2</w:t>
      </w:r>
      <w:r>
        <w:rPr>
          <w:rFonts w:ascii="Arial" w:eastAsia="Times New Roman" w:hAnsi="Arial" w:cs="Arial"/>
          <w:sz w:val="20"/>
          <w:szCs w:val="20"/>
        </w:rPr>
        <w:t>2.3</w:t>
      </w:r>
      <w:r w:rsidRPr="000769FE">
        <w:rPr>
          <w:rFonts w:ascii="Arial" w:eastAsia="Times New Roman" w:hAnsi="Arial" w:cs="Arial"/>
          <w:sz w:val="20"/>
          <w:szCs w:val="20"/>
        </w:rPr>
        <w:t xml:space="preserve"> years. </w:t>
      </w:r>
    </w:p>
    <w:p w14:paraId="3FD6CB28" w14:textId="7FDB688A" w:rsidR="00DC40C5" w:rsidRPr="00E9512B" w:rsidRDefault="00DC40C5" w:rsidP="003A0C9E">
      <w:pPr>
        <w:spacing w:after="0" w:line="240" w:lineRule="auto"/>
        <w:ind w:firstLine="708"/>
        <w:jc w:val="both"/>
        <w:rPr>
          <w:rFonts w:ascii="Arial" w:eastAsia="Times New Roman" w:hAnsi="Arial" w:cs="Arial"/>
          <w:sz w:val="20"/>
          <w:szCs w:val="20"/>
        </w:rPr>
      </w:pPr>
      <w:r w:rsidRPr="00E9512B">
        <w:rPr>
          <w:rFonts w:ascii="Arial" w:eastAsia="Calibri" w:hAnsi="Arial" w:cs="Arial"/>
          <w:bCs/>
          <w:sz w:val="20"/>
        </w:rPr>
        <w:t xml:space="preserve">This study did not include patients under biological and/or systemic anti-inflammatory therapy. </w:t>
      </w:r>
      <w:r w:rsidRPr="00E9512B">
        <w:rPr>
          <w:rFonts w:ascii="Arial" w:eastAsia="Times New Roman" w:hAnsi="Arial" w:cs="Arial"/>
          <w:sz w:val="20"/>
          <w:szCs w:val="20"/>
        </w:rPr>
        <w:t xml:space="preserve">These procedures were offered to patients with clinical suspicion of chicken meat hypersensitivity who demonstrated a non-reactive or inconclusive skin test against chicken </w:t>
      </w:r>
      <w:r w:rsidR="00C45B14" w:rsidRPr="00E9512B">
        <w:rPr>
          <w:rFonts w:ascii="Arial" w:eastAsia="Times New Roman" w:hAnsi="Arial" w:cs="Arial"/>
          <w:sz w:val="20"/>
          <w:szCs w:val="20"/>
        </w:rPr>
        <w:t>meat (</w:t>
      </w:r>
      <w:r>
        <w:rPr>
          <w:rFonts w:ascii="Arial" w:eastAsia="Times New Roman" w:hAnsi="Arial" w:cs="Arial"/>
          <w:noProof/>
          <w:sz w:val="20"/>
          <w:szCs w:val="20"/>
        </w:rPr>
        <w:t xml:space="preserve">Olivier </w:t>
      </w:r>
      <w:r w:rsidR="000B711F" w:rsidRPr="000B711F">
        <w:rPr>
          <w:rFonts w:ascii="Arial" w:eastAsia="Times New Roman" w:hAnsi="Arial" w:cs="Arial"/>
          <w:noProof/>
          <w:sz w:val="20"/>
          <w:szCs w:val="20"/>
        </w:rPr>
        <w:t>et al</w:t>
      </w:r>
      <w:r>
        <w:rPr>
          <w:rFonts w:ascii="Arial" w:eastAsia="Times New Roman" w:hAnsi="Arial" w:cs="Arial"/>
          <w:noProof/>
          <w:sz w:val="20"/>
          <w:szCs w:val="20"/>
        </w:rPr>
        <w:t>. 2013)</w:t>
      </w:r>
      <w:r w:rsidRPr="00E9512B">
        <w:rPr>
          <w:rFonts w:ascii="Arial" w:eastAsia="Times New Roman" w:hAnsi="Arial" w:cs="Arial"/>
          <w:sz w:val="20"/>
          <w:szCs w:val="20"/>
        </w:rPr>
        <w:t>.</w:t>
      </w:r>
    </w:p>
    <w:p w14:paraId="2E3CA336" w14:textId="77777777" w:rsidR="00DC40C5" w:rsidRPr="00E9512B" w:rsidRDefault="00DC40C5" w:rsidP="003A0C9E">
      <w:pPr>
        <w:spacing w:after="0" w:line="240" w:lineRule="auto"/>
        <w:jc w:val="both"/>
        <w:rPr>
          <w:rFonts w:ascii="Arial" w:eastAsia="Times New Roman" w:hAnsi="Arial" w:cs="Arial"/>
          <w:sz w:val="20"/>
          <w:szCs w:val="20"/>
        </w:rPr>
      </w:pPr>
    </w:p>
    <w:p w14:paraId="674E14BF" w14:textId="77777777" w:rsidR="00DC40C5" w:rsidRDefault="00DC40C5" w:rsidP="00E73D9B">
      <w:pPr>
        <w:spacing w:after="0" w:line="240" w:lineRule="auto"/>
        <w:jc w:val="both"/>
        <w:rPr>
          <w:rFonts w:ascii="Arial" w:eastAsia="Times New Roman" w:hAnsi="Arial" w:cs="Arial"/>
          <w:b/>
          <w:bCs/>
          <w:sz w:val="20"/>
          <w:szCs w:val="20"/>
        </w:rPr>
      </w:pPr>
      <w:r w:rsidRPr="00A97C53">
        <w:rPr>
          <w:rFonts w:ascii="Arial" w:eastAsia="Times New Roman" w:hAnsi="Arial" w:cs="Arial"/>
          <w:b/>
          <w:bCs/>
          <w:sz w:val="20"/>
          <w:szCs w:val="20"/>
        </w:rPr>
        <w:t>2.</w:t>
      </w:r>
      <w:r>
        <w:rPr>
          <w:rFonts w:ascii="Arial" w:eastAsia="Times New Roman" w:hAnsi="Arial" w:cs="Arial"/>
          <w:b/>
          <w:bCs/>
          <w:sz w:val="20"/>
          <w:szCs w:val="20"/>
        </w:rPr>
        <w:t>2. Extracts</w:t>
      </w:r>
    </w:p>
    <w:p w14:paraId="397EE430" w14:textId="77777777" w:rsidR="00DC40C5" w:rsidRDefault="00DC40C5" w:rsidP="00E73D9B">
      <w:pPr>
        <w:spacing w:after="0" w:line="240" w:lineRule="auto"/>
        <w:jc w:val="both"/>
        <w:rPr>
          <w:rFonts w:ascii="Arial" w:eastAsia="Times New Roman" w:hAnsi="Arial" w:cs="Arial"/>
          <w:b/>
          <w:bCs/>
          <w:sz w:val="20"/>
          <w:szCs w:val="20"/>
        </w:rPr>
      </w:pPr>
    </w:p>
    <w:p w14:paraId="5404E87E" w14:textId="77777777" w:rsidR="00DC40C5" w:rsidRPr="00DF7B5F" w:rsidRDefault="00DC40C5" w:rsidP="003A0C9E">
      <w:pPr>
        <w:spacing w:after="0" w:line="240" w:lineRule="auto"/>
        <w:jc w:val="both"/>
        <w:rPr>
          <w:rFonts w:ascii="Arial" w:eastAsia="Times New Roman" w:hAnsi="Arial" w:cs="Arial"/>
          <w:b/>
          <w:bCs/>
          <w:sz w:val="20"/>
          <w:szCs w:val="20"/>
          <w:u w:val="single"/>
        </w:rPr>
      </w:pPr>
      <w:r w:rsidRPr="00DF7B5F">
        <w:rPr>
          <w:rFonts w:ascii="Arial" w:eastAsia="Times New Roman" w:hAnsi="Arial" w:cs="Arial"/>
          <w:b/>
          <w:bCs/>
          <w:sz w:val="20"/>
          <w:szCs w:val="20"/>
          <w:u w:val="single"/>
        </w:rPr>
        <w:t>2.2.1 Chicken meat extract</w:t>
      </w:r>
    </w:p>
    <w:p w14:paraId="5B58088E" w14:textId="77777777" w:rsidR="00DC40C5" w:rsidRPr="00167C7C" w:rsidRDefault="00DC40C5" w:rsidP="00537CF5">
      <w:pPr>
        <w:spacing w:after="0" w:line="240" w:lineRule="auto"/>
        <w:jc w:val="both"/>
        <w:rPr>
          <w:rFonts w:ascii="Arial" w:eastAsia="Times New Roman" w:hAnsi="Arial" w:cs="Arial"/>
          <w:sz w:val="20"/>
          <w:szCs w:val="20"/>
        </w:rPr>
      </w:pPr>
    </w:p>
    <w:p w14:paraId="5B4D272C" w14:textId="2029B693" w:rsidR="00DC40C5" w:rsidRPr="00167C7C" w:rsidRDefault="00DC40C5" w:rsidP="00537CF5">
      <w:pPr>
        <w:spacing w:after="0" w:line="240" w:lineRule="auto"/>
        <w:jc w:val="both"/>
        <w:rPr>
          <w:rFonts w:ascii="Arial" w:hAnsi="Arial" w:cs="Arial"/>
          <w:sz w:val="20"/>
          <w:szCs w:val="20"/>
        </w:rPr>
      </w:pPr>
      <w:r w:rsidRPr="00167C7C">
        <w:rPr>
          <w:rFonts w:ascii="Arial" w:hAnsi="Arial" w:cs="Arial"/>
          <w:sz w:val="20"/>
          <w:szCs w:val="20"/>
        </w:rPr>
        <w:tab/>
        <w:t>Chicken meat (</w:t>
      </w:r>
      <w:r>
        <w:rPr>
          <w:rFonts w:ascii="Arial" w:hAnsi="Arial" w:cs="Arial"/>
          <w:sz w:val="20"/>
          <w:szCs w:val="20"/>
        </w:rPr>
        <w:t xml:space="preserve">300g of </w:t>
      </w:r>
      <w:r w:rsidRPr="00167C7C">
        <w:rPr>
          <w:rFonts w:ascii="Arial" w:hAnsi="Arial" w:cs="Arial"/>
          <w:sz w:val="20"/>
          <w:szCs w:val="20"/>
        </w:rPr>
        <w:t>breast) acquired from the local market</w:t>
      </w:r>
      <w:r>
        <w:rPr>
          <w:rFonts w:ascii="Arial" w:hAnsi="Arial" w:cs="Arial"/>
          <w:sz w:val="20"/>
          <w:szCs w:val="20"/>
        </w:rPr>
        <w:t xml:space="preserve"> (half cooked and half uncooked)</w:t>
      </w:r>
      <w:r w:rsidRPr="00167C7C">
        <w:rPr>
          <w:rFonts w:ascii="Arial" w:hAnsi="Arial" w:cs="Arial"/>
          <w:sz w:val="20"/>
          <w:szCs w:val="20"/>
        </w:rPr>
        <w:t xml:space="preserve"> was crushed, </w:t>
      </w:r>
      <w:r w:rsidRPr="00167C7C">
        <w:rPr>
          <w:rFonts w:ascii="Arial" w:eastAsia="Times New Roman" w:hAnsi="Arial" w:cs="Arial"/>
          <w:sz w:val="20"/>
          <w:szCs w:val="18"/>
        </w:rPr>
        <w:t xml:space="preserve">homogenized, and then left for 48 hours in a </w:t>
      </w:r>
      <w:r w:rsidRPr="00167C7C">
        <w:rPr>
          <w:rFonts w:ascii="Arial" w:eastAsia="Times New Roman" w:hAnsi="Arial" w:cs="Arial"/>
          <w:sz w:val="20"/>
          <w:szCs w:val="20"/>
        </w:rPr>
        <w:t>Coca-based extractor solution (propylparaben 0.5g, methylparaben 1g, sorbitol 30g, NaCl 5g, NaHCO</w:t>
      </w:r>
      <w:r w:rsidRPr="00167C7C">
        <w:rPr>
          <w:rFonts w:ascii="Arial" w:eastAsia="Times New Roman" w:hAnsi="Arial" w:cs="Arial"/>
          <w:sz w:val="20"/>
          <w:szCs w:val="20"/>
          <w:vertAlign w:val="subscript"/>
        </w:rPr>
        <w:t>3</w:t>
      </w:r>
      <w:r w:rsidRPr="00167C7C">
        <w:rPr>
          <w:rFonts w:ascii="Arial" w:eastAsia="Times New Roman" w:hAnsi="Arial" w:cs="Arial"/>
          <w:sz w:val="20"/>
          <w:szCs w:val="20"/>
        </w:rPr>
        <w:t xml:space="preserve"> 2.5g, 1,000mL H</w:t>
      </w:r>
      <w:r w:rsidRPr="00167C7C">
        <w:rPr>
          <w:rFonts w:ascii="Arial" w:eastAsia="Times New Roman" w:hAnsi="Arial" w:cs="Arial"/>
          <w:sz w:val="20"/>
          <w:szCs w:val="20"/>
          <w:vertAlign w:val="subscript"/>
        </w:rPr>
        <w:t>2</w:t>
      </w:r>
      <w:r w:rsidRPr="00167C7C">
        <w:rPr>
          <w:rFonts w:ascii="Arial" w:eastAsia="Times New Roman" w:hAnsi="Arial" w:cs="Arial"/>
          <w:sz w:val="20"/>
          <w:szCs w:val="20"/>
        </w:rPr>
        <w:t xml:space="preserve">O) </w:t>
      </w:r>
      <w:r w:rsidRPr="00167C7C">
        <w:rPr>
          <w:rFonts w:ascii="Arial" w:eastAsia="Times New Roman" w:hAnsi="Arial" w:cs="Arial"/>
          <w:sz w:val="20"/>
          <w:szCs w:val="18"/>
        </w:rPr>
        <w:t xml:space="preserve"> at 4 °C for protein extraction</w:t>
      </w:r>
      <w:r w:rsidRPr="00167C7C">
        <w:rPr>
          <w:rFonts w:ascii="Arial" w:hAnsi="Arial" w:cs="Arial"/>
          <w:sz w:val="20"/>
          <w:szCs w:val="20"/>
        </w:rPr>
        <w:t xml:space="preserve"> before centrifugation and separation of the water-soluble fraction from solid particles and oily fraction </w:t>
      </w:r>
      <w:r>
        <w:rPr>
          <w:rFonts w:ascii="Arial" w:hAnsi="Arial" w:cs="Arial"/>
          <w:noProof/>
          <w:sz w:val="20"/>
          <w:szCs w:val="20"/>
        </w:rPr>
        <w:t>(Coca 1922)</w:t>
      </w:r>
      <w:r w:rsidRPr="00167C7C">
        <w:rPr>
          <w:rFonts w:ascii="Arial" w:hAnsi="Arial" w:cs="Arial"/>
          <w:sz w:val="20"/>
          <w:szCs w:val="20"/>
        </w:rPr>
        <w:t xml:space="preserve">. The protein quantification of the allergen extracts was done according to Bradford’s protein-dye binding methodology </w:t>
      </w:r>
      <w:r>
        <w:rPr>
          <w:rFonts w:ascii="Arial" w:hAnsi="Arial" w:cs="Arial"/>
          <w:noProof/>
          <w:sz w:val="20"/>
          <w:szCs w:val="20"/>
        </w:rPr>
        <w:t>(Bradford 1976)</w:t>
      </w:r>
      <w:r w:rsidRPr="00167C7C">
        <w:rPr>
          <w:rFonts w:ascii="Arial" w:hAnsi="Arial" w:cs="Arial"/>
          <w:sz w:val="20"/>
          <w:szCs w:val="20"/>
        </w:rPr>
        <w:t>. The solution</w:t>
      </w:r>
      <w:r w:rsidRPr="00167C7C">
        <w:rPr>
          <w:rFonts w:ascii="Arial" w:eastAsia="Times New Roman" w:hAnsi="Arial" w:cs="Arial"/>
          <w:sz w:val="20"/>
          <w:szCs w:val="18"/>
        </w:rPr>
        <w:t xml:space="preserve"> was diluted in antigen dilution solution (NaCl 10g; KH</w:t>
      </w:r>
      <w:r w:rsidRPr="00167C7C">
        <w:rPr>
          <w:rFonts w:ascii="Arial" w:eastAsia="Times New Roman" w:hAnsi="Arial" w:cs="Arial"/>
          <w:sz w:val="20"/>
          <w:szCs w:val="18"/>
          <w:vertAlign w:val="subscript"/>
        </w:rPr>
        <w:t>2</w:t>
      </w:r>
      <w:r w:rsidRPr="00167C7C">
        <w:rPr>
          <w:rFonts w:ascii="Arial" w:eastAsia="Times New Roman" w:hAnsi="Arial" w:cs="Arial"/>
          <w:sz w:val="20"/>
          <w:szCs w:val="18"/>
        </w:rPr>
        <w:t>PO</w:t>
      </w:r>
      <w:r w:rsidRPr="00167C7C">
        <w:rPr>
          <w:rFonts w:ascii="Arial" w:eastAsia="Times New Roman" w:hAnsi="Arial" w:cs="Arial"/>
          <w:sz w:val="20"/>
          <w:szCs w:val="18"/>
          <w:vertAlign w:val="subscript"/>
        </w:rPr>
        <w:t>4</w:t>
      </w:r>
      <w:r w:rsidRPr="00167C7C">
        <w:rPr>
          <w:rFonts w:ascii="Arial" w:eastAsia="Times New Roman" w:hAnsi="Arial" w:cs="Arial"/>
          <w:sz w:val="20"/>
          <w:szCs w:val="18"/>
        </w:rPr>
        <w:t xml:space="preserve"> 0.72g; Na</w:t>
      </w:r>
      <w:r w:rsidRPr="00167C7C">
        <w:rPr>
          <w:rFonts w:ascii="Arial" w:eastAsia="Times New Roman" w:hAnsi="Arial" w:cs="Arial"/>
          <w:sz w:val="20"/>
          <w:szCs w:val="18"/>
          <w:vertAlign w:val="subscript"/>
        </w:rPr>
        <w:t>3</w:t>
      </w:r>
      <w:r w:rsidRPr="00167C7C">
        <w:rPr>
          <w:rFonts w:ascii="Arial" w:eastAsia="Times New Roman" w:hAnsi="Arial" w:cs="Arial"/>
          <w:sz w:val="20"/>
          <w:szCs w:val="18"/>
        </w:rPr>
        <w:t>PO</w:t>
      </w:r>
      <w:r w:rsidRPr="00167C7C">
        <w:rPr>
          <w:rFonts w:ascii="Arial" w:eastAsia="Times New Roman" w:hAnsi="Arial" w:cs="Arial"/>
          <w:sz w:val="20"/>
          <w:szCs w:val="18"/>
          <w:vertAlign w:val="subscript"/>
        </w:rPr>
        <w:t>4</w:t>
      </w:r>
      <w:r w:rsidRPr="00167C7C">
        <w:rPr>
          <w:rFonts w:ascii="Arial" w:eastAsia="Times New Roman" w:hAnsi="Arial" w:cs="Arial"/>
          <w:sz w:val="20"/>
          <w:szCs w:val="18"/>
        </w:rPr>
        <w:t xml:space="preserve"> 2.86g; methylparaben 1g; propylparaben 0.5g; glycerin 400mL; H</w:t>
      </w:r>
      <w:r w:rsidRPr="00167C7C">
        <w:rPr>
          <w:rFonts w:ascii="Arial" w:eastAsia="Times New Roman" w:hAnsi="Arial" w:cs="Arial"/>
          <w:sz w:val="20"/>
          <w:szCs w:val="18"/>
          <w:vertAlign w:val="subscript"/>
        </w:rPr>
        <w:t>2</w:t>
      </w:r>
      <w:r w:rsidRPr="00167C7C">
        <w:rPr>
          <w:rFonts w:ascii="Arial" w:eastAsia="Times New Roman" w:hAnsi="Arial" w:cs="Arial"/>
          <w:sz w:val="20"/>
          <w:szCs w:val="18"/>
        </w:rPr>
        <w:t xml:space="preserve">O 600mL) </w:t>
      </w:r>
      <w:r w:rsidRPr="00167C7C">
        <w:rPr>
          <w:rFonts w:ascii="Arial" w:hAnsi="Arial" w:cs="Arial"/>
          <w:sz w:val="20"/>
          <w:szCs w:val="20"/>
        </w:rPr>
        <w:t xml:space="preserve">to an estimated protein concentration of 1 mg/mL and stored at 4 °C in amber opaque glass vials. </w:t>
      </w:r>
      <w:r w:rsidRPr="00167C7C">
        <w:rPr>
          <w:rFonts w:ascii="Arial" w:eastAsia="Times New Roman" w:hAnsi="Arial" w:cs="Arial"/>
          <w:sz w:val="20"/>
          <w:szCs w:val="20"/>
        </w:rPr>
        <w:t xml:space="preserve">The </w:t>
      </w:r>
      <w:r>
        <w:rPr>
          <w:rFonts w:ascii="Arial" w:eastAsia="Times New Roman" w:hAnsi="Arial" w:cs="Arial"/>
          <w:sz w:val="20"/>
          <w:szCs w:val="20"/>
        </w:rPr>
        <w:t>chicken meat</w:t>
      </w:r>
      <w:r w:rsidRPr="00167C7C">
        <w:rPr>
          <w:rFonts w:ascii="Arial" w:eastAsia="Times New Roman" w:hAnsi="Arial" w:cs="Arial"/>
          <w:sz w:val="20"/>
          <w:szCs w:val="20"/>
        </w:rPr>
        <w:t xml:space="preserve"> </w:t>
      </w:r>
      <w:r w:rsidRPr="00167C7C">
        <w:rPr>
          <w:rFonts w:ascii="Arial" w:eastAsia="Times New Roman" w:hAnsi="Arial" w:cs="Arial"/>
          <w:sz w:val="20"/>
          <w:szCs w:val="20"/>
        </w:rPr>
        <w:lastRenderedPageBreak/>
        <w:t xml:space="preserve">extract solution was used </w:t>
      </w:r>
      <w:r w:rsidR="00FD4DCF">
        <w:rPr>
          <w:rFonts w:ascii="Arial" w:eastAsia="Times New Roman" w:hAnsi="Arial" w:cs="Arial"/>
          <w:sz w:val="20"/>
          <w:szCs w:val="20"/>
        </w:rPr>
        <w:t>to perform</w:t>
      </w:r>
      <w:r w:rsidRPr="00167C7C">
        <w:rPr>
          <w:rFonts w:ascii="Arial" w:eastAsia="Times New Roman" w:hAnsi="Arial" w:cs="Arial"/>
          <w:sz w:val="20"/>
          <w:szCs w:val="20"/>
        </w:rPr>
        <w:t xml:space="preserve"> allergic skin tests, TTP, and LAIT. </w:t>
      </w:r>
      <w:r w:rsidRPr="00167C7C">
        <w:rPr>
          <w:rFonts w:ascii="Arial" w:hAnsi="Arial" w:cs="Arial"/>
          <w:sz w:val="20"/>
          <w:szCs w:val="20"/>
          <w:lang w:eastAsia="pt-BR"/>
        </w:rPr>
        <w:t xml:space="preserve">All relevant and mandatory laboratory health and safety measures have been complied with during the experiments. </w:t>
      </w:r>
    </w:p>
    <w:p w14:paraId="39E498EE" w14:textId="77777777" w:rsidR="00DC40C5" w:rsidRPr="00B1443F" w:rsidRDefault="00DC40C5" w:rsidP="003A0C9E">
      <w:pPr>
        <w:spacing w:after="0" w:line="240" w:lineRule="auto"/>
        <w:jc w:val="both"/>
        <w:rPr>
          <w:rFonts w:ascii="Arial" w:eastAsia="Times New Roman" w:hAnsi="Arial" w:cs="Arial"/>
          <w:color w:val="FF0000"/>
          <w:sz w:val="20"/>
          <w:szCs w:val="20"/>
        </w:rPr>
      </w:pPr>
    </w:p>
    <w:p w14:paraId="11CBA30D" w14:textId="77777777" w:rsidR="00DC40C5" w:rsidRPr="00DF7B5F" w:rsidRDefault="00DC40C5" w:rsidP="00E73D9B">
      <w:pPr>
        <w:spacing w:after="0" w:line="240" w:lineRule="auto"/>
        <w:jc w:val="both"/>
        <w:rPr>
          <w:rFonts w:ascii="Arial" w:eastAsia="Times New Roman" w:hAnsi="Arial" w:cs="Arial"/>
          <w:b/>
          <w:bCs/>
          <w:sz w:val="20"/>
          <w:szCs w:val="20"/>
          <w:u w:val="single"/>
        </w:rPr>
      </w:pPr>
      <w:r w:rsidRPr="00DF7B5F">
        <w:rPr>
          <w:rFonts w:ascii="Arial" w:eastAsia="Times New Roman" w:hAnsi="Arial" w:cs="Arial"/>
          <w:b/>
          <w:bCs/>
          <w:sz w:val="20"/>
          <w:szCs w:val="20"/>
          <w:u w:val="single"/>
        </w:rPr>
        <w:t>2.2.2 Egg yolk extract</w:t>
      </w:r>
    </w:p>
    <w:p w14:paraId="4C3AF33A" w14:textId="77777777" w:rsidR="00DC40C5" w:rsidRDefault="00DC40C5" w:rsidP="00E73D9B">
      <w:pPr>
        <w:spacing w:after="0" w:line="240" w:lineRule="auto"/>
        <w:jc w:val="both"/>
        <w:rPr>
          <w:rFonts w:ascii="Arial" w:eastAsia="Times New Roman" w:hAnsi="Arial" w:cs="Arial"/>
          <w:b/>
          <w:bCs/>
          <w:sz w:val="20"/>
          <w:szCs w:val="20"/>
        </w:rPr>
      </w:pPr>
    </w:p>
    <w:p w14:paraId="52457CC5" w14:textId="6EA45F51" w:rsidR="00DC40C5" w:rsidRPr="00F951CA" w:rsidRDefault="00DC40C5" w:rsidP="00E73D9B">
      <w:pPr>
        <w:spacing w:after="0" w:line="240" w:lineRule="auto"/>
        <w:jc w:val="both"/>
        <w:rPr>
          <w:rFonts w:ascii="Arial" w:eastAsia="Times New Roman" w:hAnsi="Arial" w:cs="Arial"/>
          <w:sz w:val="20"/>
          <w:szCs w:val="20"/>
        </w:rPr>
      </w:pPr>
      <w:r>
        <w:rPr>
          <w:rFonts w:ascii="Arial" w:eastAsia="Times New Roman" w:hAnsi="Arial" w:cs="Arial"/>
          <w:b/>
          <w:bCs/>
          <w:sz w:val="20"/>
          <w:szCs w:val="20"/>
        </w:rPr>
        <w:tab/>
      </w:r>
      <w:r w:rsidRPr="00E73D9B">
        <w:rPr>
          <w:rFonts w:ascii="Arial" w:eastAsia="Times New Roman" w:hAnsi="Arial" w:cs="Arial"/>
          <w:sz w:val="20"/>
          <w:szCs w:val="20"/>
        </w:rPr>
        <w:t>Th</w:t>
      </w:r>
      <w:r>
        <w:rPr>
          <w:rFonts w:ascii="Arial" w:eastAsia="Times New Roman" w:hAnsi="Arial" w:cs="Arial"/>
          <w:sz w:val="20"/>
          <w:szCs w:val="20"/>
        </w:rPr>
        <w:t xml:space="preserve">ree cooked </w:t>
      </w:r>
      <w:r w:rsidRPr="00E73D9B">
        <w:rPr>
          <w:rFonts w:ascii="Arial" w:eastAsia="Times New Roman" w:hAnsi="Arial" w:cs="Arial"/>
          <w:sz w:val="20"/>
          <w:szCs w:val="20"/>
        </w:rPr>
        <w:t>egg yolk</w:t>
      </w:r>
      <w:r>
        <w:rPr>
          <w:rFonts w:ascii="Arial" w:eastAsia="Times New Roman" w:hAnsi="Arial" w:cs="Arial"/>
          <w:sz w:val="20"/>
          <w:szCs w:val="20"/>
        </w:rPr>
        <w:t>s and three uncooked egg yolks were</w:t>
      </w:r>
      <w:r w:rsidRPr="00E73D9B">
        <w:rPr>
          <w:rFonts w:ascii="Arial" w:eastAsia="Times New Roman" w:hAnsi="Arial" w:cs="Arial"/>
          <w:sz w:val="20"/>
          <w:szCs w:val="20"/>
        </w:rPr>
        <w:t xml:space="preserve"> </w:t>
      </w:r>
      <w:r>
        <w:rPr>
          <w:rFonts w:ascii="Arial" w:eastAsia="Times New Roman" w:hAnsi="Arial" w:cs="Arial"/>
          <w:sz w:val="20"/>
          <w:szCs w:val="20"/>
        </w:rPr>
        <w:t>prepared similarly with the chicken meat extract.</w:t>
      </w:r>
    </w:p>
    <w:p w14:paraId="4ED08135" w14:textId="77777777" w:rsidR="00DC40C5" w:rsidRPr="00B1443F" w:rsidRDefault="00DC40C5" w:rsidP="00646870">
      <w:pPr>
        <w:spacing w:after="0" w:line="240" w:lineRule="auto"/>
        <w:jc w:val="both"/>
        <w:rPr>
          <w:rFonts w:ascii="Arial" w:eastAsia="Times New Roman" w:hAnsi="Arial" w:cs="Arial"/>
          <w:b/>
          <w:bCs/>
          <w:color w:val="FF0000"/>
          <w:sz w:val="20"/>
          <w:szCs w:val="18"/>
        </w:rPr>
      </w:pPr>
    </w:p>
    <w:p w14:paraId="2FF9C0D2" w14:textId="77777777" w:rsidR="00DC40C5" w:rsidRPr="00167C7C" w:rsidRDefault="00DC40C5" w:rsidP="00646870">
      <w:pPr>
        <w:spacing w:after="0" w:line="240" w:lineRule="auto"/>
        <w:jc w:val="both"/>
        <w:rPr>
          <w:rFonts w:ascii="Arial" w:eastAsia="Times New Roman" w:hAnsi="Arial" w:cs="Arial"/>
          <w:b/>
          <w:bCs/>
          <w:sz w:val="20"/>
          <w:szCs w:val="18"/>
        </w:rPr>
      </w:pPr>
      <w:r w:rsidRPr="00167C7C">
        <w:rPr>
          <w:rFonts w:ascii="Arial" w:eastAsia="Times New Roman" w:hAnsi="Arial" w:cs="Arial"/>
          <w:b/>
          <w:bCs/>
          <w:sz w:val="20"/>
          <w:szCs w:val="18"/>
        </w:rPr>
        <w:t xml:space="preserve">2.3. LAIT: </w:t>
      </w:r>
      <w:r w:rsidRPr="00167C7C">
        <w:rPr>
          <w:rFonts w:ascii="Arial" w:eastAsia="Times New Roman" w:hAnsi="Arial" w:cs="Arial"/>
          <w:b/>
          <w:bCs/>
          <w:i/>
          <w:iCs/>
          <w:sz w:val="20"/>
          <w:szCs w:val="18"/>
        </w:rPr>
        <w:t>Ex vivo</w:t>
      </w:r>
      <w:r w:rsidRPr="00167C7C">
        <w:rPr>
          <w:rFonts w:ascii="Arial" w:eastAsia="Times New Roman" w:hAnsi="Arial" w:cs="Arial"/>
          <w:b/>
          <w:bCs/>
          <w:sz w:val="20"/>
          <w:szCs w:val="18"/>
        </w:rPr>
        <w:t xml:space="preserve"> Investigation: Leukocyte Adherence Inhibition Test</w:t>
      </w:r>
    </w:p>
    <w:p w14:paraId="1B6707B7" w14:textId="77777777" w:rsidR="00DC40C5" w:rsidRPr="00167C7C" w:rsidRDefault="00DC40C5" w:rsidP="00646870">
      <w:pPr>
        <w:spacing w:after="0" w:line="240" w:lineRule="auto"/>
        <w:jc w:val="both"/>
        <w:rPr>
          <w:rFonts w:ascii="Arial" w:eastAsia="Times New Roman" w:hAnsi="Arial" w:cs="Arial"/>
          <w:b/>
          <w:bCs/>
          <w:sz w:val="16"/>
          <w:szCs w:val="20"/>
        </w:rPr>
      </w:pPr>
    </w:p>
    <w:p w14:paraId="5A9FBFA3" w14:textId="77777777" w:rsidR="00DC40C5" w:rsidRPr="00DF7B5F" w:rsidRDefault="00DC40C5" w:rsidP="00403859">
      <w:pPr>
        <w:spacing w:after="0" w:line="240" w:lineRule="auto"/>
        <w:jc w:val="both"/>
        <w:rPr>
          <w:rFonts w:ascii="Arial" w:eastAsia="Times New Roman" w:hAnsi="Arial" w:cs="Arial"/>
          <w:sz w:val="20"/>
          <w:szCs w:val="20"/>
          <w:u w:val="single"/>
        </w:rPr>
      </w:pPr>
      <w:r w:rsidRPr="00DF7B5F">
        <w:rPr>
          <w:rFonts w:ascii="Arial" w:eastAsia="Times New Roman" w:hAnsi="Arial" w:cs="Arial"/>
          <w:b/>
          <w:bCs/>
          <w:sz w:val="20"/>
          <w:szCs w:val="20"/>
          <w:u w:val="single"/>
        </w:rPr>
        <w:t xml:space="preserve">2.3.1 LAIT: </w:t>
      </w:r>
      <w:r w:rsidRPr="00DF7B5F">
        <w:rPr>
          <w:rFonts w:ascii="Arial" w:hAnsi="Arial" w:cs="Arial"/>
          <w:b/>
          <w:bCs/>
          <w:sz w:val="20"/>
          <w:szCs w:val="20"/>
          <w:u w:val="single"/>
        </w:rPr>
        <w:t xml:space="preserve">Procedure for allergen </w:t>
      </w:r>
      <w:r w:rsidRPr="00DF7B5F">
        <w:rPr>
          <w:rFonts w:ascii="Arial" w:hAnsi="Arial" w:cs="Arial"/>
          <w:b/>
          <w:bCs/>
          <w:i/>
          <w:iCs/>
          <w:sz w:val="20"/>
          <w:szCs w:val="20"/>
          <w:u w:val="single"/>
        </w:rPr>
        <w:t>ex vivo</w:t>
      </w:r>
      <w:r w:rsidRPr="00DF7B5F">
        <w:rPr>
          <w:rFonts w:ascii="Arial" w:hAnsi="Arial" w:cs="Arial"/>
          <w:b/>
          <w:bCs/>
          <w:sz w:val="20"/>
          <w:szCs w:val="20"/>
          <w:u w:val="single"/>
        </w:rPr>
        <w:t xml:space="preserve"> challenges</w:t>
      </w:r>
    </w:p>
    <w:p w14:paraId="3D87A6FB" w14:textId="77777777" w:rsidR="00DC40C5" w:rsidRDefault="00DC40C5" w:rsidP="00A22110">
      <w:pPr>
        <w:spacing w:after="0" w:line="240" w:lineRule="auto"/>
        <w:ind w:firstLine="708"/>
        <w:jc w:val="both"/>
        <w:rPr>
          <w:rFonts w:ascii="Arial" w:eastAsia="Times New Roman" w:hAnsi="Arial" w:cs="Arial"/>
          <w:sz w:val="20"/>
          <w:szCs w:val="20"/>
        </w:rPr>
      </w:pPr>
    </w:p>
    <w:p w14:paraId="181DD210" w14:textId="52F84C8F" w:rsidR="00DC40C5" w:rsidRPr="00A37D31" w:rsidRDefault="00DC40C5" w:rsidP="00A22110">
      <w:pPr>
        <w:spacing w:after="0" w:line="240" w:lineRule="auto"/>
        <w:ind w:firstLine="708"/>
        <w:jc w:val="both"/>
        <w:rPr>
          <w:rFonts w:ascii="Arial" w:eastAsia="Times New Roman" w:hAnsi="Arial" w:cs="Arial"/>
          <w:sz w:val="18"/>
          <w:szCs w:val="18"/>
        </w:rPr>
      </w:pPr>
      <w:r w:rsidRPr="00A37D31">
        <w:rPr>
          <w:rFonts w:ascii="Arial" w:eastAsia="Times New Roman" w:hAnsi="Arial" w:cs="Arial"/>
          <w:sz w:val="20"/>
          <w:szCs w:val="20"/>
        </w:rPr>
        <w:t xml:space="preserve">We performed the LAIT as previously described </w:t>
      </w:r>
      <w:r>
        <w:rPr>
          <w:rFonts w:ascii="Arial" w:eastAsia="Times New Roman" w:hAnsi="Arial" w:cs="Arial"/>
          <w:noProof/>
          <w:sz w:val="20"/>
          <w:szCs w:val="20"/>
        </w:rPr>
        <w:t xml:space="preserve">(Olivier </w:t>
      </w:r>
      <w:r w:rsidR="000B711F" w:rsidRPr="000B711F">
        <w:rPr>
          <w:rFonts w:ascii="Arial" w:eastAsia="Times New Roman" w:hAnsi="Arial" w:cs="Arial"/>
          <w:noProof/>
          <w:sz w:val="20"/>
          <w:szCs w:val="20"/>
        </w:rPr>
        <w:t>et al</w:t>
      </w:r>
      <w:r>
        <w:rPr>
          <w:rFonts w:ascii="Arial" w:eastAsia="Times New Roman" w:hAnsi="Arial" w:cs="Arial"/>
          <w:noProof/>
          <w:sz w:val="20"/>
          <w:szCs w:val="20"/>
        </w:rPr>
        <w:t xml:space="preserve">. 2012, Olivier </w:t>
      </w:r>
      <w:r w:rsidR="000B711F" w:rsidRPr="000B711F">
        <w:rPr>
          <w:rFonts w:ascii="Arial" w:eastAsia="Times New Roman" w:hAnsi="Arial" w:cs="Arial"/>
          <w:noProof/>
          <w:sz w:val="20"/>
          <w:szCs w:val="20"/>
        </w:rPr>
        <w:t>et al</w:t>
      </w:r>
      <w:r>
        <w:rPr>
          <w:rFonts w:ascii="Arial" w:eastAsia="Times New Roman" w:hAnsi="Arial" w:cs="Arial"/>
          <w:noProof/>
          <w:sz w:val="20"/>
          <w:szCs w:val="20"/>
        </w:rPr>
        <w:t xml:space="preserve">. 2014, Olivier </w:t>
      </w:r>
      <w:r w:rsidR="000B711F" w:rsidRPr="000B711F">
        <w:rPr>
          <w:rFonts w:ascii="Arial" w:eastAsia="Times New Roman" w:hAnsi="Arial" w:cs="Arial"/>
          <w:noProof/>
          <w:sz w:val="20"/>
          <w:szCs w:val="20"/>
        </w:rPr>
        <w:t>et al</w:t>
      </w:r>
      <w:r>
        <w:rPr>
          <w:rFonts w:ascii="Arial" w:eastAsia="Times New Roman" w:hAnsi="Arial" w:cs="Arial"/>
          <w:noProof/>
          <w:sz w:val="20"/>
          <w:szCs w:val="20"/>
        </w:rPr>
        <w:t xml:space="preserve">. 2021a, Olivier </w:t>
      </w:r>
      <w:r w:rsidR="000B711F" w:rsidRPr="000B711F">
        <w:rPr>
          <w:rFonts w:ascii="Arial" w:eastAsia="Times New Roman" w:hAnsi="Arial" w:cs="Arial"/>
          <w:noProof/>
          <w:sz w:val="20"/>
          <w:szCs w:val="20"/>
        </w:rPr>
        <w:t>et al</w:t>
      </w:r>
      <w:r>
        <w:rPr>
          <w:rFonts w:ascii="Arial" w:eastAsia="Times New Roman" w:hAnsi="Arial" w:cs="Arial"/>
          <w:noProof/>
          <w:sz w:val="20"/>
          <w:szCs w:val="20"/>
        </w:rPr>
        <w:t xml:space="preserve">. 2021b, Olivier </w:t>
      </w:r>
      <w:r w:rsidR="000B711F" w:rsidRPr="000B711F">
        <w:rPr>
          <w:rFonts w:ascii="Arial" w:eastAsia="Times New Roman" w:hAnsi="Arial" w:cs="Arial"/>
          <w:noProof/>
          <w:sz w:val="20"/>
          <w:szCs w:val="20"/>
        </w:rPr>
        <w:t>et al</w:t>
      </w:r>
      <w:r>
        <w:rPr>
          <w:rFonts w:ascii="Arial" w:eastAsia="Times New Roman" w:hAnsi="Arial" w:cs="Arial"/>
          <w:noProof/>
          <w:sz w:val="20"/>
          <w:szCs w:val="20"/>
        </w:rPr>
        <w:t>. 2021c)</w:t>
      </w:r>
      <w:r w:rsidRPr="00A37D31">
        <w:rPr>
          <w:rFonts w:ascii="Arial" w:eastAsia="Times New Roman" w:hAnsi="Arial" w:cs="Arial"/>
          <w:sz w:val="20"/>
          <w:szCs w:val="20"/>
        </w:rPr>
        <w:t xml:space="preserve">. </w:t>
      </w:r>
    </w:p>
    <w:p w14:paraId="4B107259" w14:textId="77777777" w:rsidR="00DC40C5" w:rsidRPr="00167C7C" w:rsidRDefault="00DC40C5" w:rsidP="00A22110">
      <w:pPr>
        <w:spacing w:after="0" w:line="240" w:lineRule="auto"/>
        <w:ind w:firstLine="708"/>
        <w:jc w:val="both"/>
        <w:rPr>
          <w:rFonts w:ascii="Arial" w:eastAsia="Times New Roman" w:hAnsi="Arial" w:cs="Arial"/>
          <w:sz w:val="20"/>
          <w:szCs w:val="20"/>
        </w:rPr>
      </w:pPr>
      <w:r w:rsidRPr="00167C7C">
        <w:rPr>
          <w:rFonts w:ascii="Arial" w:eastAsia="Times New Roman" w:hAnsi="Arial" w:cs="Arial"/>
          <w:sz w:val="20"/>
          <w:szCs w:val="20"/>
        </w:rPr>
        <w:t xml:space="preserve">Shortly, each donor's fresh plasma was divided into two parts and used in parallel </w:t>
      </w:r>
      <w:r w:rsidRPr="00167C7C">
        <w:rPr>
          <w:rFonts w:ascii="Arial" w:eastAsia="Times New Roman" w:hAnsi="Arial" w:cs="Arial"/>
          <w:i/>
          <w:iCs/>
          <w:sz w:val="20"/>
          <w:szCs w:val="20"/>
        </w:rPr>
        <w:t>ex vivo</w:t>
      </w:r>
      <w:r w:rsidRPr="00167C7C">
        <w:rPr>
          <w:rFonts w:ascii="Arial" w:eastAsia="Times New Roman" w:hAnsi="Arial" w:cs="Arial"/>
          <w:sz w:val="20"/>
          <w:szCs w:val="20"/>
        </w:rPr>
        <w:t xml:space="preserve"> challenging tests with the chicken meat extract </w:t>
      </w:r>
      <w:r>
        <w:rPr>
          <w:rFonts w:ascii="Arial" w:eastAsia="Times New Roman" w:hAnsi="Arial" w:cs="Arial"/>
          <w:sz w:val="20"/>
          <w:szCs w:val="20"/>
        </w:rPr>
        <w:t xml:space="preserve">(or the egg yolk extract) </w:t>
      </w:r>
      <w:r w:rsidRPr="00167C7C">
        <w:rPr>
          <w:rFonts w:ascii="Arial" w:eastAsia="Times New Roman" w:hAnsi="Arial" w:cs="Arial"/>
          <w:sz w:val="20"/>
          <w:szCs w:val="20"/>
        </w:rPr>
        <w:t xml:space="preserve">and the unchallenged plasma (added with </w:t>
      </w:r>
      <w:r w:rsidRPr="00167C7C">
        <w:rPr>
          <w:rFonts w:ascii="Arial" w:eastAsia="Times New Roman" w:hAnsi="Arial" w:cs="Arial"/>
          <w:sz w:val="20"/>
          <w:szCs w:val="18"/>
        </w:rPr>
        <w:t xml:space="preserve">antigen dilution solution </w:t>
      </w:r>
      <w:r w:rsidRPr="00167C7C">
        <w:rPr>
          <w:rFonts w:ascii="Arial" w:eastAsia="Times New Roman" w:hAnsi="Arial" w:cs="Arial"/>
          <w:sz w:val="20"/>
          <w:szCs w:val="20"/>
        </w:rPr>
        <w:t>as a control). We collected plasma with high leukocyte content (buffy coat) from the heparinized tube after one hour of sedimentation at 37 °C. Then, we distributed aliquots of 100 μL into Eppendorf tubes with (or without) the challenging extract and kept them under agitation for 30 minutes (200 rpm at 37 °C).</w:t>
      </w:r>
    </w:p>
    <w:p w14:paraId="50FFA58F" w14:textId="77777777" w:rsidR="00DC40C5" w:rsidRPr="00167C7C" w:rsidRDefault="00DC40C5" w:rsidP="00A22110">
      <w:pPr>
        <w:spacing w:after="0" w:line="240" w:lineRule="auto"/>
        <w:ind w:firstLine="708"/>
        <w:jc w:val="both"/>
        <w:rPr>
          <w:rFonts w:ascii="Arial" w:eastAsia="Times New Roman" w:hAnsi="Arial" w:cs="Arial"/>
          <w:sz w:val="20"/>
          <w:szCs w:val="20"/>
        </w:rPr>
      </w:pPr>
    </w:p>
    <w:p w14:paraId="7A7F47FF" w14:textId="77777777" w:rsidR="00DC40C5" w:rsidRPr="00DF7B5F" w:rsidRDefault="00DC40C5" w:rsidP="00403859">
      <w:pPr>
        <w:spacing w:after="0" w:line="240" w:lineRule="auto"/>
        <w:jc w:val="both"/>
        <w:rPr>
          <w:rFonts w:ascii="Arial" w:eastAsia="Times New Roman" w:hAnsi="Arial" w:cs="Arial"/>
          <w:sz w:val="20"/>
          <w:szCs w:val="20"/>
          <w:u w:val="single"/>
        </w:rPr>
      </w:pPr>
      <w:r w:rsidRPr="00DF7B5F">
        <w:rPr>
          <w:rFonts w:ascii="Arial" w:eastAsia="Times New Roman" w:hAnsi="Arial" w:cs="Arial"/>
          <w:b/>
          <w:bCs/>
          <w:sz w:val="20"/>
          <w:szCs w:val="20"/>
          <w:u w:val="single"/>
        </w:rPr>
        <w:t xml:space="preserve">2.3.2 LAIT: </w:t>
      </w:r>
      <w:r w:rsidRPr="00DF7B5F">
        <w:rPr>
          <w:rFonts w:ascii="Arial" w:hAnsi="Arial" w:cs="Arial"/>
          <w:b/>
          <w:bCs/>
          <w:sz w:val="20"/>
          <w:szCs w:val="20"/>
          <w:u w:val="single"/>
        </w:rPr>
        <w:t xml:space="preserve">Procedure for adherence assay </w:t>
      </w:r>
    </w:p>
    <w:p w14:paraId="390F6D77" w14:textId="77777777" w:rsidR="00DF7B5F" w:rsidRDefault="00DC40C5" w:rsidP="00A22110">
      <w:pPr>
        <w:spacing w:after="0" w:line="240" w:lineRule="auto"/>
        <w:ind w:firstLine="708"/>
        <w:jc w:val="both"/>
        <w:rPr>
          <w:rFonts w:ascii="Arial" w:eastAsia="Times New Roman" w:hAnsi="Arial" w:cs="Arial"/>
          <w:sz w:val="20"/>
          <w:szCs w:val="20"/>
        </w:rPr>
      </w:pPr>
      <w:r w:rsidRPr="00167C7C">
        <w:rPr>
          <w:rFonts w:ascii="Arial" w:eastAsia="Times New Roman" w:hAnsi="Arial" w:cs="Arial"/>
          <w:sz w:val="20"/>
          <w:szCs w:val="20"/>
        </w:rPr>
        <w:t xml:space="preserve"> </w:t>
      </w:r>
    </w:p>
    <w:p w14:paraId="7FF9F4CC" w14:textId="7AEEDFDF" w:rsidR="00DC40C5" w:rsidRPr="00167C7C" w:rsidRDefault="00DC40C5" w:rsidP="00A22110">
      <w:pPr>
        <w:spacing w:after="0" w:line="240" w:lineRule="auto"/>
        <w:ind w:firstLine="708"/>
        <w:jc w:val="both"/>
        <w:rPr>
          <w:rFonts w:ascii="Arial" w:eastAsia="Times New Roman" w:hAnsi="Arial" w:cs="Arial"/>
          <w:sz w:val="20"/>
          <w:szCs w:val="20"/>
        </w:rPr>
      </w:pPr>
      <w:r w:rsidRPr="00167C7C">
        <w:rPr>
          <w:rFonts w:ascii="Arial" w:eastAsia="Times New Roman" w:hAnsi="Arial" w:cs="Arial"/>
          <w:sz w:val="20"/>
          <w:szCs w:val="20"/>
        </w:rPr>
        <w:t xml:space="preserve">After incubation, the plasma was allocated into a standard Neubauer hemocytometer counting chamber with a plain, non-metallic glass surface and left to stand for 2 hours at 37 °C in the humidified atmosphere of the covered water bath to allow leukocytes to adhere to the glass. Next, we counted the leukocytes, removed the coverslip, and washed the chamber by immersion in a beaker with phosphate buffer saline (PBS) at 37 °C. Then, we added a drop of PBS to the hemocytometer's chamber and </w:t>
      </w:r>
      <w:r>
        <w:rPr>
          <w:rFonts w:ascii="Arial" w:eastAsia="Times New Roman" w:hAnsi="Arial" w:cs="Arial"/>
          <w:sz w:val="20"/>
          <w:szCs w:val="20"/>
        </w:rPr>
        <w:t>plac</w:t>
      </w:r>
      <w:r w:rsidRPr="00167C7C">
        <w:rPr>
          <w:rFonts w:ascii="Arial" w:eastAsia="Times New Roman" w:hAnsi="Arial" w:cs="Arial"/>
          <w:sz w:val="20"/>
          <w:szCs w:val="20"/>
        </w:rPr>
        <w:t xml:space="preserve">ed a clean coverslip over it. The remaining cells were counted in the same squares as previously examined. </w:t>
      </w:r>
    </w:p>
    <w:p w14:paraId="33313D5B" w14:textId="77777777" w:rsidR="00DC40C5" w:rsidRPr="00167C7C" w:rsidRDefault="00DC40C5" w:rsidP="00A22110">
      <w:pPr>
        <w:spacing w:after="0" w:line="240" w:lineRule="auto"/>
        <w:ind w:firstLine="708"/>
        <w:jc w:val="both"/>
        <w:rPr>
          <w:rFonts w:ascii="Arial" w:eastAsia="Times New Roman" w:hAnsi="Arial" w:cs="Arial"/>
          <w:sz w:val="20"/>
          <w:szCs w:val="20"/>
        </w:rPr>
      </w:pPr>
    </w:p>
    <w:p w14:paraId="030BA0A8" w14:textId="77777777" w:rsidR="00DC40C5" w:rsidRPr="00DF7B5F" w:rsidRDefault="00DC40C5" w:rsidP="00403859">
      <w:pPr>
        <w:spacing w:after="0" w:line="240" w:lineRule="auto"/>
        <w:jc w:val="both"/>
        <w:rPr>
          <w:rFonts w:ascii="Arial" w:eastAsia="Times New Roman" w:hAnsi="Arial" w:cs="Arial"/>
          <w:sz w:val="20"/>
          <w:szCs w:val="20"/>
          <w:u w:val="single"/>
        </w:rPr>
      </w:pPr>
      <w:r w:rsidRPr="00DF7B5F">
        <w:rPr>
          <w:rFonts w:ascii="Arial" w:eastAsia="Times New Roman" w:hAnsi="Arial" w:cs="Arial"/>
          <w:b/>
          <w:bCs/>
          <w:sz w:val="20"/>
          <w:szCs w:val="20"/>
          <w:u w:val="single"/>
        </w:rPr>
        <w:t xml:space="preserve">2.3.3 LAIT: </w:t>
      </w:r>
      <w:r w:rsidRPr="00DF7B5F">
        <w:rPr>
          <w:rFonts w:ascii="Arial" w:hAnsi="Arial" w:cs="Arial"/>
          <w:b/>
          <w:bCs/>
          <w:sz w:val="20"/>
          <w:szCs w:val="20"/>
          <w:u w:val="single"/>
        </w:rPr>
        <w:t xml:space="preserve">Procedure for calculation </w:t>
      </w:r>
    </w:p>
    <w:p w14:paraId="069C6E06" w14:textId="77777777" w:rsidR="00DF7B5F" w:rsidRDefault="00DF7B5F" w:rsidP="00A22110">
      <w:pPr>
        <w:spacing w:after="0" w:line="240" w:lineRule="auto"/>
        <w:ind w:firstLine="708"/>
        <w:jc w:val="both"/>
        <w:rPr>
          <w:rFonts w:ascii="Arial" w:eastAsia="Times New Roman" w:hAnsi="Arial" w:cs="Arial"/>
          <w:sz w:val="20"/>
          <w:szCs w:val="20"/>
        </w:rPr>
      </w:pPr>
    </w:p>
    <w:p w14:paraId="701F0347" w14:textId="1FE74706" w:rsidR="00DC40C5" w:rsidRPr="00167C7C" w:rsidRDefault="00DC40C5" w:rsidP="00A22110">
      <w:pPr>
        <w:spacing w:after="0" w:line="240" w:lineRule="auto"/>
        <w:ind w:firstLine="708"/>
        <w:jc w:val="both"/>
        <w:rPr>
          <w:rFonts w:ascii="Arial" w:eastAsia="Times New Roman" w:hAnsi="Arial" w:cs="Arial"/>
          <w:sz w:val="20"/>
          <w:szCs w:val="20"/>
        </w:rPr>
      </w:pPr>
      <w:r w:rsidRPr="00167C7C">
        <w:rPr>
          <w:rFonts w:ascii="Arial" w:eastAsia="Times New Roman" w:hAnsi="Arial" w:cs="Arial"/>
          <w:sz w:val="20"/>
          <w:szCs w:val="20"/>
        </w:rPr>
        <w:t>The percentage of Leukocyte Adherence (LA) of each assay was estimated as: (the number of leukocytes observed on the hemocytometry chamber after washing divided by the number of leukocytes observed on the hemocytometry chamber before washing) and multiplied by 100 (%). The Leukocyte Adherence Ratio (LAR) was estimated based on the ratio between the LA from the antigen-specific challenged plasma and the LA from the unchallenged control plasma: LAR = LA of the challenged sample divided by LA of unchallenged control plasma multiplied by 100 (%). To further calculate the Leukocyte Adherence Inhibition (LAI), we subtracted the LAR from 100 (%). We employed the LAI results for the cascade distribution chart and the statistics calculations; both performed with the help of the Microsoft Excel</w:t>
      </w:r>
      <w:r w:rsidRPr="00167C7C">
        <w:rPr>
          <w:rFonts w:ascii="Arial" w:eastAsia="Times New Roman" w:hAnsi="Arial" w:cs="Arial"/>
          <w:sz w:val="20"/>
          <w:szCs w:val="20"/>
          <w:vertAlign w:val="superscript"/>
        </w:rPr>
        <w:t>®</w:t>
      </w:r>
      <w:r w:rsidRPr="00167C7C">
        <w:rPr>
          <w:rFonts w:ascii="Arial" w:eastAsia="Times New Roman" w:hAnsi="Arial" w:cs="Arial"/>
          <w:sz w:val="20"/>
          <w:szCs w:val="20"/>
        </w:rPr>
        <w:t xml:space="preserve"> statistical package.</w:t>
      </w:r>
    </w:p>
    <w:p w14:paraId="70CDA81D" w14:textId="77777777" w:rsidR="00DC40C5" w:rsidRPr="00167C7C" w:rsidRDefault="00DC40C5" w:rsidP="00A22110">
      <w:pPr>
        <w:spacing w:after="0" w:line="240" w:lineRule="auto"/>
        <w:jc w:val="both"/>
        <w:rPr>
          <w:rFonts w:ascii="Arial" w:eastAsia="Times New Roman" w:hAnsi="Arial" w:cs="Arial"/>
          <w:sz w:val="20"/>
          <w:szCs w:val="20"/>
        </w:rPr>
      </w:pPr>
    </w:p>
    <w:p w14:paraId="1CB751E7" w14:textId="77777777" w:rsidR="00DC40C5" w:rsidRPr="00DF7B5F" w:rsidRDefault="00DC40C5" w:rsidP="00A22110">
      <w:pPr>
        <w:spacing w:after="0" w:line="240" w:lineRule="auto"/>
        <w:jc w:val="both"/>
        <w:rPr>
          <w:rFonts w:ascii="Arial" w:eastAsia="Times New Roman" w:hAnsi="Arial" w:cs="Arial"/>
          <w:b/>
          <w:bCs/>
          <w:sz w:val="20"/>
          <w:szCs w:val="20"/>
          <w:u w:val="single"/>
        </w:rPr>
      </w:pPr>
      <w:r w:rsidRPr="00DF7B5F">
        <w:rPr>
          <w:rFonts w:ascii="Arial" w:eastAsia="Times New Roman" w:hAnsi="Arial" w:cs="Arial"/>
          <w:b/>
          <w:bCs/>
          <w:sz w:val="20"/>
          <w:szCs w:val="20"/>
          <w:u w:val="single"/>
        </w:rPr>
        <w:t xml:space="preserve">2.4 TTP: </w:t>
      </w:r>
      <w:r w:rsidRPr="00DF7B5F">
        <w:rPr>
          <w:rFonts w:ascii="Arial" w:eastAsia="Times New Roman" w:hAnsi="Arial" w:cs="Arial"/>
          <w:b/>
          <w:bCs/>
          <w:i/>
          <w:iCs/>
          <w:sz w:val="20"/>
          <w:szCs w:val="20"/>
          <w:u w:val="single"/>
        </w:rPr>
        <w:t>In vitro</w:t>
      </w:r>
      <w:r w:rsidRPr="00DF7B5F">
        <w:rPr>
          <w:rFonts w:ascii="Arial" w:eastAsia="Times New Roman" w:hAnsi="Arial" w:cs="Arial"/>
          <w:b/>
          <w:bCs/>
          <w:sz w:val="20"/>
          <w:szCs w:val="20"/>
          <w:u w:val="single"/>
        </w:rPr>
        <w:t xml:space="preserve"> Investigation: Tube Titration of Precipitins</w:t>
      </w:r>
    </w:p>
    <w:p w14:paraId="3FCDDE04" w14:textId="77777777" w:rsidR="00DC40C5" w:rsidRPr="00167C7C" w:rsidRDefault="00DC40C5" w:rsidP="00DF582F">
      <w:pPr>
        <w:spacing w:after="0" w:line="240" w:lineRule="auto"/>
        <w:jc w:val="both"/>
        <w:rPr>
          <w:rFonts w:ascii="Arial" w:eastAsia="Times New Roman" w:hAnsi="Arial" w:cs="Arial"/>
          <w:sz w:val="20"/>
          <w:szCs w:val="20"/>
        </w:rPr>
      </w:pPr>
    </w:p>
    <w:p w14:paraId="57CB03C9" w14:textId="7252D9D7" w:rsidR="00DC40C5" w:rsidRPr="00167C7C" w:rsidRDefault="00DC40C5" w:rsidP="00DF582F">
      <w:pPr>
        <w:spacing w:after="0" w:line="240" w:lineRule="auto"/>
        <w:ind w:firstLine="360"/>
        <w:jc w:val="both"/>
      </w:pPr>
      <w:r w:rsidRPr="00167C7C">
        <w:rPr>
          <w:rFonts w:ascii="Arial" w:eastAsia="Times New Roman" w:hAnsi="Arial" w:cs="Arial"/>
          <w:sz w:val="20"/>
          <w:szCs w:val="20"/>
        </w:rPr>
        <w:t xml:space="preserve">As previously reported, the semi-quantitative TTP against the chicken meat extract </w:t>
      </w:r>
      <w:r>
        <w:rPr>
          <w:rFonts w:ascii="Arial" w:eastAsia="Times New Roman" w:hAnsi="Arial" w:cs="Arial"/>
          <w:sz w:val="20"/>
          <w:szCs w:val="20"/>
        </w:rPr>
        <w:t xml:space="preserve">(or the egg yolk extract) </w:t>
      </w:r>
      <w:r w:rsidRPr="00167C7C">
        <w:rPr>
          <w:rFonts w:ascii="Arial" w:eastAsia="Times New Roman" w:hAnsi="Arial" w:cs="Arial"/>
          <w:sz w:val="20"/>
          <w:szCs w:val="20"/>
        </w:rPr>
        <w:t xml:space="preserve">was performed in a transparent vitreous tube array </w:t>
      </w:r>
      <w:r>
        <w:rPr>
          <w:rFonts w:ascii="Arial" w:eastAsia="Times New Roman" w:hAnsi="Arial" w:cs="Arial"/>
          <w:noProof/>
          <w:sz w:val="20"/>
          <w:szCs w:val="20"/>
        </w:rPr>
        <w:t xml:space="preserve">(Olivier </w:t>
      </w:r>
      <w:r w:rsidR="000B711F" w:rsidRPr="000B711F">
        <w:rPr>
          <w:rFonts w:ascii="Arial" w:eastAsia="Times New Roman" w:hAnsi="Arial" w:cs="Arial"/>
          <w:noProof/>
          <w:sz w:val="20"/>
          <w:szCs w:val="20"/>
        </w:rPr>
        <w:t>et al</w:t>
      </w:r>
      <w:r>
        <w:rPr>
          <w:rFonts w:ascii="Arial" w:eastAsia="Times New Roman" w:hAnsi="Arial" w:cs="Arial"/>
          <w:noProof/>
          <w:sz w:val="20"/>
          <w:szCs w:val="20"/>
        </w:rPr>
        <w:t xml:space="preserve">. 2024f, Olivier </w:t>
      </w:r>
      <w:r w:rsidR="000B711F" w:rsidRPr="000B711F">
        <w:rPr>
          <w:rFonts w:ascii="Arial" w:eastAsia="Times New Roman" w:hAnsi="Arial" w:cs="Arial"/>
          <w:noProof/>
          <w:sz w:val="20"/>
          <w:szCs w:val="20"/>
        </w:rPr>
        <w:t>et al</w:t>
      </w:r>
      <w:r>
        <w:rPr>
          <w:rFonts w:ascii="Arial" w:eastAsia="Times New Roman" w:hAnsi="Arial" w:cs="Arial"/>
          <w:noProof/>
          <w:sz w:val="20"/>
          <w:szCs w:val="20"/>
        </w:rPr>
        <w:t xml:space="preserve">. 2024d, Olivier </w:t>
      </w:r>
      <w:r w:rsidR="000B711F" w:rsidRPr="000B711F">
        <w:rPr>
          <w:rFonts w:ascii="Arial" w:eastAsia="Times New Roman" w:hAnsi="Arial" w:cs="Arial"/>
          <w:noProof/>
          <w:sz w:val="20"/>
          <w:szCs w:val="20"/>
        </w:rPr>
        <w:t>et al</w:t>
      </w:r>
      <w:r>
        <w:rPr>
          <w:rFonts w:ascii="Arial" w:eastAsia="Times New Roman" w:hAnsi="Arial" w:cs="Arial"/>
          <w:noProof/>
          <w:sz w:val="20"/>
          <w:szCs w:val="20"/>
        </w:rPr>
        <w:t xml:space="preserve">. 2024b, Olivier </w:t>
      </w:r>
      <w:r w:rsidR="000B711F" w:rsidRPr="000B711F">
        <w:rPr>
          <w:rFonts w:ascii="Arial" w:eastAsia="Times New Roman" w:hAnsi="Arial" w:cs="Arial"/>
          <w:noProof/>
          <w:sz w:val="20"/>
          <w:szCs w:val="20"/>
        </w:rPr>
        <w:t>et al</w:t>
      </w:r>
      <w:r>
        <w:rPr>
          <w:rFonts w:ascii="Arial" w:eastAsia="Times New Roman" w:hAnsi="Arial" w:cs="Arial"/>
          <w:noProof/>
          <w:sz w:val="20"/>
          <w:szCs w:val="20"/>
        </w:rPr>
        <w:t>. 2024a)</w:t>
      </w:r>
      <w:r w:rsidRPr="00167C7C">
        <w:rPr>
          <w:rFonts w:ascii="Arial" w:eastAsia="Times New Roman" w:hAnsi="Arial" w:cs="Arial"/>
          <w:sz w:val="20"/>
          <w:szCs w:val="20"/>
        </w:rPr>
        <w:t>. Shortly, the patient’s blood was collected in a clot-activator collecting tube. After separation, the serum was centrifuged at 2,000 rpm for 10 minutes. Each allergen extract was allocated in sets of eleven glass tubes at progressive</w:t>
      </w:r>
      <w:r>
        <w:rPr>
          <w:rFonts w:ascii="Arial" w:eastAsia="Times New Roman" w:hAnsi="Arial" w:cs="Arial"/>
          <w:sz w:val="20"/>
          <w:szCs w:val="20"/>
        </w:rPr>
        <w:t>ly</w:t>
      </w:r>
      <w:r w:rsidRPr="00167C7C">
        <w:rPr>
          <w:rFonts w:ascii="Arial" w:eastAsia="Times New Roman" w:hAnsi="Arial" w:cs="Arial"/>
          <w:sz w:val="20"/>
          <w:szCs w:val="20"/>
        </w:rPr>
        <w:t xml:space="preserve"> duplicated serum dilutions. The progressive dilutions were combined with separated aliquots of 15 μL of the allergen extract with 250 μL of the patient’s serum, progressively diluted into physiological saline solution (NaCl 0,9%) in the dilution ratios of 1:1; 1:2; 1:4; 1:8; 1:16; 1:32; 1:64; 1:128; 1:256; and 1:512. One tube was a blank control done with water and serum to observe occasional spontaneous precipitation (Sia Test). After 24 hours, the tubes were examined, and the </w:t>
      </w:r>
      <w:r w:rsidR="00C45B14" w:rsidRPr="00167C7C">
        <w:rPr>
          <w:rFonts w:ascii="Arial" w:eastAsia="Times New Roman" w:hAnsi="Arial" w:cs="Arial"/>
          <w:sz w:val="20"/>
          <w:szCs w:val="20"/>
        </w:rPr>
        <w:t>titers</w:t>
      </w:r>
      <w:r w:rsidRPr="00167C7C">
        <w:rPr>
          <w:rFonts w:ascii="Arial" w:eastAsia="Times New Roman" w:hAnsi="Arial" w:cs="Arial"/>
          <w:sz w:val="20"/>
          <w:szCs w:val="20"/>
        </w:rPr>
        <w:t xml:space="preserve"> (the highest dilution factor that yields a positive reading) were recorded </w:t>
      </w:r>
      <w:r>
        <w:rPr>
          <w:rFonts w:ascii="Arial" w:eastAsia="Times New Roman" w:hAnsi="Arial" w:cs="Arial"/>
          <w:noProof/>
          <w:sz w:val="20"/>
          <w:szCs w:val="20"/>
        </w:rPr>
        <w:t>(Williams and Chase 1971)</w:t>
      </w:r>
      <w:r w:rsidRPr="00167C7C">
        <w:rPr>
          <w:rFonts w:ascii="Arial" w:eastAsia="Times New Roman" w:hAnsi="Arial" w:cs="Arial"/>
          <w:sz w:val="20"/>
          <w:szCs w:val="20"/>
        </w:rPr>
        <w:t>.</w:t>
      </w:r>
    </w:p>
    <w:p w14:paraId="225D2909" w14:textId="77777777" w:rsidR="00DC40C5" w:rsidRPr="00537CF5" w:rsidRDefault="00DC40C5" w:rsidP="00A22110">
      <w:pPr>
        <w:spacing w:after="0" w:line="240" w:lineRule="auto"/>
        <w:jc w:val="both"/>
        <w:rPr>
          <w:rFonts w:ascii="Arial" w:eastAsia="Times New Roman" w:hAnsi="Arial" w:cs="Arial"/>
          <w:color w:val="FF0000"/>
          <w:sz w:val="20"/>
          <w:szCs w:val="20"/>
        </w:rPr>
      </w:pPr>
    </w:p>
    <w:p w14:paraId="6AFC1123" w14:textId="77777777" w:rsidR="00DC40C5" w:rsidRPr="00537CF5" w:rsidRDefault="00DC40C5" w:rsidP="00646870">
      <w:pPr>
        <w:spacing w:after="0" w:line="240" w:lineRule="auto"/>
        <w:jc w:val="both"/>
        <w:rPr>
          <w:rFonts w:ascii="Arial" w:eastAsia="Times New Roman" w:hAnsi="Arial" w:cs="Arial"/>
          <w:color w:val="FF0000"/>
          <w:sz w:val="20"/>
          <w:szCs w:val="20"/>
        </w:rPr>
      </w:pPr>
    </w:p>
    <w:p w14:paraId="632A67DF" w14:textId="77777777" w:rsidR="00DC40C5" w:rsidRPr="00537CF5" w:rsidRDefault="00DC40C5" w:rsidP="00646870">
      <w:pPr>
        <w:spacing w:after="0" w:line="240" w:lineRule="auto"/>
        <w:jc w:val="both"/>
        <w:rPr>
          <w:rFonts w:ascii="Arial" w:eastAsia="Times New Roman" w:hAnsi="Arial" w:cs="Arial"/>
          <w:b/>
          <w:bCs/>
          <w:color w:val="FF0000"/>
          <w:sz w:val="20"/>
          <w:szCs w:val="20"/>
        </w:rPr>
        <w:sectPr w:rsidR="00DC40C5" w:rsidRPr="00537CF5" w:rsidSect="00DC40C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p>
    <w:p w14:paraId="6CDFAF19" w14:textId="77777777" w:rsidR="00DC40C5" w:rsidRPr="000C794D" w:rsidRDefault="00DC40C5" w:rsidP="00646870">
      <w:pPr>
        <w:spacing w:after="0" w:line="240" w:lineRule="auto"/>
        <w:jc w:val="both"/>
        <w:rPr>
          <w:rFonts w:ascii="Arial" w:eastAsia="Times New Roman" w:hAnsi="Arial" w:cs="Arial"/>
          <w:b/>
          <w:bCs/>
          <w:szCs w:val="20"/>
        </w:rPr>
      </w:pPr>
      <w:r w:rsidRPr="000C794D">
        <w:rPr>
          <w:rFonts w:ascii="Arial" w:eastAsia="Times New Roman" w:hAnsi="Arial" w:cs="Arial"/>
          <w:b/>
          <w:bCs/>
          <w:szCs w:val="20"/>
        </w:rPr>
        <w:lastRenderedPageBreak/>
        <w:t>3. RESULTS</w:t>
      </w:r>
    </w:p>
    <w:p w14:paraId="5C4D5129" w14:textId="77777777" w:rsidR="00DC40C5" w:rsidRPr="000C794D" w:rsidRDefault="00DC40C5" w:rsidP="00646870">
      <w:pPr>
        <w:spacing w:after="0" w:line="240" w:lineRule="auto"/>
        <w:jc w:val="both"/>
        <w:rPr>
          <w:rFonts w:ascii="Arial" w:eastAsia="Times New Roman" w:hAnsi="Arial" w:cs="Arial"/>
          <w:sz w:val="20"/>
          <w:szCs w:val="20"/>
        </w:rPr>
      </w:pPr>
    </w:p>
    <w:p w14:paraId="1D2F6E22" w14:textId="77777777" w:rsidR="00DC40C5" w:rsidRPr="00A931B9" w:rsidRDefault="00DC40C5" w:rsidP="00FE1E24">
      <w:pPr>
        <w:spacing w:after="0" w:line="240" w:lineRule="auto"/>
        <w:ind w:firstLine="708"/>
        <w:jc w:val="both"/>
        <w:rPr>
          <w:rFonts w:ascii="Arial" w:eastAsia="Times New Roman" w:hAnsi="Arial" w:cs="Arial"/>
          <w:sz w:val="20"/>
          <w:szCs w:val="20"/>
        </w:rPr>
      </w:pPr>
      <w:r w:rsidRPr="000C794D">
        <w:rPr>
          <w:rFonts w:ascii="Arial" w:eastAsia="Times New Roman" w:hAnsi="Arial" w:cs="Arial"/>
          <w:sz w:val="20"/>
          <w:szCs w:val="20"/>
        </w:rPr>
        <w:t xml:space="preserve">As a retrospective survey, there was no research protocol; therefore, we report the incidental immune investigation as registered in the digital medical charts. </w:t>
      </w:r>
    </w:p>
    <w:p w14:paraId="3FA0D8D5" w14:textId="77777777" w:rsidR="00DC40C5" w:rsidRPr="00FE1E24" w:rsidRDefault="00DC40C5" w:rsidP="00FE1E24">
      <w:pPr>
        <w:spacing w:after="0" w:line="240" w:lineRule="auto"/>
        <w:ind w:firstLine="708"/>
        <w:jc w:val="both"/>
        <w:rPr>
          <w:rFonts w:ascii="Arial" w:eastAsia="Times New Roman" w:hAnsi="Arial" w:cs="Arial"/>
          <w:sz w:val="20"/>
          <w:szCs w:val="20"/>
        </w:rPr>
      </w:pPr>
      <w:r w:rsidRPr="00837994">
        <w:rPr>
          <w:rFonts w:ascii="Arial" w:eastAsia="Times New Roman" w:hAnsi="Arial" w:cs="Arial"/>
          <w:sz w:val="20"/>
          <w:szCs w:val="20"/>
        </w:rPr>
        <w:t>The TTP for the chicken meat extract showed a distribution concentrated on the higher dilutions (Fig</w:t>
      </w:r>
      <w:r>
        <w:rPr>
          <w:rFonts w:ascii="Arial" w:eastAsia="Times New Roman" w:hAnsi="Arial" w:cs="Arial"/>
          <w:sz w:val="20"/>
          <w:szCs w:val="20"/>
        </w:rPr>
        <w:t>.</w:t>
      </w:r>
      <w:r w:rsidRPr="00837994">
        <w:rPr>
          <w:rFonts w:ascii="Arial" w:eastAsia="Times New Roman" w:hAnsi="Arial" w:cs="Arial"/>
          <w:sz w:val="20"/>
          <w:szCs w:val="20"/>
        </w:rPr>
        <w:t xml:space="preserve"> 1). There was no negative result. The mean was estimated at 1:307; the median was 1:256; the standard deviation was estimated at 1:175; the mode was 1:512 (appeared 39 times).  </w:t>
      </w:r>
    </w:p>
    <w:p w14:paraId="18AB2BFD" w14:textId="42A9073D" w:rsidR="00DC40C5" w:rsidRPr="00FE1E24" w:rsidRDefault="00DC40C5" w:rsidP="00FE1E24">
      <w:pPr>
        <w:spacing w:after="0" w:line="240" w:lineRule="auto"/>
        <w:ind w:firstLine="708"/>
        <w:jc w:val="both"/>
        <w:rPr>
          <w:rFonts w:ascii="Arial" w:eastAsia="Times New Roman" w:hAnsi="Arial" w:cs="Arial"/>
          <w:sz w:val="20"/>
          <w:szCs w:val="20"/>
        </w:rPr>
      </w:pPr>
      <w:r w:rsidRPr="00837994">
        <w:rPr>
          <w:rFonts w:ascii="Arial" w:eastAsia="Times New Roman" w:hAnsi="Arial" w:cs="Arial"/>
          <w:sz w:val="20"/>
          <w:szCs w:val="20"/>
        </w:rPr>
        <w:t xml:space="preserve">The TTP for the </w:t>
      </w:r>
      <w:r>
        <w:rPr>
          <w:rFonts w:ascii="Arial" w:eastAsia="Times New Roman" w:hAnsi="Arial" w:cs="Arial"/>
          <w:sz w:val="20"/>
          <w:szCs w:val="20"/>
        </w:rPr>
        <w:t>egg yolk</w:t>
      </w:r>
      <w:r w:rsidRPr="00837994">
        <w:rPr>
          <w:rFonts w:ascii="Arial" w:eastAsia="Times New Roman" w:hAnsi="Arial" w:cs="Arial"/>
          <w:sz w:val="20"/>
          <w:szCs w:val="20"/>
        </w:rPr>
        <w:t xml:space="preserve"> extract showed a distribution concentrated on the higher dilutions (Fig</w:t>
      </w:r>
      <w:r>
        <w:rPr>
          <w:rFonts w:ascii="Arial" w:eastAsia="Times New Roman" w:hAnsi="Arial" w:cs="Arial"/>
          <w:sz w:val="20"/>
          <w:szCs w:val="20"/>
        </w:rPr>
        <w:t>.</w:t>
      </w:r>
      <w:r w:rsidR="001B17D1">
        <w:rPr>
          <w:rFonts w:ascii="Arial" w:eastAsia="Times New Roman" w:hAnsi="Arial" w:cs="Arial"/>
          <w:sz w:val="20"/>
          <w:szCs w:val="20"/>
        </w:rPr>
        <w:t xml:space="preserve"> 2</w:t>
      </w:r>
      <w:r w:rsidRPr="00837994">
        <w:rPr>
          <w:rFonts w:ascii="Arial" w:eastAsia="Times New Roman" w:hAnsi="Arial" w:cs="Arial"/>
          <w:sz w:val="20"/>
          <w:szCs w:val="20"/>
        </w:rPr>
        <w:t xml:space="preserve">). There were </w:t>
      </w:r>
      <w:r>
        <w:rPr>
          <w:rFonts w:ascii="Arial" w:eastAsia="Times New Roman" w:hAnsi="Arial" w:cs="Arial"/>
          <w:sz w:val="20"/>
          <w:szCs w:val="20"/>
        </w:rPr>
        <w:t>two</w:t>
      </w:r>
      <w:r w:rsidRPr="00837994">
        <w:rPr>
          <w:rFonts w:ascii="Arial" w:eastAsia="Times New Roman" w:hAnsi="Arial" w:cs="Arial"/>
          <w:sz w:val="20"/>
          <w:szCs w:val="20"/>
        </w:rPr>
        <w:t xml:space="preserve"> negative result</w:t>
      </w:r>
      <w:r>
        <w:rPr>
          <w:rFonts w:ascii="Arial" w:eastAsia="Times New Roman" w:hAnsi="Arial" w:cs="Arial"/>
          <w:sz w:val="20"/>
          <w:szCs w:val="20"/>
        </w:rPr>
        <w:t>s</w:t>
      </w:r>
      <w:r w:rsidRPr="00837994">
        <w:rPr>
          <w:rFonts w:ascii="Arial" w:eastAsia="Times New Roman" w:hAnsi="Arial" w:cs="Arial"/>
          <w:sz w:val="20"/>
          <w:szCs w:val="20"/>
        </w:rPr>
        <w:t>. The mean was estimated at 1:3</w:t>
      </w:r>
      <w:r>
        <w:rPr>
          <w:rFonts w:ascii="Arial" w:eastAsia="Times New Roman" w:hAnsi="Arial" w:cs="Arial"/>
          <w:sz w:val="20"/>
          <w:szCs w:val="20"/>
        </w:rPr>
        <w:t>35</w:t>
      </w:r>
      <w:r w:rsidRPr="00837994">
        <w:rPr>
          <w:rFonts w:ascii="Arial" w:eastAsia="Times New Roman" w:hAnsi="Arial" w:cs="Arial"/>
          <w:sz w:val="20"/>
          <w:szCs w:val="20"/>
        </w:rPr>
        <w:t>; the median was 1:256; the standard deviation was estimated at 1:17</w:t>
      </w:r>
      <w:r>
        <w:rPr>
          <w:rFonts w:ascii="Arial" w:eastAsia="Times New Roman" w:hAnsi="Arial" w:cs="Arial"/>
          <w:sz w:val="20"/>
          <w:szCs w:val="20"/>
        </w:rPr>
        <w:t>9</w:t>
      </w:r>
      <w:r w:rsidRPr="00837994">
        <w:rPr>
          <w:rFonts w:ascii="Arial" w:eastAsia="Times New Roman" w:hAnsi="Arial" w:cs="Arial"/>
          <w:sz w:val="20"/>
          <w:szCs w:val="20"/>
        </w:rPr>
        <w:t xml:space="preserve">; the mode was 1:512 (appeared </w:t>
      </w:r>
      <w:r>
        <w:rPr>
          <w:rFonts w:ascii="Arial" w:eastAsia="Times New Roman" w:hAnsi="Arial" w:cs="Arial"/>
          <w:sz w:val="20"/>
          <w:szCs w:val="20"/>
        </w:rPr>
        <w:t>48</w:t>
      </w:r>
      <w:r w:rsidRPr="00837994">
        <w:rPr>
          <w:rFonts w:ascii="Arial" w:eastAsia="Times New Roman" w:hAnsi="Arial" w:cs="Arial"/>
          <w:sz w:val="20"/>
          <w:szCs w:val="20"/>
        </w:rPr>
        <w:t xml:space="preserve"> times).  </w:t>
      </w:r>
    </w:p>
    <w:p w14:paraId="79C33CC2" w14:textId="7B4DF14D" w:rsidR="00DC40C5" w:rsidRPr="00FE1E24" w:rsidRDefault="00DC40C5" w:rsidP="000F6B7E">
      <w:pPr>
        <w:spacing w:after="0" w:line="240" w:lineRule="auto"/>
        <w:jc w:val="both"/>
        <w:rPr>
          <w:rFonts w:ascii="Arial" w:eastAsia="Times New Roman" w:hAnsi="Arial" w:cs="Arial"/>
          <w:sz w:val="20"/>
          <w:szCs w:val="20"/>
        </w:rPr>
      </w:pPr>
      <w:r>
        <w:rPr>
          <w:rFonts w:ascii="Arial" w:eastAsia="Times New Roman" w:hAnsi="Arial" w:cs="Arial"/>
          <w:color w:val="FF0000"/>
          <w:sz w:val="20"/>
          <w:szCs w:val="20"/>
        </w:rPr>
        <w:tab/>
      </w:r>
      <w:r w:rsidRPr="008F1B7A">
        <w:rPr>
          <w:rFonts w:ascii="Arial" w:eastAsia="Times New Roman" w:hAnsi="Arial" w:cs="Arial"/>
          <w:sz w:val="20"/>
          <w:szCs w:val="20"/>
        </w:rPr>
        <w:t>The Pearson correlation estimate</w:t>
      </w:r>
      <w:r>
        <w:rPr>
          <w:rFonts w:ascii="Arial" w:eastAsia="Times New Roman" w:hAnsi="Arial" w:cs="Arial"/>
          <w:sz w:val="20"/>
          <w:szCs w:val="20"/>
        </w:rPr>
        <w:t>s</w:t>
      </w:r>
      <w:r w:rsidRPr="008F1B7A">
        <w:rPr>
          <w:rFonts w:ascii="Arial" w:eastAsia="Times New Roman" w:hAnsi="Arial" w:cs="Arial"/>
          <w:sz w:val="20"/>
          <w:szCs w:val="20"/>
        </w:rPr>
        <w:t xml:space="preserve"> a non-significant</w:t>
      </w:r>
      <w:r>
        <w:rPr>
          <w:rFonts w:ascii="Arial" w:eastAsia="Times New Roman" w:hAnsi="Arial" w:cs="Arial"/>
          <w:sz w:val="20"/>
          <w:szCs w:val="20"/>
        </w:rPr>
        <w:t>,</w:t>
      </w:r>
      <w:r w:rsidRPr="008F1B7A">
        <w:rPr>
          <w:rFonts w:ascii="Arial" w:eastAsia="Times New Roman" w:hAnsi="Arial" w:cs="Arial"/>
          <w:sz w:val="20"/>
          <w:szCs w:val="20"/>
        </w:rPr>
        <w:t xml:space="preserve"> small positive relationship between TTP for the egg yolk extract and TTP for the chicken meat extract</w:t>
      </w:r>
      <w:r>
        <w:rPr>
          <w:rFonts w:ascii="Arial" w:eastAsia="Times New Roman" w:hAnsi="Arial" w:cs="Arial"/>
          <w:sz w:val="20"/>
          <w:szCs w:val="20"/>
        </w:rPr>
        <w:t>;</w:t>
      </w:r>
      <w:r w:rsidRPr="008F1B7A">
        <w:rPr>
          <w:rFonts w:ascii="Arial" w:eastAsia="Times New Roman" w:hAnsi="Arial" w:cs="Arial"/>
          <w:sz w:val="20"/>
          <w:szCs w:val="20"/>
        </w:rPr>
        <w:t xml:space="preserve"> r(98) = 0.181, p = 0.072.</w:t>
      </w:r>
      <w:r>
        <w:rPr>
          <w:rFonts w:ascii="Arial" w:eastAsia="Times New Roman" w:hAnsi="Arial" w:cs="Arial"/>
          <w:sz w:val="20"/>
          <w:szCs w:val="20"/>
        </w:rPr>
        <w:t xml:space="preserve"> See Fig</w:t>
      </w:r>
      <w:r w:rsidR="00FD4DCF">
        <w:rPr>
          <w:rFonts w:ascii="Arial" w:eastAsia="Times New Roman" w:hAnsi="Arial" w:cs="Arial"/>
          <w:sz w:val="20"/>
          <w:szCs w:val="20"/>
        </w:rPr>
        <w:t>.</w:t>
      </w:r>
      <w:r>
        <w:rPr>
          <w:rFonts w:ascii="Arial" w:eastAsia="Times New Roman" w:hAnsi="Arial" w:cs="Arial"/>
          <w:sz w:val="20"/>
          <w:szCs w:val="20"/>
        </w:rPr>
        <w:t xml:space="preserve"> 3.</w:t>
      </w:r>
    </w:p>
    <w:p w14:paraId="51FED2FD" w14:textId="77777777" w:rsidR="00DC40C5" w:rsidRPr="00B26EB7" w:rsidRDefault="00DC40C5" w:rsidP="00DD5EFE">
      <w:pPr>
        <w:spacing w:after="0" w:line="240" w:lineRule="auto"/>
        <w:ind w:firstLine="708"/>
        <w:jc w:val="both"/>
        <w:rPr>
          <w:rFonts w:ascii="Arial" w:eastAsia="Times New Roman" w:hAnsi="Arial" w:cs="Arial"/>
          <w:sz w:val="20"/>
          <w:szCs w:val="20"/>
        </w:rPr>
      </w:pPr>
      <w:r w:rsidRPr="00B26EB7">
        <w:rPr>
          <w:rFonts w:ascii="Arial" w:eastAsia="Times New Roman" w:hAnsi="Arial" w:cs="Arial"/>
          <w:sz w:val="20"/>
          <w:szCs w:val="20"/>
        </w:rPr>
        <w:t>The LAIT for the chicken meat extract showed a wide distribution range of results. The LAI ranged from 0% to 99%. The mean was 48.5%; the median was 50.5%; the standard deviation was 29.8%; the mode was 0% (appeared eleven times). The cascade distribution demonstrates a wide range of LAI results (</w:t>
      </w:r>
      <w:r>
        <w:rPr>
          <w:rFonts w:ascii="Arial" w:eastAsia="Times New Roman" w:hAnsi="Arial" w:cs="Arial"/>
          <w:sz w:val="20"/>
          <w:szCs w:val="20"/>
        </w:rPr>
        <w:t xml:space="preserve">see </w:t>
      </w:r>
      <w:r w:rsidRPr="00B26EB7">
        <w:rPr>
          <w:rFonts w:ascii="Arial" w:eastAsia="Times New Roman" w:hAnsi="Arial" w:cs="Arial"/>
          <w:sz w:val="20"/>
          <w:szCs w:val="20"/>
        </w:rPr>
        <w:t>Fig. 4). Some patients showed low or moderate immunoreactivity during the ex vivo challenge test. In contrast, others displayed strong immunoreactivity, which could reflect the participation of chicken meat allergens in a Non–IgE-mediated hypersensitivity condition in these patients.</w:t>
      </w:r>
    </w:p>
    <w:p w14:paraId="37F11F22" w14:textId="77777777" w:rsidR="00DC40C5" w:rsidRDefault="00DC40C5" w:rsidP="00384228">
      <w:pPr>
        <w:spacing w:after="0" w:line="240" w:lineRule="auto"/>
        <w:ind w:firstLine="708"/>
        <w:jc w:val="both"/>
        <w:rPr>
          <w:rFonts w:ascii="Arial" w:eastAsia="Times New Roman" w:hAnsi="Arial" w:cs="Arial"/>
          <w:sz w:val="20"/>
          <w:szCs w:val="20"/>
        </w:rPr>
      </w:pPr>
      <w:r w:rsidRPr="00B26EB7">
        <w:rPr>
          <w:rFonts w:ascii="Arial" w:eastAsia="Times New Roman" w:hAnsi="Arial" w:cs="Arial"/>
          <w:sz w:val="20"/>
          <w:szCs w:val="20"/>
        </w:rPr>
        <w:t>The LAIT for the egg yolk extract showed a wide distribution range of results. Most results were concentrated in the more immunoreactive groups. The LAI ranged from 0% to 99%. The mean was 50.2%; the median w</w:t>
      </w:r>
      <w:r w:rsidRPr="00006DC4">
        <w:rPr>
          <w:rFonts w:ascii="Arial" w:eastAsia="Times New Roman" w:hAnsi="Arial" w:cs="Arial"/>
          <w:sz w:val="20"/>
          <w:szCs w:val="20"/>
        </w:rPr>
        <w:t>as 51%; the standard deviation was 27%; the mode was 0% (appeared eight times). The cascade distribution demonstrates a wide range of LAI results (</w:t>
      </w:r>
      <w:r>
        <w:rPr>
          <w:rFonts w:ascii="Arial" w:eastAsia="Times New Roman" w:hAnsi="Arial" w:cs="Arial"/>
          <w:sz w:val="20"/>
          <w:szCs w:val="20"/>
        </w:rPr>
        <w:t xml:space="preserve">see </w:t>
      </w:r>
      <w:r w:rsidRPr="00006DC4">
        <w:rPr>
          <w:rFonts w:ascii="Arial" w:eastAsia="Times New Roman" w:hAnsi="Arial" w:cs="Arial"/>
          <w:sz w:val="20"/>
          <w:szCs w:val="20"/>
        </w:rPr>
        <w:t>Fig. 5). Some patients showed low or moderate immunoreactivity during the ex vivo challenge test. In contrast, others displayed strong immunoreactivity, which could reflect the participation of egg yolk allergens in a Non–IgE-mediated hypersensitivity condition in these patients.</w:t>
      </w:r>
    </w:p>
    <w:p w14:paraId="3844326B" w14:textId="782F173F" w:rsidR="00DC40C5" w:rsidRPr="00006DC4" w:rsidRDefault="00DC40C5" w:rsidP="00006DC4">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T</w:t>
      </w:r>
      <w:r w:rsidRPr="00E000B2">
        <w:rPr>
          <w:rFonts w:ascii="Arial" w:eastAsia="Times New Roman" w:hAnsi="Arial" w:cs="Arial"/>
          <w:sz w:val="20"/>
          <w:szCs w:val="20"/>
        </w:rPr>
        <w:t xml:space="preserve">he </w:t>
      </w:r>
      <w:r>
        <w:rPr>
          <w:rFonts w:ascii="Arial" w:eastAsia="Times New Roman" w:hAnsi="Arial" w:cs="Arial"/>
          <w:sz w:val="20"/>
          <w:szCs w:val="20"/>
        </w:rPr>
        <w:t>P</w:t>
      </w:r>
      <w:r w:rsidRPr="00E000B2">
        <w:rPr>
          <w:rFonts w:ascii="Arial" w:eastAsia="Times New Roman" w:hAnsi="Arial" w:cs="Arial"/>
          <w:sz w:val="20"/>
          <w:szCs w:val="20"/>
        </w:rPr>
        <w:t xml:space="preserve">earson correlation </w:t>
      </w:r>
      <w:r>
        <w:rPr>
          <w:rFonts w:ascii="Arial" w:eastAsia="Times New Roman" w:hAnsi="Arial" w:cs="Arial"/>
          <w:sz w:val="20"/>
          <w:szCs w:val="20"/>
        </w:rPr>
        <w:t>estimates</w:t>
      </w:r>
      <w:r w:rsidRPr="00E000B2">
        <w:rPr>
          <w:rFonts w:ascii="Arial" w:eastAsia="Times New Roman" w:hAnsi="Arial" w:cs="Arial"/>
          <w:sz w:val="20"/>
          <w:szCs w:val="20"/>
        </w:rPr>
        <w:t xml:space="preserve"> a non-significant small positive relationship between</w:t>
      </w:r>
      <w:r>
        <w:rPr>
          <w:rFonts w:ascii="Arial" w:eastAsia="Times New Roman" w:hAnsi="Arial" w:cs="Arial"/>
          <w:sz w:val="20"/>
          <w:szCs w:val="20"/>
        </w:rPr>
        <w:t xml:space="preserve"> LAIT for egg yolk and LAIT for chicken meat extract;</w:t>
      </w:r>
      <w:r w:rsidRPr="00E000B2">
        <w:rPr>
          <w:rFonts w:ascii="Arial" w:eastAsia="Times New Roman" w:hAnsi="Arial" w:cs="Arial"/>
          <w:sz w:val="20"/>
          <w:szCs w:val="20"/>
        </w:rPr>
        <w:t xml:space="preserve"> r(98) = </w:t>
      </w:r>
      <w:r>
        <w:rPr>
          <w:rFonts w:ascii="Arial" w:eastAsia="Times New Roman" w:hAnsi="Arial" w:cs="Arial"/>
          <w:sz w:val="20"/>
          <w:szCs w:val="20"/>
        </w:rPr>
        <w:t>0</w:t>
      </w:r>
      <w:r w:rsidRPr="00E000B2">
        <w:rPr>
          <w:rFonts w:ascii="Arial" w:eastAsia="Times New Roman" w:hAnsi="Arial" w:cs="Arial"/>
          <w:sz w:val="20"/>
          <w:szCs w:val="20"/>
        </w:rPr>
        <w:t xml:space="preserve">.156, p = </w:t>
      </w:r>
      <w:r>
        <w:rPr>
          <w:rFonts w:ascii="Arial" w:eastAsia="Times New Roman" w:hAnsi="Arial" w:cs="Arial"/>
          <w:sz w:val="20"/>
          <w:szCs w:val="20"/>
        </w:rPr>
        <w:t>0</w:t>
      </w:r>
      <w:r w:rsidRPr="00E000B2">
        <w:rPr>
          <w:rFonts w:ascii="Arial" w:eastAsia="Times New Roman" w:hAnsi="Arial" w:cs="Arial"/>
          <w:sz w:val="20"/>
          <w:szCs w:val="20"/>
        </w:rPr>
        <w:t>.121</w:t>
      </w:r>
      <w:r>
        <w:rPr>
          <w:rFonts w:ascii="Arial" w:eastAsia="Times New Roman" w:hAnsi="Arial" w:cs="Arial"/>
          <w:sz w:val="20"/>
          <w:szCs w:val="20"/>
        </w:rPr>
        <w:t>. See Fig</w:t>
      </w:r>
      <w:r w:rsidR="00FD4DCF">
        <w:rPr>
          <w:rFonts w:ascii="Arial" w:eastAsia="Times New Roman" w:hAnsi="Arial" w:cs="Arial"/>
          <w:sz w:val="20"/>
          <w:szCs w:val="20"/>
        </w:rPr>
        <w:t>.</w:t>
      </w:r>
      <w:r>
        <w:rPr>
          <w:rFonts w:ascii="Arial" w:eastAsia="Times New Roman" w:hAnsi="Arial" w:cs="Arial"/>
          <w:sz w:val="20"/>
          <w:szCs w:val="20"/>
        </w:rPr>
        <w:t xml:space="preserve"> 6.</w:t>
      </w:r>
    </w:p>
    <w:p w14:paraId="2B4F0F42" w14:textId="77777777" w:rsidR="00DC40C5" w:rsidRPr="00593D0F" w:rsidRDefault="00DC40C5" w:rsidP="000F6B7E">
      <w:pPr>
        <w:spacing w:after="0" w:line="240" w:lineRule="auto"/>
        <w:jc w:val="both"/>
        <w:rPr>
          <w:rFonts w:ascii="Arial" w:eastAsia="Times New Roman" w:hAnsi="Arial" w:cs="Arial"/>
          <w:color w:val="FF0000"/>
          <w:sz w:val="20"/>
          <w:szCs w:val="20"/>
        </w:rPr>
      </w:pPr>
    </w:p>
    <w:p w14:paraId="13092F65" w14:textId="77777777" w:rsidR="00DC40C5" w:rsidRPr="00283667" w:rsidRDefault="00DC40C5" w:rsidP="00E13277">
      <w:pPr>
        <w:pStyle w:val="NormalWeb"/>
      </w:pPr>
      <w:r>
        <w:rPr>
          <w:noProof/>
          <w:lang w:val="en-US" w:eastAsia="en-US"/>
        </w:rPr>
        <w:drawing>
          <wp:inline distT="0" distB="0" distL="0" distR="0" wp14:anchorId="60229416" wp14:editId="2997F273">
            <wp:extent cx="5746750" cy="3232785"/>
            <wp:effectExtent l="0" t="0" r="6350" b="5715"/>
            <wp:docPr id="1108778132" name="Imagem 5" descr="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78132" name="Imagem 5" descr="Gráfico&#10;&#10;O conteúdo gerado por IA pode estar incorre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626BF60E" w14:textId="77777777" w:rsidR="00DC40C5" w:rsidRPr="00283667" w:rsidRDefault="00DC40C5" w:rsidP="00B2020B">
      <w:pPr>
        <w:spacing w:after="0" w:line="240" w:lineRule="auto"/>
        <w:jc w:val="both"/>
        <w:rPr>
          <w:rFonts w:ascii="Arial" w:eastAsia="Times New Roman" w:hAnsi="Arial" w:cs="Arial"/>
          <w:sz w:val="20"/>
          <w:szCs w:val="20"/>
        </w:rPr>
      </w:pPr>
      <w:r w:rsidRPr="00283667">
        <w:rPr>
          <w:rFonts w:ascii="Arial" w:eastAsia="Times New Roman" w:hAnsi="Arial" w:cs="Arial"/>
          <w:sz w:val="20"/>
          <w:szCs w:val="20"/>
        </w:rPr>
        <w:t xml:space="preserve">Fig. 1. Cascade distribution chart of the tube titration of precipitins (x-axis %) resulting from the chicken meat extract </w:t>
      </w:r>
      <w:r w:rsidRPr="00283667">
        <w:rPr>
          <w:rFonts w:ascii="Arial" w:eastAsia="Calibri" w:hAnsi="Arial" w:cs="Arial"/>
          <w:bCs/>
          <w:sz w:val="20"/>
        </w:rPr>
        <w:t>against the serum of</w:t>
      </w:r>
      <w:r w:rsidRPr="00283667">
        <w:rPr>
          <w:rFonts w:ascii="Arial" w:eastAsia="Times New Roman" w:hAnsi="Arial" w:cs="Arial"/>
          <w:sz w:val="20"/>
          <w:szCs w:val="20"/>
        </w:rPr>
        <w:t xml:space="preserve"> the TTP cohort of 100 tests/subjects (y-axis).</w:t>
      </w:r>
    </w:p>
    <w:p w14:paraId="62CB520C" w14:textId="77777777" w:rsidR="00DC40C5" w:rsidRDefault="00DC40C5" w:rsidP="00B2020B">
      <w:pPr>
        <w:spacing w:after="0" w:line="240" w:lineRule="auto"/>
        <w:jc w:val="both"/>
        <w:rPr>
          <w:rFonts w:ascii="Arial" w:eastAsia="Times New Roman" w:hAnsi="Arial" w:cs="Arial"/>
          <w:color w:val="C00000"/>
          <w:sz w:val="20"/>
          <w:szCs w:val="20"/>
        </w:rPr>
      </w:pPr>
    </w:p>
    <w:p w14:paraId="2D1783D5" w14:textId="77777777" w:rsidR="00DC40C5" w:rsidRPr="00003B63" w:rsidRDefault="00DC40C5" w:rsidP="00003B63">
      <w:pPr>
        <w:pStyle w:val="NormalWeb"/>
      </w:pPr>
      <w:r>
        <w:rPr>
          <w:noProof/>
          <w:lang w:val="en-US" w:eastAsia="en-US"/>
        </w:rPr>
        <w:lastRenderedPageBreak/>
        <w:drawing>
          <wp:inline distT="0" distB="0" distL="0" distR="0" wp14:anchorId="453CF32E" wp14:editId="4E49F78A">
            <wp:extent cx="5746750" cy="3232785"/>
            <wp:effectExtent l="0" t="0" r="6350" b="5715"/>
            <wp:docPr id="1763053725" name="Imagem 5" descr="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53725" name="Imagem 5" descr="Gráfico&#10;&#10;O conteúdo gerado por IA pode estar incorre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7A294450" w14:textId="77777777" w:rsidR="00DC40C5" w:rsidRPr="00003B63" w:rsidRDefault="00DC40C5" w:rsidP="00BE4587">
      <w:pPr>
        <w:spacing w:after="0" w:line="240" w:lineRule="auto"/>
        <w:jc w:val="both"/>
        <w:rPr>
          <w:rFonts w:ascii="Arial" w:eastAsia="Times New Roman" w:hAnsi="Arial" w:cs="Arial"/>
          <w:sz w:val="20"/>
          <w:szCs w:val="20"/>
        </w:rPr>
      </w:pPr>
      <w:r w:rsidRPr="00003B63">
        <w:rPr>
          <w:rFonts w:ascii="Arial" w:eastAsia="Times New Roman" w:hAnsi="Arial" w:cs="Arial"/>
          <w:sz w:val="20"/>
          <w:szCs w:val="20"/>
        </w:rPr>
        <w:t xml:space="preserve">Fig. 2. Cascade distribution chart of the tube titration of precipitins (x-axis %) resulting from the hen’s egg yolk extract </w:t>
      </w:r>
      <w:r w:rsidRPr="00003B63">
        <w:rPr>
          <w:rFonts w:ascii="Arial" w:eastAsia="Calibri" w:hAnsi="Arial" w:cs="Arial"/>
          <w:bCs/>
          <w:sz w:val="20"/>
        </w:rPr>
        <w:t>against the serum of</w:t>
      </w:r>
      <w:r w:rsidRPr="00003B63">
        <w:rPr>
          <w:rFonts w:ascii="Arial" w:eastAsia="Times New Roman" w:hAnsi="Arial" w:cs="Arial"/>
          <w:sz w:val="20"/>
          <w:szCs w:val="20"/>
        </w:rPr>
        <w:t xml:space="preserve"> the TTP cohort of 100 tests/subjects (y-axis).</w:t>
      </w:r>
    </w:p>
    <w:p w14:paraId="1C2EAB46" w14:textId="77777777" w:rsidR="00DC40C5" w:rsidRDefault="00DC40C5" w:rsidP="00B2020B">
      <w:pPr>
        <w:spacing w:after="0" w:line="240" w:lineRule="auto"/>
        <w:jc w:val="both"/>
        <w:rPr>
          <w:rFonts w:ascii="Arial" w:eastAsia="Times New Roman" w:hAnsi="Arial" w:cs="Arial"/>
          <w:color w:val="C00000"/>
          <w:sz w:val="20"/>
          <w:szCs w:val="20"/>
        </w:rPr>
      </w:pPr>
    </w:p>
    <w:p w14:paraId="456D59CC" w14:textId="77777777" w:rsidR="00DC40C5" w:rsidRPr="008F1B7A" w:rsidRDefault="00DC40C5" w:rsidP="008F1B7A">
      <w:pPr>
        <w:pStyle w:val="NormalWeb"/>
      </w:pPr>
      <w:r>
        <w:rPr>
          <w:noProof/>
          <w:lang w:val="en-US" w:eastAsia="en-US"/>
        </w:rPr>
        <w:drawing>
          <wp:inline distT="0" distB="0" distL="0" distR="0" wp14:anchorId="06AA3C15" wp14:editId="4BCFA807">
            <wp:extent cx="5746750" cy="3232785"/>
            <wp:effectExtent l="0" t="0" r="6350" b="5715"/>
            <wp:docPr id="1402260725" name="Imagem 4" descr="Tabel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60725" name="Imagem 4" descr="Tabela&#10;&#10;O conteúdo gerado por IA pode estar incorre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0F1AB7E3" w14:textId="77777777" w:rsidR="00DC40C5" w:rsidRPr="008F1B7A" w:rsidRDefault="00DC40C5" w:rsidP="00F156BF">
      <w:pPr>
        <w:spacing w:after="0" w:line="240" w:lineRule="auto"/>
        <w:jc w:val="both"/>
        <w:rPr>
          <w:rFonts w:ascii="Arial" w:eastAsia="Times New Roman" w:hAnsi="Arial" w:cs="Arial"/>
          <w:sz w:val="20"/>
          <w:szCs w:val="20"/>
        </w:rPr>
      </w:pPr>
      <w:r w:rsidRPr="008F1B7A">
        <w:rPr>
          <w:rFonts w:ascii="Arial" w:eastAsia="Times New Roman" w:hAnsi="Arial" w:cs="Arial"/>
          <w:sz w:val="20"/>
          <w:szCs w:val="20"/>
        </w:rPr>
        <w:t>Fig. 3. Dispersion chart of the Tube Titration of Precipitins (TTP) results against hen’s egg yolk extract (x-axis), plotted against the TTP results against chicken meat extract (y-axis).</w:t>
      </w:r>
      <w:r>
        <w:rPr>
          <w:rFonts w:ascii="Arial" w:eastAsia="Times New Roman" w:hAnsi="Arial" w:cs="Arial"/>
          <w:sz w:val="20"/>
          <w:szCs w:val="20"/>
        </w:rPr>
        <w:t xml:space="preserve"> The tendency line shows </w:t>
      </w:r>
      <w:r w:rsidRPr="008F1B7A">
        <w:rPr>
          <w:rFonts w:ascii="Arial" w:eastAsia="Times New Roman" w:hAnsi="Arial" w:cs="Arial"/>
          <w:sz w:val="20"/>
          <w:szCs w:val="20"/>
        </w:rPr>
        <w:t>a non-significant</w:t>
      </w:r>
      <w:r>
        <w:rPr>
          <w:rFonts w:ascii="Arial" w:eastAsia="Times New Roman" w:hAnsi="Arial" w:cs="Arial"/>
          <w:sz w:val="20"/>
          <w:szCs w:val="20"/>
        </w:rPr>
        <w:t>,</w:t>
      </w:r>
      <w:r w:rsidRPr="008F1B7A">
        <w:rPr>
          <w:rFonts w:ascii="Arial" w:eastAsia="Times New Roman" w:hAnsi="Arial" w:cs="Arial"/>
          <w:sz w:val="20"/>
          <w:szCs w:val="20"/>
        </w:rPr>
        <w:t xml:space="preserve"> small positive relationship between </w:t>
      </w:r>
      <w:r>
        <w:rPr>
          <w:rFonts w:ascii="Arial" w:eastAsia="Times New Roman" w:hAnsi="Arial" w:cs="Arial"/>
          <w:sz w:val="20"/>
          <w:szCs w:val="20"/>
        </w:rPr>
        <w:t>the assays;</w:t>
      </w:r>
      <w:r w:rsidRPr="008F1B7A">
        <w:rPr>
          <w:rFonts w:ascii="Arial" w:eastAsia="Times New Roman" w:hAnsi="Arial" w:cs="Arial"/>
          <w:sz w:val="20"/>
          <w:szCs w:val="20"/>
        </w:rPr>
        <w:t xml:space="preserve"> r(98) = 0.181, p = 0.072.</w:t>
      </w:r>
    </w:p>
    <w:p w14:paraId="0F0D2B9A" w14:textId="77777777" w:rsidR="00DC40C5" w:rsidRPr="00F156BF" w:rsidRDefault="00DC40C5" w:rsidP="00B2020B">
      <w:pPr>
        <w:spacing w:after="0" w:line="240" w:lineRule="auto"/>
        <w:jc w:val="both"/>
        <w:rPr>
          <w:rFonts w:ascii="Arial" w:eastAsia="Times New Roman" w:hAnsi="Arial" w:cs="Arial"/>
          <w:color w:val="C00000"/>
          <w:sz w:val="20"/>
          <w:szCs w:val="20"/>
        </w:rPr>
      </w:pPr>
    </w:p>
    <w:p w14:paraId="074E65E6" w14:textId="77777777" w:rsidR="00DC40C5" w:rsidRDefault="00DC40C5" w:rsidP="00277B6D">
      <w:pPr>
        <w:pStyle w:val="NormalWeb"/>
      </w:pPr>
      <w:r>
        <w:rPr>
          <w:noProof/>
          <w:lang w:val="en-US" w:eastAsia="en-US"/>
        </w:rPr>
        <w:lastRenderedPageBreak/>
        <w:drawing>
          <wp:inline distT="0" distB="0" distL="0" distR="0" wp14:anchorId="786DE96F" wp14:editId="2BA13FCF">
            <wp:extent cx="5746750" cy="3232785"/>
            <wp:effectExtent l="0" t="0" r="6350" b="5715"/>
            <wp:docPr id="877471644" name="Imagem 6" descr="Gráfico, Gráfico de casca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71644" name="Imagem 6" descr="Gráfico, Gráfico de cascata&#10;&#10;O conteúdo gerado por IA pode estar incorre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65A7EFCF" w14:textId="77777777" w:rsidR="00DC40C5" w:rsidRPr="00F156BF" w:rsidRDefault="00DC40C5" w:rsidP="00B2020B">
      <w:pPr>
        <w:spacing w:after="0" w:line="240" w:lineRule="auto"/>
        <w:jc w:val="both"/>
        <w:rPr>
          <w:rFonts w:ascii="Arial" w:eastAsia="Times New Roman" w:hAnsi="Arial" w:cs="Arial"/>
          <w:color w:val="C00000"/>
          <w:sz w:val="20"/>
          <w:szCs w:val="20"/>
        </w:rPr>
      </w:pPr>
    </w:p>
    <w:p w14:paraId="76A7CE6F" w14:textId="77777777" w:rsidR="00DC40C5" w:rsidRPr="00277B6D" w:rsidRDefault="00DC40C5" w:rsidP="00646870">
      <w:pPr>
        <w:spacing w:after="0" w:line="240" w:lineRule="auto"/>
        <w:jc w:val="both"/>
        <w:rPr>
          <w:rFonts w:ascii="Arial" w:eastAsia="Times New Roman" w:hAnsi="Arial" w:cs="Arial"/>
          <w:sz w:val="20"/>
          <w:szCs w:val="20"/>
        </w:rPr>
      </w:pPr>
      <w:r w:rsidRPr="00277B6D">
        <w:rPr>
          <w:rFonts w:ascii="Arial" w:eastAsia="Times New Roman" w:hAnsi="Arial" w:cs="Arial"/>
          <w:sz w:val="20"/>
          <w:szCs w:val="20"/>
        </w:rPr>
        <w:t xml:space="preserve">Fig. 4. Cascade distribution chart of the range groups of Leukocyte Adherence Inhibition (LAI) results (x-axis %) of the </w:t>
      </w:r>
      <w:r w:rsidRPr="00277B6D">
        <w:rPr>
          <w:rFonts w:ascii="Arial" w:eastAsia="Times New Roman" w:hAnsi="Arial" w:cs="Arial"/>
          <w:i/>
          <w:iCs/>
          <w:sz w:val="20"/>
          <w:szCs w:val="20"/>
        </w:rPr>
        <w:t>ex vivo</w:t>
      </w:r>
      <w:r w:rsidRPr="00277B6D">
        <w:rPr>
          <w:rFonts w:ascii="Arial" w:eastAsia="Times New Roman" w:hAnsi="Arial" w:cs="Arial"/>
          <w:sz w:val="20"/>
          <w:szCs w:val="20"/>
        </w:rPr>
        <w:t xml:space="preserve"> challenge test against chicken meat extract monitored by the Leukocyte Adherence Inhibition Test (LAIT), according to the respective number of outcomes over the LAIT cohort with 100 tests/subjects (y-axis).</w:t>
      </w:r>
    </w:p>
    <w:p w14:paraId="1EA76A4B" w14:textId="77777777" w:rsidR="00DC40C5" w:rsidRDefault="00DC40C5" w:rsidP="00646870">
      <w:pPr>
        <w:spacing w:after="0" w:line="240" w:lineRule="auto"/>
        <w:jc w:val="both"/>
        <w:rPr>
          <w:rFonts w:ascii="Arial" w:eastAsia="Times New Roman" w:hAnsi="Arial" w:cs="Arial"/>
          <w:color w:val="C00000"/>
          <w:sz w:val="20"/>
          <w:szCs w:val="20"/>
        </w:rPr>
      </w:pPr>
    </w:p>
    <w:p w14:paraId="17A57D5D" w14:textId="77777777" w:rsidR="00DC40C5" w:rsidRDefault="00DC40C5" w:rsidP="0078262A">
      <w:pPr>
        <w:pStyle w:val="NormalWeb"/>
      </w:pPr>
      <w:r>
        <w:rPr>
          <w:noProof/>
          <w:lang w:val="en-US" w:eastAsia="en-US"/>
        </w:rPr>
        <w:drawing>
          <wp:inline distT="0" distB="0" distL="0" distR="0" wp14:anchorId="6419C509" wp14:editId="4BA8C622">
            <wp:extent cx="5746750" cy="3232785"/>
            <wp:effectExtent l="0" t="0" r="6350" b="5715"/>
            <wp:docPr id="1370485159" name="Imagem 5" descr="Gráfico, Gráfico de casca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85159" name="Imagem 5" descr="Gráfico, Gráfico de cascata&#10;&#10;O conteúdo gerado por IA pode estar incorre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42C72284" w14:textId="77777777" w:rsidR="00DC40C5" w:rsidRPr="0095172E" w:rsidRDefault="00DC40C5" w:rsidP="0095172E">
      <w:pPr>
        <w:pStyle w:val="NormalWeb"/>
      </w:pPr>
    </w:p>
    <w:p w14:paraId="6C83F199" w14:textId="77777777" w:rsidR="00DC40C5" w:rsidRPr="0095172E" w:rsidRDefault="00DC40C5" w:rsidP="00BE4587">
      <w:pPr>
        <w:spacing w:after="0" w:line="240" w:lineRule="auto"/>
        <w:jc w:val="both"/>
        <w:rPr>
          <w:rFonts w:ascii="Arial" w:eastAsia="Times New Roman" w:hAnsi="Arial" w:cs="Arial"/>
          <w:sz w:val="20"/>
          <w:szCs w:val="20"/>
        </w:rPr>
      </w:pPr>
      <w:r w:rsidRPr="0095172E">
        <w:rPr>
          <w:rFonts w:ascii="Arial" w:eastAsia="Times New Roman" w:hAnsi="Arial" w:cs="Arial"/>
          <w:sz w:val="20"/>
          <w:szCs w:val="20"/>
        </w:rPr>
        <w:lastRenderedPageBreak/>
        <w:t xml:space="preserve">Fig. 5. Cascade distribution chart of the range groups of Leukocyte Adherence Inhibition (LAI) results (x-axis %) of the </w:t>
      </w:r>
      <w:r w:rsidRPr="0095172E">
        <w:rPr>
          <w:rFonts w:ascii="Arial" w:eastAsia="Times New Roman" w:hAnsi="Arial" w:cs="Arial"/>
          <w:i/>
          <w:iCs/>
          <w:sz w:val="20"/>
          <w:szCs w:val="20"/>
        </w:rPr>
        <w:t>ex vivo</w:t>
      </w:r>
      <w:r w:rsidRPr="0095172E">
        <w:rPr>
          <w:rFonts w:ascii="Arial" w:eastAsia="Times New Roman" w:hAnsi="Arial" w:cs="Arial"/>
          <w:sz w:val="20"/>
          <w:szCs w:val="20"/>
        </w:rPr>
        <w:t xml:space="preserve"> challenge test against hen’s egg yolk extract monitored by the Leukocyte Adherence Inhibition Test (LAIT), according to the respective number of outcomes over the LAIT cohort with 100 tests/subjects (y-axis).</w:t>
      </w:r>
    </w:p>
    <w:p w14:paraId="1CD87E02" w14:textId="77777777" w:rsidR="00DC40C5" w:rsidRDefault="00DC40C5" w:rsidP="00320799">
      <w:pPr>
        <w:spacing w:after="0" w:line="240" w:lineRule="auto"/>
        <w:jc w:val="both"/>
        <w:rPr>
          <w:rFonts w:ascii="Arial" w:eastAsia="Times New Roman" w:hAnsi="Arial" w:cs="Arial"/>
          <w:color w:val="C00000"/>
          <w:sz w:val="20"/>
          <w:szCs w:val="20"/>
        </w:rPr>
      </w:pPr>
    </w:p>
    <w:p w14:paraId="3866DD48" w14:textId="77777777" w:rsidR="00DC40C5" w:rsidRDefault="00DC40C5" w:rsidP="00EA2A39">
      <w:pPr>
        <w:pStyle w:val="NormalWeb"/>
      </w:pPr>
      <w:r>
        <w:rPr>
          <w:noProof/>
          <w:lang w:val="en-US" w:eastAsia="en-US"/>
        </w:rPr>
        <w:drawing>
          <wp:inline distT="0" distB="0" distL="0" distR="0" wp14:anchorId="24C5D45B" wp14:editId="54705DE8">
            <wp:extent cx="5746750" cy="3232785"/>
            <wp:effectExtent l="0" t="0" r="6350" b="5715"/>
            <wp:docPr id="550377907" name="Imagem 7" descr="Gráfico, Gráfico de dispersã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377907" name="Imagem 7" descr="Gráfico, Gráfico de dispersão&#10;&#10;O conteúdo gerado por IA pode estar incorre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5D43E2BB" w14:textId="77777777" w:rsidR="00DC40C5" w:rsidRPr="00F156BF" w:rsidRDefault="00DC40C5" w:rsidP="00320799">
      <w:pPr>
        <w:spacing w:after="0" w:line="240" w:lineRule="auto"/>
        <w:jc w:val="both"/>
        <w:rPr>
          <w:rFonts w:ascii="Arial" w:eastAsia="Times New Roman" w:hAnsi="Arial" w:cs="Arial"/>
          <w:color w:val="C00000"/>
          <w:sz w:val="20"/>
          <w:szCs w:val="20"/>
        </w:rPr>
      </w:pPr>
    </w:p>
    <w:p w14:paraId="105DF608" w14:textId="77777777" w:rsidR="00DC40C5" w:rsidRPr="008F1B7A" w:rsidRDefault="00DC40C5" w:rsidP="00711796">
      <w:pPr>
        <w:spacing w:after="0" w:line="240" w:lineRule="auto"/>
        <w:jc w:val="both"/>
        <w:rPr>
          <w:rFonts w:ascii="Arial" w:eastAsia="Times New Roman" w:hAnsi="Arial" w:cs="Arial"/>
          <w:sz w:val="20"/>
          <w:szCs w:val="20"/>
        </w:rPr>
      </w:pPr>
      <w:r w:rsidRPr="00EA2A39">
        <w:rPr>
          <w:rFonts w:ascii="Arial" w:eastAsia="Times New Roman" w:hAnsi="Arial" w:cs="Arial"/>
          <w:sz w:val="20"/>
          <w:szCs w:val="20"/>
        </w:rPr>
        <w:t xml:space="preserve">Fig. 6. Dispersion chart of the Leukocyte Adherence Inhibition (LAI) results of the </w:t>
      </w:r>
      <w:r w:rsidRPr="00EA2A39">
        <w:rPr>
          <w:rFonts w:ascii="Arial" w:eastAsia="Times New Roman" w:hAnsi="Arial" w:cs="Arial"/>
          <w:i/>
          <w:iCs/>
          <w:sz w:val="20"/>
          <w:szCs w:val="20"/>
        </w:rPr>
        <w:t>ex vivo</w:t>
      </w:r>
      <w:r w:rsidRPr="00EA2A39">
        <w:rPr>
          <w:rFonts w:ascii="Arial" w:eastAsia="Times New Roman" w:hAnsi="Arial" w:cs="Arial"/>
          <w:sz w:val="20"/>
          <w:szCs w:val="20"/>
        </w:rPr>
        <w:t xml:space="preserve"> challenge test against hen’s egg yolk extract (x-axis %), plotted against the LAI results of the </w:t>
      </w:r>
      <w:r w:rsidRPr="00EA2A39">
        <w:rPr>
          <w:rFonts w:ascii="Arial" w:eastAsia="Times New Roman" w:hAnsi="Arial" w:cs="Arial"/>
          <w:i/>
          <w:iCs/>
          <w:sz w:val="20"/>
          <w:szCs w:val="20"/>
        </w:rPr>
        <w:t>ex vivo</w:t>
      </w:r>
      <w:r w:rsidRPr="00EA2A39">
        <w:rPr>
          <w:rFonts w:ascii="Arial" w:eastAsia="Times New Roman" w:hAnsi="Arial" w:cs="Arial"/>
          <w:sz w:val="20"/>
          <w:szCs w:val="20"/>
        </w:rPr>
        <w:t xml:space="preserve"> challenge test against chicken meat extract (y-axis %).</w:t>
      </w:r>
      <w:r>
        <w:rPr>
          <w:rFonts w:ascii="Arial" w:eastAsia="Times New Roman" w:hAnsi="Arial" w:cs="Arial"/>
          <w:sz w:val="20"/>
          <w:szCs w:val="20"/>
        </w:rPr>
        <w:t xml:space="preserve"> The tendency line shows </w:t>
      </w:r>
      <w:r w:rsidRPr="008F1B7A">
        <w:rPr>
          <w:rFonts w:ascii="Arial" w:eastAsia="Times New Roman" w:hAnsi="Arial" w:cs="Arial"/>
          <w:sz w:val="20"/>
          <w:szCs w:val="20"/>
        </w:rPr>
        <w:t>a non-significant</w:t>
      </w:r>
      <w:r>
        <w:rPr>
          <w:rFonts w:ascii="Arial" w:eastAsia="Times New Roman" w:hAnsi="Arial" w:cs="Arial"/>
          <w:sz w:val="20"/>
          <w:szCs w:val="20"/>
        </w:rPr>
        <w:t>,</w:t>
      </w:r>
      <w:r w:rsidRPr="008F1B7A">
        <w:rPr>
          <w:rFonts w:ascii="Arial" w:eastAsia="Times New Roman" w:hAnsi="Arial" w:cs="Arial"/>
          <w:sz w:val="20"/>
          <w:szCs w:val="20"/>
        </w:rPr>
        <w:t xml:space="preserve"> small positive relationship between </w:t>
      </w:r>
      <w:r>
        <w:rPr>
          <w:rFonts w:ascii="Arial" w:eastAsia="Times New Roman" w:hAnsi="Arial" w:cs="Arial"/>
          <w:sz w:val="20"/>
          <w:szCs w:val="20"/>
        </w:rPr>
        <w:t>the assays;</w:t>
      </w:r>
      <w:r w:rsidRPr="008F1B7A">
        <w:rPr>
          <w:rFonts w:ascii="Arial" w:eastAsia="Times New Roman" w:hAnsi="Arial" w:cs="Arial"/>
          <w:sz w:val="20"/>
          <w:szCs w:val="20"/>
        </w:rPr>
        <w:t xml:space="preserve"> </w:t>
      </w:r>
      <w:r w:rsidRPr="00E000B2">
        <w:rPr>
          <w:rFonts w:ascii="Arial" w:eastAsia="Times New Roman" w:hAnsi="Arial" w:cs="Arial"/>
          <w:sz w:val="20"/>
          <w:szCs w:val="20"/>
        </w:rPr>
        <w:t xml:space="preserve">r(98) = </w:t>
      </w:r>
      <w:r>
        <w:rPr>
          <w:rFonts w:ascii="Arial" w:eastAsia="Times New Roman" w:hAnsi="Arial" w:cs="Arial"/>
          <w:sz w:val="20"/>
          <w:szCs w:val="20"/>
        </w:rPr>
        <w:t>0</w:t>
      </w:r>
      <w:r w:rsidRPr="00E000B2">
        <w:rPr>
          <w:rFonts w:ascii="Arial" w:eastAsia="Times New Roman" w:hAnsi="Arial" w:cs="Arial"/>
          <w:sz w:val="20"/>
          <w:szCs w:val="20"/>
        </w:rPr>
        <w:t xml:space="preserve">.156, p = </w:t>
      </w:r>
      <w:r>
        <w:rPr>
          <w:rFonts w:ascii="Arial" w:eastAsia="Times New Roman" w:hAnsi="Arial" w:cs="Arial"/>
          <w:sz w:val="20"/>
          <w:szCs w:val="20"/>
        </w:rPr>
        <w:t>0</w:t>
      </w:r>
      <w:r w:rsidRPr="00E000B2">
        <w:rPr>
          <w:rFonts w:ascii="Arial" w:eastAsia="Times New Roman" w:hAnsi="Arial" w:cs="Arial"/>
          <w:sz w:val="20"/>
          <w:szCs w:val="20"/>
        </w:rPr>
        <w:t>.121</w:t>
      </w:r>
      <w:r w:rsidRPr="008F1B7A">
        <w:rPr>
          <w:rFonts w:ascii="Arial" w:eastAsia="Times New Roman" w:hAnsi="Arial" w:cs="Arial"/>
          <w:sz w:val="20"/>
          <w:szCs w:val="20"/>
        </w:rPr>
        <w:t>.</w:t>
      </w:r>
    </w:p>
    <w:p w14:paraId="3FFE28CD" w14:textId="77777777" w:rsidR="00DC40C5" w:rsidRPr="00537CF5" w:rsidRDefault="00DC40C5" w:rsidP="00320799">
      <w:pPr>
        <w:spacing w:after="0" w:line="240" w:lineRule="auto"/>
        <w:jc w:val="both"/>
        <w:rPr>
          <w:rFonts w:ascii="Arial" w:eastAsia="Times New Roman" w:hAnsi="Arial" w:cs="Arial"/>
          <w:color w:val="FF0000"/>
          <w:sz w:val="20"/>
          <w:szCs w:val="20"/>
        </w:rPr>
      </w:pPr>
    </w:p>
    <w:p w14:paraId="14702268" w14:textId="77777777" w:rsidR="00DC40C5" w:rsidRPr="00537CF5" w:rsidRDefault="00DC40C5" w:rsidP="005E6636">
      <w:pPr>
        <w:spacing w:after="0" w:line="240" w:lineRule="auto"/>
        <w:jc w:val="both"/>
        <w:rPr>
          <w:rFonts w:ascii="Arial" w:eastAsia="Times New Roman" w:hAnsi="Arial" w:cs="Arial"/>
          <w:color w:val="FF0000"/>
          <w:sz w:val="20"/>
          <w:szCs w:val="20"/>
        </w:rPr>
      </w:pPr>
      <w:r w:rsidRPr="00537CF5">
        <w:rPr>
          <w:rFonts w:ascii="Arial" w:eastAsia="Times New Roman" w:hAnsi="Arial" w:cs="Arial"/>
          <w:color w:val="FF0000"/>
          <w:sz w:val="20"/>
          <w:szCs w:val="20"/>
        </w:rPr>
        <w:tab/>
      </w:r>
    </w:p>
    <w:p w14:paraId="2CE4B2C5" w14:textId="77777777" w:rsidR="00DC40C5" w:rsidRPr="00D7589D" w:rsidRDefault="00DC40C5" w:rsidP="00D7589D">
      <w:pPr>
        <w:pStyle w:val="Heading2"/>
        <w:rPr>
          <w:rFonts w:eastAsia="Times New Roman"/>
        </w:rPr>
      </w:pPr>
      <w:r w:rsidRPr="00822F58">
        <w:rPr>
          <w:rFonts w:eastAsia="Times New Roman"/>
        </w:rPr>
        <w:t>4. DISCUSSION</w:t>
      </w:r>
    </w:p>
    <w:p w14:paraId="5CAAF1E0" w14:textId="77777777" w:rsidR="00DC40C5" w:rsidRDefault="00DC40C5" w:rsidP="00DA71E8">
      <w:pPr>
        <w:tabs>
          <w:tab w:val="left" w:pos="1560"/>
        </w:tabs>
        <w:spacing w:after="0" w:line="240" w:lineRule="auto"/>
        <w:jc w:val="both"/>
        <w:rPr>
          <w:rFonts w:ascii="Arial" w:eastAsia="Times New Roman" w:hAnsi="Arial" w:cs="Arial"/>
          <w:sz w:val="20"/>
          <w:szCs w:val="20"/>
        </w:rPr>
      </w:pPr>
    </w:p>
    <w:p w14:paraId="250E1510" w14:textId="1DEFEF60" w:rsidR="00DC40C5" w:rsidRPr="00F12EC4" w:rsidRDefault="00DC40C5" w:rsidP="00F12EC4">
      <w:pPr>
        <w:tabs>
          <w:tab w:val="left" w:pos="1560"/>
        </w:tabs>
        <w:spacing w:after="0" w:line="240" w:lineRule="auto"/>
        <w:ind w:firstLine="708"/>
        <w:jc w:val="both"/>
        <w:rPr>
          <w:rFonts w:ascii="Arial" w:eastAsia="Times New Roman" w:hAnsi="Arial" w:cs="Arial"/>
          <w:color w:val="FF0000"/>
          <w:sz w:val="20"/>
          <w:szCs w:val="20"/>
        </w:rPr>
      </w:pPr>
      <w:r w:rsidRPr="00285A47">
        <w:rPr>
          <w:rFonts w:ascii="Arial" w:eastAsia="Times New Roman" w:hAnsi="Arial" w:cs="Arial"/>
          <w:sz w:val="20"/>
          <w:szCs w:val="20"/>
        </w:rPr>
        <w:t>The semi-quantitative titration of precipitins</w:t>
      </w:r>
      <w:r>
        <w:rPr>
          <w:rFonts w:ascii="Arial" w:eastAsia="Times New Roman" w:hAnsi="Arial" w:cs="Arial"/>
          <w:sz w:val="20"/>
          <w:szCs w:val="20"/>
        </w:rPr>
        <w:t xml:space="preserve"> is a pioneering technique to evaluate humoral immunoreactivity</w:t>
      </w:r>
      <w:r w:rsidRPr="00285A47">
        <w:rPr>
          <w:rFonts w:ascii="Arial" w:eastAsia="Times New Roman" w:hAnsi="Arial" w:cs="Arial"/>
          <w:sz w:val="20"/>
          <w:szCs w:val="20"/>
        </w:rPr>
        <w:t xml:space="preserve"> </w:t>
      </w:r>
      <w:r>
        <w:rPr>
          <w:rFonts w:ascii="Arial" w:eastAsia="Times New Roman" w:hAnsi="Arial" w:cs="Arial"/>
          <w:noProof/>
          <w:sz w:val="20"/>
          <w:szCs w:val="20"/>
        </w:rPr>
        <w:t xml:space="preserve">(Wells 1911, Hunter 1905, Olivier </w:t>
      </w:r>
      <w:r w:rsidR="000B711F" w:rsidRPr="000B711F">
        <w:rPr>
          <w:rFonts w:ascii="Arial" w:eastAsia="Times New Roman" w:hAnsi="Arial" w:cs="Arial"/>
          <w:noProof/>
          <w:sz w:val="20"/>
          <w:szCs w:val="20"/>
        </w:rPr>
        <w:t>et al</w:t>
      </w:r>
      <w:r>
        <w:rPr>
          <w:rFonts w:ascii="Arial" w:eastAsia="Times New Roman" w:hAnsi="Arial" w:cs="Arial"/>
          <w:noProof/>
          <w:sz w:val="20"/>
          <w:szCs w:val="20"/>
        </w:rPr>
        <w:t xml:space="preserve">. 2025b, Olivier </w:t>
      </w:r>
      <w:r w:rsidR="000B711F" w:rsidRPr="000B711F">
        <w:rPr>
          <w:rFonts w:ascii="Arial" w:eastAsia="Times New Roman" w:hAnsi="Arial" w:cs="Arial"/>
          <w:noProof/>
          <w:sz w:val="20"/>
          <w:szCs w:val="20"/>
        </w:rPr>
        <w:t>et al</w:t>
      </w:r>
      <w:r>
        <w:rPr>
          <w:rFonts w:ascii="Arial" w:eastAsia="Times New Roman" w:hAnsi="Arial" w:cs="Arial"/>
          <w:noProof/>
          <w:sz w:val="20"/>
          <w:szCs w:val="20"/>
        </w:rPr>
        <w:t>. 2025a)</w:t>
      </w:r>
      <w:r w:rsidRPr="00285A47">
        <w:rPr>
          <w:rFonts w:ascii="Arial" w:eastAsia="Times New Roman" w:hAnsi="Arial" w:cs="Arial"/>
          <w:sz w:val="20"/>
          <w:szCs w:val="20"/>
        </w:rPr>
        <w:t xml:space="preserve">. Precipitating antibodies suggest the presence of a </w:t>
      </w:r>
      <w:r>
        <w:rPr>
          <w:rFonts w:ascii="Arial" w:eastAsia="Times New Roman" w:hAnsi="Arial" w:cs="Arial"/>
          <w:sz w:val="20"/>
          <w:szCs w:val="20"/>
        </w:rPr>
        <w:t xml:space="preserve">specific </w:t>
      </w:r>
      <w:r w:rsidRPr="00285A47">
        <w:rPr>
          <w:rFonts w:ascii="Arial" w:eastAsia="Times New Roman" w:hAnsi="Arial" w:cs="Arial"/>
          <w:sz w:val="20"/>
          <w:szCs w:val="20"/>
        </w:rPr>
        <w:t xml:space="preserve">humoral immune response against the tested antigens </w:t>
      </w:r>
      <w:r>
        <w:rPr>
          <w:rFonts w:ascii="Arial" w:eastAsia="Times New Roman" w:hAnsi="Arial" w:cs="Arial"/>
          <w:noProof/>
          <w:sz w:val="20"/>
          <w:szCs w:val="20"/>
        </w:rPr>
        <w:t>(Gell</w:t>
      </w:r>
      <w:r w:rsidR="006C4B68">
        <w:rPr>
          <w:rFonts w:ascii="Arial" w:eastAsia="Times New Roman" w:hAnsi="Arial" w:cs="Arial"/>
          <w:noProof/>
          <w:sz w:val="20"/>
          <w:szCs w:val="20"/>
        </w:rPr>
        <w:t xml:space="preserve"> et al.</w:t>
      </w:r>
      <w:r>
        <w:rPr>
          <w:rFonts w:ascii="Arial" w:eastAsia="Times New Roman" w:hAnsi="Arial" w:cs="Arial"/>
          <w:noProof/>
          <w:sz w:val="20"/>
          <w:szCs w:val="20"/>
        </w:rPr>
        <w:t xml:space="preserve"> 1946, Ishizaka</w:t>
      </w:r>
      <w:r w:rsidR="006C4B68">
        <w:rPr>
          <w:rFonts w:ascii="Arial" w:eastAsia="Times New Roman" w:hAnsi="Arial" w:cs="Arial"/>
          <w:noProof/>
          <w:sz w:val="20"/>
          <w:szCs w:val="20"/>
        </w:rPr>
        <w:t xml:space="preserve"> et al.</w:t>
      </w:r>
      <w:r>
        <w:rPr>
          <w:rFonts w:ascii="Arial" w:eastAsia="Times New Roman" w:hAnsi="Arial" w:cs="Arial"/>
          <w:noProof/>
          <w:sz w:val="20"/>
          <w:szCs w:val="20"/>
        </w:rPr>
        <w:t xml:space="preserve"> 1959)</w:t>
      </w:r>
      <w:r w:rsidRPr="00285A47">
        <w:rPr>
          <w:rFonts w:ascii="Arial" w:eastAsia="Times New Roman" w:hAnsi="Arial" w:cs="Arial"/>
          <w:sz w:val="20"/>
          <w:szCs w:val="20"/>
        </w:rPr>
        <w:t xml:space="preserve">. Before the discovery of IgE, the research of precipitins was the leading way to realize </w:t>
      </w:r>
      <w:r w:rsidRPr="00285A47">
        <w:rPr>
          <w:rFonts w:ascii="Arial" w:eastAsia="Times New Roman" w:hAnsi="Arial" w:cs="Arial"/>
          <w:i/>
          <w:iCs/>
          <w:sz w:val="20"/>
          <w:szCs w:val="20"/>
        </w:rPr>
        <w:t>in vitro</w:t>
      </w:r>
      <w:r w:rsidRPr="00285A47">
        <w:rPr>
          <w:rFonts w:ascii="Arial" w:eastAsia="Times New Roman" w:hAnsi="Arial" w:cs="Arial"/>
          <w:sz w:val="20"/>
          <w:szCs w:val="20"/>
        </w:rPr>
        <w:t xml:space="preserve"> diagnos</w:t>
      </w:r>
      <w:r>
        <w:rPr>
          <w:rFonts w:ascii="Arial" w:eastAsia="Times New Roman" w:hAnsi="Arial" w:cs="Arial"/>
          <w:sz w:val="20"/>
          <w:szCs w:val="20"/>
        </w:rPr>
        <w:t>is</w:t>
      </w:r>
      <w:r w:rsidRPr="00285A47">
        <w:rPr>
          <w:rFonts w:ascii="Arial" w:eastAsia="Times New Roman" w:hAnsi="Arial" w:cs="Arial"/>
          <w:sz w:val="20"/>
          <w:szCs w:val="20"/>
        </w:rPr>
        <w:t xml:space="preserve"> of immunoreactivity against </w:t>
      </w:r>
      <w:r>
        <w:rPr>
          <w:rFonts w:ascii="Arial" w:eastAsia="Times New Roman" w:hAnsi="Arial" w:cs="Arial"/>
          <w:sz w:val="20"/>
          <w:szCs w:val="20"/>
        </w:rPr>
        <w:t xml:space="preserve">antigenic and </w:t>
      </w:r>
      <w:r w:rsidRPr="00285A47">
        <w:rPr>
          <w:rFonts w:ascii="Arial" w:eastAsia="Times New Roman" w:hAnsi="Arial" w:cs="Arial"/>
          <w:sz w:val="20"/>
          <w:szCs w:val="20"/>
        </w:rPr>
        <w:t>allergenic agents</w:t>
      </w:r>
      <w:r>
        <w:rPr>
          <w:rFonts w:ascii="Arial" w:eastAsia="Times New Roman" w:hAnsi="Arial" w:cs="Arial"/>
          <w:sz w:val="20"/>
          <w:szCs w:val="20"/>
        </w:rPr>
        <w:t xml:space="preserve"> </w:t>
      </w:r>
      <w:r>
        <w:rPr>
          <w:rFonts w:ascii="Arial" w:eastAsia="Times New Roman" w:hAnsi="Arial" w:cs="Arial"/>
          <w:noProof/>
          <w:sz w:val="20"/>
          <w:szCs w:val="20"/>
        </w:rPr>
        <w:t>(Augustin and Hayward 1960)</w:t>
      </w:r>
      <w:r>
        <w:rPr>
          <w:rFonts w:ascii="Arial" w:eastAsia="Times New Roman" w:hAnsi="Arial" w:cs="Arial"/>
          <w:sz w:val="20"/>
          <w:szCs w:val="20"/>
        </w:rPr>
        <w:t>.</w:t>
      </w:r>
      <w:r w:rsidRPr="00973D5F">
        <w:rPr>
          <w:rFonts w:ascii="Arial" w:eastAsia="Times New Roman" w:hAnsi="Arial" w:cs="Arial"/>
          <w:color w:val="FF0000"/>
          <w:sz w:val="20"/>
          <w:szCs w:val="20"/>
        </w:rPr>
        <w:t xml:space="preserve"> </w:t>
      </w:r>
      <w:r w:rsidRPr="008F420F">
        <w:rPr>
          <w:rFonts w:ascii="Arial" w:eastAsia="Times New Roman" w:hAnsi="Arial" w:cs="Arial"/>
          <w:sz w:val="20"/>
          <w:szCs w:val="20"/>
        </w:rPr>
        <w:t>The discovery of IgE and its reaginic activity</w:t>
      </w:r>
      <w:r>
        <w:rPr>
          <w:rFonts w:ascii="Arial" w:eastAsia="Times New Roman" w:hAnsi="Arial" w:cs="Arial"/>
          <w:sz w:val="20"/>
          <w:szCs w:val="20"/>
        </w:rPr>
        <w:t>,</w:t>
      </w:r>
      <w:r w:rsidRPr="008F420F">
        <w:rPr>
          <w:rFonts w:ascii="Arial" w:eastAsia="Times New Roman" w:hAnsi="Arial" w:cs="Arial"/>
          <w:sz w:val="20"/>
          <w:szCs w:val="20"/>
        </w:rPr>
        <w:t xml:space="preserve"> </w:t>
      </w:r>
      <w:r>
        <w:rPr>
          <w:rFonts w:ascii="Arial" w:eastAsia="Times New Roman" w:hAnsi="Arial" w:cs="Arial"/>
          <w:sz w:val="20"/>
          <w:szCs w:val="20"/>
        </w:rPr>
        <w:t xml:space="preserve">as well as </w:t>
      </w:r>
      <w:r w:rsidRPr="008F420F">
        <w:rPr>
          <w:rFonts w:ascii="Arial" w:eastAsia="Times New Roman" w:hAnsi="Arial" w:cs="Arial"/>
          <w:sz w:val="20"/>
          <w:szCs w:val="20"/>
        </w:rPr>
        <w:t>the concomitant development of the Radio</w:t>
      </w:r>
      <w:r>
        <w:rPr>
          <w:rFonts w:ascii="Arial" w:eastAsia="Times New Roman" w:hAnsi="Arial" w:cs="Arial"/>
          <w:sz w:val="20"/>
          <w:szCs w:val="20"/>
        </w:rPr>
        <w:t>-A</w:t>
      </w:r>
      <w:r w:rsidRPr="008F420F">
        <w:rPr>
          <w:rFonts w:ascii="Arial" w:eastAsia="Times New Roman" w:hAnsi="Arial" w:cs="Arial"/>
          <w:sz w:val="20"/>
          <w:szCs w:val="20"/>
        </w:rPr>
        <w:t xml:space="preserve">llergo Sorbent </w:t>
      </w:r>
      <w:r>
        <w:rPr>
          <w:rFonts w:ascii="Arial" w:eastAsia="Times New Roman" w:hAnsi="Arial" w:cs="Arial"/>
          <w:sz w:val="20"/>
          <w:szCs w:val="20"/>
        </w:rPr>
        <w:t>Test</w:t>
      </w:r>
      <w:r w:rsidRPr="008F420F">
        <w:rPr>
          <w:rFonts w:ascii="Arial" w:eastAsia="Times New Roman" w:hAnsi="Arial" w:cs="Arial"/>
          <w:sz w:val="20"/>
          <w:szCs w:val="20"/>
        </w:rPr>
        <w:t xml:space="preserve"> </w:t>
      </w:r>
      <w:r>
        <w:rPr>
          <w:rFonts w:ascii="Arial" w:eastAsia="Times New Roman" w:hAnsi="Arial" w:cs="Arial"/>
          <w:sz w:val="20"/>
          <w:szCs w:val="20"/>
        </w:rPr>
        <w:t xml:space="preserve">(RAST) </w:t>
      </w:r>
      <w:r w:rsidRPr="008F420F">
        <w:rPr>
          <w:rFonts w:ascii="Arial" w:eastAsia="Times New Roman" w:hAnsi="Arial" w:cs="Arial"/>
          <w:sz w:val="20"/>
          <w:szCs w:val="20"/>
        </w:rPr>
        <w:t xml:space="preserve">to detect </w:t>
      </w:r>
      <w:r w:rsidR="00CA1C98" w:rsidRPr="008F420F">
        <w:rPr>
          <w:rFonts w:ascii="Arial" w:eastAsia="Times New Roman" w:hAnsi="Arial" w:cs="Arial"/>
          <w:sz w:val="20"/>
          <w:szCs w:val="20"/>
        </w:rPr>
        <w:t>specific</w:t>
      </w:r>
      <w:r w:rsidRPr="008F420F">
        <w:rPr>
          <w:rFonts w:ascii="Arial" w:eastAsia="Times New Roman" w:hAnsi="Arial" w:cs="Arial"/>
          <w:sz w:val="20"/>
          <w:szCs w:val="20"/>
        </w:rPr>
        <w:t xml:space="preserve"> IgE antibodies</w:t>
      </w:r>
      <w:r>
        <w:rPr>
          <w:rFonts w:ascii="Arial" w:eastAsia="Times New Roman" w:hAnsi="Arial" w:cs="Arial"/>
          <w:sz w:val="20"/>
          <w:szCs w:val="20"/>
        </w:rPr>
        <w:t>,</w:t>
      </w:r>
      <w:r w:rsidRPr="008F420F">
        <w:rPr>
          <w:rFonts w:ascii="Arial" w:eastAsia="Times New Roman" w:hAnsi="Arial" w:cs="Arial"/>
          <w:sz w:val="20"/>
          <w:szCs w:val="20"/>
        </w:rPr>
        <w:t xml:space="preserve"> focused the attention of the scientific and medical community on this particular antibody class, mainly after </w:t>
      </w:r>
      <w:r>
        <w:rPr>
          <w:rFonts w:ascii="Arial" w:eastAsia="Times New Roman" w:hAnsi="Arial" w:cs="Arial"/>
          <w:sz w:val="20"/>
          <w:szCs w:val="20"/>
        </w:rPr>
        <w:t>the</w:t>
      </w:r>
      <w:r w:rsidRPr="008F420F">
        <w:rPr>
          <w:rFonts w:ascii="Arial" w:eastAsia="Times New Roman" w:hAnsi="Arial" w:cs="Arial"/>
          <w:sz w:val="20"/>
          <w:szCs w:val="20"/>
        </w:rPr>
        <w:t xml:space="preserve"> incorporation </w:t>
      </w:r>
      <w:r>
        <w:rPr>
          <w:rFonts w:ascii="Arial" w:eastAsia="Times New Roman" w:hAnsi="Arial" w:cs="Arial"/>
          <w:sz w:val="20"/>
          <w:szCs w:val="20"/>
        </w:rPr>
        <w:t>of similar non-radioactive assay</w:t>
      </w:r>
      <w:r w:rsidR="00091C95">
        <w:rPr>
          <w:rFonts w:ascii="Arial" w:eastAsia="Times New Roman" w:hAnsi="Arial" w:cs="Arial"/>
          <w:sz w:val="20"/>
          <w:szCs w:val="20"/>
        </w:rPr>
        <w:t>s</w:t>
      </w:r>
      <w:r>
        <w:rPr>
          <w:rFonts w:ascii="Arial" w:eastAsia="Times New Roman" w:hAnsi="Arial" w:cs="Arial"/>
          <w:sz w:val="20"/>
          <w:szCs w:val="20"/>
        </w:rPr>
        <w:t xml:space="preserve"> </w:t>
      </w:r>
      <w:r w:rsidRPr="008F420F">
        <w:rPr>
          <w:rFonts w:ascii="Arial" w:eastAsia="Times New Roman" w:hAnsi="Arial" w:cs="Arial"/>
          <w:sz w:val="20"/>
          <w:szCs w:val="20"/>
        </w:rPr>
        <w:t xml:space="preserve">into routine clinical assays </w:t>
      </w:r>
      <w:r>
        <w:rPr>
          <w:rFonts w:ascii="Arial" w:eastAsia="Times New Roman" w:hAnsi="Arial" w:cs="Arial"/>
          <w:noProof/>
          <w:sz w:val="20"/>
          <w:szCs w:val="20"/>
        </w:rPr>
        <w:t>(Wide 1967, Ishizaka and Ishizaka 1967)</w:t>
      </w:r>
      <w:r w:rsidRPr="008F420F">
        <w:rPr>
          <w:rFonts w:ascii="Arial" w:eastAsia="Times New Roman" w:hAnsi="Arial" w:cs="Arial"/>
          <w:sz w:val="20"/>
          <w:szCs w:val="20"/>
        </w:rPr>
        <w:t>.</w:t>
      </w:r>
    </w:p>
    <w:p w14:paraId="284AD5DD" w14:textId="5EAF1577" w:rsidR="00DC40C5" w:rsidRDefault="00DC40C5" w:rsidP="006970CD">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Although</w:t>
      </w:r>
      <w:r w:rsidRPr="006970CD">
        <w:rPr>
          <w:rFonts w:ascii="Arial" w:eastAsia="Times New Roman" w:hAnsi="Arial" w:cs="Arial"/>
          <w:sz w:val="20"/>
          <w:szCs w:val="20"/>
        </w:rPr>
        <w:t xml:space="preserve"> the serum</w:t>
      </w:r>
      <w:r w:rsidR="00F951CA">
        <w:rPr>
          <w:rFonts w:ascii="Arial" w:eastAsia="Times New Roman" w:hAnsi="Arial" w:cs="Arial"/>
          <w:sz w:val="20"/>
          <w:szCs w:val="20"/>
        </w:rPr>
        <w:t xml:space="preserve">-free </w:t>
      </w:r>
      <w:r w:rsidRPr="006970CD">
        <w:rPr>
          <w:rFonts w:ascii="Arial" w:eastAsia="Times New Roman" w:hAnsi="Arial" w:cs="Arial"/>
          <w:sz w:val="20"/>
          <w:szCs w:val="20"/>
        </w:rPr>
        <w:t xml:space="preserve">IgE (as detected by </w:t>
      </w:r>
      <w:r>
        <w:rPr>
          <w:rFonts w:ascii="Arial" w:eastAsia="Times New Roman" w:hAnsi="Arial" w:cs="Arial"/>
          <w:sz w:val="20"/>
          <w:szCs w:val="20"/>
        </w:rPr>
        <w:t>routine i</w:t>
      </w:r>
      <w:r w:rsidRPr="006970CD">
        <w:rPr>
          <w:rFonts w:ascii="Arial" w:eastAsia="Times New Roman" w:hAnsi="Arial" w:cs="Arial"/>
          <w:sz w:val="20"/>
          <w:szCs w:val="20"/>
        </w:rPr>
        <w:t xml:space="preserve">mmunoassays) is not </w:t>
      </w:r>
      <w:r>
        <w:rPr>
          <w:rFonts w:ascii="Arial" w:eastAsia="Times New Roman" w:hAnsi="Arial" w:cs="Arial"/>
          <w:sz w:val="20"/>
          <w:szCs w:val="20"/>
        </w:rPr>
        <w:t xml:space="preserve">held </w:t>
      </w:r>
      <w:r w:rsidRPr="006970CD">
        <w:rPr>
          <w:rFonts w:ascii="Arial" w:eastAsia="Times New Roman" w:hAnsi="Arial" w:cs="Arial"/>
          <w:sz w:val="20"/>
          <w:szCs w:val="20"/>
        </w:rPr>
        <w:t>responsible for clinical symptoms (as are the tissue-bound IgE</w:t>
      </w:r>
      <w:r>
        <w:rPr>
          <w:rFonts w:ascii="Arial" w:eastAsia="Times New Roman" w:hAnsi="Arial" w:cs="Arial"/>
          <w:sz w:val="20"/>
          <w:szCs w:val="20"/>
        </w:rPr>
        <w:t>,</w:t>
      </w:r>
      <w:r w:rsidRPr="006970CD">
        <w:rPr>
          <w:rFonts w:ascii="Arial" w:eastAsia="Times New Roman" w:hAnsi="Arial" w:cs="Arial"/>
          <w:sz w:val="20"/>
          <w:szCs w:val="20"/>
        </w:rPr>
        <w:t xml:space="preserve"> responsible for the autocoids release</w:t>
      </w:r>
      <w:r>
        <w:rPr>
          <w:rFonts w:ascii="Arial" w:eastAsia="Times New Roman" w:hAnsi="Arial" w:cs="Arial"/>
          <w:sz w:val="20"/>
          <w:szCs w:val="20"/>
        </w:rPr>
        <w:t>d</w:t>
      </w:r>
      <w:r w:rsidRPr="006970CD">
        <w:rPr>
          <w:rFonts w:ascii="Arial" w:eastAsia="Times New Roman" w:hAnsi="Arial" w:cs="Arial"/>
          <w:sz w:val="20"/>
          <w:szCs w:val="20"/>
        </w:rPr>
        <w:t xml:space="preserve"> after the encounter with the antigen), the research o</w:t>
      </w:r>
      <w:r>
        <w:rPr>
          <w:rFonts w:ascii="Arial" w:eastAsia="Times New Roman" w:hAnsi="Arial" w:cs="Arial"/>
          <w:sz w:val="20"/>
          <w:szCs w:val="20"/>
        </w:rPr>
        <w:t>n</w:t>
      </w:r>
      <w:r w:rsidRPr="006970CD">
        <w:rPr>
          <w:rFonts w:ascii="Arial" w:eastAsia="Times New Roman" w:hAnsi="Arial" w:cs="Arial"/>
          <w:sz w:val="20"/>
          <w:szCs w:val="20"/>
        </w:rPr>
        <w:t xml:space="preserve"> serum</w:t>
      </w:r>
      <w:r>
        <w:rPr>
          <w:rFonts w:ascii="Arial" w:eastAsia="Times New Roman" w:hAnsi="Arial" w:cs="Arial"/>
          <w:sz w:val="20"/>
          <w:szCs w:val="20"/>
        </w:rPr>
        <w:t xml:space="preserve">-specific </w:t>
      </w:r>
      <w:r w:rsidRPr="006970CD">
        <w:rPr>
          <w:rFonts w:ascii="Arial" w:eastAsia="Times New Roman" w:hAnsi="Arial" w:cs="Arial"/>
          <w:sz w:val="20"/>
          <w:szCs w:val="20"/>
        </w:rPr>
        <w:t>IgE constructed a paradigm in the physician’s mentality. The research of tissue-bond IgE</w:t>
      </w:r>
      <w:r w:rsidR="00FD4DCF">
        <w:rPr>
          <w:rFonts w:ascii="Arial" w:eastAsia="Times New Roman" w:hAnsi="Arial" w:cs="Arial"/>
          <w:sz w:val="20"/>
          <w:szCs w:val="20"/>
        </w:rPr>
        <w:t>,</w:t>
      </w:r>
      <w:r w:rsidRPr="006970CD">
        <w:rPr>
          <w:rFonts w:ascii="Arial" w:eastAsia="Times New Roman" w:hAnsi="Arial" w:cs="Arial"/>
          <w:sz w:val="20"/>
          <w:szCs w:val="20"/>
        </w:rPr>
        <w:t xml:space="preserve"> as performed by allergic skin tests</w:t>
      </w:r>
      <w:r w:rsidR="00FD4DCF">
        <w:rPr>
          <w:rFonts w:ascii="Arial" w:eastAsia="Times New Roman" w:hAnsi="Arial" w:cs="Arial"/>
          <w:sz w:val="20"/>
          <w:szCs w:val="20"/>
        </w:rPr>
        <w:t>,</w:t>
      </w:r>
      <w:r w:rsidRPr="006970CD">
        <w:rPr>
          <w:rFonts w:ascii="Arial" w:eastAsia="Times New Roman" w:hAnsi="Arial" w:cs="Arial"/>
          <w:sz w:val="20"/>
          <w:szCs w:val="20"/>
        </w:rPr>
        <w:t xml:space="preserve"> is easily performed</w:t>
      </w:r>
      <w:r>
        <w:rPr>
          <w:rFonts w:ascii="Arial" w:eastAsia="Times New Roman" w:hAnsi="Arial" w:cs="Arial"/>
          <w:sz w:val="20"/>
          <w:szCs w:val="20"/>
        </w:rPr>
        <w:t>;</w:t>
      </w:r>
      <w:r w:rsidRPr="006970CD">
        <w:rPr>
          <w:rFonts w:ascii="Arial" w:eastAsia="Times New Roman" w:hAnsi="Arial" w:cs="Arial"/>
          <w:sz w:val="20"/>
          <w:szCs w:val="20"/>
        </w:rPr>
        <w:t xml:space="preserve"> however</w:t>
      </w:r>
      <w:r>
        <w:rPr>
          <w:rFonts w:ascii="Arial" w:eastAsia="Times New Roman" w:hAnsi="Arial" w:cs="Arial"/>
          <w:sz w:val="20"/>
          <w:szCs w:val="20"/>
        </w:rPr>
        <w:t xml:space="preserve">, the demonstration of tissue-bond IgE in mucosal sites is a complex task, substituted </w:t>
      </w:r>
      <w:r w:rsidRPr="006970CD">
        <w:rPr>
          <w:rFonts w:ascii="Arial" w:eastAsia="Times New Roman" w:hAnsi="Arial" w:cs="Arial"/>
          <w:sz w:val="20"/>
          <w:szCs w:val="20"/>
        </w:rPr>
        <w:t>by the research of eosinophils and T cells in endoscopic biopsies of patients with F</w:t>
      </w:r>
      <w:r w:rsidR="00091C95">
        <w:rPr>
          <w:rFonts w:ascii="Arial" w:eastAsia="Times New Roman" w:hAnsi="Arial" w:cs="Arial"/>
          <w:sz w:val="20"/>
          <w:szCs w:val="20"/>
        </w:rPr>
        <w:t>A</w:t>
      </w:r>
      <w:r>
        <w:rPr>
          <w:rFonts w:ascii="Arial" w:eastAsia="Times New Roman" w:hAnsi="Arial" w:cs="Arial"/>
          <w:sz w:val="20"/>
          <w:szCs w:val="20"/>
        </w:rPr>
        <w:t xml:space="preserve">. This technical hindrance did not </w:t>
      </w:r>
      <w:r w:rsidR="00FD4DCF">
        <w:rPr>
          <w:rFonts w:ascii="Arial" w:eastAsia="Times New Roman" w:hAnsi="Arial" w:cs="Arial"/>
          <w:sz w:val="20"/>
          <w:szCs w:val="20"/>
        </w:rPr>
        <w:t>prevent the creation of the “IgE-mediated Local Allergic Reaction” concept</w:t>
      </w:r>
      <w:r w:rsidRPr="006970CD">
        <w:rPr>
          <w:rFonts w:ascii="Arial" w:eastAsia="Times New Roman" w:hAnsi="Arial" w:cs="Arial"/>
          <w:sz w:val="20"/>
          <w:szCs w:val="20"/>
        </w:rPr>
        <w:t xml:space="preserve"> in food hypersensitive patients </w:t>
      </w:r>
      <w:r>
        <w:rPr>
          <w:rFonts w:ascii="Arial" w:eastAsia="Times New Roman" w:hAnsi="Arial" w:cs="Arial"/>
          <w:noProof/>
          <w:sz w:val="20"/>
          <w:szCs w:val="20"/>
        </w:rPr>
        <w:t xml:space="preserve">(Lin </w:t>
      </w:r>
      <w:r w:rsidR="000B711F" w:rsidRPr="000B711F">
        <w:rPr>
          <w:rFonts w:ascii="Arial" w:eastAsia="Times New Roman" w:hAnsi="Arial" w:cs="Arial"/>
          <w:noProof/>
          <w:sz w:val="20"/>
          <w:szCs w:val="20"/>
        </w:rPr>
        <w:t>et al</w:t>
      </w:r>
      <w:r>
        <w:rPr>
          <w:rFonts w:ascii="Arial" w:eastAsia="Times New Roman" w:hAnsi="Arial" w:cs="Arial"/>
          <w:noProof/>
          <w:sz w:val="20"/>
          <w:szCs w:val="20"/>
        </w:rPr>
        <w:t>. 2002)</w:t>
      </w:r>
      <w:r w:rsidRPr="006970CD">
        <w:rPr>
          <w:rFonts w:ascii="Arial" w:eastAsia="Times New Roman" w:hAnsi="Arial" w:cs="Arial"/>
          <w:sz w:val="20"/>
          <w:szCs w:val="20"/>
        </w:rPr>
        <w:t>.</w:t>
      </w:r>
      <w:r>
        <w:rPr>
          <w:rFonts w:ascii="Arial" w:eastAsia="Times New Roman" w:hAnsi="Arial" w:cs="Arial"/>
          <w:sz w:val="20"/>
          <w:szCs w:val="20"/>
        </w:rPr>
        <w:t xml:space="preserve"> This concept gave further origin to the similar concept </w:t>
      </w:r>
      <w:r>
        <w:rPr>
          <w:rFonts w:ascii="Arial" w:eastAsia="Times New Roman" w:hAnsi="Arial" w:cs="Arial"/>
          <w:sz w:val="20"/>
          <w:szCs w:val="20"/>
        </w:rPr>
        <w:lastRenderedPageBreak/>
        <w:t>of “</w:t>
      </w:r>
      <w:r w:rsidRPr="006970CD">
        <w:rPr>
          <w:rFonts w:ascii="Arial" w:eastAsia="Times New Roman" w:hAnsi="Arial" w:cs="Arial"/>
          <w:sz w:val="20"/>
          <w:szCs w:val="20"/>
        </w:rPr>
        <w:t>IgE-mediated</w:t>
      </w:r>
      <w:r>
        <w:rPr>
          <w:rFonts w:ascii="Arial" w:eastAsia="Times New Roman" w:hAnsi="Arial" w:cs="Arial"/>
          <w:sz w:val="20"/>
          <w:szCs w:val="20"/>
        </w:rPr>
        <w:t xml:space="preserve"> Local Allergic Rhinitis”, which advocates the mucosal production of IgE at insufficient concentrations to be reflected in the blood immunoassays or the skin tests </w:t>
      </w:r>
      <w:r>
        <w:rPr>
          <w:rFonts w:ascii="Arial" w:eastAsia="Times New Roman" w:hAnsi="Arial" w:cs="Arial"/>
          <w:noProof/>
          <w:sz w:val="20"/>
          <w:szCs w:val="20"/>
        </w:rPr>
        <w:t>(Rondon</w:t>
      </w:r>
      <w:r w:rsidR="006C4B68">
        <w:rPr>
          <w:rFonts w:ascii="Arial" w:eastAsia="Times New Roman" w:hAnsi="Arial" w:cs="Arial"/>
          <w:noProof/>
          <w:sz w:val="20"/>
          <w:szCs w:val="20"/>
        </w:rPr>
        <w:t xml:space="preserve"> et al.</w:t>
      </w:r>
      <w:r>
        <w:rPr>
          <w:rFonts w:ascii="Arial" w:eastAsia="Times New Roman" w:hAnsi="Arial" w:cs="Arial"/>
          <w:noProof/>
          <w:sz w:val="20"/>
          <w:szCs w:val="20"/>
        </w:rPr>
        <w:t xml:space="preserve"> 2010)</w:t>
      </w:r>
      <w:r>
        <w:rPr>
          <w:rFonts w:ascii="Arial" w:eastAsia="Times New Roman" w:hAnsi="Arial" w:cs="Arial"/>
          <w:sz w:val="20"/>
          <w:szCs w:val="20"/>
        </w:rPr>
        <w:t>.</w:t>
      </w:r>
    </w:p>
    <w:p w14:paraId="59FB4AF6" w14:textId="13EB4041" w:rsidR="00DC40C5" w:rsidRPr="006970CD" w:rsidRDefault="00DC40C5" w:rsidP="004563D0">
      <w:pPr>
        <w:spacing w:after="0" w:line="240" w:lineRule="auto"/>
        <w:jc w:val="both"/>
        <w:rPr>
          <w:rFonts w:ascii="Arial" w:eastAsia="Times New Roman" w:hAnsi="Arial" w:cs="Arial"/>
          <w:sz w:val="20"/>
          <w:szCs w:val="20"/>
        </w:rPr>
      </w:pPr>
      <w:r>
        <w:rPr>
          <w:rFonts w:ascii="Arial" w:eastAsia="Times New Roman" w:hAnsi="Arial" w:cs="Arial"/>
          <w:sz w:val="20"/>
          <w:szCs w:val="20"/>
        </w:rPr>
        <w:tab/>
        <w:t>Usually, t</w:t>
      </w:r>
      <w:r w:rsidRPr="00B72CA7">
        <w:rPr>
          <w:rFonts w:ascii="Arial" w:eastAsia="Times New Roman" w:hAnsi="Arial" w:cs="Arial"/>
          <w:sz w:val="20"/>
          <w:szCs w:val="20"/>
        </w:rPr>
        <w:t xml:space="preserve">he correlation and the distribution of simultaneous positive specific-IgE against food allergens and inhalant allergens </w:t>
      </w:r>
      <w:r>
        <w:rPr>
          <w:rFonts w:ascii="Arial" w:eastAsia="Times New Roman" w:hAnsi="Arial" w:cs="Arial"/>
          <w:sz w:val="20"/>
          <w:szCs w:val="20"/>
        </w:rPr>
        <w:t>are</w:t>
      </w:r>
      <w:r w:rsidRPr="00B72CA7">
        <w:rPr>
          <w:rFonts w:ascii="Arial" w:eastAsia="Times New Roman" w:hAnsi="Arial" w:cs="Arial"/>
          <w:sz w:val="20"/>
          <w:szCs w:val="20"/>
        </w:rPr>
        <w:t xml:space="preserve"> weak</w:t>
      </w:r>
      <w:r>
        <w:rPr>
          <w:rFonts w:ascii="Arial" w:eastAsia="Times New Roman" w:hAnsi="Arial" w:cs="Arial"/>
          <w:sz w:val="20"/>
          <w:szCs w:val="20"/>
        </w:rPr>
        <w:t>;</w:t>
      </w:r>
      <w:r w:rsidRPr="00B72CA7">
        <w:rPr>
          <w:rFonts w:ascii="Arial" w:eastAsia="Times New Roman" w:hAnsi="Arial" w:cs="Arial"/>
          <w:sz w:val="20"/>
          <w:szCs w:val="20"/>
        </w:rPr>
        <w:t xml:space="preserve"> however,</w:t>
      </w:r>
      <w:r>
        <w:rPr>
          <w:rFonts w:ascii="Arial" w:eastAsia="Times New Roman" w:hAnsi="Arial" w:cs="Arial"/>
          <w:sz w:val="20"/>
          <w:szCs w:val="20"/>
        </w:rPr>
        <w:t xml:space="preserve"> when properly investigated,</w:t>
      </w:r>
      <w:r w:rsidRPr="00B72CA7">
        <w:rPr>
          <w:rFonts w:ascii="Arial" w:eastAsia="Times New Roman" w:hAnsi="Arial" w:cs="Arial"/>
          <w:sz w:val="20"/>
          <w:szCs w:val="20"/>
        </w:rPr>
        <w:t xml:space="preserve"> polysensitization is more </w:t>
      </w:r>
      <w:r>
        <w:rPr>
          <w:rFonts w:ascii="Arial" w:eastAsia="Times New Roman" w:hAnsi="Arial" w:cs="Arial"/>
          <w:sz w:val="20"/>
          <w:szCs w:val="20"/>
        </w:rPr>
        <w:t>the</w:t>
      </w:r>
      <w:r w:rsidRPr="00B72CA7">
        <w:rPr>
          <w:rFonts w:ascii="Arial" w:eastAsia="Times New Roman" w:hAnsi="Arial" w:cs="Arial"/>
          <w:sz w:val="20"/>
          <w:szCs w:val="20"/>
        </w:rPr>
        <w:t xml:space="preserve"> rule than </w:t>
      </w:r>
      <w:r>
        <w:rPr>
          <w:rFonts w:ascii="Arial" w:eastAsia="Times New Roman" w:hAnsi="Arial" w:cs="Arial"/>
          <w:sz w:val="20"/>
          <w:szCs w:val="20"/>
        </w:rPr>
        <w:t>the</w:t>
      </w:r>
      <w:r w:rsidRPr="00B72CA7">
        <w:rPr>
          <w:rFonts w:ascii="Arial" w:eastAsia="Times New Roman" w:hAnsi="Arial" w:cs="Arial"/>
          <w:sz w:val="20"/>
          <w:szCs w:val="20"/>
        </w:rPr>
        <w:t xml:space="preserve"> exception </w:t>
      </w:r>
      <w:r w:rsidR="00CB5F07">
        <w:rPr>
          <w:rFonts w:ascii="Arial" w:eastAsia="Times New Roman" w:hAnsi="Arial" w:cs="Arial"/>
          <w:sz w:val="20"/>
          <w:szCs w:val="20"/>
        </w:rPr>
        <w:t xml:space="preserve">in FPIGA </w:t>
      </w:r>
      <w:r>
        <w:rPr>
          <w:rFonts w:ascii="Arial" w:eastAsia="Times New Roman" w:hAnsi="Arial" w:cs="Arial"/>
          <w:noProof/>
          <w:sz w:val="20"/>
          <w:szCs w:val="20"/>
        </w:rPr>
        <w:t xml:space="preserve">(Zhang </w:t>
      </w:r>
      <w:r w:rsidR="000B711F" w:rsidRPr="000B711F">
        <w:rPr>
          <w:rFonts w:ascii="Arial" w:eastAsia="Times New Roman" w:hAnsi="Arial" w:cs="Arial"/>
          <w:noProof/>
          <w:sz w:val="20"/>
          <w:szCs w:val="20"/>
        </w:rPr>
        <w:t>et al</w:t>
      </w:r>
      <w:r>
        <w:rPr>
          <w:rFonts w:ascii="Arial" w:eastAsia="Times New Roman" w:hAnsi="Arial" w:cs="Arial"/>
          <w:noProof/>
          <w:sz w:val="20"/>
          <w:szCs w:val="20"/>
        </w:rPr>
        <w:t xml:space="preserve">. 2025, Čelakovská </w:t>
      </w:r>
      <w:r w:rsidR="000B711F" w:rsidRPr="000B711F">
        <w:rPr>
          <w:rFonts w:ascii="Arial" w:eastAsia="Times New Roman" w:hAnsi="Arial" w:cs="Arial"/>
          <w:noProof/>
          <w:sz w:val="20"/>
          <w:szCs w:val="20"/>
        </w:rPr>
        <w:t>et al</w:t>
      </w:r>
      <w:r>
        <w:rPr>
          <w:rFonts w:ascii="Arial" w:eastAsia="Times New Roman" w:hAnsi="Arial" w:cs="Arial"/>
          <w:noProof/>
          <w:sz w:val="20"/>
          <w:szCs w:val="20"/>
        </w:rPr>
        <w:t>. 2024)</w:t>
      </w:r>
      <w:r w:rsidRPr="00B72CA7">
        <w:rPr>
          <w:rFonts w:ascii="Arial" w:eastAsia="Times New Roman" w:hAnsi="Arial" w:cs="Arial"/>
          <w:sz w:val="20"/>
          <w:szCs w:val="20"/>
        </w:rPr>
        <w:t>.</w:t>
      </w:r>
      <w:r>
        <w:rPr>
          <w:rFonts w:ascii="Arial" w:eastAsia="Times New Roman" w:hAnsi="Arial" w:cs="Arial"/>
          <w:sz w:val="20"/>
          <w:szCs w:val="20"/>
        </w:rPr>
        <w:t xml:space="preserve"> </w:t>
      </w:r>
    </w:p>
    <w:p w14:paraId="1877AABE" w14:textId="769EE2A4" w:rsidR="00DC40C5" w:rsidRPr="00BB5666" w:rsidRDefault="00DC40C5" w:rsidP="005878BC">
      <w:pPr>
        <w:tabs>
          <w:tab w:val="left" w:pos="1560"/>
        </w:tabs>
        <w:spacing w:after="0" w:line="240" w:lineRule="auto"/>
        <w:ind w:firstLine="708"/>
        <w:jc w:val="both"/>
        <w:rPr>
          <w:rFonts w:ascii="Arial" w:eastAsia="Times New Roman" w:hAnsi="Arial" w:cs="Arial"/>
          <w:sz w:val="20"/>
          <w:szCs w:val="20"/>
        </w:rPr>
      </w:pPr>
      <w:r w:rsidRPr="008415DB">
        <w:rPr>
          <w:rFonts w:ascii="Arial" w:eastAsia="Times New Roman" w:hAnsi="Arial" w:cs="Arial"/>
          <w:sz w:val="20"/>
          <w:szCs w:val="20"/>
        </w:rPr>
        <w:t>Th</w:t>
      </w:r>
      <w:r>
        <w:rPr>
          <w:rFonts w:ascii="Arial" w:eastAsia="Times New Roman" w:hAnsi="Arial" w:cs="Arial"/>
          <w:sz w:val="20"/>
          <w:szCs w:val="20"/>
        </w:rPr>
        <w:t>e</w:t>
      </w:r>
      <w:r w:rsidRPr="008415DB">
        <w:rPr>
          <w:rFonts w:ascii="Arial" w:eastAsia="Times New Roman" w:hAnsi="Arial" w:cs="Arial"/>
          <w:sz w:val="20"/>
          <w:szCs w:val="20"/>
        </w:rPr>
        <w:t xml:space="preserve"> paradigm of the specific antibody to diagnose the etiology of the allergic symptoms has led to the “IgE culture” and a </w:t>
      </w:r>
      <w:r>
        <w:rPr>
          <w:rFonts w:ascii="Arial" w:eastAsia="Times New Roman" w:hAnsi="Arial" w:cs="Arial"/>
          <w:sz w:val="20"/>
          <w:szCs w:val="20"/>
        </w:rPr>
        <w:t>pressing</w:t>
      </w:r>
      <w:r w:rsidRPr="008415DB">
        <w:rPr>
          <w:rFonts w:ascii="Arial" w:eastAsia="Times New Roman" w:hAnsi="Arial" w:cs="Arial"/>
          <w:sz w:val="20"/>
          <w:szCs w:val="20"/>
        </w:rPr>
        <w:t xml:space="preserve"> pursu</w:t>
      </w:r>
      <w:r>
        <w:rPr>
          <w:rFonts w:ascii="Arial" w:eastAsia="Times New Roman" w:hAnsi="Arial" w:cs="Arial"/>
          <w:sz w:val="20"/>
          <w:szCs w:val="20"/>
        </w:rPr>
        <w:t>it</w:t>
      </w:r>
      <w:r w:rsidRPr="008415DB">
        <w:rPr>
          <w:rFonts w:ascii="Arial" w:eastAsia="Times New Roman" w:hAnsi="Arial" w:cs="Arial"/>
          <w:sz w:val="20"/>
          <w:szCs w:val="20"/>
        </w:rPr>
        <w:t xml:space="preserve"> to determine the utility of the specific IgG to diagnose the </w:t>
      </w:r>
      <w:r>
        <w:rPr>
          <w:rFonts w:ascii="Arial" w:eastAsia="Times New Roman" w:hAnsi="Arial" w:cs="Arial"/>
          <w:bCs/>
          <w:sz w:val="20"/>
          <w:szCs w:val="20"/>
        </w:rPr>
        <w:t>n</w:t>
      </w:r>
      <w:r w:rsidRPr="008415DB">
        <w:rPr>
          <w:rFonts w:ascii="Arial" w:eastAsia="Times New Roman" w:hAnsi="Arial" w:cs="Arial"/>
          <w:bCs/>
          <w:sz w:val="20"/>
          <w:szCs w:val="20"/>
        </w:rPr>
        <w:t xml:space="preserve">on–IgE-mediated </w:t>
      </w:r>
      <w:r>
        <w:rPr>
          <w:rFonts w:ascii="Arial" w:eastAsia="Times New Roman" w:hAnsi="Arial" w:cs="Arial"/>
          <w:bCs/>
          <w:sz w:val="20"/>
          <w:szCs w:val="20"/>
        </w:rPr>
        <w:t>h</w:t>
      </w:r>
      <w:r w:rsidRPr="008415DB">
        <w:rPr>
          <w:rFonts w:ascii="Arial" w:eastAsia="Times New Roman" w:hAnsi="Arial" w:cs="Arial"/>
          <w:sz w:val="20"/>
          <w:szCs w:val="20"/>
        </w:rPr>
        <w:t>ypersensitivit</w:t>
      </w:r>
      <w:r>
        <w:rPr>
          <w:rFonts w:ascii="Arial" w:eastAsia="Times New Roman" w:hAnsi="Arial" w:cs="Arial"/>
          <w:sz w:val="20"/>
          <w:szCs w:val="20"/>
        </w:rPr>
        <w:t>y</w:t>
      </w:r>
      <w:r w:rsidRPr="008415DB">
        <w:rPr>
          <w:rFonts w:ascii="Arial" w:eastAsia="Times New Roman" w:hAnsi="Arial" w:cs="Arial"/>
          <w:sz w:val="20"/>
          <w:szCs w:val="20"/>
        </w:rPr>
        <w:t xml:space="preserve"> conditions </w:t>
      </w:r>
      <w:r>
        <w:rPr>
          <w:rFonts w:ascii="Arial" w:eastAsia="Times New Roman" w:hAnsi="Arial" w:cs="Arial"/>
          <w:noProof/>
          <w:sz w:val="20"/>
          <w:szCs w:val="20"/>
        </w:rPr>
        <w:t>(Atwah and Koshak 2024)</w:t>
      </w:r>
      <w:r w:rsidRPr="008415DB">
        <w:rPr>
          <w:rFonts w:ascii="Arial" w:eastAsia="Times New Roman" w:hAnsi="Arial" w:cs="Arial"/>
          <w:sz w:val="20"/>
          <w:szCs w:val="20"/>
        </w:rPr>
        <w:t>.</w:t>
      </w:r>
      <w:r>
        <w:rPr>
          <w:rFonts w:ascii="Arial" w:eastAsia="Times New Roman" w:hAnsi="Arial" w:cs="Arial"/>
          <w:sz w:val="20"/>
          <w:szCs w:val="20"/>
        </w:rPr>
        <w:t xml:space="preserve"> The use of specific IgG against food allergens may be contentious and controversial since the IgG may sometimes act as a hypersensitivity trigger and sometimes as an allergen blocker, depending on its subclass, the antigen-antibody proportion</w:t>
      </w:r>
      <w:r w:rsidR="00FD4DCF">
        <w:rPr>
          <w:rFonts w:ascii="Arial" w:eastAsia="Times New Roman" w:hAnsi="Arial" w:cs="Arial"/>
          <w:sz w:val="20"/>
          <w:szCs w:val="20"/>
        </w:rPr>
        <w:t>,</w:t>
      </w:r>
      <w:r>
        <w:rPr>
          <w:rFonts w:ascii="Arial" w:eastAsia="Times New Roman" w:hAnsi="Arial" w:cs="Arial"/>
          <w:sz w:val="20"/>
          <w:szCs w:val="20"/>
        </w:rPr>
        <w:t xml:space="preserve"> and the participation of other immune players </w:t>
      </w:r>
      <w:r>
        <w:rPr>
          <w:rFonts w:ascii="Arial" w:eastAsia="Times New Roman" w:hAnsi="Arial" w:cs="Arial"/>
          <w:noProof/>
          <w:sz w:val="20"/>
          <w:szCs w:val="20"/>
        </w:rPr>
        <w:t>(Alkhateeb 2020)</w:t>
      </w:r>
      <w:r>
        <w:rPr>
          <w:rFonts w:ascii="Arial" w:eastAsia="Times New Roman" w:hAnsi="Arial" w:cs="Arial"/>
          <w:sz w:val="20"/>
          <w:szCs w:val="20"/>
        </w:rPr>
        <w:t xml:space="preserve">. IgG antibodies can participate in type II (antibody-dependent cell-mediated) and type III (immune complex disease) Gell and Coombs hypersensitivity reactions, which may be theoretically reproduced by the LAIT and the TTP assays, respectively </w:t>
      </w:r>
      <w:r>
        <w:rPr>
          <w:rFonts w:ascii="Arial" w:eastAsia="Times New Roman" w:hAnsi="Arial" w:cs="Arial"/>
          <w:noProof/>
          <w:sz w:val="20"/>
          <w:szCs w:val="20"/>
        </w:rPr>
        <w:t xml:space="preserve">(Olivier </w:t>
      </w:r>
      <w:r w:rsidR="000B711F" w:rsidRPr="000B711F">
        <w:rPr>
          <w:rFonts w:ascii="Arial" w:eastAsia="Times New Roman" w:hAnsi="Arial" w:cs="Arial"/>
          <w:noProof/>
          <w:sz w:val="20"/>
          <w:szCs w:val="20"/>
        </w:rPr>
        <w:t>et al</w:t>
      </w:r>
      <w:r>
        <w:rPr>
          <w:rFonts w:ascii="Arial" w:eastAsia="Times New Roman" w:hAnsi="Arial" w:cs="Arial"/>
          <w:noProof/>
          <w:sz w:val="20"/>
          <w:szCs w:val="20"/>
        </w:rPr>
        <w:t>. 2021a)</w:t>
      </w:r>
      <w:r>
        <w:rPr>
          <w:rFonts w:ascii="Arial" w:eastAsia="Times New Roman" w:hAnsi="Arial" w:cs="Arial"/>
          <w:sz w:val="20"/>
          <w:szCs w:val="20"/>
        </w:rPr>
        <w:t>.</w:t>
      </w:r>
      <w:r w:rsidRPr="00973D5F">
        <w:rPr>
          <w:rFonts w:ascii="Arial" w:eastAsia="Times New Roman" w:hAnsi="Arial" w:cs="Arial"/>
          <w:color w:val="FF0000"/>
          <w:sz w:val="20"/>
          <w:szCs w:val="20"/>
        </w:rPr>
        <w:t xml:space="preserve"> </w:t>
      </w:r>
      <w:r w:rsidRPr="00BB5666">
        <w:rPr>
          <w:rFonts w:ascii="Arial" w:eastAsia="Times New Roman" w:hAnsi="Arial" w:cs="Arial"/>
          <w:sz w:val="20"/>
          <w:szCs w:val="20"/>
        </w:rPr>
        <w:t xml:space="preserve">However, there is a lack of </w:t>
      </w:r>
      <w:r>
        <w:rPr>
          <w:rFonts w:ascii="Arial" w:eastAsia="Times New Roman" w:hAnsi="Arial" w:cs="Arial"/>
          <w:sz w:val="20"/>
          <w:szCs w:val="20"/>
        </w:rPr>
        <w:t>effective</w:t>
      </w:r>
      <w:r w:rsidRPr="00BB5666">
        <w:rPr>
          <w:rFonts w:ascii="Arial" w:eastAsia="Times New Roman" w:hAnsi="Arial" w:cs="Arial"/>
          <w:sz w:val="20"/>
          <w:szCs w:val="20"/>
        </w:rPr>
        <w:t xml:space="preserve"> and practical tools to diagnose gastrointestinal inflammatory reactions due to F</w:t>
      </w:r>
      <w:r w:rsidR="00ED770B">
        <w:rPr>
          <w:rFonts w:ascii="Arial" w:eastAsia="Times New Roman" w:hAnsi="Arial" w:cs="Arial"/>
          <w:sz w:val="20"/>
          <w:szCs w:val="20"/>
        </w:rPr>
        <w:t>A</w:t>
      </w:r>
      <w:r w:rsidRPr="00BB5666">
        <w:rPr>
          <w:rFonts w:ascii="Arial" w:eastAsia="Times New Roman" w:hAnsi="Arial" w:cs="Arial"/>
          <w:sz w:val="20"/>
          <w:szCs w:val="20"/>
        </w:rPr>
        <w:t xml:space="preserve"> in patients with no evidence of systemic circulatory IgE</w:t>
      </w:r>
      <w:r>
        <w:rPr>
          <w:rFonts w:ascii="Arial" w:eastAsia="Times New Roman" w:hAnsi="Arial" w:cs="Arial"/>
          <w:sz w:val="20"/>
          <w:szCs w:val="20"/>
        </w:rPr>
        <w:t xml:space="preserve"> </w:t>
      </w:r>
      <w:r>
        <w:rPr>
          <w:rFonts w:ascii="Arial" w:eastAsia="Times New Roman" w:hAnsi="Arial" w:cs="Arial"/>
          <w:noProof/>
          <w:sz w:val="20"/>
          <w:szCs w:val="20"/>
        </w:rPr>
        <w:t>(Olivier 2022)</w:t>
      </w:r>
      <w:r w:rsidRPr="00BB5666">
        <w:rPr>
          <w:rFonts w:ascii="Arial" w:eastAsia="Times New Roman" w:hAnsi="Arial" w:cs="Arial"/>
          <w:sz w:val="20"/>
          <w:szCs w:val="20"/>
        </w:rPr>
        <w:t>.</w:t>
      </w:r>
    </w:p>
    <w:p w14:paraId="41DDF9AA" w14:textId="277C69E2" w:rsidR="00DC40C5" w:rsidRPr="00BE4587" w:rsidRDefault="00DC40C5" w:rsidP="005878BC">
      <w:pPr>
        <w:spacing w:after="0" w:line="240" w:lineRule="auto"/>
        <w:ind w:firstLine="708"/>
        <w:jc w:val="both"/>
        <w:rPr>
          <w:rFonts w:ascii="Arial" w:eastAsia="Times New Roman" w:hAnsi="Arial" w:cs="Arial"/>
          <w:sz w:val="20"/>
          <w:szCs w:val="20"/>
        </w:rPr>
      </w:pPr>
      <w:r w:rsidRPr="00BE4587">
        <w:rPr>
          <w:rFonts w:ascii="Arial" w:eastAsia="Times New Roman" w:hAnsi="Arial" w:cs="Arial"/>
          <w:sz w:val="20"/>
          <w:szCs w:val="20"/>
        </w:rPr>
        <w:t xml:space="preserve">The LAIT is an </w:t>
      </w:r>
      <w:r w:rsidRPr="00BE4587">
        <w:rPr>
          <w:rFonts w:ascii="Arial" w:eastAsia="Times New Roman" w:hAnsi="Arial" w:cs="Arial"/>
          <w:i/>
          <w:iCs/>
          <w:sz w:val="20"/>
          <w:szCs w:val="20"/>
        </w:rPr>
        <w:t>ex vivo</w:t>
      </w:r>
      <w:r w:rsidRPr="00BE4587">
        <w:rPr>
          <w:rFonts w:ascii="Arial" w:eastAsia="Times New Roman" w:hAnsi="Arial" w:cs="Arial"/>
          <w:sz w:val="20"/>
          <w:szCs w:val="20"/>
        </w:rPr>
        <w:t xml:space="preserve"> challenge test performed with a viable leukocyte buffy coat that can theoretically explore most known immune pathways</w:t>
      </w:r>
      <w:r>
        <w:rPr>
          <w:rFonts w:ascii="Arial" w:eastAsia="Times New Roman" w:hAnsi="Arial" w:cs="Arial"/>
          <w:sz w:val="20"/>
          <w:szCs w:val="20"/>
        </w:rPr>
        <w:t>,</w:t>
      </w:r>
      <w:r w:rsidRPr="00BE4587">
        <w:rPr>
          <w:rFonts w:ascii="Arial" w:eastAsia="Times New Roman" w:hAnsi="Arial" w:cs="Arial"/>
          <w:sz w:val="20"/>
          <w:szCs w:val="20"/>
        </w:rPr>
        <w:t xml:space="preserve"> as it allows the interaction of all immune-circulating participants with the allergens </w:t>
      </w:r>
      <w:r>
        <w:rPr>
          <w:rFonts w:ascii="Arial" w:eastAsia="Times New Roman" w:hAnsi="Arial" w:cs="Arial"/>
          <w:noProof/>
          <w:sz w:val="20"/>
          <w:szCs w:val="20"/>
        </w:rPr>
        <w:t xml:space="preserve">(Olivier </w:t>
      </w:r>
      <w:r w:rsidR="000B711F" w:rsidRPr="000B711F">
        <w:rPr>
          <w:rFonts w:ascii="Arial" w:eastAsia="Times New Roman" w:hAnsi="Arial" w:cs="Arial"/>
          <w:noProof/>
          <w:sz w:val="20"/>
          <w:szCs w:val="20"/>
        </w:rPr>
        <w:t>et al</w:t>
      </w:r>
      <w:r>
        <w:rPr>
          <w:rFonts w:ascii="Arial" w:eastAsia="Times New Roman" w:hAnsi="Arial" w:cs="Arial"/>
          <w:noProof/>
          <w:sz w:val="20"/>
          <w:szCs w:val="20"/>
        </w:rPr>
        <w:t>. 2021a)</w:t>
      </w:r>
      <w:r w:rsidRPr="00BE4587">
        <w:rPr>
          <w:rFonts w:ascii="Arial" w:eastAsia="Times New Roman" w:hAnsi="Arial" w:cs="Arial"/>
          <w:sz w:val="20"/>
          <w:szCs w:val="20"/>
        </w:rPr>
        <w:t xml:space="preserve">. Several immune pathways can produce the final leukocyte adherence inhibition </w:t>
      </w:r>
      <w:r w:rsidR="006C4B68">
        <w:rPr>
          <w:rFonts w:ascii="Arial" w:eastAsia="Times New Roman" w:hAnsi="Arial" w:cs="Arial"/>
          <w:noProof/>
          <w:sz w:val="20"/>
          <w:szCs w:val="20"/>
        </w:rPr>
        <w:t>(</w:t>
      </w:r>
      <w:r>
        <w:rPr>
          <w:rFonts w:ascii="Arial" w:eastAsia="Times New Roman" w:hAnsi="Arial" w:cs="Arial"/>
          <w:noProof/>
          <w:sz w:val="20"/>
          <w:szCs w:val="20"/>
        </w:rPr>
        <w:t xml:space="preserve">Tong </w:t>
      </w:r>
      <w:r w:rsidR="000B711F" w:rsidRPr="000B711F">
        <w:rPr>
          <w:rFonts w:ascii="Arial" w:eastAsia="Times New Roman" w:hAnsi="Arial" w:cs="Arial"/>
          <w:noProof/>
          <w:sz w:val="20"/>
          <w:szCs w:val="20"/>
        </w:rPr>
        <w:t>et al</w:t>
      </w:r>
      <w:r>
        <w:rPr>
          <w:rFonts w:ascii="Arial" w:eastAsia="Times New Roman" w:hAnsi="Arial" w:cs="Arial"/>
          <w:noProof/>
          <w:sz w:val="20"/>
          <w:szCs w:val="20"/>
        </w:rPr>
        <w:t>. 1979, Halliday</w:t>
      </w:r>
      <w:r w:rsidR="00FD4DCF">
        <w:rPr>
          <w:rFonts w:ascii="Arial" w:eastAsia="Times New Roman" w:hAnsi="Arial" w:cs="Arial"/>
          <w:noProof/>
          <w:sz w:val="20"/>
          <w:szCs w:val="20"/>
        </w:rPr>
        <w:t xml:space="preserve"> </w:t>
      </w:r>
      <w:r>
        <w:rPr>
          <w:rFonts w:ascii="Arial" w:eastAsia="Times New Roman" w:hAnsi="Arial" w:cs="Arial"/>
          <w:noProof/>
          <w:sz w:val="20"/>
          <w:szCs w:val="20"/>
        </w:rPr>
        <w:t>1974)</w:t>
      </w:r>
      <w:r w:rsidRPr="00BE4587">
        <w:rPr>
          <w:rFonts w:ascii="Arial" w:eastAsia="Times New Roman" w:hAnsi="Arial" w:cs="Arial"/>
          <w:sz w:val="20"/>
          <w:szCs w:val="20"/>
        </w:rPr>
        <w:t>.</w:t>
      </w:r>
    </w:p>
    <w:p w14:paraId="7BBFC2E6" w14:textId="1B7674AE" w:rsidR="00DC40C5" w:rsidRPr="00D7589D" w:rsidRDefault="00DC40C5" w:rsidP="005850DA">
      <w:pPr>
        <w:spacing w:after="0" w:line="240" w:lineRule="auto"/>
        <w:ind w:firstLine="709"/>
        <w:jc w:val="both"/>
        <w:rPr>
          <w:rFonts w:ascii="Arial" w:eastAsia="Times New Roman" w:hAnsi="Arial" w:cs="Arial"/>
          <w:sz w:val="20"/>
          <w:szCs w:val="20"/>
        </w:rPr>
      </w:pPr>
      <w:r w:rsidRPr="00D7589D">
        <w:rPr>
          <w:rFonts w:ascii="Arial" w:eastAsia="Times New Roman" w:hAnsi="Arial" w:cs="Arial"/>
          <w:sz w:val="20"/>
          <w:szCs w:val="20"/>
        </w:rPr>
        <w:t xml:space="preserve">The present study is a proof-of-concept that hypothesizes that LAIT and the TTP may differentiate diverse degrees of cellular and humoral immunoreactivity against hen’s egg yolk and chicken meat allergens among patients suffering from non–IgE-mediated </w:t>
      </w:r>
      <w:r w:rsidR="009666D5">
        <w:rPr>
          <w:rFonts w:ascii="Arial" w:eastAsia="Times New Roman" w:hAnsi="Arial" w:cs="Arial"/>
          <w:sz w:val="20"/>
          <w:szCs w:val="20"/>
        </w:rPr>
        <w:t>FPIGA</w:t>
      </w:r>
      <w:r w:rsidRPr="00D7589D">
        <w:rPr>
          <w:rFonts w:ascii="Arial" w:eastAsia="Times New Roman" w:hAnsi="Arial" w:cs="Arial"/>
          <w:sz w:val="20"/>
          <w:szCs w:val="20"/>
        </w:rPr>
        <w:t xml:space="preserve">. As the tests were performed simultaneously with the same venous sample with the two allergens, it was possible to calculate a correlation test to distinguish some order of cross-reactivity between them. </w:t>
      </w:r>
    </w:p>
    <w:p w14:paraId="06A4F116" w14:textId="61049A96" w:rsidR="00DC40C5" w:rsidRPr="004B5448" w:rsidRDefault="00DC40C5" w:rsidP="00043DC8">
      <w:pPr>
        <w:spacing w:after="0" w:line="240" w:lineRule="auto"/>
        <w:ind w:firstLine="708"/>
        <w:jc w:val="both"/>
        <w:rPr>
          <w:rFonts w:ascii="Arial" w:eastAsia="Times New Roman" w:hAnsi="Arial" w:cs="Arial"/>
          <w:sz w:val="20"/>
          <w:szCs w:val="20"/>
        </w:rPr>
      </w:pPr>
      <w:r w:rsidRPr="004B5448">
        <w:rPr>
          <w:rFonts w:ascii="Arial" w:eastAsia="Times New Roman" w:hAnsi="Arial" w:cs="Arial"/>
          <w:sz w:val="20"/>
          <w:szCs w:val="20"/>
        </w:rPr>
        <w:t>The retrospective compilation of our data showed a large distribution of results when we ascertained the results of TTP and LAIT to explore humoral and cellular immunoreactivity against two chicken</w:t>
      </w:r>
      <w:r>
        <w:rPr>
          <w:rFonts w:ascii="Arial" w:eastAsia="Times New Roman" w:hAnsi="Arial" w:cs="Arial"/>
          <w:sz w:val="20"/>
          <w:szCs w:val="20"/>
        </w:rPr>
        <w:t xml:space="preserve"> food</w:t>
      </w:r>
      <w:r w:rsidRPr="004B5448">
        <w:rPr>
          <w:rFonts w:ascii="Arial" w:eastAsia="Times New Roman" w:hAnsi="Arial" w:cs="Arial"/>
          <w:sz w:val="20"/>
          <w:szCs w:val="20"/>
        </w:rPr>
        <w:t xml:space="preserve"> allergens. These immunoassays did not precisely identify the mechanisms responsible for </w:t>
      </w:r>
      <w:r w:rsidR="00FD4DCF">
        <w:rPr>
          <w:rFonts w:ascii="Arial" w:eastAsia="Times New Roman" w:hAnsi="Arial" w:cs="Arial"/>
          <w:sz w:val="20"/>
          <w:szCs w:val="20"/>
        </w:rPr>
        <w:t xml:space="preserve">the </w:t>
      </w:r>
      <w:r w:rsidRPr="004B5448">
        <w:rPr>
          <w:rFonts w:ascii="Arial" w:eastAsia="Times New Roman" w:hAnsi="Arial" w:cs="Arial"/>
          <w:sz w:val="20"/>
          <w:szCs w:val="20"/>
        </w:rPr>
        <w:t>clinical condition. Instead, they provide evidence about cellular and humoral immunoreactivity distributed into an extensive spectral range that may suggest immune tolerance or hypersensitivity.</w:t>
      </w:r>
    </w:p>
    <w:p w14:paraId="1D1C9EEC" w14:textId="027E6923" w:rsidR="00DC40C5" w:rsidRPr="004B5448" w:rsidRDefault="00DC40C5" w:rsidP="006C4B68">
      <w:pPr>
        <w:spacing w:after="0" w:line="240" w:lineRule="auto"/>
        <w:ind w:firstLine="708"/>
        <w:jc w:val="both"/>
        <w:rPr>
          <w:rFonts w:ascii="Arial" w:eastAsia="Times New Roman" w:hAnsi="Arial" w:cs="Arial"/>
          <w:sz w:val="20"/>
          <w:szCs w:val="20"/>
        </w:rPr>
      </w:pPr>
      <w:r w:rsidRPr="004B5448">
        <w:rPr>
          <w:rFonts w:ascii="Arial" w:eastAsia="Times New Roman" w:hAnsi="Arial" w:cs="Arial"/>
          <w:sz w:val="20"/>
          <w:szCs w:val="20"/>
        </w:rPr>
        <w:t xml:space="preserve">This preliminary retrospective survey demonstrated extensive results from the TTP and the </w:t>
      </w:r>
      <w:r w:rsidRPr="004B5448">
        <w:rPr>
          <w:rFonts w:ascii="Arial" w:eastAsia="Times New Roman" w:hAnsi="Arial" w:cs="Arial"/>
          <w:i/>
          <w:iCs/>
          <w:sz w:val="20"/>
          <w:szCs w:val="20"/>
        </w:rPr>
        <w:t>ex vivo</w:t>
      </w:r>
      <w:r w:rsidRPr="004B5448">
        <w:rPr>
          <w:rFonts w:ascii="Arial" w:eastAsia="Times New Roman" w:hAnsi="Arial" w:cs="Arial"/>
          <w:sz w:val="20"/>
          <w:szCs w:val="20"/>
        </w:rPr>
        <w:t xml:space="preserve"> challenge test monitored by LAIT against hen’s egg yolk and chicken meat allergens in two cohorts of non–IgE-mediated food allergic patients. TTP and LAIT are complementary triage tests used at our facilities to select worthwhile antigens to proceed with more laborious </w:t>
      </w:r>
      <w:r w:rsidRPr="004B5448">
        <w:rPr>
          <w:rFonts w:ascii="Arial" w:eastAsia="Times New Roman" w:hAnsi="Arial" w:cs="Arial"/>
          <w:i/>
          <w:iCs/>
          <w:sz w:val="20"/>
          <w:szCs w:val="20"/>
        </w:rPr>
        <w:t>in vivo</w:t>
      </w:r>
      <w:r w:rsidRPr="004B5448">
        <w:rPr>
          <w:rFonts w:ascii="Arial" w:eastAsia="Times New Roman" w:hAnsi="Arial" w:cs="Arial"/>
          <w:sz w:val="20"/>
          <w:szCs w:val="20"/>
        </w:rPr>
        <w:t xml:space="preserve"> provocation tests when the specific IgE is undetectable. None of our patients presented an exclusive reaction to these allergens. Every patient was simultaneously tested for several chemical and biological allergens, demonstrating positive results for some of them. Our results suggest that </w:t>
      </w:r>
      <w:r>
        <w:rPr>
          <w:rFonts w:ascii="Arial" w:eastAsia="Times New Roman" w:hAnsi="Arial" w:cs="Arial"/>
          <w:sz w:val="20"/>
          <w:szCs w:val="20"/>
        </w:rPr>
        <w:t>patients</w:t>
      </w:r>
      <w:r w:rsidR="009666D5">
        <w:rPr>
          <w:rFonts w:ascii="Arial" w:eastAsia="Times New Roman" w:hAnsi="Arial" w:cs="Arial"/>
          <w:sz w:val="20"/>
          <w:szCs w:val="20"/>
        </w:rPr>
        <w:t xml:space="preserve"> suffering from FPIGA due to</w:t>
      </w:r>
      <w:r>
        <w:rPr>
          <w:rFonts w:ascii="Arial" w:eastAsia="Times New Roman" w:hAnsi="Arial" w:cs="Arial"/>
          <w:sz w:val="20"/>
          <w:szCs w:val="20"/>
        </w:rPr>
        <w:t xml:space="preserve"> </w:t>
      </w:r>
      <w:r w:rsidRPr="004B5448">
        <w:rPr>
          <w:rFonts w:ascii="Arial" w:eastAsia="Times New Roman" w:hAnsi="Arial" w:cs="Arial"/>
          <w:sz w:val="20"/>
          <w:szCs w:val="20"/>
        </w:rPr>
        <w:t>hen’s egg yolk allerg</w:t>
      </w:r>
      <w:r>
        <w:rPr>
          <w:rFonts w:ascii="Arial" w:eastAsia="Times New Roman" w:hAnsi="Arial" w:cs="Arial"/>
          <w:sz w:val="20"/>
          <w:szCs w:val="20"/>
        </w:rPr>
        <w:t>y</w:t>
      </w:r>
      <w:r w:rsidRPr="004B5448">
        <w:rPr>
          <w:rFonts w:ascii="Arial" w:eastAsia="Times New Roman" w:hAnsi="Arial" w:cs="Arial"/>
          <w:sz w:val="20"/>
          <w:szCs w:val="20"/>
        </w:rPr>
        <w:t xml:space="preserve"> may </w:t>
      </w:r>
      <w:r>
        <w:rPr>
          <w:rFonts w:ascii="Arial" w:eastAsia="Times New Roman" w:hAnsi="Arial" w:cs="Arial"/>
          <w:sz w:val="20"/>
          <w:szCs w:val="20"/>
        </w:rPr>
        <w:t>experience</w:t>
      </w:r>
      <w:r w:rsidRPr="004B5448">
        <w:rPr>
          <w:rFonts w:ascii="Arial" w:eastAsia="Times New Roman" w:hAnsi="Arial" w:cs="Arial"/>
          <w:sz w:val="20"/>
          <w:szCs w:val="20"/>
        </w:rPr>
        <w:t xml:space="preserve"> additional cross-immunoreactivity against chicken meat allergens and vice-versa.</w:t>
      </w:r>
    </w:p>
    <w:p w14:paraId="6E098658" w14:textId="77777777" w:rsidR="00DC40C5" w:rsidRPr="00BE4587" w:rsidRDefault="00DC40C5" w:rsidP="00102055">
      <w:pPr>
        <w:spacing w:after="0" w:line="240" w:lineRule="auto"/>
        <w:ind w:firstLine="708"/>
        <w:jc w:val="both"/>
        <w:rPr>
          <w:rFonts w:ascii="Arial" w:eastAsia="Times New Roman" w:hAnsi="Arial" w:cs="Arial"/>
          <w:color w:val="FF0000"/>
          <w:sz w:val="20"/>
          <w:szCs w:val="20"/>
        </w:rPr>
      </w:pPr>
    </w:p>
    <w:p w14:paraId="7E73D5AA" w14:textId="77777777" w:rsidR="00DC40C5" w:rsidRPr="0043252F" w:rsidRDefault="00DC40C5" w:rsidP="002863D3">
      <w:pPr>
        <w:spacing w:after="0" w:line="240" w:lineRule="auto"/>
        <w:jc w:val="both"/>
        <w:rPr>
          <w:rFonts w:ascii="Arial" w:eastAsia="Times New Roman" w:hAnsi="Arial" w:cs="Arial"/>
          <w:b/>
          <w:bCs/>
        </w:rPr>
      </w:pPr>
      <w:r w:rsidRPr="0043252F">
        <w:rPr>
          <w:rFonts w:ascii="Arial" w:eastAsia="Times New Roman" w:hAnsi="Arial" w:cs="Arial"/>
          <w:b/>
          <w:bCs/>
        </w:rPr>
        <w:t>5. LIMITATIONS</w:t>
      </w:r>
    </w:p>
    <w:p w14:paraId="3CD8CE5F" w14:textId="77777777" w:rsidR="00DC40C5" w:rsidRPr="0043252F" w:rsidRDefault="00DC40C5" w:rsidP="002863D3">
      <w:pPr>
        <w:spacing w:after="0" w:line="240" w:lineRule="auto"/>
        <w:ind w:firstLine="708"/>
        <w:jc w:val="both"/>
        <w:rPr>
          <w:rFonts w:ascii="Arial" w:eastAsia="Times New Roman" w:hAnsi="Arial" w:cs="Arial"/>
          <w:sz w:val="20"/>
          <w:szCs w:val="20"/>
        </w:rPr>
      </w:pPr>
      <w:r w:rsidRPr="0043252F">
        <w:rPr>
          <w:rFonts w:ascii="Arial" w:eastAsia="Times New Roman" w:hAnsi="Arial" w:cs="Arial"/>
          <w:sz w:val="20"/>
          <w:szCs w:val="20"/>
        </w:rPr>
        <w:tab/>
      </w:r>
      <w:r w:rsidRPr="0043252F">
        <w:rPr>
          <w:rFonts w:ascii="Arial" w:eastAsia="Times New Roman" w:hAnsi="Arial" w:cs="Arial"/>
          <w:sz w:val="20"/>
          <w:szCs w:val="20"/>
        </w:rPr>
        <w:tab/>
      </w:r>
    </w:p>
    <w:p w14:paraId="6471F6D7" w14:textId="7F180239" w:rsidR="00DC40C5" w:rsidRPr="00DA71E8" w:rsidRDefault="00DC40C5" w:rsidP="002863D3">
      <w:pPr>
        <w:spacing w:after="0" w:line="240" w:lineRule="auto"/>
        <w:ind w:firstLine="708"/>
        <w:jc w:val="both"/>
        <w:rPr>
          <w:rFonts w:ascii="Arial" w:eastAsia="Times New Roman" w:hAnsi="Arial" w:cs="Arial"/>
          <w:sz w:val="20"/>
          <w:szCs w:val="20"/>
        </w:rPr>
      </w:pPr>
      <w:bookmarkStart w:id="3" w:name="_Hlk163286442"/>
      <w:r w:rsidRPr="00DA71E8">
        <w:rPr>
          <w:rFonts w:ascii="Arial" w:eastAsia="Times New Roman" w:hAnsi="Arial" w:cs="Arial"/>
          <w:sz w:val="20"/>
          <w:szCs w:val="20"/>
        </w:rPr>
        <w:t>This study is a retrospective analysis of data collected over seven years. There was no protocol research, and the subject's data was limited to the essentials available on our electronic sheets. Therefore, we could not establish a cross-comparison between positive and negative controls to validate the results. The number of subjects is appropriate for preliminary analyses; however, future studies must be more comprehensive. The lack of a research protocol implies the possibility of a bias produced by the p</w:t>
      </w:r>
      <w:r w:rsidR="00FD4DCF">
        <w:rPr>
          <w:rFonts w:ascii="Arial" w:eastAsia="Times New Roman" w:hAnsi="Arial" w:cs="Arial"/>
          <w:sz w:val="20"/>
          <w:szCs w:val="20"/>
        </w:rPr>
        <w:t>hysician's point of view</w:t>
      </w:r>
      <w:r w:rsidRPr="00DA71E8">
        <w:rPr>
          <w:rFonts w:ascii="Arial" w:eastAsia="Times New Roman" w:hAnsi="Arial" w:cs="Arial"/>
          <w:sz w:val="20"/>
          <w:szCs w:val="20"/>
        </w:rPr>
        <w:t xml:space="preserve"> who indicated the exam (CEO) based on a clinical suspicion led b</w:t>
      </w:r>
      <w:r>
        <w:rPr>
          <w:rFonts w:ascii="Arial" w:eastAsia="Times New Roman" w:hAnsi="Arial" w:cs="Arial"/>
          <w:sz w:val="20"/>
          <w:szCs w:val="20"/>
        </w:rPr>
        <w:t>y</w:t>
      </w:r>
      <w:r w:rsidRPr="00DA71E8">
        <w:rPr>
          <w:rFonts w:ascii="Arial" w:eastAsia="Times New Roman" w:hAnsi="Arial" w:cs="Arial"/>
          <w:sz w:val="20"/>
          <w:szCs w:val="20"/>
        </w:rPr>
        <w:t xml:space="preserve"> anamnesis</w:t>
      </w:r>
      <w:r>
        <w:rPr>
          <w:rFonts w:ascii="Arial" w:eastAsia="Times New Roman" w:hAnsi="Arial" w:cs="Arial"/>
          <w:sz w:val="20"/>
          <w:szCs w:val="20"/>
        </w:rPr>
        <w:t>,</w:t>
      </w:r>
      <w:r w:rsidRPr="00DA71E8">
        <w:rPr>
          <w:rFonts w:ascii="Arial" w:eastAsia="Times New Roman" w:hAnsi="Arial" w:cs="Arial"/>
          <w:sz w:val="20"/>
          <w:szCs w:val="20"/>
        </w:rPr>
        <w:t xml:space="preserve"> physical examination</w:t>
      </w:r>
      <w:r>
        <w:rPr>
          <w:rFonts w:ascii="Arial" w:eastAsia="Times New Roman" w:hAnsi="Arial" w:cs="Arial"/>
          <w:sz w:val="20"/>
          <w:szCs w:val="20"/>
        </w:rPr>
        <w:t>, results of skin tests</w:t>
      </w:r>
      <w:r w:rsidR="00FD4DCF">
        <w:rPr>
          <w:rFonts w:ascii="Arial" w:eastAsia="Times New Roman" w:hAnsi="Arial" w:cs="Arial"/>
          <w:sz w:val="20"/>
          <w:szCs w:val="20"/>
        </w:rPr>
        <w:t>,</w:t>
      </w:r>
      <w:r>
        <w:rPr>
          <w:rFonts w:ascii="Arial" w:eastAsia="Times New Roman" w:hAnsi="Arial" w:cs="Arial"/>
          <w:sz w:val="20"/>
          <w:szCs w:val="20"/>
        </w:rPr>
        <w:t xml:space="preserve"> and the research of specific IgE</w:t>
      </w:r>
      <w:r w:rsidRPr="00DA71E8">
        <w:rPr>
          <w:rFonts w:ascii="Arial" w:eastAsia="Times New Roman" w:hAnsi="Arial" w:cs="Arial"/>
          <w:sz w:val="20"/>
          <w:szCs w:val="20"/>
        </w:rPr>
        <w:t xml:space="preserve">. The study lost </w:t>
      </w:r>
      <w:r>
        <w:rPr>
          <w:rFonts w:ascii="Arial" w:eastAsia="Times New Roman" w:hAnsi="Arial" w:cs="Arial"/>
          <w:sz w:val="20"/>
          <w:szCs w:val="20"/>
        </w:rPr>
        <w:t>the follow</w:t>
      </w:r>
      <w:r w:rsidR="00FD4DCF">
        <w:rPr>
          <w:rFonts w:ascii="Arial" w:eastAsia="Times New Roman" w:hAnsi="Arial" w:cs="Arial"/>
          <w:sz w:val="20"/>
          <w:szCs w:val="20"/>
        </w:rPr>
        <w:t>-</w:t>
      </w:r>
      <w:r>
        <w:rPr>
          <w:rFonts w:ascii="Arial" w:eastAsia="Times New Roman" w:hAnsi="Arial" w:cs="Arial"/>
          <w:sz w:val="20"/>
          <w:szCs w:val="20"/>
        </w:rPr>
        <w:t>up of most</w:t>
      </w:r>
      <w:r w:rsidRPr="00DA71E8">
        <w:rPr>
          <w:rFonts w:ascii="Arial" w:eastAsia="Times New Roman" w:hAnsi="Arial" w:cs="Arial"/>
          <w:sz w:val="20"/>
          <w:szCs w:val="20"/>
        </w:rPr>
        <w:t xml:space="preserve"> patients</w:t>
      </w:r>
      <w:r>
        <w:rPr>
          <w:rFonts w:ascii="Arial" w:eastAsia="Times New Roman" w:hAnsi="Arial" w:cs="Arial"/>
          <w:sz w:val="20"/>
          <w:szCs w:val="20"/>
        </w:rPr>
        <w:t>,</w:t>
      </w:r>
      <w:r w:rsidRPr="00DA71E8">
        <w:rPr>
          <w:rFonts w:ascii="Arial" w:eastAsia="Times New Roman" w:hAnsi="Arial" w:cs="Arial"/>
          <w:sz w:val="20"/>
          <w:szCs w:val="20"/>
        </w:rPr>
        <w:t xml:space="preserve"> </w:t>
      </w:r>
      <w:r>
        <w:rPr>
          <w:rFonts w:ascii="Arial" w:eastAsia="Times New Roman" w:hAnsi="Arial" w:cs="Arial"/>
          <w:sz w:val="20"/>
          <w:szCs w:val="20"/>
        </w:rPr>
        <w:t>hampering</w:t>
      </w:r>
      <w:r w:rsidRPr="00DA71E8">
        <w:rPr>
          <w:rFonts w:ascii="Arial" w:eastAsia="Times New Roman" w:hAnsi="Arial" w:cs="Arial"/>
          <w:sz w:val="20"/>
          <w:szCs w:val="20"/>
        </w:rPr>
        <w:t xml:space="preserve"> the </w:t>
      </w:r>
      <w:r>
        <w:rPr>
          <w:rFonts w:ascii="Arial" w:eastAsia="Times New Roman" w:hAnsi="Arial" w:cs="Arial"/>
          <w:sz w:val="20"/>
          <w:szCs w:val="20"/>
        </w:rPr>
        <w:t>regist</w:t>
      </w:r>
      <w:r w:rsidR="00FD4DCF">
        <w:rPr>
          <w:rFonts w:ascii="Arial" w:eastAsia="Times New Roman" w:hAnsi="Arial" w:cs="Arial"/>
          <w:sz w:val="20"/>
          <w:szCs w:val="20"/>
        </w:rPr>
        <w:t>ration</w:t>
      </w:r>
      <w:r>
        <w:rPr>
          <w:rFonts w:ascii="Arial" w:eastAsia="Times New Roman" w:hAnsi="Arial" w:cs="Arial"/>
          <w:sz w:val="20"/>
          <w:szCs w:val="20"/>
        </w:rPr>
        <w:t xml:space="preserve"> of the </w:t>
      </w:r>
      <w:r w:rsidRPr="00DA71E8">
        <w:rPr>
          <w:rFonts w:ascii="Arial" w:eastAsia="Times New Roman" w:hAnsi="Arial" w:cs="Arial"/>
          <w:sz w:val="20"/>
          <w:szCs w:val="20"/>
        </w:rPr>
        <w:t>relationship between the immunoassay results and the patient's clinical outcome. Unfortunately, it was</w:t>
      </w:r>
      <w:r>
        <w:rPr>
          <w:rFonts w:ascii="Arial" w:eastAsia="Times New Roman" w:hAnsi="Arial" w:cs="Arial"/>
          <w:sz w:val="20"/>
          <w:szCs w:val="20"/>
        </w:rPr>
        <w:t xml:space="preserve"> also</w:t>
      </w:r>
      <w:r w:rsidRPr="00DA71E8">
        <w:rPr>
          <w:rFonts w:ascii="Arial" w:eastAsia="Times New Roman" w:hAnsi="Arial" w:cs="Arial"/>
          <w:sz w:val="20"/>
          <w:szCs w:val="20"/>
        </w:rPr>
        <w:t xml:space="preserve"> impossible to compare the two procedures with paired tests because they were taken from distinct groups of patients.</w:t>
      </w:r>
    </w:p>
    <w:p w14:paraId="03177844" w14:textId="77777777" w:rsidR="00DC40C5" w:rsidRPr="00DA71E8" w:rsidRDefault="00DC40C5" w:rsidP="002863D3">
      <w:pPr>
        <w:spacing w:after="0" w:line="240" w:lineRule="auto"/>
        <w:ind w:firstLine="708"/>
        <w:jc w:val="both"/>
        <w:rPr>
          <w:rFonts w:ascii="Arial" w:eastAsia="Times New Roman" w:hAnsi="Arial" w:cs="Arial"/>
          <w:sz w:val="20"/>
          <w:szCs w:val="20"/>
        </w:rPr>
      </w:pPr>
    </w:p>
    <w:bookmarkEnd w:id="3"/>
    <w:p w14:paraId="366D7A3B" w14:textId="77777777" w:rsidR="00DC40C5" w:rsidRPr="00995BFD" w:rsidRDefault="00DC40C5" w:rsidP="00646870">
      <w:pPr>
        <w:spacing w:after="0" w:line="240" w:lineRule="auto"/>
        <w:jc w:val="both"/>
        <w:rPr>
          <w:rFonts w:ascii="Arial" w:eastAsia="Times New Roman" w:hAnsi="Arial" w:cs="Arial"/>
          <w:sz w:val="16"/>
          <w:szCs w:val="20"/>
        </w:rPr>
      </w:pPr>
    </w:p>
    <w:p w14:paraId="20F705C0" w14:textId="77777777" w:rsidR="00DC40C5" w:rsidRPr="00995BFD" w:rsidRDefault="00DC40C5" w:rsidP="00646870">
      <w:pPr>
        <w:pStyle w:val="Heading2"/>
        <w:rPr>
          <w:rFonts w:eastAsia="Times New Roman"/>
        </w:rPr>
      </w:pPr>
      <w:r w:rsidRPr="00995BFD">
        <w:rPr>
          <w:rFonts w:eastAsia="Times New Roman"/>
        </w:rPr>
        <w:t>6. CONCLUSION</w:t>
      </w:r>
    </w:p>
    <w:p w14:paraId="3FA458D6" w14:textId="77777777" w:rsidR="00DC40C5" w:rsidRPr="00995BFD" w:rsidRDefault="00DC40C5" w:rsidP="00646870">
      <w:pPr>
        <w:keepNext/>
        <w:spacing w:after="0" w:line="240" w:lineRule="auto"/>
        <w:jc w:val="both"/>
        <w:rPr>
          <w:rFonts w:ascii="Arial" w:eastAsia="Times New Roman" w:hAnsi="Arial" w:cs="Arial"/>
          <w:b/>
          <w:caps/>
          <w:sz w:val="16"/>
          <w:szCs w:val="20"/>
        </w:rPr>
      </w:pPr>
    </w:p>
    <w:p w14:paraId="1EF0EB87" w14:textId="0BDEBDB3" w:rsidR="00DC40C5" w:rsidRPr="001A33CD" w:rsidRDefault="00DC40C5" w:rsidP="00794B03">
      <w:pPr>
        <w:spacing w:after="0" w:line="240" w:lineRule="auto"/>
        <w:ind w:firstLine="708"/>
        <w:jc w:val="both"/>
        <w:rPr>
          <w:rFonts w:ascii="Arial" w:eastAsia="Times New Roman" w:hAnsi="Arial" w:cs="Arial"/>
          <w:sz w:val="20"/>
          <w:szCs w:val="20"/>
        </w:rPr>
      </w:pPr>
      <w:r w:rsidRPr="001A33CD">
        <w:rPr>
          <w:rFonts w:ascii="Arial" w:eastAsia="Calibri" w:hAnsi="Arial" w:cs="Arial"/>
          <w:bCs/>
          <w:sz w:val="20"/>
        </w:rPr>
        <w:t xml:space="preserve">Our preliminary results show that the LAIT and TTP may differentiate diverse degrees of immunoreactivity against chicken meat and egg yolk extracts in patients clinically diagnosed with </w:t>
      </w:r>
      <w:r w:rsidRPr="001A33CD">
        <w:rPr>
          <w:rFonts w:ascii="Arial" w:eastAsia="Times New Roman" w:hAnsi="Arial" w:cs="Arial"/>
          <w:sz w:val="20"/>
          <w:szCs w:val="20"/>
        </w:rPr>
        <w:t>non–</w:t>
      </w:r>
      <w:r w:rsidRPr="001A33CD">
        <w:rPr>
          <w:rFonts w:ascii="Arial" w:eastAsia="Times New Roman" w:hAnsi="Arial" w:cs="Arial"/>
          <w:sz w:val="20"/>
          <w:szCs w:val="20"/>
        </w:rPr>
        <w:lastRenderedPageBreak/>
        <w:t>IgE-mediated Gastrointestinal Food Allergies</w:t>
      </w:r>
      <w:r w:rsidRPr="001A33CD">
        <w:rPr>
          <w:rFonts w:ascii="Arial" w:eastAsia="Calibri" w:hAnsi="Arial" w:cs="Arial"/>
          <w:bCs/>
          <w:sz w:val="20"/>
        </w:rPr>
        <w:t>. LAIT and TTP are inexpensive, can be performed with minimum laboratory equipment, and can be incorporated into strategies to address respiratory and food allergy</w:t>
      </w:r>
      <w:r>
        <w:rPr>
          <w:rFonts w:ascii="Arial" w:eastAsia="Calibri" w:hAnsi="Arial" w:cs="Arial"/>
          <w:bCs/>
          <w:sz w:val="20"/>
        </w:rPr>
        <w:t xml:space="preserve"> </w:t>
      </w:r>
      <w:r w:rsidRPr="001A33CD">
        <w:rPr>
          <w:rFonts w:ascii="Arial" w:eastAsia="Calibri" w:hAnsi="Arial" w:cs="Arial"/>
          <w:bCs/>
          <w:sz w:val="20"/>
        </w:rPr>
        <w:t xml:space="preserve">health disparities </w:t>
      </w:r>
      <w:r>
        <w:rPr>
          <w:rFonts w:ascii="Arial" w:eastAsia="Calibri" w:hAnsi="Arial" w:cs="Arial"/>
          <w:bCs/>
          <w:noProof/>
          <w:sz w:val="20"/>
        </w:rPr>
        <w:t xml:space="preserve">(Anagnostou </w:t>
      </w:r>
      <w:r w:rsidR="000B711F" w:rsidRPr="000B711F">
        <w:rPr>
          <w:rFonts w:ascii="Arial" w:eastAsia="Calibri" w:hAnsi="Arial" w:cs="Arial"/>
          <w:bCs/>
          <w:noProof/>
          <w:sz w:val="20"/>
        </w:rPr>
        <w:t>et al</w:t>
      </w:r>
      <w:r>
        <w:rPr>
          <w:rFonts w:ascii="Arial" w:eastAsia="Calibri" w:hAnsi="Arial" w:cs="Arial"/>
          <w:bCs/>
          <w:noProof/>
          <w:sz w:val="20"/>
        </w:rPr>
        <w:t>. 2025)</w:t>
      </w:r>
      <w:r w:rsidRPr="001A33CD">
        <w:rPr>
          <w:rFonts w:ascii="Arial" w:eastAsia="Calibri" w:hAnsi="Arial" w:cs="Arial"/>
          <w:bCs/>
          <w:sz w:val="20"/>
        </w:rPr>
        <w:t xml:space="preserve">. </w:t>
      </w:r>
      <w:r w:rsidRPr="001A33CD">
        <w:rPr>
          <w:rFonts w:ascii="Arial" w:eastAsia="Times New Roman" w:hAnsi="Arial" w:cs="Arial"/>
          <w:sz w:val="20"/>
          <w:szCs w:val="20"/>
        </w:rPr>
        <w:t xml:space="preserve">As a preliminary report, the propaedeutic meaning of the presented results and the possibility of interferents must be yet established </w:t>
      </w:r>
      <w:r>
        <w:rPr>
          <w:rFonts w:ascii="Arial" w:eastAsia="Times New Roman" w:hAnsi="Arial" w:cs="Arial"/>
          <w:noProof/>
          <w:sz w:val="20"/>
          <w:szCs w:val="20"/>
        </w:rPr>
        <w:t>(Anouar 2024)</w:t>
      </w:r>
      <w:r w:rsidRPr="001A33CD">
        <w:rPr>
          <w:rFonts w:ascii="Arial" w:eastAsia="Times New Roman" w:hAnsi="Arial" w:cs="Arial"/>
          <w:sz w:val="20"/>
          <w:szCs w:val="20"/>
        </w:rPr>
        <w:t>. More studies focused on the quality-by-design approach</w:t>
      </w:r>
      <w:r>
        <w:rPr>
          <w:rFonts w:ascii="Arial" w:eastAsia="Times New Roman" w:hAnsi="Arial" w:cs="Arial"/>
          <w:sz w:val="20"/>
          <w:szCs w:val="20"/>
        </w:rPr>
        <w:t>,</w:t>
      </w:r>
      <w:r w:rsidRPr="001A33CD">
        <w:rPr>
          <w:rFonts w:ascii="Arial" w:eastAsia="Times New Roman" w:hAnsi="Arial" w:cs="Arial"/>
          <w:sz w:val="20"/>
          <w:szCs w:val="20"/>
        </w:rPr>
        <w:t xml:space="preserve"> with prospective larger double-blind cohorts ne</w:t>
      </w:r>
      <w:r>
        <w:rPr>
          <w:rFonts w:ascii="Arial" w:eastAsia="Times New Roman" w:hAnsi="Arial" w:cs="Arial"/>
          <w:sz w:val="20"/>
          <w:szCs w:val="20"/>
        </w:rPr>
        <w:t>ed</w:t>
      </w:r>
      <w:r w:rsidRPr="001A33CD">
        <w:rPr>
          <w:rFonts w:ascii="Arial" w:eastAsia="Times New Roman" w:hAnsi="Arial" w:cs="Arial"/>
          <w:sz w:val="20"/>
          <w:szCs w:val="20"/>
        </w:rPr>
        <w:t xml:space="preserve">ed to evaluate the potential contribution of LAIT and TTP for endotyping cellular and humoral immunoreactivity in patients suspected of hypersensitivity against chicken allergens </w:t>
      </w:r>
      <w:r>
        <w:rPr>
          <w:rFonts w:ascii="Arial" w:eastAsia="Times New Roman" w:hAnsi="Arial" w:cs="Arial"/>
          <w:noProof/>
          <w:sz w:val="20"/>
          <w:szCs w:val="20"/>
        </w:rPr>
        <w:t xml:space="preserve">(Chiarentin </w:t>
      </w:r>
      <w:r w:rsidR="000B711F" w:rsidRPr="000B711F">
        <w:rPr>
          <w:rFonts w:ascii="Arial" w:eastAsia="Times New Roman" w:hAnsi="Arial" w:cs="Arial"/>
          <w:noProof/>
          <w:sz w:val="20"/>
          <w:szCs w:val="20"/>
        </w:rPr>
        <w:t>et al</w:t>
      </w:r>
      <w:r>
        <w:rPr>
          <w:rFonts w:ascii="Arial" w:eastAsia="Times New Roman" w:hAnsi="Arial" w:cs="Arial"/>
          <w:noProof/>
          <w:sz w:val="20"/>
          <w:szCs w:val="20"/>
        </w:rPr>
        <w:t>. 2023)</w:t>
      </w:r>
      <w:r w:rsidRPr="001A33CD">
        <w:rPr>
          <w:rFonts w:ascii="Arial" w:eastAsia="Times New Roman" w:hAnsi="Arial" w:cs="Arial"/>
          <w:sz w:val="20"/>
          <w:szCs w:val="20"/>
        </w:rPr>
        <w:t>.</w:t>
      </w:r>
    </w:p>
    <w:p w14:paraId="1B884F18" w14:textId="77777777" w:rsidR="00DC40C5" w:rsidRPr="001A33CD" w:rsidRDefault="00DC40C5" w:rsidP="003500B1">
      <w:pPr>
        <w:tabs>
          <w:tab w:val="left" w:pos="3794"/>
        </w:tabs>
        <w:spacing w:after="0" w:line="240" w:lineRule="auto"/>
        <w:ind w:firstLine="708"/>
        <w:jc w:val="both"/>
        <w:rPr>
          <w:rFonts w:ascii="Arial" w:eastAsia="Times New Roman" w:hAnsi="Arial" w:cs="Arial"/>
          <w:sz w:val="20"/>
          <w:szCs w:val="20"/>
        </w:rPr>
      </w:pPr>
      <w:r w:rsidRPr="001A33CD">
        <w:rPr>
          <w:rFonts w:ascii="Arial" w:eastAsia="Times New Roman" w:hAnsi="Arial" w:cs="Arial"/>
          <w:sz w:val="20"/>
          <w:szCs w:val="20"/>
        </w:rPr>
        <w:tab/>
      </w:r>
    </w:p>
    <w:p w14:paraId="574F1645" w14:textId="77777777" w:rsidR="00DC40C5" w:rsidRPr="00BB4D69" w:rsidRDefault="00DC40C5" w:rsidP="008E79BC">
      <w:pPr>
        <w:spacing w:after="0" w:line="240" w:lineRule="auto"/>
        <w:ind w:firstLine="708"/>
        <w:jc w:val="both"/>
        <w:rPr>
          <w:rFonts w:ascii="Arial" w:eastAsia="Times New Roman" w:hAnsi="Arial" w:cs="Arial"/>
          <w:color w:val="FF0000"/>
          <w:sz w:val="20"/>
          <w:szCs w:val="20"/>
        </w:rPr>
      </w:pPr>
      <w:r w:rsidRPr="00BB4D69">
        <w:rPr>
          <w:rFonts w:ascii="Arial" w:eastAsia="Times New Roman" w:hAnsi="Arial" w:cs="Arial"/>
          <w:color w:val="FF0000"/>
          <w:sz w:val="20"/>
          <w:szCs w:val="20"/>
        </w:rPr>
        <w:tab/>
      </w:r>
    </w:p>
    <w:p w14:paraId="10164B02" w14:textId="77777777" w:rsidR="00DC40C5" w:rsidRPr="00BB4D69" w:rsidRDefault="00DC40C5" w:rsidP="008E79BC">
      <w:pPr>
        <w:rPr>
          <w:rFonts w:ascii="Arial" w:eastAsia="Times New Roman" w:hAnsi="Arial" w:cs="Arial"/>
          <w:b/>
          <w:bCs/>
        </w:rPr>
      </w:pPr>
      <w:bookmarkStart w:id="4" w:name="_Hlk182027939"/>
      <w:r w:rsidRPr="00BB4D69">
        <w:rPr>
          <w:rFonts w:ascii="Arial" w:eastAsia="Times New Roman" w:hAnsi="Arial" w:cs="Arial"/>
          <w:b/>
          <w:bCs/>
        </w:rPr>
        <w:t>7. FUTURE DIRECTIONS AND RECOMMENDATIONS FOR CLINICAL PRACTICE</w:t>
      </w:r>
    </w:p>
    <w:p w14:paraId="42483B75" w14:textId="77777777" w:rsidR="00DC40C5" w:rsidRPr="00BB4D69" w:rsidRDefault="00DC40C5" w:rsidP="00214F60">
      <w:pPr>
        <w:spacing w:after="0" w:line="240" w:lineRule="auto"/>
        <w:ind w:firstLine="708"/>
        <w:jc w:val="both"/>
        <w:rPr>
          <w:rFonts w:ascii="Arial" w:eastAsia="Times New Roman" w:hAnsi="Arial" w:cs="Arial"/>
          <w:sz w:val="20"/>
          <w:szCs w:val="20"/>
        </w:rPr>
      </w:pPr>
      <w:r w:rsidRPr="00BB4D69">
        <w:rPr>
          <w:rFonts w:ascii="Arial" w:eastAsia="Times New Roman" w:hAnsi="Arial" w:cs="Arial"/>
          <w:sz w:val="20"/>
          <w:szCs w:val="20"/>
        </w:rPr>
        <w:t xml:space="preserve">The primary intended use of </w:t>
      </w:r>
      <w:r w:rsidRPr="005714AA">
        <w:rPr>
          <w:rFonts w:ascii="Arial" w:eastAsia="Times New Roman" w:hAnsi="Arial" w:cs="Arial"/>
          <w:i/>
          <w:iCs/>
          <w:sz w:val="20"/>
          <w:szCs w:val="20"/>
        </w:rPr>
        <w:t>in vitro</w:t>
      </w:r>
      <w:r w:rsidRPr="00BB4D69">
        <w:rPr>
          <w:rFonts w:ascii="Arial" w:eastAsia="Times New Roman" w:hAnsi="Arial" w:cs="Arial"/>
          <w:sz w:val="20"/>
          <w:szCs w:val="20"/>
        </w:rPr>
        <w:t xml:space="preserve"> or </w:t>
      </w:r>
      <w:r w:rsidRPr="005714AA">
        <w:rPr>
          <w:rFonts w:ascii="Arial" w:eastAsia="Times New Roman" w:hAnsi="Arial" w:cs="Arial"/>
          <w:i/>
          <w:iCs/>
          <w:sz w:val="20"/>
          <w:szCs w:val="20"/>
        </w:rPr>
        <w:t>ex vivo</w:t>
      </w:r>
      <w:r w:rsidRPr="00BB4D69">
        <w:rPr>
          <w:rFonts w:ascii="Arial" w:eastAsia="Times New Roman" w:hAnsi="Arial" w:cs="Arial"/>
          <w:sz w:val="20"/>
          <w:szCs w:val="20"/>
        </w:rPr>
        <w:t xml:space="preserve"> allergen challenge</w:t>
      </w:r>
      <w:r>
        <w:rPr>
          <w:rFonts w:ascii="Arial" w:eastAsia="Times New Roman" w:hAnsi="Arial" w:cs="Arial"/>
          <w:sz w:val="20"/>
          <w:szCs w:val="20"/>
        </w:rPr>
        <w:t xml:space="preserve"> test</w:t>
      </w:r>
      <w:r w:rsidRPr="00BB4D69">
        <w:rPr>
          <w:rFonts w:ascii="Arial" w:eastAsia="Times New Roman" w:hAnsi="Arial" w:cs="Arial"/>
          <w:sz w:val="20"/>
          <w:szCs w:val="20"/>
        </w:rPr>
        <w:t xml:space="preserve">s is to spare the patients from being submitted to </w:t>
      </w:r>
      <w:r>
        <w:rPr>
          <w:rFonts w:ascii="Arial" w:eastAsia="Times New Roman" w:hAnsi="Arial" w:cs="Arial"/>
          <w:sz w:val="20"/>
          <w:szCs w:val="20"/>
        </w:rPr>
        <w:t xml:space="preserve">unnecessary, </w:t>
      </w:r>
      <w:r w:rsidRPr="00BB4D69">
        <w:rPr>
          <w:rFonts w:ascii="Arial" w:eastAsia="Times New Roman" w:hAnsi="Arial" w:cs="Arial"/>
          <w:sz w:val="20"/>
          <w:szCs w:val="20"/>
        </w:rPr>
        <w:t>exhaustive</w:t>
      </w:r>
      <w:r>
        <w:rPr>
          <w:rFonts w:ascii="Arial" w:eastAsia="Times New Roman" w:hAnsi="Arial" w:cs="Arial"/>
          <w:sz w:val="20"/>
          <w:szCs w:val="20"/>
        </w:rPr>
        <w:t>,</w:t>
      </w:r>
      <w:r w:rsidRPr="00BB4D69">
        <w:rPr>
          <w:rFonts w:ascii="Arial" w:eastAsia="Times New Roman" w:hAnsi="Arial" w:cs="Arial"/>
          <w:sz w:val="20"/>
          <w:szCs w:val="20"/>
        </w:rPr>
        <w:t xml:space="preserve"> and dangerous </w:t>
      </w:r>
      <w:r w:rsidRPr="00BB4D69">
        <w:rPr>
          <w:rFonts w:ascii="Arial" w:eastAsia="Times New Roman" w:hAnsi="Arial" w:cs="Arial"/>
          <w:i/>
          <w:iCs/>
          <w:sz w:val="20"/>
          <w:szCs w:val="20"/>
        </w:rPr>
        <w:t>in vivo</w:t>
      </w:r>
      <w:r w:rsidRPr="00BB4D69">
        <w:rPr>
          <w:rFonts w:ascii="Arial" w:eastAsia="Times New Roman" w:hAnsi="Arial" w:cs="Arial"/>
          <w:sz w:val="20"/>
          <w:szCs w:val="20"/>
        </w:rPr>
        <w:t xml:space="preserve"> challenge tests. Exploring the humoral and the cellular arms of immune systems, the TTP and </w:t>
      </w:r>
      <w:r>
        <w:rPr>
          <w:rFonts w:ascii="Arial" w:eastAsia="Times New Roman" w:hAnsi="Arial" w:cs="Arial"/>
          <w:sz w:val="20"/>
          <w:szCs w:val="20"/>
        </w:rPr>
        <w:t>LAIT</w:t>
      </w:r>
      <w:r w:rsidRPr="00BB4D69">
        <w:rPr>
          <w:rFonts w:ascii="Arial" w:eastAsia="Times New Roman" w:hAnsi="Arial" w:cs="Arial"/>
          <w:sz w:val="20"/>
          <w:szCs w:val="20"/>
        </w:rPr>
        <w:t xml:space="preserve"> alone or combined may represent, in </w:t>
      </w:r>
      <w:r>
        <w:rPr>
          <w:rFonts w:ascii="Arial" w:eastAsia="Times New Roman" w:hAnsi="Arial" w:cs="Arial"/>
          <w:sz w:val="20"/>
          <w:szCs w:val="20"/>
        </w:rPr>
        <w:t>the</w:t>
      </w:r>
      <w:r w:rsidRPr="00BB4D69">
        <w:rPr>
          <w:rFonts w:ascii="Arial" w:eastAsia="Times New Roman" w:hAnsi="Arial" w:cs="Arial"/>
          <w:sz w:val="20"/>
          <w:szCs w:val="20"/>
        </w:rPr>
        <w:t xml:space="preserve"> near future, a tool for allergists to construct an etiologic diagnosis from their patients, as well as determine the endotypes (mechanisms) of hypersensitivity, in order to choose more convenient and personalized therapies for them. </w:t>
      </w:r>
      <w:r>
        <w:rPr>
          <w:rFonts w:ascii="Arial" w:eastAsia="Times New Roman" w:hAnsi="Arial" w:cs="Arial"/>
          <w:sz w:val="20"/>
          <w:szCs w:val="20"/>
        </w:rPr>
        <w:t xml:space="preserve">Adding data provided by TTP and LAIT may also contribute to streamlining biomedical research and improving tools such as Large Language Models, usually used by </w:t>
      </w:r>
      <w:r w:rsidRPr="006E0430">
        <w:rPr>
          <w:rFonts w:ascii="Arial" w:eastAsia="Times New Roman" w:hAnsi="Arial" w:cs="Arial"/>
          <w:sz w:val="20"/>
          <w:szCs w:val="20"/>
        </w:rPr>
        <w:t>clinicians as a</w:t>
      </w:r>
      <w:r>
        <w:rPr>
          <w:rFonts w:ascii="Arial" w:eastAsia="Times New Roman" w:hAnsi="Arial" w:cs="Arial"/>
          <w:sz w:val="20"/>
          <w:szCs w:val="20"/>
        </w:rPr>
        <w:t xml:space="preserve"> </w:t>
      </w:r>
      <w:r w:rsidRPr="006E0430">
        <w:rPr>
          <w:rFonts w:ascii="Arial" w:eastAsia="Times New Roman" w:hAnsi="Arial" w:cs="Arial"/>
          <w:sz w:val="20"/>
          <w:szCs w:val="20"/>
        </w:rPr>
        <w:t>decision support system to enhance diagnostic accuracy</w:t>
      </w:r>
      <w:r>
        <w:rPr>
          <w:rFonts w:ascii="Arial" w:eastAsia="Times New Roman" w:hAnsi="Arial" w:cs="Arial"/>
          <w:sz w:val="20"/>
          <w:szCs w:val="20"/>
        </w:rPr>
        <w:t xml:space="preserve"> </w:t>
      </w:r>
      <w:r>
        <w:rPr>
          <w:rFonts w:ascii="Arial" w:eastAsia="Times New Roman" w:hAnsi="Arial" w:cs="Arial"/>
          <w:noProof/>
          <w:sz w:val="20"/>
          <w:szCs w:val="20"/>
        </w:rPr>
        <w:t>(Abers and Mathias 2025)</w:t>
      </w:r>
      <w:r>
        <w:rPr>
          <w:rFonts w:ascii="Arial" w:eastAsia="Times New Roman" w:hAnsi="Arial" w:cs="Arial"/>
          <w:sz w:val="20"/>
          <w:szCs w:val="20"/>
        </w:rPr>
        <w:t>.</w:t>
      </w:r>
    </w:p>
    <w:p w14:paraId="681DC607" w14:textId="77777777" w:rsidR="00DC40C5" w:rsidRPr="00BB4D69" w:rsidRDefault="00DC40C5" w:rsidP="008E79BC">
      <w:pPr>
        <w:spacing w:after="0" w:line="240" w:lineRule="auto"/>
        <w:ind w:firstLine="708"/>
        <w:jc w:val="both"/>
        <w:rPr>
          <w:rFonts w:ascii="Arial" w:eastAsia="Times New Roman" w:hAnsi="Arial" w:cs="Arial"/>
          <w:sz w:val="20"/>
          <w:szCs w:val="20"/>
        </w:rPr>
      </w:pPr>
    </w:p>
    <w:p w14:paraId="5942E22B" w14:textId="77777777" w:rsidR="00DC40C5" w:rsidRPr="00BB4D69" w:rsidRDefault="00DC40C5" w:rsidP="008E79BC">
      <w:pPr>
        <w:spacing w:after="0" w:line="240" w:lineRule="auto"/>
        <w:ind w:firstLine="708"/>
        <w:jc w:val="both"/>
        <w:rPr>
          <w:rFonts w:ascii="Arial" w:eastAsia="Times New Roman" w:hAnsi="Arial" w:cs="Arial"/>
          <w:color w:val="FF0000"/>
          <w:sz w:val="20"/>
          <w:szCs w:val="20"/>
        </w:rPr>
      </w:pPr>
    </w:p>
    <w:p w14:paraId="75EB6D79" w14:textId="77777777" w:rsidR="00DC40C5" w:rsidRPr="00BB4D69" w:rsidRDefault="00DC40C5" w:rsidP="008E79BC">
      <w:pPr>
        <w:pStyle w:val="Heading2"/>
        <w:rPr>
          <w:rFonts w:eastAsia="Times New Roman" w:cs="Arial"/>
        </w:rPr>
      </w:pPr>
      <w:r w:rsidRPr="00BB4D69">
        <w:rPr>
          <w:rFonts w:eastAsia="Times New Roman" w:cs="Arial"/>
        </w:rPr>
        <w:t>CONSENT</w:t>
      </w:r>
    </w:p>
    <w:p w14:paraId="63D3C3B3" w14:textId="77777777" w:rsidR="00DC40C5" w:rsidRPr="00BB4D69" w:rsidRDefault="00DC40C5" w:rsidP="008E79BC">
      <w:pPr>
        <w:spacing w:after="0" w:line="240" w:lineRule="auto"/>
        <w:rPr>
          <w:rFonts w:ascii="Arial" w:hAnsi="Arial" w:cs="Arial"/>
          <w:sz w:val="20"/>
        </w:rPr>
      </w:pPr>
    </w:p>
    <w:p w14:paraId="4E0796E6" w14:textId="77777777" w:rsidR="00DC40C5" w:rsidRPr="005E2A7F" w:rsidRDefault="00DC40C5" w:rsidP="008E79BC">
      <w:pPr>
        <w:spacing w:after="0" w:line="240" w:lineRule="auto"/>
        <w:rPr>
          <w:rFonts w:ascii="Arial" w:hAnsi="Arial" w:cs="Arial"/>
          <w:sz w:val="20"/>
        </w:rPr>
      </w:pPr>
      <w:r w:rsidRPr="00BB4D69">
        <w:rPr>
          <w:rFonts w:ascii="Arial" w:hAnsi="Arial" w:cs="Arial"/>
          <w:sz w:val="20"/>
        </w:rPr>
        <w:t xml:space="preserve">As a retrospective survey of results recorded </w:t>
      </w:r>
      <w:r w:rsidRPr="00BB4D69">
        <w:rPr>
          <w:rFonts w:ascii="Arial" w:hAnsi="Arial" w:cs="Arial"/>
          <w:i/>
          <w:iCs/>
          <w:sz w:val="20"/>
        </w:rPr>
        <w:t>in cognito</w:t>
      </w:r>
      <w:r w:rsidRPr="00BB4D69">
        <w:rPr>
          <w:rFonts w:ascii="Arial" w:hAnsi="Arial" w:cs="Arial"/>
          <w:sz w:val="20"/>
        </w:rPr>
        <w:t>, consent was given collectively by the institution's ethics committee</w:t>
      </w:r>
      <w:r w:rsidRPr="005E2A7F">
        <w:rPr>
          <w:rFonts w:ascii="Arial" w:hAnsi="Arial" w:cs="Arial"/>
          <w:sz w:val="20"/>
        </w:rPr>
        <w:t xml:space="preserve"> following the principles of the Declaration of Helsinki </w:t>
      </w:r>
      <w:r>
        <w:rPr>
          <w:rFonts w:ascii="Arial" w:hAnsi="Arial" w:cs="Arial"/>
          <w:noProof/>
          <w:sz w:val="20"/>
        </w:rPr>
        <w:t>(WMA 2013)</w:t>
      </w:r>
      <w:r w:rsidRPr="005E2A7F">
        <w:rPr>
          <w:rFonts w:ascii="Arial" w:hAnsi="Arial" w:cs="Arial"/>
          <w:sz w:val="20"/>
        </w:rPr>
        <w:t>.</w:t>
      </w:r>
    </w:p>
    <w:p w14:paraId="1434CC79" w14:textId="77777777" w:rsidR="00DC40C5" w:rsidRPr="005E2A7F" w:rsidRDefault="00DC40C5" w:rsidP="008E79BC">
      <w:pPr>
        <w:spacing w:after="0" w:line="240" w:lineRule="auto"/>
        <w:rPr>
          <w:rFonts w:ascii="Arial" w:hAnsi="Arial" w:cs="Arial"/>
          <w:color w:val="FF0000"/>
          <w:sz w:val="20"/>
        </w:rPr>
      </w:pPr>
    </w:p>
    <w:p w14:paraId="48950C68" w14:textId="77777777" w:rsidR="00DC40C5" w:rsidRPr="005E2A7F" w:rsidRDefault="00DC40C5" w:rsidP="008E79BC">
      <w:pPr>
        <w:pStyle w:val="Heading2"/>
      </w:pPr>
      <w:r w:rsidRPr="005E2A7F">
        <w:t>ETHICAL APPROVALS</w:t>
      </w:r>
    </w:p>
    <w:p w14:paraId="1909D271" w14:textId="77777777" w:rsidR="00DC40C5" w:rsidRPr="005E2A7F" w:rsidRDefault="00DC40C5" w:rsidP="008E79BC">
      <w:pPr>
        <w:keepNext/>
        <w:keepLines/>
        <w:spacing w:after="0" w:line="240" w:lineRule="auto"/>
        <w:jc w:val="both"/>
        <w:outlineLvl w:val="0"/>
        <w:rPr>
          <w:rFonts w:ascii="Arial" w:eastAsiaTheme="majorEastAsia" w:hAnsi="Arial" w:cs="Arial"/>
          <w:b/>
          <w:bCs/>
          <w:sz w:val="20"/>
          <w:szCs w:val="20"/>
        </w:rPr>
      </w:pPr>
    </w:p>
    <w:p w14:paraId="28DAF8AB" w14:textId="77777777" w:rsidR="00DC40C5" w:rsidRPr="005E2A7F" w:rsidRDefault="00DC40C5" w:rsidP="008E79BC">
      <w:pPr>
        <w:spacing w:after="0" w:line="240" w:lineRule="auto"/>
        <w:jc w:val="both"/>
        <w:rPr>
          <w:rFonts w:ascii="Arial" w:eastAsia="Times New Roman" w:hAnsi="Arial" w:cs="Arial"/>
          <w:sz w:val="20"/>
          <w:szCs w:val="20"/>
        </w:rPr>
      </w:pPr>
      <w:r w:rsidRPr="005E2A7F">
        <w:rPr>
          <w:rFonts w:ascii="Arial" w:eastAsia="Times New Roman" w:hAnsi="Arial" w:cs="Arial"/>
          <w:sz w:val="20"/>
          <w:szCs w:val="20"/>
        </w:rPr>
        <w:t>The authors have collected and preserved written ethical approval per international standards.</w:t>
      </w:r>
    </w:p>
    <w:p w14:paraId="738273C3" w14:textId="77777777" w:rsidR="00DC40C5" w:rsidRPr="005E2A7F" w:rsidRDefault="00DC40C5" w:rsidP="008E79BC">
      <w:pPr>
        <w:spacing w:after="0" w:line="240" w:lineRule="auto"/>
        <w:jc w:val="both"/>
        <w:rPr>
          <w:rFonts w:ascii="Arial" w:eastAsia="Times New Roman" w:hAnsi="Arial" w:cs="Arial"/>
          <w:color w:val="FF0000"/>
          <w:sz w:val="20"/>
          <w:szCs w:val="20"/>
        </w:rPr>
      </w:pPr>
    </w:p>
    <w:p w14:paraId="301362AC" w14:textId="77777777" w:rsidR="00DC40C5" w:rsidRDefault="00DC40C5" w:rsidP="008E79BC">
      <w:pPr>
        <w:spacing w:after="0" w:line="240" w:lineRule="auto"/>
        <w:jc w:val="both"/>
        <w:rPr>
          <w:rFonts w:ascii="Arial" w:eastAsia="Times New Roman" w:hAnsi="Arial" w:cs="Arial"/>
          <w:sz w:val="20"/>
          <w:szCs w:val="20"/>
        </w:rPr>
      </w:pPr>
    </w:p>
    <w:p w14:paraId="5F651FFB" w14:textId="77777777" w:rsidR="00DC40C5" w:rsidRPr="00652DDB" w:rsidRDefault="00DC40C5" w:rsidP="008E79BC">
      <w:pPr>
        <w:rPr>
          <w:rFonts w:ascii="Arial" w:eastAsia="Calibri" w:hAnsi="Arial" w:cs="Arial"/>
          <w:b/>
          <w:bCs/>
          <w:kern w:val="2"/>
          <w:sz w:val="24"/>
          <w:szCs w:val="24"/>
          <w14:ligatures w14:val="standardContextual"/>
        </w:rPr>
      </w:pPr>
      <w:r w:rsidRPr="00652DDB">
        <w:rPr>
          <w:rFonts w:ascii="Arial" w:eastAsia="Calibri" w:hAnsi="Arial" w:cs="Arial"/>
          <w:b/>
          <w:bCs/>
          <w:kern w:val="2"/>
          <w:sz w:val="24"/>
          <w:szCs w:val="24"/>
          <w14:ligatures w14:val="standardContextual"/>
        </w:rPr>
        <w:t>Disclaimer (</w:t>
      </w:r>
      <w:r>
        <w:rPr>
          <w:rFonts w:ascii="Arial" w:eastAsia="Calibri" w:hAnsi="Arial" w:cs="Arial"/>
          <w:b/>
          <w:bCs/>
          <w:kern w:val="2"/>
          <w:sz w:val="24"/>
          <w:szCs w:val="24"/>
          <w14:ligatures w14:val="standardContextual"/>
        </w:rPr>
        <w:t>a</w:t>
      </w:r>
      <w:r w:rsidRPr="00652DDB">
        <w:rPr>
          <w:rFonts w:ascii="Arial" w:eastAsia="Calibri" w:hAnsi="Arial" w:cs="Arial"/>
          <w:b/>
          <w:bCs/>
          <w:kern w:val="2"/>
          <w:sz w:val="24"/>
          <w:szCs w:val="24"/>
          <w14:ligatures w14:val="standardContextual"/>
        </w:rPr>
        <w:t>rtificial intelligence)</w:t>
      </w:r>
    </w:p>
    <w:p w14:paraId="4588BD52" w14:textId="77777777" w:rsidR="00DC40C5" w:rsidRPr="00652DDB" w:rsidRDefault="00DC40C5" w:rsidP="008E79BC">
      <w:pPr>
        <w:jc w:val="both"/>
        <w:rPr>
          <w:rFonts w:ascii="Arial" w:eastAsia="Calibri" w:hAnsi="Arial" w:cs="Arial"/>
          <w:kern w:val="2"/>
          <w:sz w:val="20"/>
          <w:szCs w:val="20"/>
          <w14:ligatures w14:val="standardContextual"/>
        </w:rPr>
      </w:pPr>
      <w:r w:rsidRPr="00B93469">
        <w:rPr>
          <w:rFonts w:ascii="Arial" w:eastAsia="Calibri" w:hAnsi="Arial" w:cs="Arial"/>
          <w:kern w:val="2"/>
          <w:sz w:val="20"/>
          <w:szCs w:val="20"/>
          <w14:ligatures w14:val="standardContextual"/>
        </w:rPr>
        <w:t>Authors hereby declare that NO generative AI technologies such as Large Language Models (ChatGPT, COPILOT, etc.) and text-to-image generators have been used during the writing or editing of this manuscript</w:t>
      </w:r>
      <w:r w:rsidRPr="00652DDB">
        <w:rPr>
          <w:rFonts w:ascii="Arial" w:eastAsia="Calibri" w:hAnsi="Arial" w:cs="Arial"/>
          <w:kern w:val="2"/>
          <w:sz w:val="20"/>
          <w:szCs w:val="20"/>
          <w14:ligatures w14:val="standardContextual"/>
        </w:rPr>
        <w:t xml:space="preserve">. </w:t>
      </w:r>
    </w:p>
    <w:bookmarkEnd w:id="4"/>
    <w:p w14:paraId="29D3C42A" w14:textId="77777777" w:rsidR="00DC40C5" w:rsidRPr="005E2A7F" w:rsidRDefault="00DC40C5" w:rsidP="00B45921">
      <w:pPr>
        <w:spacing w:after="0" w:line="240" w:lineRule="auto"/>
        <w:jc w:val="both"/>
        <w:rPr>
          <w:rFonts w:ascii="Arial" w:eastAsia="Times New Roman" w:hAnsi="Arial" w:cs="Arial"/>
          <w:color w:val="FF0000"/>
          <w:sz w:val="20"/>
          <w:szCs w:val="20"/>
        </w:rPr>
        <w:sectPr w:rsidR="00DC40C5" w:rsidRPr="005E2A7F" w:rsidSect="00DC40C5">
          <w:headerReference w:type="even" r:id="rId19"/>
          <w:headerReference w:type="default" r:id="rId20"/>
          <w:footerReference w:type="default" r:id="rId21"/>
          <w:headerReference w:type="first" r:id="rId22"/>
          <w:footerReference w:type="first" r:id="rId23"/>
          <w:type w:val="continuous"/>
          <w:pgSz w:w="11909" w:h="16834" w:code="9"/>
          <w:pgMar w:top="1440" w:right="1419" w:bottom="1440" w:left="1440" w:header="720" w:footer="864" w:gutter="0"/>
          <w:cols w:space="720"/>
          <w:titlePg/>
          <w:docGrid w:linePitch="360"/>
        </w:sectPr>
      </w:pPr>
    </w:p>
    <w:p w14:paraId="3C193CC6" w14:textId="77777777" w:rsidR="00DC40C5" w:rsidRPr="005E2A7F" w:rsidRDefault="00DC40C5" w:rsidP="00B45921">
      <w:pPr>
        <w:spacing w:after="0" w:line="240" w:lineRule="auto"/>
        <w:jc w:val="both"/>
        <w:rPr>
          <w:rFonts w:ascii="Arial" w:eastAsia="Times New Roman" w:hAnsi="Arial" w:cs="Arial"/>
          <w:color w:val="FF0000"/>
          <w:sz w:val="20"/>
          <w:szCs w:val="20"/>
        </w:rPr>
        <w:sectPr w:rsidR="00DC40C5" w:rsidRPr="005E2A7F" w:rsidSect="00DC40C5">
          <w:type w:val="continuous"/>
          <w:pgSz w:w="11909" w:h="16834" w:code="9"/>
          <w:pgMar w:top="1440" w:right="1419" w:bottom="1440" w:left="1440" w:header="720" w:footer="864" w:gutter="0"/>
          <w:cols w:space="720"/>
          <w:titlePg/>
          <w:docGrid w:linePitch="360"/>
        </w:sectPr>
      </w:pPr>
    </w:p>
    <w:p w14:paraId="5AEF1F44" w14:textId="77777777" w:rsidR="00603BC2" w:rsidRPr="00603BC2" w:rsidRDefault="00603BC2" w:rsidP="00603BC2">
      <w:pPr>
        <w:rPr>
          <w:rFonts w:ascii="Arial" w:hAnsi="Arial" w:cs="Arial"/>
          <w:b/>
          <w:bCs/>
          <w:lang w:val="pt-BR"/>
        </w:rPr>
      </w:pPr>
      <w:r w:rsidRPr="00603BC2">
        <w:rPr>
          <w:rFonts w:ascii="Arial" w:hAnsi="Arial" w:cs="Arial"/>
          <w:b/>
          <w:bCs/>
          <w:lang w:val="pt-BR"/>
        </w:rPr>
        <w:t>REFERENCES</w:t>
      </w:r>
    </w:p>
    <w:p w14:paraId="228F64FF" w14:textId="77777777" w:rsidR="00603BC2" w:rsidRPr="00603BC2" w:rsidRDefault="00603BC2" w:rsidP="00603BC2">
      <w:pPr>
        <w:rPr>
          <w:rFonts w:ascii="Arial" w:hAnsi="Arial" w:cs="Arial"/>
          <w:lang w:val="pt-BR"/>
        </w:rPr>
      </w:pPr>
    </w:p>
    <w:p w14:paraId="722256B0" w14:textId="74AFA894" w:rsidR="00603BC2" w:rsidRPr="00603BC2" w:rsidRDefault="00603BC2" w:rsidP="00603BC2">
      <w:pPr>
        <w:pStyle w:val="EndNoteBibliography"/>
        <w:spacing w:after="0"/>
        <w:ind w:left="720" w:hanging="720"/>
      </w:pPr>
      <w:r w:rsidRPr="00603BC2">
        <w:rPr>
          <w:lang w:val="pt-BR"/>
        </w:rPr>
        <w:t xml:space="preserve">Abers, M. S., Mathias, R. A. </w:t>
      </w:r>
      <w:r w:rsidR="00884F06">
        <w:rPr>
          <w:lang w:val="pt-BR"/>
        </w:rPr>
        <w:t>(</w:t>
      </w:r>
      <w:r w:rsidRPr="00603BC2">
        <w:rPr>
          <w:lang w:val="pt-BR"/>
        </w:rPr>
        <w:t>2025</w:t>
      </w:r>
      <w:r w:rsidR="00884F06">
        <w:rPr>
          <w:lang w:val="pt-BR"/>
        </w:rPr>
        <w:t>)</w:t>
      </w:r>
      <w:r w:rsidRPr="00603BC2">
        <w:rPr>
          <w:lang w:val="pt-BR"/>
        </w:rPr>
        <w:t xml:space="preserve">. </w:t>
      </w:r>
      <w:r w:rsidRPr="00603BC2">
        <w:t xml:space="preserve">Novel applications of large language models in clinical research. </w:t>
      </w:r>
      <w:r w:rsidR="00D80136" w:rsidRPr="00D80136">
        <w:rPr>
          <w:i/>
          <w:iCs/>
        </w:rPr>
        <w:t>The Journal of Allergy and Clinical Immunology</w:t>
      </w:r>
      <w:r w:rsidRPr="00603BC2">
        <w:t>, 155(3): 813-814.</w:t>
      </w:r>
    </w:p>
    <w:p w14:paraId="2A6485CA" w14:textId="12896685" w:rsidR="00603BC2" w:rsidRPr="00603BC2" w:rsidRDefault="00603BC2" w:rsidP="00603BC2">
      <w:pPr>
        <w:pStyle w:val="EndNoteBibliography"/>
        <w:spacing w:after="0"/>
        <w:ind w:left="720" w:hanging="720"/>
      </w:pPr>
      <w:r w:rsidRPr="00603BC2">
        <w:t xml:space="preserve">Agyemang, A.,  Nowak-Wegrzyn, A. </w:t>
      </w:r>
      <w:r w:rsidR="00884F06">
        <w:t>(</w:t>
      </w:r>
      <w:r w:rsidRPr="00603BC2">
        <w:t>2019</w:t>
      </w:r>
      <w:r w:rsidR="00884F06">
        <w:t>)</w:t>
      </w:r>
      <w:r w:rsidRPr="00603BC2">
        <w:t xml:space="preserve">. Food Protein-Induced Enterocolitis Syndrome: a Comprehensive Review. </w:t>
      </w:r>
      <w:r w:rsidRPr="00603BC2">
        <w:rPr>
          <w:i/>
        </w:rPr>
        <w:t xml:space="preserve">Clinical Reviews in Allergy </w:t>
      </w:r>
      <w:r w:rsidR="007D4504">
        <w:rPr>
          <w:i/>
        </w:rPr>
        <w:t xml:space="preserve">and </w:t>
      </w:r>
      <w:r w:rsidRPr="00603BC2">
        <w:rPr>
          <w:i/>
        </w:rPr>
        <w:t>Immunology</w:t>
      </w:r>
      <w:r w:rsidRPr="00603BC2">
        <w:t>, 57(2): 261-271.</w:t>
      </w:r>
    </w:p>
    <w:p w14:paraId="6D6D66EE" w14:textId="1B1F021D" w:rsidR="00603BC2" w:rsidRPr="00603BC2" w:rsidRDefault="00603BC2" w:rsidP="00603BC2">
      <w:pPr>
        <w:pStyle w:val="EndNoteBibliography"/>
        <w:spacing w:after="0"/>
        <w:ind w:left="720" w:hanging="720"/>
      </w:pPr>
      <w:r w:rsidRPr="00603BC2">
        <w:t xml:space="preserve">Ahmed, E. M., Hussein, T. A.,  Barkhas, S. A. </w:t>
      </w:r>
      <w:r w:rsidR="00884F06">
        <w:t>(</w:t>
      </w:r>
      <w:r w:rsidRPr="00603BC2">
        <w:t>2021</w:t>
      </w:r>
      <w:r w:rsidR="00884F06">
        <w:t>)</w:t>
      </w:r>
      <w:r w:rsidRPr="00603BC2">
        <w:t>. The role of IL-4, IL-10 and speci</w:t>
      </w:r>
      <w:r w:rsidR="004572B1">
        <w:t>f</w:t>
      </w:r>
      <w:r w:rsidRPr="00603BC2">
        <w:t xml:space="preserve">ic IgE in a sample of Iraqi food allergic patients. </w:t>
      </w:r>
      <w:r w:rsidRPr="00603BC2">
        <w:rPr>
          <w:i/>
        </w:rPr>
        <w:t>Plant Archives</w:t>
      </w:r>
      <w:r w:rsidRPr="00603BC2">
        <w:t>, 21: 1521-1526.</w:t>
      </w:r>
    </w:p>
    <w:p w14:paraId="19129C6B" w14:textId="29DB5F0F" w:rsidR="00603BC2" w:rsidRPr="00603BC2" w:rsidRDefault="00603BC2" w:rsidP="00603BC2">
      <w:pPr>
        <w:pStyle w:val="EndNoteBibliography"/>
        <w:spacing w:after="0"/>
        <w:ind w:left="720" w:hanging="720"/>
      </w:pPr>
      <w:r w:rsidRPr="00603BC2">
        <w:t xml:space="preserve">Alkhateeb, A. F. </w:t>
      </w:r>
      <w:r w:rsidR="00884F06">
        <w:t>(</w:t>
      </w:r>
      <w:r w:rsidRPr="00603BC2">
        <w:t>2020</w:t>
      </w:r>
      <w:r w:rsidR="00884F06">
        <w:t>)</w:t>
      </w:r>
      <w:r w:rsidRPr="00603BC2">
        <w:t xml:space="preserve">. Foods Causing Highest IgG Immune Response in Saudi Arabia. </w:t>
      </w:r>
      <w:r w:rsidRPr="00603BC2">
        <w:rPr>
          <w:i/>
        </w:rPr>
        <w:t xml:space="preserve">Annual Research </w:t>
      </w:r>
      <w:r w:rsidR="004572B1">
        <w:rPr>
          <w:i/>
        </w:rPr>
        <w:t xml:space="preserve">and </w:t>
      </w:r>
      <w:r w:rsidRPr="00603BC2">
        <w:rPr>
          <w:i/>
        </w:rPr>
        <w:t>Review in Biology</w:t>
      </w:r>
      <w:r w:rsidRPr="00603BC2">
        <w:t>: 115-127.</w:t>
      </w:r>
    </w:p>
    <w:p w14:paraId="7A077455" w14:textId="2B3091C1" w:rsidR="00603BC2" w:rsidRPr="00603BC2" w:rsidRDefault="00603BC2" w:rsidP="00603BC2">
      <w:pPr>
        <w:pStyle w:val="EndNoteBibliography"/>
        <w:spacing w:after="0"/>
        <w:ind w:left="720" w:hanging="720"/>
      </w:pPr>
      <w:r w:rsidRPr="00603BC2">
        <w:t xml:space="preserve">Allardyce, R. A.,  Shearman, D. J. </w:t>
      </w:r>
      <w:r w:rsidR="007D4504">
        <w:t>(</w:t>
      </w:r>
      <w:r w:rsidRPr="00603BC2">
        <w:t>1975</w:t>
      </w:r>
      <w:r w:rsidR="007D4504">
        <w:t>)</w:t>
      </w:r>
      <w:r w:rsidRPr="00603BC2">
        <w:t xml:space="preserve">. Leukocyte reactivity to alpha-gliadin in dermatitis herpetiformis and adult coeliac disease. </w:t>
      </w:r>
      <w:r w:rsidRPr="00603BC2">
        <w:rPr>
          <w:i/>
        </w:rPr>
        <w:t>Int</w:t>
      </w:r>
      <w:r w:rsidR="004572B1">
        <w:rPr>
          <w:i/>
        </w:rPr>
        <w:t>ernational</w:t>
      </w:r>
      <w:r w:rsidRPr="00603BC2">
        <w:rPr>
          <w:i/>
        </w:rPr>
        <w:t xml:space="preserve"> Arch</w:t>
      </w:r>
      <w:r w:rsidR="004572B1">
        <w:rPr>
          <w:i/>
        </w:rPr>
        <w:t>ives of</w:t>
      </w:r>
      <w:r w:rsidRPr="00603BC2">
        <w:rPr>
          <w:i/>
        </w:rPr>
        <w:t xml:space="preserve"> Allergy </w:t>
      </w:r>
      <w:r w:rsidR="004572B1">
        <w:rPr>
          <w:i/>
        </w:rPr>
        <w:t xml:space="preserve">and </w:t>
      </w:r>
      <w:r w:rsidRPr="00603BC2">
        <w:rPr>
          <w:i/>
        </w:rPr>
        <w:t>Appl</w:t>
      </w:r>
      <w:r w:rsidR="004572B1">
        <w:rPr>
          <w:i/>
        </w:rPr>
        <w:t>ied</w:t>
      </w:r>
      <w:r w:rsidRPr="00603BC2">
        <w:rPr>
          <w:i/>
        </w:rPr>
        <w:t xml:space="preserve"> Immunol</w:t>
      </w:r>
      <w:r w:rsidR="004572B1">
        <w:rPr>
          <w:i/>
        </w:rPr>
        <w:t>ogy</w:t>
      </w:r>
      <w:r w:rsidRPr="00603BC2">
        <w:t>, 48(3): 395-400.</w:t>
      </w:r>
    </w:p>
    <w:p w14:paraId="0B06DB51" w14:textId="6060604A" w:rsidR="00603BC2" w:rsidRPr="00603BC2" w:rsidRDefault="00603BC2" w:rsidP="00603BC2">
      <w:pPr>
        <w:pStyle w:val="EndNoteBibliography"/>
        <w:spacing w:after="0"/>
        <w:ind w:left="720" w:hanging="720"/>
      </w:pPr>
      <w:r w:rsidRPr="00603BC2">
        <w:lastRenderedPageBreak/>
        <w:t xml:space="preserve">Anagnostou, A., Wang, J., Chinthrajah, S., Gupta, R., Davis, C. M., Parrish, C., </w:t>
      </w:r>
      <w:r w:rsidR="000B711F" w:rsidRPr="000B711F">
        <w:t>et al</w:t>
      </w:r>
      <w:r w:rsidRPr="00603BC2">
        <w:t xml:space="preserve">. </w:t>
      </w:r>
      <w:r w:rsidR="007D4504">
        <w:t>(</w:t>
      </w:r>
      <w:r w:rsidRPr="00603BC2">
        <w:t>2025</w:t>
      </w:r>
      <w:r w:rsidR="007D4504">
        <w:t>)</w:t>
      </w:r>
      <w:r w:rsidRPr="00603BC2">
        <w:t xml:space="preserve">. Addressing health disparities in food allergy: A Position Statement of the AAAAI Prior Authorization Task Force. </w:t>
      </w:r>
      <w:r w:rsidR="00D80136" w:rsidRPr="00D80136">
        <w:rPr>
          <w:i/>
          <w:iCs/>
        </w:rPr>
        <w:t>The Journal of Allergy and Clinical Immunology</w:t>
      </w:r>
      <w:r w:rsidRPr="00603BC2">
        <w:t>, 155(1): 53-61.</w:t>
      </w:r>
    </w:p>
    <w:p w14:paraId="21185E69" w14:textId="2E5E31D0" w:rsidR="00603BC2" w:rsidRPr="00603BC2" w:rsidRDefault="00603BC2" w:rsidP="00603BC2">
      <w:pPr>
        <w:pStyle w:val="EndNoteBibliography"/>
        <w:spacing w:after="0"/>
        <w:ind w:left="720" w:hanging="720"/>
      </w:pPr>
      <w:r w:rsidRPr="00884F06">
        <w:rPr>
          <w:lang w:val="pt-BR"/>
        </w:rPr>
        <w:t xml:space="preserve">Anouar, S., Hazim, R.,  Brahim, A. </w:t>
      </w:r>
      <w:r w:rsidR="007D4504">
        <w:rPr>
          <w:lang w:val="pt-BR"/>
        </w:rPr>
        <w:t>(</w:t>
      </w:r>
      <w:r w:rsidRPr="00884F06">
        <w:rPr>
          <w:lang w:val="pt-BR"/>
        </w:rPr>
        <w:t>2024</w:t>
      </w:r>
      <w:r w:rsidR="007D4504">
        <w:rPr>
          <w:lang w:val="pt-BR"/>
        </w:rPr>
        <w:t>)</w:t>
      </w:r>
      <w:r w:rsidRPr="00884F06">
        <w:rPr>
          <w:lang w:val="pt-BR"/>
        </w:rPr>
        <w:t xml:space="preserve">. </w:t>
      </w:r>
      <w:r w:rsidRPr="00603BC2">
        <w:t xml:space="preserve">Interferences in Immunological Assays: Causes, Detection, and Prevention. </w:t>
      </w:r>
      <w:r w:rsidRPr="00603BC2">
        <w:rPr>
          <w:i/>
        </w:rPr>
        <w:t>Asian J</w:t>
      </w:r>
      <w:r w:rsidR="004572B1">
        <w:rPr>
          <w:i/>
        </w:rPr>
        <w:t>ournal of</w:t>
      </w:r>
      <w:r w:rsidRPr="00603BC2">
        <w:rPr>
          <w:i/>
        </w:rPr>
        <w:t xml:space="preserve"> Immunol</w:t>
      </w:r>
      <w:r w:rsidR="004572B1">
        <w:rPr>
          <w:i/>
        </w:rPr>
        <w:t>ogy</w:t>
      </w:r>
      <w:r w:rsidRPr="00603BC2">
        <w:t>, 7(1): 71-78.</w:t>
      </w:r>
    </w:p>
    <w:p w14:paraId="3EEAAD86" w14:textId="010E2CB8" w:rsidR="00603BC2" w:rsidRPr="00603BC2" w:rsidRDefault="00603BC2" w:rsidP="00603BC2">
      <w:pPr>
        <w:pStyle w:val="EndNoteBibliography"/>
        <w:spacing w:after="0"/>
        <w:ind w:left="720" w:hanging="720"/>
      </w:pPr>
      <w:r w:rsidRPr="00603BC2">
        <w:t xml:space="preserve">Ashkenazi, A., Levin, S., Idar, D., Or, A., Rosenberg, I.,  Handzel, Z. T. </w:t>
      </w:r>
      <w:r w:rsidR="004572B1">
        <w:t>(</w:t>
      </w:r>
      <w:r w:rsidRPr="00603BC2">
        <w:t>1980</w:t>
      </w:r>
      <w:r w:rsidR="004572B1">
        <w:t>)</w:t>
      </w:r>
      <w:r w:rsidRPr="00603BC2">
        <w:t xml:space="preserve">. In Vitro Cell-Mediated Immunologic Assay for Cow's Milk Allergy. </w:t>
      </w:r>
      <w:r w:rsidRPr="00603BC2">
        <w:rPr>
          <w:i/>
        </w:rPr>
        <w:t>Pediatrics</w:t>
      </w:r>
      <w:r w:rsidRPr="00603BC2">
        <w:t>, 66(3): 399-402.</w:t>
      </w:r>
    </w:p>
    <w:p w14:paraId="4C0FBD2E" w14:textId="5378458B" w:rsidR="00603BC2" w:rsidRPr="00603BC2" w:rsidRDefault="00603BC2" w:rsidP="00603BC2">
      <w:pPr>
        <w:pStyle w:val="EndNoteBibliography"/>
        <w:spacing w:after="0"/>
        <w:ind w:left="720" w:hanging="720"/>
      </w:pPr>
      <w:r w:rsidRPr="00603BC2">
        <w:t xml:space="preserve">Atwah, A. F.,  Koshak, E. A. </w:t>
      </w:r>
      <w:r w:rsidR="004572B1">
        <w:t>(</w:t>
      </w:r>
      <w:r w:rsidRPr="00603BC2">
        <w:t>2024</w:t>
      </w:r>
      <w:r w:rsidR="004572B1">
        <w:t>)</w:t>
      </w:r>
      <w:r w:rsidRPr="00603BC2">
        <w:t xml:space="preserve">. Exploring food-specific IgG responses in pediatric allergic disorders: A retrospective cross-sectional study. </w:t>
      </w:r>
      <w:r w:rsidR="004572B1" w:rsidRPr="004572B1">
        <w:rPr>
          <w:i/>
        </w:rPr>
        <w:t>Allergologia et immunopathologia (Madrid)</w:t>
      </w:r>
      <w:r w:rsidRPr="00603BC2">
        <w:t>, 52(6): 85-90.</w:t>
      </w:r>
    </w:p>
    <w:p w14:paraId="12D95CD7" w14:textId="5BF21185" w:rsidR="00603BC2" w:rsidRPr="00603BC2" w:rsidRDefault="00603BC2" w:rsidP="00603BC2">
      <w:pPr>
        <w:pStyle w:val="EndNoteBibliography"/>
        <w:spacing w:after="0"/>
        <w:ind w:left="720" w:hanging="720"/>
      </w:pPr>
      <w:r w:rsidRPr="00603BC2">
        <w:t xml:space="preserve">Augustin, R. </w:t>
      </w:r>
      <w:r w:rsidR="00654726">
        <w:t>(</w:t>
      </w:r>
      <w:r w:rsidRPr="00603BC2">
        <w:t>1953</w:t>
      </w:r>
      <w:r w:rsidR="00654726">
        <w:t>)</w:t>
      </w:r>
      <w:r w:rsidRPr="00603BC2">
        <w:t xml:space="preserve">. Precipitins to grass pollen proteins. </w:t>
      </w:r>
      <w:r w:rsidRPr="00603BC2">
        <w:rPr>
          <w:i/>
        </w:rPr>
        <w:t>Nature</w:t>
      </w:r>
      <w:r w:rsidRPr="00603BC2">
        <w:t>, 172(4372): 307.</w:t>
      </w:r>
    </w:p>
    <w:p w14:paraId="37CB5064" w14:textId="3FFD7750" w:rsidR="00603BC2" w:rsidRPr="00603BC2" w:rsidRDefault="00603BC2" w:rsidP="00603BC2">
      <w:pPr>
        <w:pStyle w:val="EndNoteBibliography"/>
        <w:spacing w:after="0"/>
        <w:ind w:left="720" w:hanging="720"/>
      </w:pPr>
      <w:r w:rsidRPr="00603BC2">
        <w:t xml:space="preserve">Augustin, R.,  Hayward, B. J. </w:t>
      </w:r>
      <w:r w:rsidR="009E222A">
        <w:t>(</w:t>
      </w:r>
      <w:r w:rsidRPr="00603BC2">
        <w:t>1960</w:t>
      </w:r>
      <w:r w:rsidR="009E222A">
        <w:t>)</w:t>
      </w:r>
      <w:r w:rsidRPr="00603BC2">
        <w:t xml:space="preserve">. Human reagins to grass pollens and moulds: their purification and physico-chemical characterization. </w:t>
      </w:r>
      <w:r w:rsidRPr="00603BC2">
        <w:rPr>
          <w:i/>
        </w:rPr>
        <w:t>Immunology</w:t>
      </w:r>
      <w:r w:rsidRPr="00603BC2">
        <w:t>, 3(1): 45-73.</w:t>
      </w:r>
    </w:p>
    <w:p w14:paraId="0DD7CD38" w14:textId="4BCAF199" w:rsidR="00603BC2" w:rsidRPr="00603BC2" w:rsidRDefault="00603BC2" w:rsidP="00603BC2">
      <w:pPr>
        <w:pStyle w:val="EndNoteBibliography"/>
        <w:spacing w:after="0"/>
        <w:ind w:left="720" w:hanging="720"/>
      </w:pPr>
      <w:r w:rsidRPr="00603BC2">
        <w:t xml:space="preserve">Augustin, R., Hayward, B. J.,  Longbottom, J. L. </w:t>
      </w:r>
      <w:r w:rsidR="009E222A">
        <w:t>(</w:t>
      </w:r>
      <w:r w:rsidRPr="00603BC2">
        <w:t>1960</w:t>
      </w:r>
      <w:r w:rsidR="009E222A">
        <w:t>)</w:t>
      </w:r>
      <w:r w:rsidRPr="00603BC2">
        <w:t xml:space="preserve">. Isolation and physico-chemical characterization of reagins, blocking antibodies and precipitins to grass pollens. </w:t>
      </w:r>
      <w:r w:rsidRPr="00603BC2">
        <w:rPr>
          <w:i/>
        </w:rPr>
        <w:t>Clinical and Experimental Allergy (Copenhagen)</w:t>
      </w:r>
      <w:r w:rsidRPr="00603BC2">
        <w:t>, 7: 31-37.</w:t>
      </w:r>
    </w:p>
    <w:p w14:paraId="2AE89C5C" w14:textId="6B1B8E37" w:rsidR="00603BC2" w:rsidRPr="00603BC2" w:rsidRDefault="00603BC2" w:rsidP="00603BC2">
      <w:pPr>
        <w:pStyle w:val="EndNoteBibliography"/>
        <w:spacing w:after="0"/>
        <w:ind w:left="720" w:hanging="720"/>
      </w:pPr>
      <w:r w:rsidRPr="00603BC2">
        <w:t xml:space="preserve">Bradford, M. M. </w:t>
      </w:r>
      <w:r w:rsidR="009E222A">
        <w:t>(</w:t>
      </w:r>
      <w:r w:rsidRPr="00603BC2">
        <w:t>1976</w:t>
      </w:r>
      <w:r w:rsidR="009E222A">
        <w:t>)</w:t>
      </w:r>
      <w:r w:rsidRPr="00603BC2">
        <w:t xml:space="preserve">. A rapid and sensitive method for the quantitation of microgram quantities of protein utilizing the principle of protein-dye binding. </w:t>
      </w:r>
      <w:r w:rsidRPr="00603BC2">
        <w:rPr>
          <w:i/>
        </w:rPr>
        <w:t>Analytical Biochemical</w:t>
      </w:r>
      <w:r w:rsidRPr="00603BC2">
        <w:t>, 72: 248-254.</w:t>
      </w:r>
    </w:p>
    <w:p w14:paraId="38C3460C" w14:textId="79DFB32F" w:rsidR="00603BC2" w:rsidRPr="00603BC2" w:rsidRDefault="00603BC2" w:rsidP="00603BC2">
      <w:pPr>
        <w:pStyle w:val="EndNoteBibliography"/>
        <w:spacing w:after="0"/>
        <w:ind w:left="720" w:hanging="720"/>
      </w:pPr>
      <w:r w:rsidRPr="00603BC2">
        <w:t xml:space="preserve">Butler, H. L., Byrne, W. J., Marmer, D. J., Euler, A. R.,  Steele, R. W. </w:t>
      </w:r>
      <w:r w:rsidR="009E222A">
        <w:t>(</w:t>
      </w:r>
      <w:r w:rsidRPr="00603BC2">
        <w:t>1981</w:t>
      </w:r>
      <w:r w:rsidR="009E222A">
        <w:t>)</w:t>
      </w:r>
      <w:r w:rsidRPr="00603BC2">
        <w:t xml:space="preserve">. Depressed Neutrophil Chemotaxis in Infants with Cow's Milk and/or Soy Protein Intolerance. </w:t>
      </w:r>
      <w:r w:rsidRPr="00603BC2">
        <w:rPr>
          <w:i/>
        </w:rPr>
        <w:t>Pediatrics</w:t>
      </w:r>
      <w:r w:rsidRPr="00603BC2">
        <w:t>, 67(2): 264-268.</w:t>
      </w:r>
    </w:p>
    <w:p w14:paraId="3662FEEB" w14:textId="4C7C059E" w:rsidR="00603BC2" w:rsidRPr="00603BC2" w:rsidRDefault="00603BC2" w:rsidP="00603BC2">
      <w:pPr>
        <w:pStyle w:val="EndNoteBibliography"/>
        <w:spacing w:after="0"/>
        <w:ind w:left="720" w:hanging="720"/>
      </w:pPr>
      <w:r w:rsidRPr="00603BC2">
        <w:t xml:space="preserve">Cahen, Y. D., Fritsch, R.,  Wüthrich, B. </w:t>
      </w:r>
      <w:r w:rsidR="009E222A">
        <w:t>(</w:t>
      </w:r>
      <w:r w:rsidRPr="00603BC2">
        <w:t>1998</w:t>
      </w:r>
      <w:r w:rsidR="009E222A">
        <w:t>)</w:t>
      </w:r>
      <w:r w:rsidRPr="00603BC2">
        <w:t xml:space="preserve">. Food allergy with monovalent sensitivity to poultry meat. </w:t>
      </w:r>
      <w:r w:rsidRPr="00603BC2">
        <w:rPr>
          <w:i/>
        </w:rPr>
        <w:t>Clinical and Experimental Allergy</w:t>
      </w:r>
      <w:r w:rsidRPr="00603BC2">
        <w:t>, 28(8): 1026-1030.</w:t>
      </w:r>
    </w:p>
    <w:p w14:paraId="0EDA5EEE" w14:textId="399BA32C" w:rsidR="00603BC2" w:rsidRPr="00603BC2" w:rsidRDefault="00603BC2" w:rsidP="00603BC2">
      <w:pPr>
        <w:pStyle w:val="EndNoteBibliography"/>
        <w:spacing w:after="0"/>
        <w:ind w:left="720" w:hanging="720"/>
        <w:rPr>
          <w:lang w:val="pt-BR"/>
        </w:rPr>
      </w:pPr>
      <w:r w:rsidRPr="00603BC2">
        <w:t xml:space="preserve">Čelakovská, J., Čermákova, E., Andrýs, C., Boudkova, P.,  Krejsek, J. </w:t>
      </w:r>
      <w:r w:rsidR="009E222A">
        <w:t>(</w:t>
      </w:r>
      <w:r w:rsidRPr="00603BC2">
        <w:t>2024</w:t>
      </w:r>
      <w:r w:rsidR="009E222A">
        <w:t>)</w:t>
      </w:r>
      <w:r w:rsidRPr="00603BC2">
        <w:t xml:space="preserve">. Sensitization to latex and food allergens in atopic dermatitis patients according to ALEX2 Allergy Xplorer test. </w:t>
      </w:r>
      <w:r w:rsidRPr="00603BC2">
        <w:rPr>
          <w:i/>
          <w:lang w:val="pt-BR"/>
        </w:rPr>
        <w:t>Molecular Immunology</w:t>
      </w:r>
      <w:r w:rsidRPr="00603BC2">
        <w:rPr>
          <w:lang w:val="pt-BR"/>
        </w:rPr>
        <w:t>, 175: 89-102.</w:t>
      </w:r>
    </w:p>
    <w:p w14:paraId="6A7896F7" w14:textId="11E5EB57" w:rsidR="00603BC2" w:rsidRPr="00603BC2" w:rsidRDefault="00603BC2" w:rsidP="00603BC2">
      <w:pPr>
        <w:pStyle w:val="EndNoteBibliography"/>
        <w:spacing w:after="0"/>
        <w:ind w:left="720" w:hanging="720"/>
      </w:pPr>
      <w:r w:rsidRPr="00603BC2">
        <w:rPr>
          <w:lang w:val="pt-BR"/>
        </w:rPr>
        <w:t xml:space="preserve">Chiarentin, L., Gonçalves, C., Augusto, C., Miranda, M., Cardoso, C.,  Vitorino, C. </w:t>
      </w:r>
      <w:r w:rsidR="009E222A">
        <w:rPr>
          <w:lang w:val="pt-BR"/>
        </w:rPr>
        <w:t>(</w:t>
      </w:r>
      <w:r w:rsidRPr="00603BC2">
        <w:rPr>
          <w:lang w:val="pt-BR"/>
        </w:rPr>
        <w:t>2023</w:t>
      </w:r>
      <w:r w:rsidR="009E222A">
        <w:rPr>
          <w:lang w:val="pt-BR"/>
        </w:rPr>
        <w:t>)</w:t>
      </w:r>
      <w:r w:rsidRPr="00603BC2">
        <w:rPr>
          <w:lang w:val="pt-BR"/>
        </w:rPr>
        <w:t xml:space="preserve">. </w:t>
      </w:r>
      <w:r w:rsidRPr="00603BC2">
        <w:t xml:space="preserve">Drilling into "Quality by Design" Approach for Analytical Methods. </w:t>
      </w:r>
      <w:r w:rsidRPr="00603BC2">
        <w:rPr>
          <w:i/>
        </w:rPr>
        <w:t>Critical  Reviews in Analytical Chemistry</w:t>
      </w:r>
      <w:r w:rsidRPr="00603BC2">
        <w:t>: 1-42.</w:t>
      </w:r>
    </w:p>
    <w:p w14:paraId="2F447F03" w14:textId="653751EA" w:rsidR="00603BC2" w:rsidRPr="00603BC2" w:rsidRDefault="00603BC2" w:rsidP="00603BC2">
      <w:pPr>
        <w:pStyle w:val="EndNoteBibliography"/>
        <w:spacing w:after="0"/>
        <w:ind w:left="720" w:hanging="720"/>
      </w:pPr>
      <w:r w:rsidRPr="00603BC2">
        <w:t xml:space="preserve">Coca, A. F. </w:t>
      </w:r>
      <w:r w:rsidR="009E222A">
        <w:t>(</w:t>
      </w:r>
      <w:r w:rsidRPr="00603BC2">
        <w:t>1922</w:t>
      </w:r>
      <w:r w:rsidR="009E222A">
        <w:t>)</w:t>
      </w:r>
      <w:r w:rsidRPr="00603BC2">
        <w:t xml:space="preserve">. Studies in Specific Hypersensitiveness V. The Preparation of Fluid Extracts and Solutions for Use in the Diagnosis and Treatment of the Allergies with Notes on the Collection of Pollens. </w:t>
      </w:r>
      <w:r w:rsidRPr="00603BC2">
        <w:rPr>
          <w:i/>
        </w:rPr>
        <w:t>The Journal of Immunology</w:t>
      </w:r>
      <w:r w:rsidRPr="00603BC2">
        <w:t>, 7(2): 163-178.</w:t>
      </w:r>
    </w:p>
    <w:p w14:paraId="71C96489" w14:textId="5747C919" w:rsidR="00603BC2" w:rsidRPr="00603BC2" w:rsidRDefault="00603BC2" w:rsidP="00603BC2">
      <w:pPr>
        <w:pStyle w:val="EndNoteBibliography"/>
        <w:spacing w:after="0"/>
        <w:ind w:left="720" w:hanging="720"/>
      </w:pPr>
      <w:r w:rsidRPr="00603BC2">
        <w:t xml:space="preserve">Cunningham-Rundles, C., Brandeis, W. E., Good, R. A.,  Day, N. K. </w:t>
      </w:r>
      <w:r w:rsidR="009E222A">
        <w:t>(</w:t>
      </w:r>
      <w:r w:rsidRPr="00603BC2">
        <w:t>1978</w:t>
      </w:r>
      <w:r w:rsidR="009E222A">
        <w:t>)</w:t>
      </w:r>
      <w:r w:rsidRPr="00603BC2">
        <w:t xml:space="preserve">. Milk precipitins, circulating immune complexes, and IgA deficiency. </w:t>
      </w:r>
      <w:r w:rsidRPr="00603BC2">
        <w:rPr>
          <w:i/>
        </w:rPr>
        <w:t>Proceedings of the National Academy of Sciences of the United States of America</w:t>
      </w:r>
      <w:r w:rsidRPr="00603BC2">
        <w:t>, 75(7): 3387-3389.</w:t>
      </w:r>
    </w:p>
    <w:p w14:paraId="5622E2CA" w14:textId="6FA8E79C" w:rsidR="00603BC2" w:rsidRPr="00603BC2" w:rsidRDefault="00603BC2" w:rsidP="00603BC2">
      <w:pPr>
        <w:pStyle w:val="EndNoteBibliography"/>
        <w:spacing w:after="0"/>
        <w:ind w:left="720" w:hanging="720"/>
      </w:pPr>
      <w:r w:rsidRPr="00603BC2">
        <w:t xml:space="preserve">Ferguson, A.,  Carswell, F. </w:t>
      </w:r>
      <w:r w:rsidR="009E222A">
        <w:t>(</w:t>
      </w:r>
      <w:r w:rsidRPr="00603BC2">
        <w:t>1972</w:t>
      </w:r>
      <w:r w:rsidR="009E222A">
        <w:t>)</w:t>
      </w:r>
      <w:r w:rsidRPr="00603BC2">
        <w:t xml:space="preserve">. Precipitins to dietary proteins in serum and upper intestinal secretions of coeliac children. </w:t>
      </w:r>
      <w:r w:rsidRPr="00603BC2">
        <w:rPr>
          <w:i/>
        </w:rPr>
        <w:t>Br</w:t>
      </w:r>
      <w:r w:rsidR="009E222A">
        <w:rPr>
          <w:i/>
        </w:rPr>
        <w:t>itish</w:t>
      </w:r>
      <w:r w:rsidRPr="00603BC2">
        <w:rPr>
          <w:i/>
        </w:rPr>
        <w:t xml:space="preserve"> Med</w:t>
      </w:r>
      <w:r w:rsidR="009E222A">
        <w:rPr>
          <w:i/>
        </w:rPr>
        <w:t>ical</w:t>
      </w:r>
      <w:r w:rsidRPr="00603BC2">
        <w:rPr>
          <w:i/>
        </w:rPr>
        <w:t xml:space="preserve"> J</w:t>
      </w:r>
      <w:r w:rsidR="009E222A">
        <w:rPr>
          <w:i/>
        </w:rPr>
        <w:t>ournal</w:t>
      </w:r>
      <w:r w:rsidRPr="00603BC2">
        <w:t>, 1(5792): 75-77.</w:t>
      </w:r>
    </w:p>
    <w:p w14:paraId="13634583" w14:textId="7686F287" w:rsidR="00603BC2" w:rsidRPr="00603BC2" w:rsidRDefault="00603BC2" w:rsidP="00603BC2">
      <w:pPr>
        <w:pStyle w:val="EndNoteBibliography"/>
        <w:spacing w:after="0"/>
        <w:ind w:left="720" w:hanging="720"/>
      </w:pPr>
      <w:r w:rsidRPr="00603BC2">
        <w:t xml:space="preserve">Fink, A., Heller, L., Eliraz, A., Weisman, Z., Miskin, A., Schlezinger, M., </w:t>
      </w:r>
      <w:r w:rsidR="000B711F" w:rsidRPr="000B711F">
        <w:t>et al</w:t>
      </w:r>
      <w:r w:rsidR="003C0AD5">
        <w:t>.</w:t>
      </w:r>
      <w:r w:rsidRPr="00603BC2">
        <w:t xml:space="preserve"> </w:t>
      </w:r>
      <w:r w:rsidR="003C0AD5">
        <w:t>(</w:t>
      </w:r>
      <w:r w:rsidRPr="00603BC2">
        <w:t>1987</w:t>
      </w:r>
      <w:r w:rsidR="003C0AD5">
        <w:t>)</w:t>
      </w:r>
      <w:r w:rsidRPr="00603BC2">
        <w:t xml:space="preserve">. Allergen-specific leukocyte adherence inhibition (LAI) assay: sensitivity, specificity and mechanism. </w:t>
      </w:r>
      <w:r w:rsidRPr="00603BC2">
        <w:rPr>
          <w:i/>
        </w:rPr>
        <w:t>Immunology Letters</w:t>
      </w:r>
      <w:r w:rsidRPr="00603BC2">
        <w:t>, 16(1): 65-70.</w:t>
      </w:r>
    </w:p>
    <w:p w14:paraId="626E7C2B" w14:textId="76400528" w:rsidR="00603BC2" w:rsidRPr="00603BC2" w:rsidRDefault="00603BC2" w:rsidP="00603BC2">
      <w:pPr>
        <w:pStyle w:val="EndNoteBibliography"/>
        <w:spacing w:after="0"/>
        <w:ind w:left="720" w:hanging="720"/>
      </w:pPr>
      <w:r w:rsidRPr="00603BC2">
        <w:t xml:space="preserve">Gell, P. G. H., Harington, C. R.,  Rivers, R. P. </w:t>
      </w:r>
      <w:r w:rsidR="003F5BED">
        <w:t>(</w:t>
      </w:r>
      <w:r w:rsidRPr="00603BC2">
        <w:t>1946</w:t>
      </w:r>
      <w:r w:rsidR="003F5BED">
        <w:t>)</w:t>
      </w:r>
      <w:r w:rsidRPr="00603BC2">
        <w:t xml:space="preserve">. The antigenic function of simple chemical compounds; production of precipitins in rabbits. </w:t>
      </w:r>
      <w:r w:rsidRPr="00603BC2">
        <w:rPr>
          <w:i/>
        </w:rPr>
        <w:t>British Journal of Experimental Pathology</w:t>
      </w:r>
      <w:r w:rsidRPr="00603BC2">
        <w:t>, 27(5): 267-286.</w:t>
      </w:r>
    </w:p>
    <w:p w14:paraId="439E65B2" w14:textId="3AE045FB" w:rsidR="00603BC2" w:rsidRPr="00603BC2" w:rsidRDefault="00603BC2" w:rsidP="00603BC2">
      <w:pPr>
        <w:pStyle w:val="EndNoteBibliography"/>
        <w:spacing w:after="0"/>
        <w:ind w:left="720" w:hanging="720"/>
      </w:pPr>
      <w:r w:rsidRPr="00603BC2">
        <w:t xml:space="preserve">George, M.,  Vaughan, J. H. </w:t>
      </w:r>
      <w:r w:rsidR="003F5BED">
        <w:t>(</w:t>
      </w:r>
      <w:r w:rsidRPr="00603BC2">
        <w:t>1962</w:t>
      </w:r>
      <w:r w:rsidR="003F5BED">
        <w:t>)</w:t>
      </w:r>
      <w:r w:rsidRPr="00603BC2">
        <w:t xml:space="preserve">. In vitro cell migration as a model for delayed hypersensitivity. </w:t>
      </w:r>
      <w:r w:rsidR="003F5BED" w:rsidRPr="003F5BED">
        <w:rPr>
          <w:i/>
        </w:rPr>
        <w:t>Proceedings of the Society of Experimental Biology and Medicine</w:t>
      </w:r>
      <w:r w:rsidRPr="00603BC2">
        <w:t>, 111: 514-521.</w:t>
      </w:r>
    </w:p>
    <w:p w14:paraId="2EB042F8" w14:textId="37CC61AA" w:rsidR="00603BC2" w:rsidRPr="00603BC2" w:rsidRDefault="00603BC2" w:rsidP="00603BC2">
      <w:pPr>
        <w:pStyle w:val="EndNoteBibliography"/>
        <w:spacing w:after="0"/>
        <w:ind w:left="720" w:hanging="720"/>
      </w:pPr>
      <w:r w:rsidRPr="00603BC2">
        <w:t xml:space="preserve">Groetch, M., Venter, C.,  Meyer, R. </w:t>
      </w:r>
      <w:r w:rsidR="001B6068">
        <w:t>(</w:t>
      </w:r>
      <w:r w:rsidRPr="00603BC2">
        <w:t>2025</w:t>
      </w:r>
      <w:r w:rsidR="001B6068">
        <w:t>)</w:t>
      </w:r>
      <w:r w:rsidRPr="00603BC2">
        <w:t xml:space="preserve">. Clinical Presentation and Nutrition Management of Non-IgE-Mediated Food Allergy in Children. </w:t>
      </w:r>
      <w:r w:rsidRPr="00603BC2">
        <w:rPr>
          <w:i/>
        </w:rPr>
        <w:t>Clinical and Experimental Allergy</w:t>
      </w:r>
      <w:r w:rsidRPr="00603BC2">
        <w:t>, 55: 213-225.</w:t>
      </w:r>
    </w:p>
    <w:p w14:paraId="3B05EDC0" w14:textId="2086564C" w:rsidR="00603BC2" w:rsidRPr="00603BC2" w:rsidRDefault="00603BC2" w:rsidP="00603BC2">
      <w:pPr>
        <w:pStyle w:val="EndNoteBibliography"/>
        <w:spacing w:after="0"/>
        <w:ind w:left="720" w:hanging="720"/>
      </w:pPr>
      <w:r w:rsidRPr="00D43CC3">
        <w:rPr>
          <w:lang w:val="fr-FR"/>
        </w:rPr>
        <w:lastRenderedPageBreak/>
        <w:t xml:space="preserve">Guiddir, T., Sénéchal, H., Selva, M. A., Couderc, R., Swoboda, I., Hilger, C., </w:t>
      </w:r>
      <w:r w:rsidR="000B711F" w:rsidRPr="000B711F">
        <w:rPr>
          <w:lang w:val="fr-FR"/>
        </w:rPr>
        <w:t>et al</w:t>
      </w:r>
      <w:r w:rsidRPr="00D43CC3">
        <w:rPr>
          <w:lang w:val="fr-FR"/>
        </w:rPr>
        <w:t xml:space="preserve">. </w:t>
      </w:r>
      <w:r w:rsidR="001B6068">
        <w:t>(</w:t>
      </w:r>
      <w:r w:rsidRPr="00603BC2">
        <w:t>2024</w:t>
      </w:r>
      <w:r w:rsidR="001B6068">
        <w:t>)</w:t>
      </w:r>
      <w:r w:rsidRPr="00603BC2">
        <w:t xml:space="preserve">. Chicken meat allergy in children: Complex sensitization profiles with newly described allergen candidates. </w:t>
      </w:r>
      <w:r w:rsidRPr="00603BC2">
        <w:rPr>
          <w:i/>
        </w:rPr>
        <w:t>Allergy</w:t>
      </w:r>
      <w:r w:rsidRPr="00603BC2">
        <w:t>, 79(8): 2262-2266.</w:t>
      </w:r>
    </w:p>
    <w:p w14:paraId="6D7EA76E" w14:textId="15F0229F" w:rsidR="00603BC2" w:rsidRPr="00603BC2" w:rsidRDefault="00603BC2" w:rsidP="00603BC2">
      <w:pPr>
        <w:pStyle w:val="EndNoteBibliography"/>
        <w:spacing w:after="0"/>
        <w:ind w:left="720" w:hanging="720"/>
      </w:pPr>
      <w:r w:rsidRPr="00603BC2">
        <w:t xml:space="preserve">Halliday, W. J., Maluish, A.,  Miller, S. </w:t>
      </w:r>
      <w:r w:rsidR="00D43CC3">
        <w:t>(</w:t>
      </w:r>
      <w:r w:rsidRPr="00603BC2">
        <w:t>1974</w:t>
      </w:r>
      <w:r w:rsidR="00D43CC3">
        <w:t>)</w:t>
      </w:r>
      <w:r w:rsidRPr="00603BC2">
        <w:t xml:space="preserve">. Blocking and unblocking of cell-mediated anti-tumor immunity in mice, as detected by the leucocyte adherence inhibition test. </w:t>
      </w:r>
      <w:r w:rsidRPr="00603BC2">
        <w:rPr>
          <w:i/>
        </w:rPr>
        <w:t>Cellular Immunology</w:t>
      </w:r>
      <w:r w:rsidRPr="00603BC2">
        <w:t>, 10(3): 467-475.</w:t>
      </w:r>
    </w:p>
    <w:p w14:paraId="2EEA0825" w14:textId="7E89D726" w:rsidR="00603BC2" w:rsidRPr="00603BC2" w:rsidRDefault="00603BC2" w:rsidP="00603BC2">
      <w:pPr>
        <w:pStyle w:val="EndNoteBibliography"/>
        <w:spacing w:after="0"/>
        <w:ind w:left="720" w:hanging="720"/>
      </w:pPr>
      <w:r w:rsidRPr="00603BC2">
        <w:t xml:space="preserve">Heine, R. G. </w:t>
      </w:r>
      <w:r w:rsidR="002D6A77">
        <w:t>(</w:t>
      </w:r>
      <w:r w:rsidRPr="00603BC2">
        <w:t>2004</w:t>
      </w:r>
      <w:r w:rsidR="002D6A77">
        <w:t>)</w:t>
      </w:r>
      <w:r w:rsidRPr="00603BC2">
        <w:t xml:space="preserve">. Pathophysiology, diagnosis and treatment of food protein-induced gastrointestinal diseases. </w:t>
      </w:r>
      <w:r w:rsidR="002D6A77" w:rsidRPr="002D6A77">
        <w:rPr>
          <w:i/>
        </w:rPr>
        <w:t>Chemical Immunology and Allergy</w:t>
      </w:r>
      <w:r w:rsidRPr="00603BC2">
        <w:t>, 4(3): 221-229.</w:t>
      </w:r>
    </w:p>
    <w:p w14:paraId="63473D8B" w14:textId="7613CA27" w:rsidR="00603BC2" w:rsidRPr="00603BC2" w:rsidRDefault="00603BC2" w:rsidP="00603BC2">
      <w:pPr>
        <w:pStyle w:val="EndNoteBibliography"/>
        <w:spacing w:after="0"/>
        <w:ind w:left="720" w:hanging="720"/>
      </w:pPr>
      <w:r w:rsidRPr="00603BC2">
        <w:t xml:space="preserve">Heine, R. G. </w:t>
      </w:r>
      <w:r w:rsidR="008658CE">
        <w:t>(</w:t>
      </w:r>
      <w:r w:rsidRPr="00603BC2">
        <w:t>2015</w:t>
      </w:r>
      <w:r w:rsidR="008658CE">
        <w:t>)</w:t>
      </w:r>
      <w:r w:rsidRPr="00603BC2">
        <w:t xml:space="preserve">. Gastrointestinal food allergies. In M. Ebisawa, B. K. Ballmer-Weber, S. Vieths,  R. A. Wood (Eds.), </w:t>
      </w:r>
      <w:r w:rsidRPr="00603BC2">
        <w:rPr>
          <w:i/>
        </w:rPr>
        <w:t>Food Allergy: Molecular Basis and Clinical Practice</w:t>
      </w:r>
      <w:r w:rsidRPr="00603BC2">
        <w:t>, 2015/05/30 ed., Vol. 101: 171-180: Karger.</w:t>
      </w:r>
    </w:p>
    <w:p w14:paraId="3F10EFFD" w14:textId="41032A79" w:rsidR="00603BC2" w:rsidRPr="00603BC2" w:rsidRDefault="00603BC2" w:rsidP="00603BC2">
      <w:pPr>
        <w:pStyle w:val="EndNoteBibliography"/>
        <w:spacing w:after="0"/>
        <w:ind w:left="720" w:hanging="720"/>
      </w:pPr>
      <w:r w:rsidRPr="00603BC2">
        <w:t xml:space="preserve">Heiner, D. C., Sears, J. W.,  Kniker, W. T. </w:t>
      </w:r>
      <w:r w:rsidR="008658CE">
        <w:t>(</w:t>
      </w:r>
      <w:r w:rsidRPr="00603BC2">
        <w:t>1962</w:t>
      </w:r>
      <w:r w:rsidR="008658CE">
        <w:t>)</w:t>
      </w:r>
      <w:r w:rsidRPr="00603BC2">
        <w:t xml:space="preserve">. Multiple Precipitins to Cow's Milk in Chronic Respiratory Disease: A Syndrome Including Poor Growth, Gastrointestinal Symptoms, Evidence of Allergy, Iron Deficiency Anemia, and Pulmonary Hemosiderosis. </w:t>
      </w:r>
      <w:r w:rsidRPr="00603BC2">
        <w:rPr>
          <w:i/>
        </w:rPr>
        <w:t>American Journal of Diseases of Children</w:t>
      </w:r>
      <w:r w:rsidRPr="00603BC2">
        <w:t>, 103(5): 634-654.</w:t>
      </w:r>
    </w:p>
    <w:p w14:paraId="07D3855F" w14:textId="46D90506" w:rsidR="00603BC2" w:rsidRPr="00603BC2" w:rsidRDefault="00603BC2" w:rsidP="00603BC2">
      <w:pPr>
        <w:pStyle w:val="EndNoteBibliography"/>
        <w:spacing w:after="0"/>
        <w:ind w:left="720" w:hanging="720"/>
      </w:pPr>
      <w:r w:rsidRPr="00603BC2">
        <w:t xml:space="preserve">Hemmer, W., Klug, C.,  Swoboda, I. </w:t>
      </w:r>
      <w:r w:rsidR="008658CE">
        <w:t>(</w:t>
      </w:r>
      <w:r w:rsidRPr="00603BC2">
        <w:t>2016</w:t>
      </w:r>
      <w:r w:rsidR="008658CE">
        <w:t>)</w:t>
      </w:r>
      <w:r w:rsidRPr="00603BC2">
        <w:t xml:space="preserve">. Update on the bird-egg syndrome and genuine poultry meat allergy. </w:t>
      </w:r>
      <w:r w:rsidRPr="00603BC2">
        <w:rPr>
          <w:i/>
        </w:rPr>
        <w:t>Allergo Journal International</w:t>
      </w:r>
      <w:r w:rsidRPr="00603BC2">
        <w:t>, 25: 68-75.</w:t>
      </w:r>
    </w:p>
    <w:p w14:paraId="58B0336D" w14:textId="27778E17" w:rsidR="00603BC2" w:rsidRPr="00603BC2" w:rsidRDefault="00603BC2" w:rsidP="00603BC2">
      <w:pPr>
        <w:pStyle w:val="EndNoteBibliography"/>
        <w:spacing w:after="0"/>
        <w:ind w:left="720" w:hanging="720"/>
      </w:pPr>
      <w:r w:rsidRPr="00603BC2">
        <w:t xml:space="preserve">Huang, J.,  White, A. A. </w:t>
      </w:r>
      <w:r w:rsidR="008658CE">
        <w:t>(</w:t>
      </w:r>
      <w:r w:rsidRPr="00603BC2">
        <w:t>2025</w:t>
      </w:r>
      <w:r w:rsidR="008658CE">
        <w:t>)</w:t>
      </w:r>
      <w:r w:rsidRPr="00603BC2">
        <w:t>. The heterogeneity of food protein</w:t>
      </w:r>
      <w:r w:rsidR="008658CE">
        <w:t>-</w:t>
      </w:r>
      <w:r w:rsidRPr="00603BC2">
        <w:t xml:space="preserve">induced enterocolitis syndrome in adults. </w:t>
      </w:r>
      <w:r w:rsidR="00D80136" w:rsidRPr="00D80136">
        <w:rPr>
          <w:i/>
          <w:iCs/>
        </w:rPr>
        <w:t>The Journal of Allergy and Clinical Immunology</w:t>
      </w:r>
      <w:r w:rsidR="008658CE">
        <w:rPr>
          <w:i/>
        </w:rPr>
        <w:t xml:space="preserve"> in</w:t>
      </w:r>
      <w:r w:rsidRPr="00603BC2">
        <w:rPr>
          <w:i/>
        </w:rPr>
        <w:t xml:space="preserve"> Pract</w:t>
      </w:r>
      <w:r w:rsidR="008658CE">
        <w:rPr>
          <w:i/>
        </w:rPr>
        <w:t xml:space="preserve">ice </w:t>
      </w:r>
      <w:r w:rsidR="008658CE">
        <w:rPr>
          <w:iCs/>
        </w:rPr>
        <w:t>13(4):941-943</w:t>
      </w:r>
      <w:r w:rsidRPr="00603BC2">
        <w:t>.</w:t>
      </w:r>
    </w:p>
    <w:p w14:paraId="7AB1B2FD" w14:textId="2D9F758B" w:rsidR="00603BC2" w:rsidRPr="00603BC2" w:rsidRDefault="00603BC2" w:rsidP="00603BC2">
      <w:pPr>
        <w:pStyle w:val="EndNoteBibliography"/>
        <w:spacing w:after="0"/>
        <w:ind w:left="720" w:hanging="720"/>
      </w:pPr>
      <w:r w:rsidRPr="00603BC2">
        <w:t xml:space="preserve">Hunter, A. </w:t>
      </w:r>
      <w:r w:rsidR="00D80136">
        <w:t>(</w:t>
      </w:r>
      <w:r w:rsidRPr="00603BC2">
        <w:t>1905</w:t>
      </w:r>
      <w:r w:rsidR="00D80136">
        <w:t>)</w:t>
      </w:r>
      <w:r w:rsidRPr="00603BC2">
        <w:t xml:space="preserve">. On the chemical specificity of precipitins. </w:t>
      </w:r>
      <w:r w:rsidRPr="00603BC2">
        <w:rPr>
          <w:i/>
        </w:rPr>
        <w:t>The Journal of Physiology</w:t>
      </w:r>
      <w:r w:rsidRPr="00603BC2">
        <w:t>, 32(5-6): 327-342.</w:t>
      </w:r>
    </w:p>
    <w:p w14:paraId="0E2C7E50" w14:textId="49A5DB8B" w:rsidR="00603BC2" w:rsidRPr="00603BC2" w:rsidRDefault="00603BC2" w:rsidP="00603BC2">
      <w:pPr>
        <w:pStyle w:val="EndNoteBibliography"/>
        <w:spacing w:after="0"/>
        <w:ind w:left="720" w:hanging="720"/>
      </w:pPr>
      <w:r w:rsidRPr="00603BC2">
        <w:t xml:space="preserve">Ishizaka, K.,  Ishizaka, T. </w:t>
      </w:r>
      <w:r w:rsidR="00D80136">
        <w:t>(</w:t>
      </w:r>
      <w:r w:rsidRPr="00603BC2">
        <w:t>1967</w:t>
      </w:r>
      <w:r w:rsidR="00D80136">
        <w:t>)</w:t>
      </w:r>
      <w:r w:rsidRPr="00603BC2">
        <w:t xml:space="preserve">. Identification of Gamma-E Antibodies as a Carrier of Reaginic Activity. </w:t>
      </w:r>
      <w:r w:rsidRPr="00603BC2">
        <w:rPr>
          <w:i/>
        </w:rPr>
        <w:t>The Journal of Immunology</w:t>
      </w:r>
      <w:r w:rsidRPr="00603BC2">
        <w:t>, 99(6): 1187-1198.</w:t>
      </w:r>
    </w:p>
    <w:p w14:paraId="5BF673D7" w14:textId="218D785B" w:rsidR="00603BC2" w:rsidRPr="00603BC2" w:rsidRDefault="00603BC2" w:rsidP="00603BC2">
      <w:pPr>
        <w:pStyle w:val="EndNoteBibliography"/>
        <w:spacing w:after="0"/>
        <w:ind w:left="720" w:hanging="720"/>
      </w:pPr>
      <w:r w:rsidRPr="00603BC2">
        <w:t xml:space="preserve">Ishizaka, K., Ishizaka, T.,  Campbell, D. H. </w:t>
      </w:r>
      <w:r w:rsidR="00D80136">
        <w:t>(</w:t>
      </w:r>
      <w:r w:rsidRPr="00603BC2">
        <w:t>1959</w:t>
      </w:r>
      <w:r w:rsidR="00D80136">
        <w:t>)</w:t>
      </w:r>
      <w:r w:rsidRPr="00603BC2">
        <w:t xml:space="preserve">. The biological activity of soluble antigen-antibody complexes. </w:t>
      </w:r>
      <w:r w:rsidRPr="00603BC2">
        <w:rPr>
          <w:i/>
        </w:rPr>
        <w:t>Journal of Experimental Medicine</w:t>
      </w:r>
      <w:r w:rsidRPr="00603BC2">
        <w:t>, 109(2): 127-143.</w:t>
      </w:r>
    </w:p>
    <w:p w14:paraId="18C6E277" w14:textId="66F5A161" w:rsidR="00603BC2" w:rsidRPr="00603BC2" w:rsidRDefault="00603BC2" w:rsidP="00603BC2">
      <w:pPr>
        <w:pStyle w:val="EndNoteBibliography"/>
        <w:spacing w:after="0"/>
        <w:ind w:left="720" w:hanging="720"/>
      </w:pPr>
      <w:r w:rsidRPr="00603BC2">
        <w:t>Kajita, N., Kusakawa, G., Seto, H., Hirao, K., Yokoyama, S., Morikawa, E.,</w:t>
      </w:r>
      <w:r w:rsidR="00D80136">
        <w:t xml:space="preserve"> </w:t>
      </w:r>
      <w:r w:rsidR="000B711F" w:rsidRPr="000B711F">
        <w:t>et al</w:t>
      </w:r>
      <w:r w:rsidRPr="00603BC2">
        <w:t xml:space="preserve">. </w:t>
      </w:r>
      <w:r w:rsidR="00D80136">
        <w:t>(</w:t>
      </w:r>
      <w:r w:rsidRPr="00603BC2">
        <w:t>2023</w:t>
      </w:r>
      <w:r w:rsidR="00D80136">
        <w:t>)</w:t>
      </w:r>
      <w:r w:rsidRPr="00603BC2">
        <w:t xml:space="preserve">. Lymphocyte stimulation test for diagnosing hen's egg yolk-induced enterocolitis syndrome. </w:t>
      </w:r>
      <w:r w:rsidR="00D80136" w:rsidRPr="00D80136">
        <w:rPr>
          <w:i/>
          <w:iCs/>
        </w:rPr>
        <w:t>The</w:t>
      </w:r>
      <w:r w:rsidR="00D80136">
        <w:t xml:space="preserve"> </w:t>
      </w:r>
      <w:r w:rsidR="00D80136" w:rsidRPr="00603BC2">
        <w:rPr>
          <w:i/>
        </w:rPr>
        <w:t>Journal of Allergy and Clinical Immunology</w:t>
      </w:r>
      <w:r w:rsidRPr="00603BC2">
        <w:t>, 2(4): 100138.</w:t>
      </w:r>
    </w:p>
    <w:p w14:paraId="20EA9D2A" w14:textId="66901736" w:rsidR="00603BC2" w:rsidRPr="00603BC2" w:rsidRDefault="00603BC2" w:rsidP="00603BC2">
      <w:pPr>
        <w:pStyle w:val="EndNoteBibliography"/>
        <w:spacing w:after="0"/>
        <w:ind w:left="720" w:hanging="720"/>
      </w:pPr>
      <w:r w:rsidRPr="00603BC2">
        <w:t xml:space="preserve">Kallen, B.,  Nilsson, O. </w:t>
      </w:r>
      <w:r w:rsidR="00D80136">
        <w:t>(</w:t>
      </w:r>
      <w:r w:rsidRPr="00603BC2">
        <w:t>1979</w:t>
      </w:r>
      <w:r w:rsidR="00D80136">
        <w:t>)</w:t>
      </w:r>
      <w:r w:rsidRPr="00603BC2">
        <w:t>. Effect of enceph</w:t>
      </w:r>
      <w:r w:rsidR="00D80136">
        <w:t>a</w:t>
      </w:r>
      <w:r w:rsidRPr="00603BC2">
        <w:t xml:space="preserve">litogenic protein. PPD and tetanus toxoid on leukocyte migration in agarose. A study of "cross-reactivity". </w:t>
      </w:r>
      <w:r w:rsidRPr="00603BC2">
        <w:rPr>
          <w:i/>
        </w:rPr>
        <w:t>Allergy</w:t>
      </w:r>
      <w:r w:rsidRPr="00603BC2">
        <w:t>, 34(2): 97-102.</w:t>
      </w:r>
    </w:p>
    <w:p w14:paraId="639C14FE" w14:textId="23CA1A8F" w:rsidR="00603BC2" w:rsidRPr="00603BC2" w:rsidRDefault="00603BC2" w:rsidP="00603BC2">
      <w:pPr>
        <w:pStyle w:val="EndNoteBibliography"/>
        <w:spacing w:after="0"/>
        <w:ind w:left="720" w:hanging="720"/>
      </w:pPr>
      <w:r w:rsidRPr="00603BC2">
        <w:t xml:space="preserve">Katz, Y.,  Goldberg, M. R. </w:t>
      </w:r>
      <w:r w:rsidR="00D80136">
        <w:t>(</w:t>
      </w:r>
      <w:r w:rsidRPr="00603BC2">
        <w:t>2014</w:t>
      </w:r>
      <w:r w:rsidR="00D80136">
        <w:t>)</w:t>
      </w:r>
      <w:r w:rsidRPr="00603BC2">
        <w:t xml:space="preserve">. Natural history of food protein-induced enterocolitis syndrome. </w:t>
      </w:r>
      <w:r w:rsidRPr="00603BC2">
        <w:rPr>
          <w:i/>
        </w:rPr>
        <w:t>Current Opinion in Allergy and Clinical Immunology</w:t>
      </w:r>
      <w:r w:rsidRPr="00603BC2">
        <w:t>, 14(3): 229-239.</w:t>
      </w:r>
    </w:p>
    <w:p w14:paraId="75DE5213" w14:textId="3EF88F5C" w:rsidR="00603BC2" w:rsidRPr="00603BC2" w:rsidRDefault="00603BC2" w:rsidP="00603BC2">
      <w:pPr>
        <w:pStyle w:val="EndNoteBibliography"/>
        <w:spacing w:after="0"/>
        <w:ind w:left="720" w:hanging="720"/>
      </w:pPr>
      <w:r w:rsidRPr="00603BC2">
        <w:t xml:space="preserve">Khan, M. M. </w:t>
      </w:r>
      <w:r w:rsidR="00D80136">
        <w:t>(</w:t>
      </w:r>
      <w:r w:rsidRPr="00603BC2">
        <w:t>2016</w:t>
      </w:r>
      <w:r w:rsidR="00D80136">
        <w:t>)</w:t>
      </w:r>
      <w:r w:rsidRPr="00603BC2">
        <w:t xml:space="preserve">. Allergic Disease. In M. M. Khan (Ed.), </w:t>
      </w:r>
      <w:r w:rsidRPr="00603BC2">
        <w:rPr>
          <w:i/>
        </w:rPr>
        <w:t>Immunopharmacology</w:t>
      </w:r>
      <w:r w:rsidRPr="00603BC2">
        <w:t>: 197-225. Cham: Springer International Publishing.</w:t>
      </w:r>
    </w:p>
    <w:p w14:paraId="6CFFA221" w14:textId="53D480C5" w:rsidR="00603BC2" w:rsidRPr="00603BC2" w:rsidRDefault="00603BC2" w:rsidP="00603BC2">
      <w:pPr>
        <w:pStyle w:val="EndNoteBibliography"/>
        <w:spacing w:after="0"/>
        <w:ind w:left="720" w:hanging="720"/>
      </w:pPr>
      <w:r w:rsidRPr="00603BC2">
        <w:t xml:space="preserve">Klug, C., Hemmer, W., Román-Carrasco, P., Focke-Tejkl, M., Quirce, S., Boyano-Martínez, T., </w:t>
      </w:r>
      <w:r w:rsidR="000B711F" w:rsidRPr="000B711F">
        <w:t>et al</w:t>
      </w:r>
      <w:r w:rsidRPr="00603BC2">
        <w:t xml:space="preserve">. </w:t>
      </w:r>
      <w:r w:rsidR="00D80136">
        <w:t>(</w:t>
      </w:r>
      <w:r w:rsidRPr="00603BC2">
        <w:t>2020</w:t>
      </w:r>
      <w:r w:rsidR="00D80136">
        <w:t>)</w:t>
      </w:r>
      <w:r w:rsidRPr="00603BC2">
        <w:t xml:space="preserve">. Gal d 7-a major allergen in primary chicken meat allergy. </w:t>
      </w:r>
      <w:r w:rsidRPr="00603BC2">
        <w:rPr>
          <w:i/>
        </w:rPr>
        <w:t>The</w:t>
      </w:r>
      <w:r w:rsidR="00D80136" w:rsidRPr="00D80136">
        <w:rPr>
          <w:i/>
          <w:iCs/>
        </w:rPr>
        <w:t xml:space="preserve"> Journal of Allergy and Clinical Immunology</w:t>
      </w:r>
      <w:r w:rsidRPr="00603BC2">
        <w:t>, 146(1): 169-179.e165.</w:t>
      </w:r>
    </w:p>
    <w:p w14:paraId="25FBB650" w14:textId="7B2F4534" w:rsidR="00603BC2" w:rsidRPr="00603BC2" w:rsidRDefault="00603BC2" w:rsidP="00603BC2">
      <w:pPr>
        <w:pStyle w:val="EndNoteBibliography"/>
        <w:spacing w:after="0"/>
        <w:ind w:left="720" w:hanging="720"/>
      </w:pPr>
      <w:r w:rsidRPr="00D80136">
        <w:rPr>
          <w:lang w:val="fr-FR"/>
        </w:rPr>
        <w:t xml:space="preserve">Kuehn, A., Codreanu-Morel, F., Lehners-Weber, C., Doyen, V., Gomez-André, S. A., Bienvenu, F., </w:t>
      </w:r>
      <w:r w:rsidR="000B711F" w:rsidRPr="000B711F">
        <w:rPr>
          <w:lang w:val="fr-FR"/>
        </w:rPr>
        <w:t>et al</w:t>
      </w:r>
      <w:r w:rsidRPr="00D80136">
        <w:rPr>
          <w:lang w:val="fr-FR"/>
        </w:rPr>
        <w:t xml:space="preserve">. </w:t>
      </w:r>
      <w:r w:rsidR="00D80136">
        <w:rPr>
          <w:lang w:val="fr-FR"/>
        </w:rPr>
        <w:t>(</w:t>
      </w:r>
      <w:r w:rsidRPr="00D80136">
        <w:rPr>
          <w:lang w:val="fr-FR"/>
        </w:rPr>
        <w:t>2016</w:t>
      </w:r>
      <w:r w:rsidR="00D80136">
        <w:rPr>
          <w:lang w:val="fr-FR"/>
        </w:rPr>
        <w:t>)</w:t>
      </w:r>
      <w:r w:rsidRPr="00D80136">
        <w:rPr>
          <w:lang w:val="fr-FR"/>
        </w:rPr>
        <w:t xml:space="preserve">. </w:t>
      </w:r>
      <w:r w:rsidRPr="00603BC2">
        <w:t xml:space="preserve">Cross-reactivity to fish and chicken meat - a new clinical syndrome. </w:t>
      </w:r>
      <w:r w:rsidRPr="00603BC2">
        <w:rPr>
          <w:i/>
        </w:rPr>
        <w:t>Allergy</w:t>
      </w:r>
      <w:r w:rsidRPr="00603BC2">
        <w:t>, 71(12): 1772-1781.</w:t>
      </w:r>
    </w:p>
    <w:p w14:paraId="448DEB50" w14:textId="6A97370A" w:rsidR="00603BC2" w:rsidRPr="00603BC2" w:rsidRDefault="00603BC2" w:rsidP="00603BC2">
      <w:pPr>
        <w:pStyle w:val="EndNoteBibliography"/>
        <w:spacing w:after="0"/>
        <w:ind w:left="720" w:hanging="720"/>
      </w:pPr>
      <w:r w:rsidRPr="00603BC2">
        <w:t xml:space="preserve">Kuratsuji, T. </w:t>
      </w:r>
      <w:r w:rsidR="00D80136">
        <w:t>(</w:t>
      </w:r>
      <w:r w:rsidRPr="00603BC2">
        <w:t>1981</w:t>
      </w:r>
      <w:r w:rsidR="00D80136">
        <w:t>)</w:t>
      </w:r>
      <w:r w:rsidRPr="00603BC2">
        <w:t xml:space="preserve">. Studies on leukocyte adherence inhibition test. Part II. Clinical applications of LAI test to detect delayed type hypersensitivity in infants and children. </w:t>
      </w:r>
      <w:r w:rsidRPr="00603BC2">
        <w:rPr>
          <w:i/>
        </w:rPr>
        <w:t>Keio Journal of Medicine</w:t>
      </w:r>
      <w:r w:rsidRPr="00603BC2">
        <w:t>, 30(2): 65-69.</w:t>
      </w:r>
    </w:p>
    <w:p w14:paraId="13892426" w14:textId="2119131B" w:rsidR="00603BC2" w:rsidRPr="00603BC2" w:rsidRDefault="00603BC2" w:rsidP="00603BC2">
      <w:pPr>
        <w:pStyle w:val="EndNoteBibliography"/>
        <w:spacing w:after="0"/>
        <w:ind w:left="720" w:hanging="720"/>
      </w:pPr>
      <w:r w:rsidRPr="00D80136">
        <w:rPr>
          <w:lang w:val="fr-FR"/>
        </w:rPr>
        <w:t xml:space="preserve">Lin, X. P., Magnusson, J., Ahlstedt, S., Dahlman-Höglund, A., Hanson, L. L., Magnusson, O., </w:t>
      </w:r>
      <w:r w:rsidR="000B711F" w:rsidRPr="000B711F">
        <w:rPr>
          <w:lang w:val="fr-FR"/>
        </w:rPr>
        <w:t>et al</w:t>
      </w:r>
      <w:r w:rsidRPr="00D80136">
        <w:rPr>
          <w:lang w:val="fr-FR"/>
        </w:rPr>
        <w:t xml:space="preserve">. </w:t>
      </w:r>
      <w:r w:rsidR="00D80136">
        <w:rPr>
          <w:lang w:val="fr-FR"/>
        </w:rPr>
        <w:t>(</w:t>
      </w:r>
      <w:r w:rsidRPr="00D80136">
        <w:rPr>
          <w:lang w:val="fr-FR"/>
        </w:rPr>
        <w:t>2002</w:t>
      </w:r>
      <w:r w:rsidR="00D80136">
        <w:rPr>
          <w:lang w:val="fr-FR"/>
        </w:rPr>
        <w:t>)</w:t>
      </w:r>
      <w:r w:rsidRPr="00D80136">
        <w:rPr>
          <w:lang w:val="fr-FR"/>
        </w:rPr>
        <w:t xml:space="preserve">. </w:t>
      </w:r>
      <w:r w:rsidRPr="00603BC2">
        <w:t xml:space="preserve">Local allergic reaction in food-hypersensitive adults despite a lack of systemic food-specific IgE. </w:t>
      </w:r>
      <w:r w:rsidR="00D80136" w:rsidRPr="00603BC2">
        <w:rPr>
          <w:i/>
        </w:rPr>
        <w:t>The</w:t>
      </w:r>
      <w:r w:rsidR="00D80136" w:rsidRPr="00D80136">
        <w:rPr>
          <w:i/>
          <w:iCs/>
        </w:rPr>
        <w:t xml:space="preserve"> Journal of Allergy and Clinical Immunology</w:t>
      </w:r>
      <w:r w:rsidR="00D80136" w:rsidRPr="00603BC2">
        <w:t>,</w:t>
      </w:r>
      <w:r w:rsidR="00D80136">
        <w:t xml:space="preserve"> </w:t>
      </w:r>
      <w:r w:rsidRPr="00603BC2">
        <w:t>109(5): 879-887.</w:t>
      </w:r>
    </w:p>
    <w:p w14:paraId="0F3C6F3E" w14:textId="2AB807EC" w:rsidR="00603BC2" w:rsidRPr="00603BC2" w:rsidRDefault="00603BC2" w:rsidP="00603BC2">
      <w:pPr>
        <w:pStyle w:val="EndNoteBibliography"/>
        <w:spacing w:after="0"/>
        <w:ind w:left="720" w:hanging="720"/>
      </w:pPr>
      <w:r w:rsidRPr="00603BC2">
        <w:t xml:space="preserve">Mandallaz, M. M., de Weck, A. L.,  Dahinden, C. A. </w:t>
      </w:r>
      <w:r w:rsidR="00B0262C">
        <w:t>(</w:t>
      </w:r>
      <w:r w:rsidRPr="00603BC2">
        <w:t>1988</w:t>
      </w:r>
      <w:r w:rsidR="00B0262C">
        <w:t>)</w:t>
      </w:r>
      <w:r w:rsidRPr="00603BC2">
        <w:t xml:space="preserve">. Bird-egg syndrome. Cross-reactivity between bird antigens and egg-yolk livetins in IgE-mediated hypersensitivity. </w:t>
      </w:r>
      <w:r w:rsidRPr="00603BC2">
        <w:rPr>
          <w:i/>
        </w:rPr>
        <w:t>International Archives of Allergy and Applied Immunology</w:t>
      </w:r>
      <w:r w:rsidRPr="00603BC2">
        <w:t>, 87(2): 143-150.</w:t>
      </w:r>
    </w:p>
    <w:p w14:paraId="1C846229" w14:textId="3FE767B6" w:rsidR="00603BC2" w:rsidRPr="00603BC2" w:rsidRDefault="00603BC2" w:rsidP="00603BC2">
      <w:pPr>
        <w:pStyle w:val="EndNoteBibliography"/>
        <w:spacing w:after="0"/>
        <w:ind w:left="720" w:hanging="720"/>
      </w:pPr>
      <w:r w:rsidRPr="00603BC2">
        <w:lastRenderedPageBreak/>
        <w:t xml:space="preserve">Nowak-Wegrzyn, A., Sampson, H. A., Wood, R. A.,  Sicherer, S. H. </w:t>
      </w:r>
      <w:r w:rsidR="00B0262C">
        <w:t>(</w:t>
      </w:r>
      <w:r w:rsidRPr="00603BC2">
        <w:t>2003</w:t>
      </w:r>
      <w:r w:rsidR="00B0262C">
        <w:t>)</w:t>
      </w:r>
      <w:r w:rsidRPr="00603BC2">
        <w:t xml:space="preserve">. Food protein-induced enterocolitis syndrome caused by solid food proteins. </w:t>
      </w:r>
      <w:r w:rsidRPr="00603BC2">
        <w:rPr>
          <w:i/>
        </w:rPr>
        <w:t>Pediatrics</w:t>
      </w:r>
      <w:r w:rsidRPr="00603BC2">
        <w:t>, 111(4 Pt 1): 829-835.</w:t>
      </w:r>
    </w:p>
    <w:p w14:paraId="1DB6810F" w14:textId="48703DD1" w:rsidR="00603BC2" w:rsidRPr="00603BC2" w:rsidRDefault="00603BC2" w:rsidP="00603BC2">
      <w:pPr>
        <w:pStyle w:val="EndNoteBibliography"/>
        <w:spacing w:after="0"/>
        <w:ind w:left="720" w:hanging="720"/>
      </w:pPr>
      <w:r w:rsidRPr="00603BC2">
        <w:t xml:space="preserve">Olivier, C. E. </w:t>
      </w:r>
      <w:r w:rsidR="00B0262C">
        <w:t>(</w:t>
      </w:r>
      <w:r w:rsidRPr="00603BC2">
        <w:t>2013</w:t>
      </w:r>
      <w:r w:rsidR="00B0262C">
        <w:t>)</w:t>
      </w:r>
      <w:r w:rsidRPr="00603BC2">
        <w:t xml:space="preserve">. Food Allergy. </w:t>
      </w:r>
      <w:r w:rsidRPr="00603BC2">
        <w:rPr>
          <w:i/>
        </w:rPr>
        <w:t>Journal of Allergy  Therapy</w:t>
      </w:r>
      <w:r w:rsidRPr="00603BC2">
        <w:t>, S3:004: 1-7  doi:10.4172/2155-6121.S4173-4004.</w:t>
      </w:r>
    </w:p>
    <w:p w14:paraId="7D81DED5" w14:textId="06F735E3" w:rsidR="00603BC2" w:rsidRPr="00603BC2" w:rsidRDefault="00603BC2" w:rsidP="00603BC2">
      <w:pPr>
        <w:pStyle w:val="EndNoteBibliography"/>
        <w:spacing w:after="0"/>
        <w:ind w:left="720" w:hanging="720"/>
        <w:rPr>
          <w:lang w:val="pt-BR"/>
        </w:rPr>
      </w:pPr>
      <w:r w:rsidRPr="00603BC2">
        <w:t>Olivier, C. E.</w:t>
      </w:r>
      <w:r w:rsidR="00B0262C">
        <w:t xml:space="preserve"> (</w:t>
      </w:r>
      <w:r w:rsidRPr="00603BC2">
        <w:t>2022</w:t>
      </w:r>
      <w:r w:rsidR="00B0262C">
        <w:t>)</w:t>
      </w:r>
      <w:r w:rsidRPr="00603BC2">
        <w:t xml:space="preserve">. Considering intestinal permeability and immune metabolism in the treatment of food allergies. </w:t>
      </w:r>
      <w:r w:rsidRPr="00603BC2">
        <w:rPr>
          <w:i/>
          <w:lang w:val="pt-BR"/>
        </w:rPr>
        <w:t>European Journal of Clinical Medicine</w:t>
      </w:r>
      <w:r w:rsidRPr="00603BC2">
        <w:rPr>
          <w:lang w:val="pt-BR"/>
        </w:rPr>
        <w:t>, 3(3): 13-18.</w:t>
      </w:r>
    </w:p>
    <w:p w14:paraId="7A4E8F08" w14:textId="71926FF1" w:rsidR="00603BC2" w:rsidRPr="00603BC2" w:rsidRDefault="00603BC2" w:rsidP="00603BC2">
      <w:pPr>
        <w:pStyle w:val="EndNoteBibliography"/>
        <w:spacing w:after="0"/>
        <w:ind w:left="720" w:hanging="720"/>
      </w:pPr>
      <w:r w:rsidRPr="00603BC2">
        <w:rPr>
          <w:lang w:val="pt-BR"/>
        </w:rPr>
        <w:t xml:space="preserve">Olivier, C. E., Argentão, D. G. P., Santos, R. A. P. G., Silva, M. D., Lima, R. P. S.,  Zollner, R. L. </w:t>
      </w:r>
      <w:r w:rsidR="00B0262C">
        <w:rPr>
          <w:lang w:val="pt-BR"/>
        </w:rPr>
        <w:t>(</w:t>
      </w:r>
      <w:r w:rsidRPr="00603BC2">
        <w:rPr>
          <w:lang w:val="pt-BR"/>
        </w:rPr>
        <w:t>2013</w:t>
      </w:r>
      <w:r w:rsidR="00B0262C">
        <w:rPr>
          <w:lang w:val="pt-BR"/>
        </w:rPr>
        <w:t>)</w:t>
      </w:r>
      <w:r w:rsidRPr="00603BC2">
        <w:rPr>
          <w:lang w:val="pt-BR"/>
        </w:rPr>
        <w:t xml:space="preserve">. </w:t>
      </w:r>
      <w:r w:rsidRPr="00603BC2">
        <w:t xml:space="preserve">Skin scrape test: an inexpensive and painless skin test for recognition of immediate hypersensitivity in children and adults. </w:t>
      </w:r>
      <w:r w:rsidRPr="00603BC2">
        <w:rPr>
          <w:i/>
        </w:rPr>
        <w:t>The Open Allergy Journal</w:t>
      </w:r>
      <w:r w:rsidRPr="00603BC2">
        <w:t>, 6: 9-17.</w:t>
      </w:r>
    </w:p>
    <w:p w14:paraId="32D21746" w14:textId="75E0DD2A" w:rsidR="00603BC2" w:rsidRPr="00603BC2" w:rsidRDefault="00603BC2" w:rsidP="00603BC2">
      <w:pPr>
        <w:pStyle w:val="EndNoteBibliography"/>
        <w:spacing w:after="0"/>
        <w:ind w:left="720" w:hanging="720"/>
      </w:pPr>
      <w:r w:rsidRPr="00884F06">
        <w:rPr>
          <w:lang w:val="pt-BR"/>
        </w:rPr>
        <w:t xml:space="preserve">Olivier, C. E., Lima, R. P. d. S., Pinto, D. G.,  Santos, R. A. P. G. d. </w:t>
      </w:r>
      <w:r w:rsidR="00B0262C">
        <w:rPr>
          <w:lang w:val="pt-BR"/>
        </w:rPr>
        <w:t>(</w:t>
      </w:r>
      <w:r w:rsidRPr="00884F06">
        <w:rPr>
          <w:lang w:val="pt-BR"/>
        </w:rPr>
        <w:t>2021</w:t>
      </w:r>
      <w:r w:rsidR="00B0262C">
        <w:rPr>
          <w:lang w:val="pt-BR"/>
        </w:rPr>
        <w:t>ª)</w:t>
      </w:r>
      <w:r w:rsidRPr="00884F06">
        <w:rPr>
          <w:lang w:val="pt-BR"/>
        </w:rPr>
        <w:t xml:space="preserve">. </w:t>
      </w:r>
      <w:r w:rsidRPr="00603BC2">
        <w:t xml:space="preserve">The Plasma Preincubation with Papain Before the Assay Suggests that a Gell and Coombs Type II Reaction is Been Demonstrated by the Leukocyte Adherence Inhibition Test. </w:t>
      </w:r>
      <w:r w:rsidRPr="00603BC2">
        <w:rPr>
          <w:i/>
        </w:rPr>
        <w:t>Biomedical Journal of Scientific  Technical Research</w:t>
      </w:r>
      <w:r w:rsidRPr="00603BC2">
        <w:t>, 36(3): 28647 - 28655.</w:t>
      </w:r>
    </w:p>
    <w:p w14:paraId="40D3AB87" w14:textId="1B68D73C" w:rsidR="00603BC2" w:rsidRPr="00603BC2" w:rsidRDefault="00603BC2" w:rsidP="00603BC2">
      <w:pPr>
        <w:pStyle w:val="EndNoteBibliography"/>
        <w:spacing w:after="0"/>
        <w:ind w:left="720" w:hanging="720"/>
        <w:rPr>
          <w:lang w:val="pt-BR"/>
        </w:rPr>
      </w:pPr>
      <w:r w:rsidRPr="00B0262C">
        <w:rPr>
          <w:lang w:val="pt-BR"/>
        </w:rPr>
        <w:t xml:space="preserve">Olivier, C. E., Lima, R. P. S., Pinto, D. G., Santos, R. A. P. G., Silva, G. K. M., Lorena, S. L. S., </w:t>
      </w:r>
      <w:r w:rsidR="000B711F" w:rsidRPr="000B711F">
        <w:rPr>
          <w:lang w:val="pt-BR"/>
        </w:rPr>
        <w:t>et al</w:t>
      </w:r>
      <w:r w:rsidR="00B0262C" w:rsidRPr="00B0262C">
        <w:rPr>
          <w:lang w:val="pt-BR"/>
        </w:rPr>
        <w:t>.</w:t>
      </w:r>
      <w:r w:rsidRPr="00B0262C">
        <w:rPr>
          <w:lang w:val="pt-BR"/>
        </w:rPr>
        <w:t xml:space="preserve"> </w:t>
      </w:r>
      <w:r w:rsidR="00B0262C" w:rsidRPr="000B711F">
        <w:rPr>
          <w:lang w:val="pt-BR"/>
        </w:rPr>
        <w:t>(</w:t>
      </w:r>
      <w:r w:rsidRPr="000B711F">
        <w:rPr>
          <w:lang w:val="pt-BR"/>
        </w:rPr>
        <w:t>2012</w:t>
      </w:r>
      <w:r w:rsidR="00B0262C" w:rsidRPr="000B711F">
        <w:rPr>
          <w:lang w:val="pt-BR"/>
        </w:rPr>
        <w:t>)</w:t>
      </w:r>
      <w:r w:rsidRPr="000B711F">
        <w:rPr>
          <w:lang w:val="pt-BR"/>
        </w:rPr>
        <w:t xml:space="preserve">. </w:t>
      </w:r>
      <w:r w:rsidRPr="00603BC2">
        <w:t xml:space="preserve">In search of a tolerance-induction strategy for cow's milk allergies: significant reduction of beta-lactoglobulin allergenicity via transglutaminase/cysteine polymerization. </w:t>
      </w:r>
      <w:r w:rsidRPr="00603BC2">
        <w:rPr>
          <w:i/>
          <w:lang w:val="pt-BR"/>
        </w:rPr>
        <w:t>Clinics</w:t>
      </w:r>
      <w:r w:rsidRPr="00603BC2">
        <w:rPr>
          <w:lang w:val="pt-BR"/>
        </w:rPr>
        <w:t>, 67(10): 1171-1179.</w:t>
      </w:r>
    </w:p>
    <w:p w14:paraId="13681E61" w14:textId="00C2FA2A" w:rsidR="00603BC2" w:rsidRPr="00603BC2" w:rsidRDefault="00603BC2" w:rsidP="00603BC2">
      <w:pPr>
        <w:pStyle w:val="EndNoteBibliography"/>
        <w:spacing w:after="0"/>
        <w:ind w:left="720" w:hanging="720"/>
      </w:pPr>
      <w:r w:rsidRPr="00603BC2">
        <w:rPr>
          <w:lang w:val="pt-BR"/>
        </w:rPr>
        <w:t xml:space="preserve">Olivier, C. E., Pinto, D. G., Lima, R. P. S., Silva, M. D. d., Santos, R. A. P. G., Teixeira, A. P. M.,  </w:t>
      </w:r>
      <w:r w:rsidR="000B711F" w:rsidRPr="000B711F">
        <w:rPr>
          <w:lang w:val="pt-BR"/>
        </w:rPr>
        <w:t>et al</w:t>
      </w:r>
      <w:r w:rsidRPr="00603BC2">
        <w:rPr>
          <w:lang w:val="pt-BR"/>
        </w:rPr>
        <w:t xml:space="preserve">. </w:t>
      </w:r>
      <w:r w:rsidRPr="00603BC2">
        <w:t xml:space="preserve">Assessment of Immunoreactivity against Therapeutic Options Employing the Leukocyte Adherence Inhibition Test as a Tool for Precision Medicine. </w:t>
      </w:r>
      <w:r w:rsidRPr="00603BC2">
        <w:rPr>
          <w:i/>
        </w:rPr>
        <w:t>European Journal of Clinical Medicine</w:t>
      </w:r>
      <w:r w:rsidRPr="00603BC2">
        <w:t>, 2(3): 40-45.</w:t>
      </w:r>
    </w:p>
    <w:p w14:paraId="1C623BE4" w14:textId="74BD650B" w:rsidR="00603BC2" w:rsidRPr="00603BC2" w:rsidRDefault="00603BC2" w:rsidP="00603BC2">
      <w:pPr>
        <w:pStyle w:val="EndNoteBibliography"/>
        <w:spacing w:after="0"/>
        <w:ind w:left="720" w:hanging="720"/>
      </w:pPr>
      <w:r w:rsidRPr="00884F06">
        <w:rPr>
          <w:lang w:val="pt-BR"/>
        </w:rPr>
        <w:t xml:space="preserve">Olivier, C. E., Pinto, D. G., Santos, R. A. P. G.,  Lima, R. P. S. </w:t>
      </w:r>
      <w:r w:rsidR="00B0262C">
        <w:rPr>
          <w:lang w:val="pt-BR"/>
        </w:rPr>
        <w:t>(</w:t>
      </w:r>
      <w:r w:rsidRPr="00884F06">
        <w:rPr>
          <w:lang w:val="pt-BR"/>
        </w:rPr>
        <w:t>2021c</w:t>
      </w:r>
      <w:r w:rsidR="00B0262C">
        <w:rPr>
          <w:lang w:val="pt-BR"/>
        </w:rPr>
        <w:t>)</w:t>
      </w:r>
      <w:r w:rsidRPr="00884F06">
        <w:rPr>
          <w:lang w:val="pt-BR"/>
        </w:rPr>
        <w:t xml:space="preserve">. </w:t>
      </w:r>
      <w:r w:rsidRPr="00603BC2">
        <w:t xml:space="preserve">Dextran’s interference over the Leukocyte Adherence Inhibition Test. </w:t>
      </w:r>
      <w:r w:rsidRPr="00603BC2">
        <w:rPr>
          <w:i/>
        </w:rPr>
        <w:t>Academia Letter</w:t>
      </w:r>
      <w:r w:rsidRPr="00603BC2">
        <w:t>, Article (number): 3792.</w:t>
      </w:r>
    </w:p>
    <w:p w14:paraId="7FA06CB2" w14:textId="53EFF388"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Miguel, C. S., Santana , J. L. S., Lima, R. P. S.,  </w:t>
      </w:r>
      <w:r w:rsidR="000B711F" w:rsidRPr="000B711F">
        <w:rPr>
          <w:lang w:val="pt-BR"/>
        </w:rPr>
        <w:t>et al</w:t>
      </w:r>
      <w:r w:rsidRPr="00603BC2">
        <w:rPr>
          <w:lang w:val="pt-BR"/>
        </w:rPr>
        <w:t xml:space="preserve">. </w:t>
      </w:r>
      <w:r w:rsidR="00B0262C">
        <w:rPr>
          <w:lang w:val="pt-BR"/>
        </w:rPr>
        <w:t>(</w:t>
      </w:r>
      <w:r w:rsidRPr="000B711F">
        <w:rPr>
          <w:lang w:val="pt-BR"/>
        </w:rPr>
        <w:t>2025a</w:t>
      </w:r>
      <w:r w:rsidR="00B0262C" w:rsidRPr="000B711F">
        <w:rPr>
          <w:lang w:val="pt-BR"/>
        </w:rPr>
        <w:t>)</w:t>
      </w:r>
      <w:r w:rsidRPr="000B711F">
        <w:rPr>
          <w:lang w:val="pt-BR"/>
        </w:rPr>
        <w:t xml:space="preserve">. </w:t>
      </w:r>
      <w:r w:rsidRPr="00603BC2">
        <w:t xml:space="preserve">Endotyping Cellular and Humoral Cross-reactivity among Canine, Feline, and Swine Allergens in Patients with Allergic Multimorbidity. </w:t>
      </w:r>
      <w:r w:rsidRPr="00603BC2">
        <w:rPr>
          <w:i/>
          <w:lang w:val="pt-BR"/>
        </w:rPr>
        <w:t xml:space="preserve">Asian Journal </w:t>
      </w:r>
      <w:r w:rsidR="00B0262C">
        <w:rPr>
          <w:i/>
          <w:lang w:val="pt-BR"/>
        </w:rPr>
        <w:t>o</w:t>
      </w:r>
      <w:r w:rsidRPr="00603BC2">
        <w:rPr>
          <w:i/>
          <w:lang w:val="pt-BR"/>
        </w:rPr>
        <w:t>f Immunology</w:t>
      </w:r>
      <w:r w:rsidRPr="00603BC2">
        <w:rPr>
          <w:lang w:val="pt-BR"/>
        </w:rPr>
        <w:t>, 8(1): 142-162.</w:t>
      </w:r>
    </w:p>
    <w:p w14:paraId="4876E4D2" w14:textId="3F2D82C4"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Miguel, C. S., Santana , J. L. S., Lima, R. P. S.,  </w:t>
      </w:r>
      <w:r w:rsidR="000B711F" w:rsidRPr="000B711F">
        <w:rPr>
          <w:lang w:val="pt-BR"/>
        </w:rPr>
        <w:t>et al</w:t>
      </w:r>
      <w:r w:rsidRPr="00603BC2">
        <w:rPr>
          <w:lang w:val="pt-BR"/>
        </w:rPr>
        <w:t xml:space="preserve">. </w:t>
      </w:r>
      <w:r w:rsidRPr="000B711F">
        <w:rPr>
          <w:lang w:val="pt-BR"/>
        </w:rPr>
        <w:t xml:space="preserve">2025b. </w:t>
      </w:r>
      <w:r w:rsidRPr="00603BC2">
        <w:t xml:space="preserve">Endotyping Cellular and Humoral Cross-Reactivity between Blomia tropicalis and Farfantepenaeus brasiliensis in Patients with Allergic Multimorbidity. </w:t>
      </w:r>
      <w:r w:rsidRPr="00603BC2">
        <w:rPr>
          <w:i/>
          <w:lang w:val="pt-BR"/>
        </w:rPr>
        <w:t>Asian Journal of Immunology</w:t>
      </w:r>
      <w:r w:rsidRPr="00603BC2">
        <w:rPr>
          <w:lang w:val="pt-BR"/>
        </w:rPr>
        <w:t>, 8(1): 163-178.</w:t>
      </w:r>
    </w:p>
    <w:p w14:paraId="14352562" w14:textId="729140DA"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Miguel, C. S., Santos, R. A. P. G., Santana, J. L. S.,  </w:t>
      </w:r>
      <w:r w:rsidR="000B711F">
        <w:rPr>
          <w:lang w:val="pt-BR"/>
        </w:rPr>
        <w:t>et al</w:t>
      </w:r>
      <w:r w:rsidRPr="00603BC2">
        <w:rPr>
          <w:lang w:val="pt-BR"/>
        </w:rPr>
        <w:t xml:space="preserve">. </w:t>
      </w:r>
      <w:r w:rsidR="000B711F">
        <w:rPr>
          <w:lang w:val="pt-BR"/>
        </w:rPr>
        <w:t>(</w:t>
      </w:r>
      <w:r w:rsidRPr="00603BC2">
        <w:rPr>
          <w:lang w:val="pt-BR"/>
        </w:rPr>
        <w:t>2024</w:t>
      </w:r>
      <w:r w:rsidR="000B711F">
        <w:rPr>
          <w:lang w:val="pt-BR"/>
        </w:rPr>
        <w:t>)</w:t>
      </w:r>
      <w:r w:rsidRPr="00603BC2">
        <w:rPr>
          <w:lang w:val="pt-BR"/>
        </w:rPr>
        <w:t xml:space="preserve">. </w:t>
      </w:r>
      <w:r w:rsidRPr="00603BC2">
        <w:t xml:space="preserve">Cellular and Humoral Immunoreactivity against Hen’s Egg White: Relevance in Allergic Patients. </w:t>
      </w:r>
      <w:r w:rsidRPr="00603BC2">
        <w:rPr>
          <w:i/>
          <w:lang w:val="pt-BR"/>
        </w:rPr>
        <w:t>Asian Journal of Immunology</w:t>
      </w:r>
      <w:r w:rsidRPr="00603BC2">
        <w:rPr>
          <w:lang w:val="pt-BR"/>
        </w:rPr>
        <w:t>, 7(1): 274-284.</w:t>
      </w:r>
    </w:p>
    <w:p w14:paraId="55E7D2F4" w14:textId="631FBA94"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Miguel, C. S., Santos, R. A. P. G., Santana, J. L. S.,  </w:t>
      </w:r>
      <w:r w:rsidR="000B711F">
        <w:rPr>
          <w:lang w:val="pt-BR"/>
        </w:rPr>
        <w:t>et al.</w:t>
      </w:r>
      <w:r w:rsidRPr="00603BC2">
        <w:rPr>
          <w:lang w:val="pt-BR"/>
        </w:rPr>
        <w:t xml:space="preserve"> </w:t>
      </w:r>
      <w:r w:rsidR="000B711F">
        <w:rPr>
          <w:lang w:val="pt-BR"/>
        </w:rPr>
        <w:t>(</w:t>
      </w:r>
      <w:r w:rsidRPr="00603BC2">
        <w:rPr>
          <w:lang w:val="pt-BR"/>
        </w:rPr>
        <w:t>2024b</w:t>
      </w:r>
      <w:r w:rsidR="000B711F">
        <w:rPr>
          <w:lang w:val="pt-BR"/>
        </w:rPr>
        <w:t>)</w:t>
      </w:r>
      <w:r w:rsidRPr="00603BC2">
        <w:rPr>
          <w:lang w:val="pt-BR"/>
        </w:rPr>
        <w:t xml:space="preserve">. </w:t>
      </w:r>
      <w:r w:rsidRPr="00603BC2">
        <w:t xml:space="preserve">Endotyping Cellular and Humoral Immunoreactivity against Allium spices and Sulfites preservatives in Allergic Patients. </w:t>
      </w:r>
      <w:r w:rsidRPr="00884F06">
        <w:t xml:space="preserve">A Retrospective Study. </w:t>
      </w:r>
      <w:r w:rsidRPr="00603BC2">
        <w:rPr>
          <w:i/>
          <w:lang w:val="pt-BR"/>
        </w:rPr>
        <w:t>Asian Journal of Immunology</w:t>
      </w:r>
      <w:r w:rsidRPr="00603BC2">
        <w:rPr>
          <w:lang w:val="pt-BR"/>
        </w:rPr>
        <w:t>, 7(1): 185-200.</w:t>
      </w:r>
    </w:p>
    <w:p w14:paraId="3994B6E1" w14:textId="78CB61EA"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Miguel, C. S., Santos, R. A. P. G., Santana, J. L. S.,  </w:t>
      </w:r>
      <w:r w:rsidR="000B711F">
        <w:rPr>
          <w:lang w:val="pt-BR"/>
        </w:rPr>
        <w:t>et al.</w:t>
      </w:r>
      <w:r w:rsidRPr="00603BC2">
        <w:rPr>
          <w:lang w:val="pt-BR"/>
        </w:rPr>
        <w:t xml:space="preserve"> </w:t>
      </w:r>
      <w:r w:rsidR="000B711F">
        <w:rPr>
          <w:lang w:val="pt-BR"/>
        </w:rPr>
        <w:t>(</w:t>
      </w:r>
      <w:r w:rsidRPr="00603BC2">
        <w:rPr>
          <w:lang w:val="pt-BR"/>
        </w:rPr>
        <w:t>2024c</w:t>
      </w:r>
      <w:r w:rsidR="000B711F">
        <w:rPr>
          <w:lang w:val="pt-BR"/>
        </w:rPr>
        <w:t>)</w:t>
      </w:r>
      <w:r w:rsidRPr="00603BC2">
        <w:rPr>
          <w:lang w:val="pt-BR"/>
        </w:rPr>
        <w:t xml:space="preserve">. </w:t>
      </w:r>
      <w:r w:rsidRPr="00603BC2">
        <w:t xml:space="preserve">Endotyping Cellular and Humoral Immunoreactivity Against Tartrazine in Allergic Patients: A Retrospective Study. </w:t>
      </w:r>
      <w:r w:rsidRPr="00603BC2">
        <w:rPr>
          <w:i/>
          <w:lang w:val="pt-BR"/>
        </w:rPr>
        <w:t>Asian Journal of Immunology</w:t>
      </w:r>
      <w:r w:rsidRPr="00603BC2">
        <w:rPr>
          <w:lang w:val="pt-BR"/>
        </w:rPr>
        <w:t>, 7(1): 217-227.</w:t>
      </w:r>
    </w:p>
    <w:p w14:paraId="1938A038" w14:textId="546D1057"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Santana, J. L. S., Santos, R. A. P. G.,  Lima, R. P. S. </w:t>
      </w:r>
      <w:r w:rsidR="000B711F">
        <w:rPr>
          <w:lang w:val="pt-BR"/>
        </w:rPr>
        <w:t>(</w:t>
      </w:r>
      <w:r w:rsidRPr="00603BC2">
        <w:rPr>
          <w:lang w:val="pt-BR"/>
        </w:rPr>
        <w:t>2021d</w:t>
      </w:r>
      <w:r w:rsidR="000B711F">
        <w:rPr>
          <w:lang w:val="pt-BR"/>
        </w:rPr>
        <w:t>)</w:t>
      </w:r>
      <w:r w:rsidRPr="00603BC2">
        <w:rPr>
          <w:lang w:val="pt-BR"/>
        </w:rPr>
        <w:t xml:space="preserve">. </w:t>
      </w:r>
      <w:r w:rsidRPr="00603BC2">
        <w:t>Self-imposed food restriction and oral food challenges are correlated with precipitin</w:t>
      </w:r>
      <w:r w:rsidR="000B711F">
        <w:t>s'</w:t>
      </w:r>
      <w:r w:rsidRPr="00603BC2">
        <w:t xml:space="preserve"> accuracy in the diagnosis of non-IgE-mediated food-related adulthood acute episodes of urticaria. </w:t>
      </w:r>
      <w:r w:rsidRPr="00603BC2">
        <w:rPr>
          <w:i/>
          <w:lang w:val="pt-BR"/>
        </w:rPr>
        <w:t>Journal of Allergy  Therapy</w:t>
      </w:r>
      <w:r w:rsidRPr="00603BC2">
        <w:rPr>
          <w:lang w:val="pt-BR"/>
        </w:rPr>
        <w:t>, 12(8): 1-8.</w:t>
      </w:r>
    </w:p>
    <w:p w14:paraId="2C674CF3" w14:textId="0D6BE2C4"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Santana, J. L. S., Santos, R. A. P. G.,  Lima, R. P. S. </w:t>
      </w:r>
      <w:r w:rsidR="000B711F">
        <w:rPr>
          <w:lang w:val="pt-BR"/>
        </w:rPr>
        <w:t>(</w:t>
      </w:r>
      <w:r w:rsidRPr="00603BC2">
        <w:rPr>
          <w:lang w:val="pt-BR"/>
        </w:rPr>
        <w:t>2023a</w:t>
      </w:r>
      <w:r w:rsidR="000B711F">
        <w:rPr>
          <w:lang w:val="pt-BR"/>
        </w:rPr>
        <w:t>)</w:t>
      </w:r>
      <w:r w:rsidRPr="00603BC2">
        <w:rPr>
          <w:lang w:val="pt-BR"/>
        </w:rPr>
        <w:t xml:space="preserve">. </w:t>
      </w:r>
      <w:r w:rsidRPr="00603BC2">
        <w:t xml:space="preserve">Contribution of the Leukocyte Adherence Inhibition Test to the Diagnosis of Innate Non–IgE-mediated Immunoreactivity against </w:t>
      </w:r>
      <w:r w:rsidRPr="00603BC2">
        <w:rPr>
          <w:i/>
        </w:rPr>
        <w:t>Saccharomyces cerevisiae</w:t>
      </w:r>
      <w:r w:rsidRPr="00603BC2">
        <w:t xml:space="preserve">. </w:t>
      </w:r>
      <w:r w:rsidRPr="00603BC2">
        <w:rPr>
          <w:i/>
          <w:lang w:val="pt-BR"/>
        </w:rPr>
        <w:t>Asian Journal of Immunology</w:t>
      </w:r>
      <w:r w:rsidRPr="00603BC2">
        <w:rPr>
          <w:lang w:val="pt-BR"/>
        </w:rPr>
        <w:t>, 6(1): 234-241.</w:t>
      </w:r>
    </w:p>
    <w:p w14:paraId="11FFE07F" w14:textId="58FABD1F" w:rsidR="00603BC2" w:rsidRPr="00603BC2" w:rsidRDefault="00603BC2" w:rsidP="00603BC2">
      <w:pPr>
        <w:pStyle w:val="EndNoteBibliography"/>
        <w:spacing w:after="0"/>
        <w:ind w:left="720" w:hanging="720"/>
        <w:rPr>
          <w:lang w:val="pt-BR"/>
        </w:rPr>
      </w:pPr>
      <w:r w:rsidRPr="00603BC2">
        <w:rPr>
          <w:lang w:val="pt-BR"/>
        </w:rPr>
        <w:lastRenderedPageBreak/>
        <w:t xml:space="preserve">Olivier, C. E., Pinto, D. G., Teixeira, A. P. M., Santana, J. L. S., Santos, R. A. P. G.,  Lima, R. P. S. </w:t>
      </w:r>
      <w:r w:rsidR="000B711F">
        <w:rPr>
          <w:lang w:val="pt-BR"/>
        </w:rPr>
        <w:t>(</w:t>
      </w:r>
      <w:r w:rsidRPr="00603BC2">
        <w:rPr>
          <w:lang w:val="pt-BR"/>
        </w:rPr>
        <w:t>2024d</w:t>
      </w:r>
      <w:r w:rsidR="000B711F">
        <w:rPr>
          <w:lang w:val="pt-BR"/>
        </w:rPr>
        <w:t>)</w:t>
      </w:r>
      <w:r w:rsidRPr="00603BC2">
        <w:rPr>
          <w:lang w:val="pt-BR"/>
        </w:rPr>
        <w:t xml:space="preserve">. </w:t>
      </w:r>
      <w:r w:rsidRPr="00603BC2">
        <w:t xml:space="preserve">Endotyping Cellular and Humoral Immunoreactivity against Aluminum in Allergic Patients: A Retrospective Study. </w:t>
      </w:r>
      <w:r w:rsidRPr="00603BC2">
        <w:rPr>
          <w:i/>
          <w:lang w:val="pt-BR"/>
        </w:rPr>
        <w:t>Asian Journal of Immunology</w:t>
      </w:r>
      <w:r w:rsidRPr="00603BC2">
        <w:rPr>
          <w:lang w:val="pt-BR"/>
        </w:rPr>
        <w:t>, 7(1): 149-158.</w:t>
      </w:r>
    </w:p>
    <w:p w14:paraId="20540FED" w14:textId="08A7285C"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Santana, J. L. S., Santos, R. A. P. G.,  Lima, R. P. S. </w:t>
      </w:r>
      <w:r w:rsidR="000B711F">
        <w:rPr>
          <w:lang w:val="pt-BR"/>
        </w:rPr>
        <w:t>(</w:t>
      </w:r>
      <w:r w:rsidRPr="00603BC2">
        <w:rPr>
          <w:lang w:val="pt-BR"/>
        </w:rPr>
        <w:t>2024e</w:t>
      </w:r>
      <w:r w:rsidR="000B711F">
        <w:rPr>
          <w:lang w:val="pt-BR"/>
        </w:rPr>
        <w:t>)</w:t>
      </w:r>
      <w:r w:rsidRPr="00603BC2">
        <w:rPr>
          <w:lang w:val="pt-BR"/>
        </w:rPr>
        <w:t xml:space="preserve">. </w:t>
      </w:r>
      <w:r w:rsidRPr="00603BC2">
        <w:t xml:space="preserve">Endotyping Non-IgE-mediated Immunoreactivity to Polyethylene Glycol: Implications for Allergic Patients. </w:t>
      </w:r>
      <w:r w:rsidRPr="00603BC2">
        <w:rPr>
          <w:i/>
          <w:lang w:val="pt-BR"/>
        </w:rPr>
        <w:t>Asian Journal of Immunology</w:t>
      </w:r>
      <w:r w:rsidRPr="00603BC2">
        <w:rPr>
          <w:lang w:val="pt-BR"/>
        </w:rPr>
        <w:t>, 7(1): 100-111.</w:t>
      </w:r>
    </w:p>
    <w:p w14:paraId="53F3BBE2" w14:textId="120DDF7E"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Santana, J. L. S., Santos, R. A. P. G., Lima, R. P. S.,  </w:t>
      </w:r>
      <w:r w:rsidR="000B711F">
        <w:rPr>
          <w:lang w:val="pt-BR"/>
        </w:rPr>
        <w:t>et al.</w:t>
      </w:r>
      <w:r w:rsidRPr="00603BC2">
        <w:rPr>
          <w:lang w:val="pt-BR"/>
        </w:rPr>
        <w:t xml:space="preserve"> </w:t>
      </w:r>
      <w:r w:rsidR="000B711F">
        <w:rPr>
          <w:lang w:val="pt-BR"/>
        </w:rPr>
        <w:t>(</w:t>
      </w:r>
      <w:r w:rsidRPr="00603BC2">
        <w:rPr>
          <w:lang w:val="pt-BR"/>
        </w:rPr>
        <w:t>2024f</w:t>
      </w:r>
      <w:r w:rsidR="000B711F">
        <w:rPr>
          <w:lang w:val="pt-BR"/>
        </w:rPr>
        <w:t>)</w:t>
      </w:r>
      <w:r w:rsidRPr="00603BC2">
        <w:rPr>
          <w:lang w:val="pt-BR"/>
        </w:rPr>
        <w:t xml:space="preserve">. </w:t>
      </w:r>
      <w:r w:rsidRPr="00603BC2">
        <w:t xml:space="preserve">Endotyping Non-IgE-Mediated Immunoreactivity to Dermatophagoides farinae: Implications for Allergic Patients. </w:t>
      </w:r>
      <w:r w:rsidRPr="00603BC2">
        <w:rPr>
          <w:i/>
          <w:lang w:val="pt-BR"/>
        </w:rPr>
        <w:t>Asian Journal of Immunology</w:t>
      </w:r>
      <w:r w:rsidRPr="00603BC2">
        <w:rPr>
          <w:lang w:val="pt-BR"/>
        </w:rPr>
        <w:t>, 7(1): 90-99.</w:t>
      </w:r>
    </w:p>
    <w:p w14:paraId="487B9D33" w14:textId="30430154"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Santana, J. L. S., Santos, R. A. P. G. S.,  Lima, R. P. S. </w:t>
      </w:r>
      <w:r w:rsidR="000B711F">
        <w:rPr>
          <w:lang w:val="pt-BR"/>
        </w:rPr>
        <w:t>(</w:t>
      </w:r>
      <w:r w:rsidRPr="00603BC2">
        <w:rPr>
          <w:lang w:val="pt-BR"/>
        </w:rPr>
        <w:t>2021e</w:t>
      </w:r>
      <w:r w:rsidR="000B711F">
        <w:rPr>
          <w:lang w:val="pt-BR"/>
        </w:rPr>
        <w:t>)</w:t>
      </w:r>
      <w:r w:rsidRPr="00603BC2">
        <w:rPr>
          <w:lang w:val="pt-BR"/>
        </w:rPr>
        <w:t xml:space="preserve">. </w:t>
      </w:r>
      <w:r w:rsidRPr="00603BC2">
        <w:t xml:space="preserve">Intrinsic Atopic Dermatitis: Titration of Precipitins in </w:t>
      </w:r>
      <w:r w:rsidR="00FD4DCF">
        <w:t>Screening</w:t>
      </w:r>
      <w:r w:rsidRPr="00603BC2">
        <w:t xml:space="preserve"> Food Allergens for Prescription of Elimination Diets and Desensitization Strategies. </w:t>
      </w:r>
      <w:r w:rsidRPr="00603BC2">
        <w:rPr>
          <w:i/>
          <w:lang w:val="pt-BR"/>
        </w:rPr>
        <w:t>European Journal of Clinical Medicine</w:t>
      </w:r>
      <w:r w:rsidRPr="00603BC2">
        <w:rPr>
          <w:lang w:val="pt-BR"/>
        </w:rPr>
        <w:t>, 2(6): 1-9.</w:t>
      </w:r>
    </w:p>
    <w:p w14:paraId="494A8E09" w14:textId="2A303ABC"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Santana, J. L. S., Santos, R. A. P. G. S.,  Lima, R. P. S. </w:t>
      </w:r>
      <w:r w:rsidR="000B711F">
        <w:rPr>
          <w:lang w:val="pt-BR"/>
        </w:rPr>
        <w:t>(</w:t>
      </w:r>
      <w:r w:rsidRPr="00603BC2">
        <w:rPr>
          <w:lang w:val="pt-BR"/>
        </w:rPr>
        <w:t>2022a</w:t>
      </w:r>
      <w:r w:rsidR="000B711F">
        <w:rPr>
          <w:lang w:val="pt-BR"/>
        </w:rPr>
        <w:t>)</w:t>
      </w:r>
      <w:r w:rsidRPr="00603BC2">
        <w:rPr>
          <w:lang w:val="pt-BR"/>
        </w:rPr>
        <w:t xml:space="preserve">. </w:t>
      </w:r>
      <w:r w:rsidRPr="00603BC2">
        <w:t xml:space="preserve">Contribution of the Leukocyte Adherence Inhibition Test for the evaluation of immunoreactivity against gluten extracts in non—IgE-mediated / non-autoimmune Gluten-Related Disorders. </w:t>
      </w:r>
      <w:r w:rsidRPr="00603BC2">
        <w:rPr>
          <w:i/>
          <w:lang w:val="pt-BR"/>
        </w:rPr>
        <w:t>European Journal of Clinical Medicine</w:t>
      </w:r>
      <w:r w:rsidRPr="00603BC2">
        <w:rPr>
          <w:lang w:val="pt-BR"/>
        </w:rPr>
        <w:t>, 3(2): 1-7.</w:t>
      </w:r>
    </w:p>
    <w:p w14:paraId="4C37C74F" w14:textId="3E737F86"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Santana, J. L. S., Santos, R. A. P. G. S.,  Lima, R. P. S. </w:t>
      </w:r>
      <w:r w:rsidR="000B711F">
        <w:rPr>
          <w:lang w:val="pt-BR"/>
        </w:rPr>
        <w:t>(</w:t>
      </w:r>
      <w:r w:rsidRPr="00603BC2">
        <w:rPr>
          <w:lang w:val="pt-BR"/>
        </w:rPr>
        <w:t>2022b</w:t>
      </w:r>
      <w:r w:rsidR="000B711F">
        <w:rPr>
          <w:lang w:val="pt-BR"/>
        </w:rPr>
        <w:t>)</w:t>
      </w:r>
      <w:r w:rsidRPr="00603BC2">
        <w:rPr>
          <w:lang w:val="pt-BR"/>
        </w:rPr>
        <w:t xml:space="preserve">. </w:t>
      </w:r>
      <w:r w:rsidRPr="00603BC2">
        <w:t xml:space="preserve">Contribution of the Leukocyte Adherence Inhibition Test to the Evaluation of Cellular Immunoreactivity against Latex Extracts for Non—IgE-Mediated Latex-Fruit-Pollen Syndrome in Allergic Candidates to Exclusion Diets and Allergic Desensitization. </w:t>
      </w:r>
      <w:r w:rsidRPr="00603BC2">
        <w:rPr>
          <w:i/>
          <w:lang w:val="pt-BR"/>
        </w:rPr>
        <w:t>European Journal of Clinical Medicine</w:t>
      </w:r>
      <w:r w:rsidRPr="00603BC2">
        <w:rPr>
          <w:lang w:val="pt-BR"/>
        </w:rPr>
        <w:t>, 3(1): 11-17.</w:t>
      </w:r>
    </w:p>
    <w:p w14:paraId="12E60BF3" w14:textId="674A5395"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Santana, J. L. S., Santos, R. A. P. G. S.,  Lima, R. P. S. </w:t>
      </w:r>
      <w:r w:rsidR="000B711F">
        <w:rPr>
          <w:lang w:val="pt-BR"/>
        </w:rPr>
        <w:t>(</w:t>
      </w:r>
      <w:r w:rsidRPr="00603BC2">
        <w:rPr>
          <w:lang w:val="pt-BR"/>
        </w:rPr>
        <w:t>2022c</w:t>
      </w:r>
      <w:r w:rsidR="000B711F">
        <w:rPr>
          <w:lang w:val="pt-BR"/>
        </w:rPr>
        <w:t>)</w:t>
      </w:r>
      <w:r w:rsidRPr="00603BC2">
        <w:rPr>
          <w:lang w:val="pt-BR"/>
        </w:rPr>
        <w:t xml:space="preserve">. </w:t>
      </w:r>
      <w:r w:rsidRPr="00603BC2">
        <w:t xml:space="preserve">Leukocyte Adherence Inhibition Test to the assessment of Immunoreactivity Against Cow’s Milk Proteins in Non—IgE-Mediated Gastrointestinal Food Allergy. </w:t>
      </w:r>
      <w:r w:rsidRPr="00603BC2">
        <w:rPr>
          <w:i/>
          <w:lang w:val="pt-BR"/>
        </w:rPr>
        <w:t>European Journal of Clinical Medicine</w:t>
      </w:r>
      <w:r w:rsidRPr="00603BC2">
        <w:rPr>
          <w:lang w:val="pt-BR"/>
        </w:rPr>
        <w:t>, 3(2): 38-43.</w:t>
      </w:r>
    </w:p>
    <w:p w14:paraId="1E65327C" w14:textId="54CF938D" w:rsidR="00603BC2" w:rsidRPr="00884F06" w:rsidRDefault="00603BC2" w:rsidP="00603BC2">
      <w:pPr>
        <w:pStyle w:val="EndNoteBibliography"/>
        <w:spacing w:after="0"/>
        <w:ind w:left="720" w:hanging="720"/>
        <w:rPr>
          <w:lang w:val="pt-BR"/>
        </w:rPr>
      </w:pPr>
      <w:r w:rsidRPr="00603BC2">
        <w:rPr>
          <w:lang w:val="pt-BR"/>
        </w:rPr>
        <w:t xml:space="preserve">Olivier, C. E., Pinto, D. G., Teixeira, A. P. M., Santana, J. L. S., Santos, R. A. P. G. S.,  Lima, R. P. S. </w:t>
      </w:r>
      <w:r w:rsidR="000B711F">
        <w:rPr>
          <w:lang w:val="pt-BR"/>
        </w:rPr>
        <w:t>(</w:t>
      </w:r>
      <w:r w:rsidRPr="00603BC2">
        <w:rPr>
          <w:lang w:val="pt-BR"/>
        </w:rPr>
        <w:t>2023b</w:t>
      </w:r>
      <w:r w:rsidR="000B711F">
        <w:rPr>
          <w:lang w:val="pt-BR"/>
        </w:rPr>
        <w:t>)</w:t>
      </w:r>
      <w:r w:rsidRPr="00603BC2">
        <w:rPr>
          <w:lang w:val="pt-BR"/>
        </w:rPr>
        <w:t xml:space="preserve">. </w:t>
      </w:r>
      <w:r w:rsidRPr="00603BC2">
        <w:t xml:space="preserve">Anti-Saccharomyces cerevisiae antibodies (ASCA) researched by tube precipitins are elevated in </w:t>
      </w:r>
      <w:r w:rsidR="00FD4DCF">
        <w:t>dermatologic and gastrointestinal non—IgE-mediated hypersensitivity patients</w:t>
      </w:r>
      <w:r w:rsidRPr="00603BC2">
        <w:t xml:space="preserve">. </w:t>
      </w:r>
      <w:r w:rsidRPr="00884F06">
        <w:rPr>
          <w:i/>
          <w:lang w:val="pt-BR"/>
        </w:rPr>
        <w:t>European Journal of Clinical Medicine</w:t>
      </w:r>
      <w:r w:rsidRPr="00884F06">
        <w:rPr>
          <w:lang w:val="pt-BR"/>
        </w:rPr>
        <w:t>, 4(2): 25-30.</w:t>
      </w:r>
    </w:p>
    <w:p w14:paraId="2B4E8448" w14:textId="0FCCD51C" w:rsidR="00603BC2" w:rsidRPr="00603BC2" w:rsidRDefault="00603BC2" w:rsidP="00603BC2">
      <w:pPr>
        <w:pStyle w:val="EndNoteBibliography"/>
        <w:spacing w:after="0"/>
        <w:ind w:left="720" w:hanging="720"/>
      </w:pPr>
      <w:r w:rsidRPr="00603BC2">
        <w:rPr>
          <w:lang w:val="pt-BR"/>
        </w:rPr>
        <w:t xml:space="preserve">Olivier, C. E., Santos, R. A. P. G., Lima, R. P. S., Argentão, D. G. P., Silva, G. K. M.,  Silva, M. D. </w:t>
      </w:r>
      <w:r w:rsidR="000B711F">
        <w:rPr>
          <w:lang w:val="pt-BR"/>
        </w:rPr>
        <w:t>(</w:t>
      </w:r>
      <w:r w:rsidRPr="00603BC2">
        <w:rPr>
          <w:lang w:val="pt-BR"/>
        </w:rPr>
        <w:t>2014</w:t>
      </w:r>
      <w:r w:rsidR="000B711F">
        <w:rPr>
          <w:lang w:val="pt-BR"/>
        </w:rPr>
        <w:t>)</w:t>
      </w:r>
      <w:r w:rsidRPr="00603BC2">
        <w:rPr>
          <w:lang w:val="pt-BR"/>
        </w:rPr>
        <w:t xml:space="preserve">. </w:t>
      </w:r>
      <w:r w:rsidRPr="00603BC2">
        <w:t xml:space="preserve">A Novel Utility for an Old Method: The Leukocyte Adherence Inhibition Test Is an Easy Way to Detect the Immunoreactive Interference of the Collection Tube Anticoagulant on Cellular Immunoassays. </w:t>
      </w:r>
      <w:r w:rsidRPr="00603BC2">
        <w:rPr>
          <w:i/>
        </w:rPr>
        <w:t>Journal of Cell Adhesion</w:t>
      </w:r>
      <w:r w:rsidRPr="00603BC2">
        <w:t>, Article ID 860427(http://dx.doi.org/10.1155/2014/860427): 1-6.</w:t>
      </w:r>
    </w:p>
    <w:p w14:paraId="7E3591B3" w14:textId="01D07826" w:rsidR="00603BC2" w:rsidRPr="00603BC2" w:rsidRDefault="00603BC2" w:rsidP="00603BC2">
      <w:pPr>
        <w:pStyle w:val="EndNoteBibliography"/>
        <w:spacing w:after="0"/>
        <w:ind w:left="720" w:hanging="720"/>
      </w:pPr>
      <w:r w:rsidRPr="00603BC2">
        <w:t xml:space="preserve">Papageorgiou, N., Lee, T. H., Nagakura, T., Cromwell, O., Wraith, D. G.,  Kay, A. B. </w:t>
      </w:r>
      <w:r w:rsidR="000B711F">
        <w:t>(</w:t>
      </w:r>
      <w:r w:rsidRPr="00603BC2">
        <w:t>1983</w:t>
      </w:r>
      <w:r w:rsidR="000B711F">
        <w:t>)</w:t>
      </w:r>
      <w:r w:rsidRPr="00603BC2">
        <w:t xml:space="preserve">. Neutrophil chemotactic activity in milk-induced asthma. </w:t>
      </w:r>
      <w:r w:rsidRPr="00603BC2">
        <w:rPr>
          <w:i/>
        </w:rPr>
        <w:t>J Allergy Clin Immunol</w:t>
      </w:r>
      <w:r w:rsidRPr="00603BC2">
        <w:t>, 72(1): 75-82.</w:t>
      </w:r>
    </w:p>
    <w:p w14:paraId="68236E2B" w14:textId="7CEEEEDD" w:rsidR="00603BC2" w:rsidRPr="00603BC2" w:rsidRDefault="00603BC2" w:rsidP="00603BC2">
      <w:pPr>
        <w:pStyle w:val="EndNoteBibliography"/>
        <w:spacing w:after="0"/>
        <w:ind w:left="720" w:hanging="720"/>
      </w:pPr>
      <w:r w:rsidRPr="00603BC2">
        <w:t xml:space="preserve">Rondon, C., Canto, G.,  Blanca, M. </w:t>
      </w:r>
      <w:r w:rsidR="000B711F">
        <w:t>(</w:t>
      </w:r>
      <w:r w:rsidRPr="00603BC2">
        <w:t>2010</w:t>
      </w:r>
      <w:r w:rsidR="000B711F">
        <w:t>)</w:t>
      </w:r>
      <w:r w:rsidRPr="00603BC2">
        <w:t xml:space="preserve">. Local allergic rhinitis: a new entity, characterization and further studies. </w:t>
      </w:r>
      <w:r w:rsidR="00FD4DCF" w:rsidRPr="00FD4DCF">
        <w:rPr>
          <w:i/>
        </w:rPr>
        <w:t>Current Opinion in Allergy and Clinical Immunology</w:t>
      </w:r>
      <w:r w:rsidR="007F4586">
        <w:rPr>
          <w:iCs/>
        </w:rPr>
        <w:t>,</w:t>
      </w:r>
      <w:r w:rsidRPr="00603BC2">
        <w:t xml:space="preserve"> 10(1): 1-7.</w:t>
      </w:r>
    </w:p>
    <w:p w14:paraId="3246686D" w14:textId="4093196A" w:rsidR="00603BC2" w:rsidRPr="00603BC2" w:rsidRDefault="00603BC2" w:rsidP="00603BC2">
      <w:pPr>
        <w:pStyle w:val="EndNoteBibliography"/>
        <w:spacing w:after="0"/>
        <w:ind w:left="720" w:hanging="720"/>
      </w:pPr>
      <w:r w:rsidRPr="00603BC2">
        <w:t xml:space="preserve">Rubin, S. S. </w:t>
      </w:r>
      <w:r w:rsidR="000B711F">
        <w:t>(</w:t>
      </w:r>
      <w:r w:rsidRPr="00603BC2">
        <w:t>1946</w:t>
      </w:r>
      <w:r w:rsidR="000B711F">
        <w:t>)</w:t>
      </w:r>
      <w:r w:rsidRPr="00603BC2">
        <w:t xml:space="preserve">. An allergic reaction following typhus-fever vaccine and yellow-fever vaccine due to egg yolk sensitivity. </w:t>
      </w:r>
      <w:r w:rsidR="000B711F" w:rsidRPr="000B711F">
        <w:rPr>
          <w:i/>
          <w:iCs/>
        </w:rPr>
        <w:t>The Journal of</w:t>
      </w:r>
      <w:r w:rsidRPr="000B711F">
        <w:rPr>
          <w:i/>
          <w:iCs/>
        </w:rPr>
        <w:t xml:space="preserve"> </w:t>
      </w:r>
      <w:r w:rsidRPr="00603BC2">
        <w:rPr>
          <w:i/>
        </w:rPr>
        <w:t>Allergy</w:t>
      </w:r>
      <w:r w:rsidRPr="00603BC2">
        <w:t>, 17: 21-23.</w:t>
      </w:r>
    </w:p>
    <w:p w14:paraId="5220DA4A" w14:textId="2EAD9AC1" w:rsidR="00603BC2" w:rsidRPr="00603BC2" w:rsidRDefault="00603BC2" w:rsidP="00603BC2">
      <w:pPr>
        <w:pStyle w:val="EndNoteBibliography"/>
        <w:spacing w:after="0"/>
        <w:ind w:left="720" w:hanging="720"/>
      </w:pPr>
      <w:r w:rsidRPr="00603BC2">
        <w:t xml:space="preserve">Sampson, H. A.,  McCaskill, C. C. </w:t>
      </w:r>
      <w:r w:rsidR="000B711F">
        <w:t>(</w:t>
      </w:r>
      <w:r w:rsidRPr="00603BC2">
        <w:t>1985</w:t>
      </w:r>
      <w:r w:rsidR="000B711F">
        <w:t>)</w:t>
      </w:r>
      <w:r w:rsidRPr="00603BC2">
        <w:t xml:space="preserve">. Food hypersensitivity and atopic dermatitis: evaluation of 113 patients. </w:t>
      </w:r>
      <w:r w:rsidRPr="00603BC2">
        <w:rPr>
          <w:i/>
        </w:rPr>
        <w:t>The Journal of Pediatrics</w:t>
      </w:r>
      <w:r w:rsidRPr="00603BC2">
        <w:t>, 107(5): 669-675.</w:t>
      </w:r>
    </w:p>
    <w:p w14:paraId="516327AB" w14:textId="4EF6CFF7" w:rsidR="00603BC2" w:rsidRPr="00603BC2" w:rsidRDefault="00603BC2" w:rsidP="00603BC2">
      <w:pPr>
        <w:pStyle w:val="EndNoteBibliography"/>
        <w:spacing w:after="0"/>
        <w:ind w:left="720" w:hanging="720"/>
      </w:pPr>
      <w:r w:rsidRPr="00603BC2">
        <w:t xml:space="preserve">Sloan, A. E.,  Powers, M. E. </w:t>
      </w:r>
      <w:r w:rsidR="000B711F">
        <w:t>(</w:t>
      </w:r>
      <w:r w:rsidRPr="00603BC2">
        <w:t>1986</w:t>
      </w:r>
      <w:r w:rsidR="000B711F">
        <w:t>)</w:t>
      </w:r>
      <w:r w:rsidRPr="00603BC2">
        <w:t xml:space="preserve">. A perspective on popular perceptions of adverse reactions to foods. </w:t>
      </w:r>
      <w:r w:rsidRPr="00603BC2">
        <w:rPr>
          <w:i/>
        </w:rPr>
        <w:t>The</w:t>
      </w:r>
      <w:r w:rsidR="00D80136" w:rsidRPr="00D80136">
        <w:rPr>
          <w:i/>
          <w:iCs/>
        </w:rPr>
        <w:t xml:space="preserve"> Journal of Allergy and Clinical Immunology</w:t>
      </w:r>
      <w:r w:rsidRPr="00603BC2">
        <w:t>, 78(1 Pt 2): 127-133.</w:t>
      </w:r>
    </w:p>
    <w:p w14:paraId="63F59C57" w14:textId="64E2667A" w:rsidR="00603BC2" w:rsidRPr="00603BC2" w:rsidRDefault="00603BC2" w:rsidP="00603BC2">
      <w:pPr>
        <w:pStyle w:val="EndNoteBibliography"/>
        <w:spacing w:after="0"/>
        <w:ind w:left="720" w:hanging="720"/>
      </w:pPr>
      <w:r w:rsidRPr="00603BC2">
        <w:t xml:space="preserve">Szépfalusi, Z., Ebner, C., Pandjaitan, R., Orlicek, F., Scheiner, O., Boltz-Nitulescu, G., </w:t>
      </w:r>
      <w:r w:rsidR="000B711F">
        <w:t>et al</w:t>
      </w:r>
      <w:r w:rsidRPr="00603BC2">
        <w:t xml:space="preserve">. </w:t>
      </w:r>
      <w:r w:rsidR="000B711F">
        <w:t>(</w:t>
      </w:r>
      <w:r w:rsidRPr="00603BC2">
        <w:t>1994</w:t>
      </w:r>
      <w:r w:rsidR="000B711F">
        <w:t>)</w:t>
      </w:r>
      <w:r w:rsidRPr="00603BC2">
        <w:t xml:space="preserve">. Egg yolk alpha-livetin (chicken serum albumin) is a cross-reactive allergen in the bird-egg syndrome. </w:t>
      </w:r>
      <w:r w:rsidR="00D80136" w:rsidRPr="00D80136">
        <w:rPr>
          <w:i/>
          <w:iCs/>
        </w:rPr>
        <w:t>The Journal of Allergy and Clinical Immunology</w:t>
      </w:r>
      <w:r w:rsidRPr="00603BC2">
        <w:t>, 93(5): 932-942.</w:t>
      </w:r>
    </w:p>
    <w:p w14:paraId="607BB1E9" w14:textId="0B3ED265" w:rsidR="00603BC2" w:rsidRPr="00603BC2" w:rsidRDefault="00603BC2" w:rsidP="00603BC2">
      <w:pPr>
        <w:pStyle w:val="EndNoteBibliography"/>
        <w:spacing w:after="0"/>
        <w:ind w:left="720" w:hanging="720"/>
      </w:pPr>
      <w:r w:rsidRPr="00603BC2">
        <w:lastRenderedPageBreak/>
        <w:t xml:space="preserve">Thomson, D. M. P. </w:t>
      </w:r>
      <w:r w:rsidR="000B711F">
        <w:t>(</w:t>
      </w:r>
      <w:r w:rsidRPr="00603BC2">
        <w:t>1982</w:t>
      </w:r>
      <w:r w:rsidR="000B711F">
        <w:t>)</w:t>
      </w:r>
      <w:r w:rsidRPr="00603BC2">
        <w:t xml:space="preserve">. </w:t>
      </w:r>
      <w:r w:rsidRPr="00603BC2">
        <w:rPr>
          <w:i/>
        </w:rPr>
        <w:t>Assessment of immune status by the leukocyte adherence inhibition test</w:t>
      </w:r>
      <w:r w:rsidRPr="00603BC2">
        <w:t>. New York: Academic Press.</w:t>
      </w:r>
    </w:p>
    <w:p w14:paraId="04651E9A" w14:textId="54B2712A" w:rsidR="00603BC2" w:rsidRPr="00603BC2" w:rsidRDefault="00603BC2" w:rsidP="00603BC2">
      <w:pPr>
        <w:pStyle w:val="EndNoteBibliography"/>
        <w:spacing w:after="0"/>
        <w:ind w:left="720" w:hanging="720"/>
      </w:pPr>
      <w:r w:rsidRPr="00603BC2">
        <w:t xml:space="preserve">Todd, R. H., Howard, W. A., Lafsky, B. P., Webb, C. A.,  Wolf, S. I. </w:t>
      </w:r>
      <w:r w:rsidR="000B711F">
        <w:t>(</w:t>
      </w:r>
      <w:r w:rsidRPr="00603BC2">
        <w:t>1957</w:t>
      </w:r>
      <w:r w:rsidR="000B711F">
        <w:t>)</w:t>
      </w:r>
      <w:r w:rsidRPr="00603BC2">
        <w:t xml:space="preserve">. Studies on the antigenicity of egg yolk. </w:t>
      </w:r>
      <w:r w:rsidR="000B711F">
        <w:rPr>
          <w:i/>
        </w:rPr>
        <w:t>The Journal of Allergy</w:t>
      </w:r>
      <w:r w:rsidRPr="00603BC2">
        <w:t>, 28(5): 436-448.</w:t>
      </w:r>
    </w:p>
    <w:p w14:paraId="36539D16" w14:textId="3B3DA0D4" w:rsidR="00603BC2" w:rsidRPr="00603BC2" w:rsidRDefault="00603BC2" w:rsidP="00603BC2">
      <w:pPr>
        <w:pStyle w:val="EndNoteBibliography"/>
        <w:spacing w:after="0"/>
        <w:ind w:left="720" w:hanging="720"/>
      </w:pPr>
      <w:r w:rsidRPr="00603BC2">
        <w:t xml:space="preserve">Tong, A. W., Burger, D. R., Finke, P., Barney, C., Vandenbark, A. A.,  Vetto, R. M. </w:t>
      </w:r>
      <w:r w:rsidR="000B711F">
        <w:t>(</w:t>
      </w:r>
      <w:r w:rsidRPr="00603BC2">
        <w:t>1979</w:t>
      </w:r>
      <w:r w:rsidR="000B711F">
        <w:t>)</w:t>
      </w:r>
      <w:r w:rsidRPr="00603BC2">
        <w:t xml:space="preserve">. Assessment of the mechanism of the leukocyte adherence inhibition test. </w:t>
      </w:r>
      <w:r w:rsidRPr="00603BC2">
        <w:rPr>
          <w:i/>
        </w:rPr>
        <w:t>Cancer Research</w:t>
      </w:r>
      <w:r w:rsidRPr="00603BC2">
        <w:t>, 39(2 Pt 2): 597-603.</w:t>
      </w:r>
    </w:p>
    <w:p w14:paraId="40BE3619" w14:textId="7C98E662" w:rsidR="00603BC2" w:rsidRPr="00603BC2" w:rsidRDefault="00603BC2" w:rsidP="00603BC2">
      <w:pPr>
        <w:pStyle w:val="EndNoteBibliography"/>
        <w:spacing w:after="0"/>
        <w:ind w:left="720" w:hanging="720"/>
        <w:rPr>
          <w:lang w:val="pt-BR"/>
        </w:rPr>
      </w:pPr>
      <w:r w:rsidRPr="00603BC2">
        <w:t xml:space="preserve">Vandenplas, Y., Edelman, R.,  Sacré, L. </w:t>
      </w:r>
      <w:r w:rsidR="000B711F">
        <w:t>(</w:t>
      </w:r>
      <w:r w:rsidRPr="00603BC2">
        <w:t>1994</w:t>
      </w:r>
      <w:r w:rsidR="000B711F">
        <w:t>)</w:t>
      </w:r>
      <w:r w:rsidRPr="00603BC2">
        <w:t xml:space="preserve">. Chicken-induced anaphylactoid reaction and colitis. </w:t>
      </w:r>
      <w:r w:rsidRPr="00603BC2">
        <w:rPr>
          <w:i/>
          <w:lang w:val="pt-BR"/>
        </w:rPr>
        <w:t>Journal of Pediatric Gastroenterology and Nutrition</w:t>
      </w:r>
      <w:r w:rsidRPr="00603BC2">
        <w:rPr>
          <w:lang w:val="pt-BR"/>
        </w:rPr>
        <w:t>, 19(2): 240-241.</w:t>
      </w:r>
    </w:p>
    <w:p w14:paraId="5C2E4681" w14:textId="5DE6F269" w:rsidR="00603BC2" w:rsidRPr="00603BC2" w:rsidRDefault="00603BC2" w:rsidP="00603BC2">
      <w:pPr>
        <w:pStyle w:val="EndNoteBibliography"/>
        <w:spacing w:after="0"/>
        <w:ind w:left="720" w:hanging="720"/>
      </w:pPr>
      <w:r w:rsidRPr="00603BC2">
        <w:rPr>
          <w:lang w:val="pt-BR"/>
        </w:rPr>
        <w:t xml:space="preserve">Vitoria, J. C., Camarero, C., Sojo, A., Ruiz, A.,  Rodriguez-Soriano, J. </w:t>
      </w:r>
      <w:r w:rsidR="000B711F">
        <w:rPr>
          <w:lang w:val="pt-BR"/>
        </w:rPr>
        <w:t>(</w:t>
      </w:r>
      <w:r w:rsidRPr="00603BC2">
        <w:rPr>
          <w:lang w:val="pt-BR"/>
        </w:rPr>
        <w:t>1982</w:t>
      </w:r>
      <w:r w:rsidR="000B711F">
        <w:rPr>
          <w:lang w:val="pt-BR"/>
        </w:rPr>
        <w:t>)</w:t>
      </w:r>
      <w:r w:rsidRPr="00603BC2">
        <w:rPr>
          <w:lang w:val="pt-BR"/>
        </w:rPr>
        <w:t xml:space="preserve">. </w:t>
      </w:r>
      <w:r w:rsidRPr="00603BC2">
        <w:t xml:space="preserve">Enteropathy related to fish, rice, and chicken. </w:t>
      </w:r>
      <w:r w:rsidRPr="00603BC2">
        <w:rPr>
          <w:i/>
        </w:rPr>
        <w:t>Archives of Disease in Childhood</w:t>
      </w:r>
      <w:r w:rsidRPr="00603BC2">
        <w:t>, 57(1): 44-48.</w:t>
      </w:r>
    </w:p>
    <w:p w14:paraId="7653B281" w14:textId="34DCFDEC" w:rsidR="00603BC2" w:rsidRPr="00603BC2" w:rsidRDefault="00603BC2" w:rsidP="00603BC2">
      <w:pPr>
        <w:pStyle w:val="EndNoteBibliography"/>
        <w:spacing w:after="0"/>
        <w:ind w:left="720" w:hanging="720"/>
      </w:pPr>
      <w:r w:rsidRPr="00603BC2">
        <w:t xml:space="preserve">Wanniang, N., Codreanu-Morel, F., Kuehn, A.,  Morisset, M. </w:t>
      </w:r>
      <w:r w:rsidR="000B711F">
        <w:t>(</w:t>
      </w:r>
      <w:r w:rsidRPr="00603BC2">
        <w:t>2022</w:t>
      </w:r>
      <w:r w:rsidR="000B711F">
        <w:t>)</w:t>
      </w:r>
      <w:r w:rsidRPr="00603BC2">
        <w:t xml:space="preserve">. Poultry Meat allergy: a Review of Allergens and Clinical Phenotypes. </w:t>
      </w:r>
      <w:r w:rsidRPr="00603BC2">
        <w:rPr>
          <w:i/>
        </w:rPr>
        <w:t>Current Treatment Options in Allergy</w:t>
      </w:r>
      <w:r w:rsidRPr="00603BC2">
        <w:t>, 9(3): 187-203.</w:t>
      </w:r>
    </w:p>
    <w:p w14:paraId="03F3F16F" w14:textId="0C755FA6" w:rsidR="00603BC2" w:rsidRPr="00603BC2" w:rsidRDefault="00603BC2" w:rsidP="00603BC2">
      <w:pPr>
        <w:pStyle w:val="EndNoteBibliography"/>
        <w:spacing w:after="0"/>
        <w:ind w:left="720" w:hanging="720"/>
      </w:pPr>
      <w:r w:rsidRPr="00603BC2">
        <w:t xml:space="preserve">Wells, H. G. </w:t>
      </w:r>
      <w:r w:rsidR="000B711F">
        <w:t>(</w:t>
      </w:r>
      <w:r w:rsidRPr="00603BC2">
        <w:t>1911</w:t>
      </w:r>
      <w:r w:rsidR="000B711F">
        <w:t>)</w:t>
      </w:r>
      <w:r w:rsidRPr="00603BC2">
        <w:t xml:space="preserve">. Studies on the chemistry of anaphylaxis (III). Experiments with isolated proteins, especially those of the hen's egg. </w:t>
      </w:r>
      <w:r w:rsidRPr="00603BC2">
        <w:rPr>
          <w:i/>
        </w:rPr>
        <w:t>Journal of Infectious Diseases</w:t>
      </w:r>
      <w:r w:rsidRPr="00603BC2">
        <w:t>, 9: 147-171.</w:t>
      </w:r>
    </w:p>
    <w:p w14:paraId="4081D876" w14:textId="5E4C4D0A" w:rsidR="00603BC2" w:rsidRPr="00603BC2" w:rsidRDefault="00603BC2" w:rsidP="00603BC2">
      <w:pPr>
        <w:pStyle w:val="EndNoteBibliography"/>
        <w:spacing w:after="0"/>
        <w:ind w:left="720" w:hanging="720"/>
      </w:pPr>
      <w:r w:rsidRPr="00603BC2">
        <w:t xml:space="preserve">Wide, L., Bennich, H.,  Johansson, S. G. O. </w:t>
      </w:r>
      <w:r w:rsidR="000B711F">
        <w:t>(</w:t>
      </w:r>
      <w:r w:rsidRPr="00603BC2">
        <w:t>1967</w:t>
      </w:r>
      <w:r w:rsidR="000B711F">
        <w:t>)</w:t>
      </w:r>
      <w:r w:rsidRPr="00603BC2">
        <w:t xml:space="preserve">. Diagnosis of Allergy by an in-vitro Test for Allergen Antibodies. </w:t>
      </w:r>
      <w:r w:rsidRPr="00603BC2">
        <w:rPr>
          <w:i/>
        </w:rPr>
        <w:t>The Lancet</w:t>
      </w:r>
      <w:r w:rsidRPr="00603BC2">
        <w:t>, 290(7526): 1105-1107.</w:t>
      </w:r>
    </w:p>
    <w:p w14:paraId="5059F5FE" w14:textId="6D8C116B" w:rsidR="00603BC2" w:rsidRPr="00603BC2" w:rsidRDefault="00603BC2" w:rsidP="00603BC2">
      <w:pPr>
        <w:pStyle w:val="EndNoteBibliography"/>
        <w:spacing w:after="0"/>
        <w:ind w:left="720" w:hanging="720"/>
      </w:pPr>
      <w:r w:rsidRPr="00603BC2">
        <w:t xml:space="preserve">Williams, C. A.,  Chase, M. W. </w:t>
      </w:r>
      <w:r w:rsidR="000B711F">
        <w:t>(</w:t>
      </w:r>
      <w:r w:rsidRPr="00603BC2">
        <w:t>1971</w:t>
      </w:r>
      <w:r w:rsidR="000B711F">
        <w:t>)</w:t>
      </w:r>
      <w:r w:rsidRPr="00603BC2">
        <w:t xml:space="preserve">. Chapter 13 - Precipitation Reactions, </w:t>
      </w:r>
      <w:r w:rsidRPr="00603BC2">
        <w:rPr>
          <w:i/>
        </w:rPr>
        <w:t>Reactions of Antibodies with Soluble Antigens</w:t>
      </w:r>
      <w:r w:rsidRPr="00603BC2">
        <w:t>, Vol. 3: 1-102: Academic Press.</w:t>
      </w:r>
    </w:p>
    <w:p w14:paraId="263EE3EC" w14:textId="57B54FCA" w:rsidR="00603BC2" w:rsidRPr="00603BC2" w:rsidRDefault="00603BC2" w:rsidP="00603BC2">
      <w:pPr>
        <w:pStyle w:val="EndNoteBibliography"/>
        <w:spacing w:after="0"/>
        <w:ind w:left="720" w:hanging="720"/>
      </w:pPr>
      <w:r w:rsidRPr="00603BC2">
        <w:t xml:space="preserve">WMA. </w:t>
      </w:r>
      <w:r w:rsidR="00552060">
        <w:t>(</w:t>
      </w:r>
      <w:r w:rsidRPr="00603BC2">
        <w:t>2013</w:t>
      </w:r>
      <w:r w:rsidR="00552060">
        <w:t>)</w:t>
      </w:r>
      <w:r w:rsidRPr="00603BC2">
        <w:t xml:space="preserve">. World Medical Association Declaration of Helsinki: ethical principles for medical research involving human subjects. </w:t>
      </w:r>
      <w:r w:rsidRPr="00603BC2">
        <w:rPr>
          <w:i/>
        </w:rPr>
        <w:t>J</w:t>
      </w:r>
      <w:r w:rsidR="00552060">
        <w:rPr>
          <w:i/>
        </w:rPr>
        <w:t>ournal of the American Medical Association</w:t>
      </w:r>
      <w:r w:rsidRPr="00603BC2">
        <w:t>, 310(20): 2191-2194.</w:t>
      </w:r>
    </w:p>
    <w:p w14:paraId="55BA959F" w14:textId="3498273C" w:rsidR="00603BC2" w:rsidRPr="00603BC2" w:rsidRDefault="00603BC2" w:rsidP="00603BC2">
      <w:pPr>
        <w:pStyle w:val="EndNoteBibliography"/>
        <w:ind w:left="720" w:hanging="720"/>
      </w:pPr>
      <w:r w:rsidRPr="0039724D">
        <w:t xml:space="preserve">Zhang, J., Tang, Y., Yang, D.,  Yu, J. </w:t>
      </w:r>
      <w:r w:rsidR="00552060" w:rsidRPr="0039724D">
        <w:t>(</w:t>
      </w:r>
      <w:r w:rsidRPr="0039724D">
        <w:t>2025</w:t>
      </w:r>
      <w:r w:rsidR="00552060" w:rsidRPr="0039724D">
        <w:t>)</w:t>
      </w:r>
      <w:r w:rsidRPr="0039724D">
        <w:t xml:space="preserve">. </w:t>
      </w:r>
      <w:r w:rsidRPr="00603BC2">
        <w:t xml:space="preserve">Investigating allergen-specific IgE distribution and correlations in chronic urticaria: a retrospective study in Shanghai, China. </w:t>
      </w:r>
      <w:r w:rsidRPr="00603BC2">
        <w:rPr>
          <w:i/>
        </w:rPr>
        <w:t>European Journal of Medical Research</w:t>
      </w:r>
      <w:r w:rsidRPr="00603BC2">
        <w:t>, 30(1): 182.</w:t>
      </w:r>
    </w:p>
    <w:bookmarkEnd w:id="1"/>
    <w:p w14:paraId="5AD893C3" w14:textId="77777777" w:rsidR="00854DA7" w:rsidRDefault="00854DA7" w:rsidP="00603BC2">
      <w:pPr>
        <w:pStyle w:val="EndNoteBibliography"/>
        <w:spacing w:after="0"/>
        <w:ind w:left="720" w:hanging="720"/>
      </w:pPr>
    </w:p>
    <w:sectPr w:rsidR="00854DA7" w:rsidSect="00DC40C5">
      <w:type w:val="continuous"/>
      <w:pgSz w:w="11909" w:h="16834" w:code="9"/>
      <w:pgMar w:top="1440" w:right="1419"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469D7" w14:textId="77777777" w:rsidR="00A8718D" w:rsidRDefault="00A8718D" w:rsidP="00611462">
      <w:pPr>
        <w:spacing w:after="0" w:line="240" w:lineRule="auto"/>
      </w:pPr>
      <w:r>
        <w:separator/>
      </w:r>
    </w:p>
  </w:endnote>
  <w:endnote w:type="continuationSeparator" w:id="0">
    <w:p w14:paraId="6EDB2258" w14:textId="77777777" w:rsidR="00A8718D" w:rsidRDefault="00A8718D" w:rsidP="0061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BCFF" w14:textId="77777777" w:rsidR="00752519" w:rsidRDefault="00752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F0157" w14:textId="77777777" w:rsidR="00752519" w:rsidRDefault="007525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D7B0" w14:textId="77777777" w:rsidR="008B25C4" w:rsidRPr="005E2A7F" w:rsidRDefault="0074280F" w:rsidP="00B552F7">
    <w:pPr>
      <w:tabs>
        <w:tab w:val="center" w:pos="4320"/>
        <w:tab w:val="right" w:pos="8640"/>
      </w:tabs>
      <w:spacing w:after="0" w:line="240" w:lineRule="auto"/>
      <w:rPr>
        <w:rFonts w:ascii="Arial" w:eastAsia="Times New Roman" w:hAnsi="Arial" w:cs="Arial"/>
        <w:sz w:val="16"/>
        <w:szCs w:val="20"/>
      </w:rPr>
    </w:pPr>
    <w:r w:rsidRPr="005E2A7F">
      <w:rPr>
        <w:rFonts w:ascii="Arial" w:eastAsia="Times New Roman" w:hAnsi="Arial" w:cs="Arial"/>
        <w:sz w:val="16"/>
        <w:szCs w:val="20"/>
      </w:rPr>
      <w:t>_______________________________________________________________________________________________</w:t>
    </w:r>
  </w:p>
  <w:p w14:paraId="28FF3BFA" w14:textId="77777777" w:rsidR="008B25C4" w:rsidRPr="005E2A7F" w:rsidRDefault="008B25C4" w:rsidP="00B552F7">
    <w:pPr>
      <w:tabs>
        <w:tab w:val="center" w:pos="4320"/>
        <w:tab w:val="right" w:pos="8640"/>
      </w:tabs>
      <w:spacing w:after="0" w:line="240" w:lineRule="auto"/>
      <w:rPr>
        <w:rFonts w:ascii="Arial" w:eastAsia="Times New Roman" w:hAnsi="Arial" w:cs="Arial"/>
        <w:i/>
        <w:sz w:val="16"/>
        <w:szCs w:val="20"/>
      </w:rPr>
    </w:pPr>
  </w:p>
  <w:p w14:paraId="62ACB2C5" w14:textId="77777777" w:rsidR="008B25C4" w:rsidRPr="005E2A7F" w:rsidRDefault="008B25C4" w:rsidP="00B552F7">
    <w:pPr>
      <w:tabs>
        <w:tab w:val="center" w:pos="4320"/>
        <w:tab w:val="right" w:pos="8640"/>
      </w:tabs>
      <w:spacing w:after="0" w:line="240" w:lineRule="auto"/>
      <w:jc w:val="both"/>
      <w:rPr>
        <w:rFonts w:ascii="Arial" w:eastAsia="Times New Roman" w:hAnsi="Arial" w:cs="Arial"/>
        <w:i/>
        <w:sz w:val="16"/>
        <w:szCs w:val="16"/>
      </w:rPr>
    </w:pPr>
  </w:p>
  <w:p w14:paraId="16531E50" w14:textId="77777777" w:rsidR="008B25C4" w:rsidRPr="005E2A7F" w:rsidRDefault="008B25C4" w:rsidP="00B552F7">
    <w:pPr>
      <w:tabs>
        <w:tab w:val="center" w:pos="4320"/>
        <w:tab w:val="right" w:pos="8640"/>
      </w:tabs>
      <w:spacing w:after="0" w:line="240" w:lineRule="auto"/>
      <w:jc w:val="both"/>
      <w:rPr>
        <w:rFonts w:ascii="Arial" w:eastAsia="Times New Roman" w:hAnsi="Arial" w:cs="Arial"/>
        <w:i/>
        <w:sz w:val="16"/>
        <w:szCs w:val="16"/>
      </w:rPr>
    </w:pPr>
  </w:p>
  <w:p w14:paraId="0DBEA860" w14:textId="77777777" w:rsidR="008B25C4" w:rsidRPr="005E2A7F" w:rsidRDefault="008B25C4" w:rsidP="00B552F7">
    <w:pPr>
      <w:tabs>
        <w:tab w:val="center" w:pos="4320"/>
        <w:tab w:val="right" w:pos="8640"/>
      </w:tabs>
      <w:spacing w:after="0" w:line="240" w:lineRule="auto"/>
      <w:jc w:val="both"/>
      <w:rPr>
        <w:rFonts w:ascii="Arial" w:eastAsia="Times New Roman" w:hAnsi="Arial" w:cs="Arial"/>
        <w:i/>
        <w:sz w:val="16"/>
        <w:szCs w:val="16"/>
      </w:rPr>
    </w:pPr>
  </w:p>
  <w:p w14:paraId="664E1F06" w14:textId="77777777" w:rsidR="008B25C4" w:rsidRPr="005E2A7F" w:rsidRDefault="008B25C4" w:rsidP="00B552F7">
    <w:pPr>
      <w:tabs>
        <w:tab w:val="center" w:pos="4320"/>
        <w:tab w:val="right" w:pos="8640"/>
      </w:tabs>
      <w:spacing w:after="0" w:line="240" w:lineRule="auto"/>
      <w:jc w:val="both"/>
      <w:rPr>
        <w:rFonts w:ascii="Arial" w:eastAsia="Times New Roman" w:hAnsi="Arial" w:cs="Arial"/>
        <w: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1F92" w14:textId="77777777" w:rsidR="008B25C4" w:rsidRPr="005E2A7F" w:rsidRDefault="008B25C4">
    <w:pPr>
      <w:pStyle w:val="Footer"/>
      <w:jc w:val="center"/>
      <w:rPr>
        <w:rFonts w:ascii="Arial" w:hAnsi="Arial" w:cs="Arial"/>
        <w:sz w:val="28"/>
      </w:rPr>
    </w:pPr>
  </w:p>
  <w:p w14:paraId="3C1FD890" w14:textId="353D411C" w:rsidR="008B25C4" w:rsidRPr="005E2A7F" w:rsidRDefault="00A8718D">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0074280F" w:rsidRPr="005E2A7F">
          <w:rPr>
            <w:rFonts w:ascii="Arial" w:hAnsi="Arial" w:cs="Arial"/>
            <w:sz w:val="20"/>
          </w:rPr>
          <w:fldChar w:fldCharType="begin"/>
        </w:r>
        <w:r w:rsidR="0074280F" w:rsidRPr="005E2A7F">
          <w:rPr>
            <w:rFonts w:ascii="Arial" w:hAnsi="Arial" w:cs="Arial"/>
            <w:sz w:val="20"/>
          </w:rPr>
          <w:instrText xml:space="preserve"> PAGE   \* MERGEFORMAT </w:instrText>
        </w:r>
        <w:r w:rsidR="0074280F" w:rsidRPr="005E2A7F">
          <w:rPr>
            <w:rFonts w:ascii="Arial" w:hAnsi="Arial" w:cs="Arial"/>
            <w:sz w:val="20"/>
          </w:rPr>
          <w:fldChar w:fldCharType="separate"/>
        </w:r>
        <w:r w:rsidR="00B812AE">
          <w:rPr>
            <w:rFonts w:ascii="Arial" w:hAnsi="Arial" w:cs="Arial"/>
            <w:noProof/>
            <w:sz w:val="20"/>
          </w:rPr>
          <w:t>10</w:t>
        </w:r>
        <w:r w:rsidR="0074280F" w:rsidRPr="005E2A7F">
          <w:rPr>
            <w:rFonts w:ascii="Arial" w:hAnsi="Arial" w:cs="Arial"/>
            <w:sz w:val="20"/>
          </w:rPr>
          <w:fldChar w:fldCharType="end"/>
        </w:r>
      </w:sdtContent>
    </w:sdt>
  </w:p>
  <w:p w14:paraId="2CC3F2D1" w14:textId="77777777" w:rsidR="008B25C4" w:rsidRPr="005E2A7F" w:rsidRDefault="008B25C4">
    <w:pPr>
      <w:pStyle w:val="Footer"/>
      <w:jc w:val="center"/>
      <w:rPr>
        <w:rFonts w:ascii="Arial" w:hAnsi="Arial" w:cs="Arial"/>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F404" w14:textId="77777777" w:rsidR="008B25C4" w:rsidRPr="005E2A7F" w:rsidRDefault="0074280F" w:rsidP="00B552F7">
    <w:pPr>
      <w:tabs>
        <w:tab w:val="center" w:pos="4320"/>
        <w:tab w:val="right" w:pos="8640"/>
      </w:tabs>
      <w:spacing w:after="0" w:line="240" w:lineRule="auto"/>
      <w:rPr>
        <w:rFonts w:ascii="Arial" w:eastAsia="Times New Roman" w:hAnsi="Arial" w:cs="Arial"/>
        <w:sz w:val="16"/>
        <w:szCs w:val="20"/>
      </w:rPr>
    </w:pPr>
    <w:r w:rsidRPr="005E2A7F">
      <w:rPr>
        <w:rFonts w:ascii="Arial" w:eastAsia="Times New Roman" w:hAnsi="Arial" w:cs="Arial"/>
        <w:sz w:val="16"/>
        <w:szCs w:val="20"/>
      </w:rPr>
      <w:t>_____________________________________________________________________________________________________</w:t>
    </w:r>
  </w:p>
  <w:p w14:paraId="755524C7" w14:textId="77777777" w:rsidR="008B25C4" w:rsidRPr="005E2A7F" w:rsidRDefault="008B25C4" w:rsidP="00B552F7">
    <w:pPr>
      <w:tabs>
        <w:tab w:val="center" w:pos="4320"/>
        <w:tab w:val="right" w:pos="8640"/>
      </w:tabs>
      <w:spacing w:after="0" w:line="240" w:lineRule="auto"/>
      <w:rPr>
        <w:rFonts w:ascii="Arial" w:eastAsia="Times New Roman" w:hAnsi="Arial" w:cs="Arial"/>
        <w:i/>
        <w:sz w:val="16"/>
        <w:szCs w:val="20"/>
      </w:rPr>
    </w:pPr>
  </w:p>
  <w:p w14:paraId="294DAA3B" w14:textId="77777777" w:rsidR="008B25C4" w:rsidRPr="005E2A7F" w:rsidRDefault="008B25C4" w:rsidP="00B552F7">
    <w:pPr>
      <w:tabs>
        <w:tab w:val="center" w:pos="4320"/>
        <w:tab w:val="right" w:pos="8640"/>
      </w:tabs>
      <w:spacing w:after="0" w:line="240" w:lineRule="auto"/>
      <w:jc w:val="both"/>
      <w:rPr>
        <w:rFonts w:ascii="Arial" w:eastAsia="Times New Roman" w:hAnsi="Arial" w:cs="Arial"/>
        <w:i/>
        <w:sz w:val="16"/>
        <w:szCs w:val="16"/>
      </w:rPr>
    </w:pPr>
  </w:p>
  <w:p w14:paraId="23886C4E" w14:textId="437219EB" w:rsidR="008B25C4" w:rsidRPr="005E2A7F" w:rsidRDefault="0074280F" w:rsidP="00B552F7">
    <w:pPr>
      <w:tabs>
        <w:tab w:val="center" w:pos="4320"/>
        <w:tab w:val="right" w:pos="8640"/>
      </w:tabs>
      <w:spacing w:after="0" w:line="240" w:lineRule="auto"/>
      <w:jc w:val="both"/>
      <w:rPr>
        <w:rFonts w:ascii="Arial" w:eastAsia="Times New Roman" w:hAnsi="Arial" w:cs="Arial"/>
        <w:i/>
        <w:sz w:val="16"/>
        <w:szCs w:val="16"/>
      </w:rPr>
    </w:pPr>
    <w:r w:rsidRPr="005E2A7F">
      <w:rPr>
        <w:rFonts w:ascii="Arial" w:eastAsia="Times New Roman" w:hAnsi="Arial" w:cs="Arial"/>
        <w:i/>
        <w:sz w:val="16"/>
        <w:szCs w:val="16"/>
      </w:rPr>
      <w:t>Asian J. Immunol., vol. xx, no. xx, pp. xx-xx, 202</w:t>
    </w:r>
    <w:r w:rsidR="00611462">
      <w:rPr>
        <w:rFonts w:ascii="Arial" w:eastAsia="Times New Roman" w:hAnsi="Arial" w:cs="Arial"/>
        <w:i/>
        <w:sz w:val="16"/>
        <w:szCs w:val="16"/>
      </w:rPr>
      <w:t>5</w:t>
    </w:r>
  </w:p>
  <w:p w14:paraId="43AFC221" w14:textId="77777777" w:rsidR="008B25C4" w:rsidRPr="005E2A7F" w:rsidRDefault="008B25C4" w:rsidP="00B552F7">
    <w:pPr>
      <w:tabs>
        <w:tab w:val="center" w:pos="4320"/>
        <w:tab w:val="right" w:pos="8640"/>
      </w:tabs>
      <w:spacing w:after="0" w:line="240" w:lineRule="auto"/>
      <w:jc w:val="both"/>
      <w:rPr>
        <w:rFonts w:ascii="Arial" w:eastAsia="Times New Roman" w:hAnsi="Arial" w:cs="Arial"/>
        <w:i/>
        <w:sz w:val="16"/>
        <w:szCs w:val="16"/>
      </w:rPr>
    </w:pPr>
  </w:p>
  <w:p w14:paraId="48B74501" w14:textId="77777777" w:rsidR="008B25C4" w:rsidRPr="005E2A7F" w:rsidRDefault="008B25C4" w:rsidP="00B552F7">
    <w:pPr>
      <w:tabs>
        <w:tab w:val="center" w:pos="4320"/>
        <w:tab w:val="right" w:pos="8640"/>
      </w:tabs>
      <w:spacing w:after="0" w:line="240" w:lineRule="auto"/>
      <w:jc w:val="both"/>
      <w:rPr>
        <w:rFonts w:ascii="Arial" w:eastAsia="Times New Roman" w:hAnsi="Arial" w:cs="Arial"/>
        <w:i/>
        <w:sz w:val="16"/>
        <w:szCs w:val="16"/>
      </w:rPr>
    </w:pPr>
  </w:p>
  <w:p w14:paraId="39DF091C" w14:textId="77777777" w:rsidR="008B25C4" w:rsidRPr="005E2A7F" w:rsidRDefault="008B25C4" w:rsidP="00B552F7">
    <w:pPr>
      <w:tabs>
        <w:tab w:val="center" w:pos="4320"/>
        <w:tab w:val="right" w:pos="8640"/>
      </w:tabs>
      <w:spacing w:after="0" w:line="240" w:lineRule="auto"/>
      <w:jc w:val="both"/>
      <w:rPr>
        <w:rFonts w:ascii="Arial" w:eastAsia="Times New Roman"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E31DE" w14:textId="77777777" w:rsidR="00A8718D" w:rsidRDefault="00A8718D" w:rsidP="00611462">
      <w:pPr>
        <w:spacing w:after="0" w:line="240" w:lineRule="auto"/>
      </w:pPr>
      <w:r>
        <w:separator/>
      </w:r>
    </w:p>
  </w:footnote>
  <w:footnote w:type="continuationSeparator" w:id="0">
    <w:p w14:paraId="4E7C450F" w14:textId="77777777" w:rsidR="00A8718D" w:rsidRDefault="00A8718D" w:rsidP="00611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A6485" w14:textId="7ACA05AE" w:rsidR="008B25C4" w:rsidRPr="005E2A7F" w:rsidRDefault="00752519">
    <w:pPr>
      <w:pStyle w:val="Header"/>
    </w:pPr>
    <w:r>
      <w:rPr>
        <w:noProof/>
      </w:rPr>
      <w:pict w14:anchorId="2B371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08360" o:spid="_x0000_s2052" type="#_x0000_t136" style="position:absolute;margin-left:0;margin-top:0;width:539.45pt;height:59.9pt;rotation:315;z-index:-251652096;mso-position-horizontal:center;mso-position-horizontal-relative:margin;mso-position-vertical:center;mso-position-vertical-relative:margin" o:allowincell="f" fillcolor="silver" stroked="f">
          <v:fill opacity=".5"/>
          <v:textpath style="font-family:&quot;Aptos&quot;;font-size:1pt" string="UNDER PEER REVIEW"/>
        </v:shape>
      </w:pict>
    </w:r>
    <w:r w:rsidR="0074280F" w:rsidRPr="005E2A7F">
      <w:rPr>
        <w:noProof/>
      </w:rPr>
      <mc:AlternateContent>
        <mc:Choice Requires="wps">
          <w:drawing>
            <wp:anchor distT="0" distB="0" distL="114300" distR="114300" simplePos="0" relativeHeight="251660288" behindDoc="1" locked="0" layoutInCell="0" allowOverlap="1" wp14:anchorId="69A68E5E" wp14:editId="35B09E31">
              <wp:simplePos x="0" y="0"/>
              <wp:positionH relativeFrom="margin">
                <wp:align>center</wp:align>
              </wp:positionH>
              <wp:positionV relativeFrom="margin">
                <wp:align>center</wp:align>
              </wp:positionV>
              <wp:extent cx="6076950" cy="2025650"/>
              <wp:effectExtent l="0" t="1771650" r="0" b="1270000"/>
              <wp:wrapNone/>
              <wp:docPr id="79648028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6950" cy="2025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B342C6" w14:textId="77777777" w:rsidR="008B25C4" w:rsidRPr="005E2A7F" w:rsidRDefault="0074280F" w:rsidP="00102D72">
                          <w:pPr>
                            <w:jc w:val="center"/>
                            <w:rPr>
                              <w:rFonts w:ascii="Calibri" w:eastAsia="Calibri" w:hAnsi="Calibri" w:cs="Calibri"/>
                              <w:color w:val="C0C0C0"/>
                              <w:sz w:val="2"/>
                              <w:szCs w:val="2"/>
                              <w14:textFill>
                                <w14:solidFill>
                                  <w14:srgbClr w14:val="C0C0C0">
                                    <w14:alpha w14:val="50000"/>
                                  </w14:srgbClr>
                                </w14:solidFill>
                              </w14:textFill>
                            </w:rPr>
                          </w:pPr>
                          <w:r w:rsidRPr="005E2A7F">
                            <w:rPr>
                              <w:rFonts w:ascii="Calibri" w:eastAsia="Calibri" w:hAnsi="Calibri" w:cs="Calibri"/>
                              <w:color w:val="C0C0C0"/>
                              <w:sz w:val="2"/>
                              <w:szCs w:val="2"/>
                              <w14:textFill>
                                <w14:solidFill>
                                  <w14:srgbClr w14:val="C0C0C0">
                                    <w14:alpha w14:val="50000"/>
                                  </w14:srgbClr>
                                </w14:solidFill>
                              </w14:textFill>
                            </w:rPr>
                            <w:t>Galley Proof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A68E5E" id="_x0000_t202" coordsize="21600,21600" o:spt="202" path="m,l,21600r21600,l21600,xe">
              <v:stroke joinstyle="miter"/>
              <v:path gradientshapeok="t" o:connecttype="rect"/>
            </v:shapetype>
            <v:shape id="Caixa de Texto 1" o:spid="_x0000_s1026" type="#_x0000_t202" style="position:absolute;margin-left:0;margin-top:0;width:478.5pt;height:15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PHlAIAAAsFAAAOAAAAZHJzL2Uyb0RvYy54bWysVMlu2zAQvRfoPxC8O1ogy5YQOUicuJe0&#10;DRAXOdMiZbEVl5K0JaPov3dIyVnaS1HUB5ocDt/Mmzejy6tBdOjIjOVKVji5iDFislaUy32Fv2w3&#10;syVG1hFJSackq/CJWXy1ev/ustclS1WrOsoMAhBpy15XuHVOl1Fk65YJYi+UZhIuG2UEcXA0+4ga&#10;0gO66KI0jvOoV4Zqo2pmLVhvx0u8CvhNw2r3uWksc6irMOTmwmrCuvNrtLok5d4Q3fJ6SoP8QxaC&#10;cAlBn6FuiSPoYPgfUILXRlnVuItaiUg1Da9Z4ABskvg3No8t0SxwgeJY/Vwm+/9g60/HB4M4rfCi&#10;yLNlnC4XGEkiQKo14QNBlKEtG5xCia9Vr20JTx41PHLDjRpA88Db6ntVf7NIqnVL5J5dG6P6lhEK&#10;uSaAOJkDo+1JA3yweug7ykGWAB+9wh+DWR9p139UFJ6Qg1Mh2tAYgYzyz5ZF7H/BDOVEkBHofHrW&#10;FgKgGox5vMiLOVzVcJfG6TyHAzCKSOnRvHbaWPeBKYH8psIGmifAkuO9daPr2cW7AzLYp90o9o8i&#10;SbP4Ji1mm3y5mGWbbD4rFvFyFifFTZHHWZHdbn560CQrW04pk/dcsnPjJdnfCTuNwNgyofVQX+Fi&#10;ns5DvlZ1nG541/ncrNnv1p1BR+InYKzVyOWNm1EHScFOSi/a3bR3hHfjPnqbcagbFOD8HwoR1POC&#10;jdK5YTcAopd0p+gJdOxhzipsvx+IYdATB7FWkBQ0QmOUeIJBvjZe0kDCV3o7PBGjJzkchHvoznMW&#10;NPHp7unUroR+BSDRwfgCVzQPXTEynZxB6hfUUBt9DR214UHclzyBlD/AxAV609fBj/Trc/B6+Yat&#10;fgEAAP//AwBQSwMEFAAGAAgAAAAhABBD/1PbAAAABQEAAA8AAABkcnMvZG93bnJldi54bWxMj8FO&#10;wzAQRO9I/IO1SL1Rp1QFGuJUqFEPPbZFnN14mwTsdYidJuXrWbiUy0ijWc28zVajs+KMXWg8KZhN&#10;ExBIpTcNVQreDpv7ZxAhajLaekIFFwywym9vMp0aP9AOz/tYCS6hkGoFdYxtKmUoa3Q6TH2LxNnJ&#10;d05Htl0lTacHLndWPiTJo3S6IV6odYvrGsvPfe8UmO/TpZ0Pw2G73RX9l22KAt8/lJrcja8vICKO&#10;8XoMv/iMDjkzHX1PJgirgB+Jf8rZcvHE9qhgPlsmIPNM/qfPfwAAAP//AwBQSwECLQAUAAYACAAA&#10;ACEAtoM4kv4AAADhAQAAEwAAAAAAAAAAAAAAAAAAAAAAW0NvbnRlbnRfVHlwZXNdLnhtbFBLAQIt&#10;ABQABgAIAAAAIQA4/SH/1gAAAJQBAAALAAAAAAAAAAAAAAAAAC8BAABfcmVscy8ucmVsc1BLAQIt&#10;ABQABgAIAAAAIQCX2HPHlAIAAAsFAAAOAAAAAAAAAAAAAAAAAC4CAABkcnMvZTJvRG9jLnhtbFBL&#10;AQItABQABgAIAAAAIQAQQ/9T2wAAAAUBAAAPAAAAAAAAAAAAAAAAAO4EAABkcnMvZG93bnJldi54&#10;bWxQSwUGAAAAAAQABADzAAAA9gUAAAAA&#10;" o:allowincell="f" filled="f" stroked="f">
              <v:stroke joinstyle="round"/>
              <o:lock v:ext="edit" shapetype="t"/>
              <v:textbox style="mso-fit-shape-to-text:t">
                <w:txbxContent>
                  <w:p w14:paraId="7EB342C6" w14:textId="77777777" w:rsidR="008B25C4" w:rsidRPr="005E2A7F" w:rsidRDefault="0074280F" w:rsidP="00102D72">
                    <w:pPr>
                      <w:jc w:val="center"/>
                      <w:rPr>
                        <w:rFonts w:ascii="Calibri" w:eastAsia="Calibri" w:hAnsi="Calibri" w:cs="Calibri"/>
                        <w:color w:val="C0C0C0"/>
                        <w:sz w:val="2"/>
                        <w:szCs w:val="2"/>
                        <w14:textFill>
                          <w14:solidFill>
                            <w14:srgbClr w14:val="C0C0C0">
                              <w14:alpha w14:val="50000"/>
                            </w14:srgbClr>
                          </w14:solidFill>
                        </w14:textFill>
                      </w:rPr>
                    </w:pPr>
                    <w:r w:rsidRPr="005E2A7F">
                      <w:rPr>
                        <w:rFonts w:ascii="Calibri" w:eastAsia="Calibri" w:hAnsi="Calibri" w:cs="Calibri"/>
                        <w:color w:val="C0C0C0"/>
                        <w:sz w:val="2"/>
                        <w:szCs w:val="2"/>
                        <w14:textFill>
                          <w14:solidFill>
                            <w14:srgbClr w14:val="C0C0C0">
                              <w14:alpha w14:val="50000"/>
                            </w14:srgbClr>
                          </w14:solidFill>
                        </w14:textFill>
                      </w:rPr>
                      <w:t>Galley Proof</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0F868" w14:textId="687A0EE5" w:rsidR="008B25C4" w:rsidRPr="005E2A7F" w:rsidRDefault="00752519"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044BBC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08361" o:spid="_x0000_s2053" type="#_x0000_t136" style="position:absolute;left:0;text-align:left;margin-left:0;margin-top:0;width:539.45pt;height:59.9pt;rotation:315;z-index:-251650048;mso-position-horizontal:center;mso-position-horizontal-relative:margin;mso-position-vertical:center;mso-position-vertical-relative:margin" o:allowincell="f" fillcolor="silver" stroked="f">
          <v:fill opacity=".5"/>
          <v:textpath style="font-family:&quot;Aptos&quot;;font-size:1pt" string="UNDER PEER REVIEW"/>
        </v:shape>
      </w:pict>
    </w:r>
  </w:p>
  <w:p w14:paraId="12C696FC" w14:textId="77777777" w:rsidR="008B25C4" w:rsidRPr="005E2A7F" w:rsidRDefault="008B25C4"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679AF5EB" w14:textId="77777777" w:rsidR="008B25C4" w:rsidRPr="005E2A7F" w:rsidRDefault="008B25C4"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3ED9374D" w14:textId="77777777" w:rsidR="008B25C4" w:rsidRPr="005E2A7F" w:rsidRDefault="008B25C4" w:rsidP="006C56FD">
    <w:pPr>
      <w:tabs>
        <w:tab w:val="center" w:pos="4320"/>
        <w:tab w:val="right" w:pos="8640"/>
      </w:tabs>
      <w:spacing w:after="0" w:line="240" w:lineRule="auto"/>
      <w:jc w:val="right"/>
      <w:rPr>
        <w:rFonts w:ascii="Arial" w:eastAsia="Times New Roman" w:hAnsi="Arial" w:cs="Arial"/>
        <w:i/>
        <w:sz w:val="16"/>
        <w:szCs w:val="20"/>
      </w:rPr>
    </w:pPr>
  </w:p>
  <w:p w14:paraId="2E2B5346" w14:textId="77777777" w:rsidR="008B25C4" w:rsidRPr="005E2A7F" w:rsidRDefault="008B25C4"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6107" w14:textId="103643BE" w:rsidR="00752519" w:rsidRDefault="00752519">
    <w:pPr>
      <w:pStyle w:val="Header"/>
    </w:pPr>
    <w:r>
      <w:rPr>
        <w:noProof/>
      </w:rPr>
      <w:pict w14:anchorId="0CCC2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08359" o:spid="_x0000_s2051" type="#_x0000_t136" style="position:absolute;margin-left:0;margin-top:0;width:539.45pt;height:59.9pt;rotation:315;z-index:-251654144;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28C8E" w14:textId="57BBFB1A" w:rsidR="008B25C4" w:rsidRPr="005E2A7F" w:rsidRDefault="00752519">
    <w:pPr>
      <w:pStyle w:val="Header"/>
    </w:pPr>
    <w:r>
      <w:rPr>
        <w:noProof/>
      </w:rPr>
      <w:pict w14:anchorId="34F28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08363" o:spid="_x0000_s2055" type="#_x0000_t136" style="position:absolute;margin-left:0;margin-top:0;width:539.45pt;height:59.9pt;rotation:315;z-index:-251645952;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8DE7F" w14:textId="34E85D6B" w:rsidR="008B25C4" w:rsidRPr="005E2A7F" w:rsidRDefault="00752519"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3DDBD0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08364" o:spid="_x0000_s2056" type="#_x0000_t136" style="position:absolute;left:0;text-align:left;margin-left:0;margin-top:0;width:539.45pt;height:59.9pt;rotation:315;z-index:-251643904;mso-position-horizontal:center;mso-position-horizontal-relative:margin;mso-position-vertical:center;mso-position-vertical-relative:margin" o:allowincell="f" fillcolor="silver" stroked="f">
          <v:fill opacity=".5"/>
          <v:textpath style="font-family:&quot;Aptos&quot;;font-size:1pt" string="UNDER PEER REVIEW"/>
        </v:shape>
      </w:pict>
    </w:r>
  </w:p>
  <w:p w14:paraId="78BC807B" w14:textId="77777777" w:rsidR="008B25C4" w:rsidRPr="005E2A7F" w:rsidRDefault="008B25C4"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299E06C" w14:textId="77777777" w:rsidR="008B25C4" w:rsidRPr="005E2A7F" w:rsidRDefault="008B25C4"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4438540" w14:textId="77777777" w:rsidR="008B25C4" w:rsidRPr="005E2A7F" w:rsidRDefault="008B25C4"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3EF07A8D" w14:textId="77777777" w:rsidR="008B25C4" w:rsidRPr="005E2A7F" w:rsidRDefault="008B25C4" w:rsidP="006C56FD">
    <w:pPr>
      <w:tabs>
        <w:tab w:val="center" w:pos="4320"/>
        <w:tab w:val="right" w:pos="8640"/>
      </w:tabs>
      <w:spacing w:after="0" w:line="240" w:lineRule="auto"/>
      <w:jc w:val="right"/>
      <w:rPr>
        <w:rFonts w:ascii="Arial" w:eastAsia="Times New Roman" w:hAnsi="Arial" w:cs="Arial"/>
        <w:i/>
        <w:sz w:val="16"/>
        <w:szCs w:val="20"/>
      </w:rPr>
    </w:pPr>
  </w:p>
  <w:p w14:paraId="2A9A5741" w14:textId="77777777" w:rsidR="008B25C4" w:rsidRPr="005E2A7F" w:rsidRDefault="008B25C4" w:rsidP="006C56FD">
    <w:pPr>
      <w:tabs>
        <w:tab w:val="center" w:pos="4320"/>
        <w:tab w:val="right" w:pos="8640"/>
      </w:tabs>
      <w:spacing w:after="0" w:line="240" w:lineRule="auto"/>
      <w:jc w:val="right"/>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BB64" w14:textId="2A9CEBD8" w:rsidR="00752519" w:rsidRDefault="00752519">
    <w:pPr>
      <w:pStyle w:val="Header"/>
    </w:pPr>
    <w:r>
      <w:rPr>
        <w:noProof/>
      </w:rPr>
      <w:pict w14:anchorId="529EA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08362" o:spid="_x0000_s2054" type="#_x0000_t136" style="position:absolute;margin-left:0;margin-top:0;width:539.45pt;height:59.9pt;rotation:315;z-index:-25164800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E0145"/>
    <w:multiLevelType w:val="hybridMultilevel"/>
    <w:tmpl w:val="708652B8"/>
    <w:lvl w:ilvl="0" w:tplc="25BAC404">
      <w:start w:val="1"/>
      <w:numFmt w:val="decimal"/>
      <w:lvlText w:val="%1."/>
      <w:lvlJc w:val="left"/>
      <w:pPr>
        <w:ind w:left="1128" w:hanging="360"/>
      </w:pPr>
      <w:rPr>
        <w:rFonts w:hint="default"/>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abstractNum w:abstractNumId="1" w15:restartNumberingAfterBreak="0">
    <w:nsid w:val="159A632E"/>
    <w:multiLevelType w:val="hybridMultilevel"/>
    <w:tmpl w:val="09149ED2"/>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F203307"/>
    <w:multiLevelType w:val="hybridMultilevel"/>
    <w:tmpl w:val="C832B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E0679"/>
    <w:multiLevelType w:val="hybridMultilevel"/>
    <w:tmpl w:val="260C221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207A52"/>
    <w:multiLevelType w:val="hybridMultilevel"/>
    <w:tmpl w:val="8BA6CA74"/>
    <w:lvl w:ilvl="0" w:tplc="B43634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80FCD"/>
    <w:multiLevelType w:val="hybridMultilevel"/>
    <w:tmpl w:val="4C561770"/>
    <w:lvl w:ilvl="0" w:tplc="20363B16">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2"/>
  </w:num>
  <w:num w:numId="4">
    <w:abstractNumId w:val="5"/>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wMTYyMTK3MDe3sDBV0lEKTi0uzszPAykwrAUAwFm/VCwAAAA="/>
    <w:docVar w:name="EN.InstantFormat" w:val="&lt;ENInstantFormat&gt;&lt;Enabled&gt;1&lt;/Enabled&gt;&lt;ScanUnformatted&gt;1&lt;/ScanUnformatted&gt;&lt;ScanChanges&gt;1&lt;/ScanChanges&gt;&lt;Suspended&gt;1&lt;/Suspended&gt;&lt;/ENInstantFormat&gt;"/>
  </w:docVars>
  <w:rsids>
    <w:rsidRoot w:val="00DC40C5"/>
    <w:rsid w:val="00020FF7"/>
    <w:rsid w:val="0005216D"/>
    <w:rsid w:val="00091C95"/>
    <w:rsid w:val="0009648B"/>
    <w:rsid w:val="000B711F"/>
    <w:rsid w:val="001B17D1"/>
    <w:rsid w:val="001B6068"/>
    <w:rsid w:val="001B6D7D"/>
    <w:rsid w:val="00294DB2"/>
    <w:rsid w:val="002D6A77"/>
    <w:rsid w:val="00304FDF"/>
    <w:rsid w:val="00312292"/>
    <w:rsid w:val="0038144A"/>
    <w:rsid w:val="0039724D"/>
    <w:rsid w:val="003C0AD5"/>
    <w:rsid w:val="003F5BED"/>
    <w:rsid w:val="00441C8D"/>
    <w:rsid w:val="004572B1"/>
    <w:rsid w:val="004F0B74"/>
    <w:rsid w:val="00552060"/>
    <w:rsid w:val="00603BC2"/>
    <w:rsid w:val="00611462"/>
    <w:rsid w:val="00640F91"/>
    <w:rsid w:val="00654726"/>
    <w:rsid w:val="006C3BF0"/>
    <w:rsid w:val="006C4B68"/>
    <w:rsid w:val="006E77F3"/>
    <w:rsid w:val="00740DD1"/>
    <w:rsid w:val="0074280F"/>
    <w:rsid w:val="0074529A"/>
    <w:rsid w:val="00752519"/>
    <w:rsid w:val="007836E5"/>
    <w:rsid w:val="0079059B"/>
    <w:rsid w:val="007940C1"/>
    <w:rsid w:val="007D4504"/>
    <w:rsid w:val="007F4586"/>
    <w:rsid w:val="00802F2E"/>
    <w:rsid w:val="00854DA7"/>
    <w:rsid w:val="008658CE"/>
    <w:rsid w:val="00884F06"/>
    <w:rsid w:val="008B25C4"/>
    <w:rsid w:val="00952A8C"/>
    <w:rsid w:val="00957DAD"/>
    <w:rsid w:val="009666D5"/>
    <w:rsid w:val="009E222A"/>
    <w:rsid w:val="00A8718D"/>
    <w:rsid w:val="00B0262C"/>
    <w:rsid w:val="00B55664"/>
    <w:rsid w:val="00B812AE"/>
    <w:rsid w:val="00B908BE"/>
    <w:rsid w:val="00BF1CFD"/>
    <w:rsid w:val="00C25AE0"/>
    <w:rsid w:val="00C45B14"/>
    <w:rsid w:val="00C66394"/>
    <w:rsid w:val="00C73615"/>
    <w:rsid w:val="00CA1C98"/>
    <w:rsid w:val="00CB5F07"/>
    <w:rsid w:val="00CD67A2"/>
    <w:rsid w:val="00CE6EC1"/>
    <w:rsid w:val="00D43CC3"/>
    <w:rsid w:val="00D80136"/>
    <w:rsid w:val="00D81A2B"/>
    <w:rsid w:val="00DC40C5"/>
    <w:rsid w:val="00DD115F"/>
    <w:rsid w:val="00DF7B5F"/>
    <w:rsid w:val="00E07DFB"/>
    <w:rsid w:val="00E67486"/>
    <w:rsid w:val="00E81C72"/>
    <w:rsid w:val="00ED770B"/>
    <w:rsid w:val="00F113DD"/>
    <w:rsid w:val="00F951CA"/>
    <w:rsid w:val="00FB0F6A"/>
    <w:rsid w:val="00FD4DCF"/>
    <w:rsid w:val="00FF2F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847713D"/>
  <w15:chartTrackingRefBased/>
  <w15:docId w15:val="{CFBC1206-0747-45E2-99AA-222F8BF8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0C5"/>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DC40C5"/>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DC40C5"/>
    <w:pPr>
      <w:keepNext/>
      <w:keepLines/>
      <w:spacing w:after="0" w:line="240" w:lineRule="auto"/>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DC40C5"/>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DC40C5"/>
    <w:pPr>
      <w:keepNext/>
      <w:keepLines/>
      <w:spacing w:after="0" w:line="240" w:lineRule="auto"/>
      <w:ind w:left="2160"/>
      <w:outlineLvl w:val="3"/>
    </w:pPr>
    <w:rPr>
      <w:rFonts w:ascii="Arial" w:eastAsiaTheme="majorEastAsia" w:hAnsi="Arial" w:cstheme="majorBidi"/>
      <w:b/>
      <w:bCs/>
      <w:i/>
      <w:iCs/>
      <w:sz w:val="20"/>
    </w:rPr>
  </w:style>
  <w:style w:type="paragraph" w:styleId="Heading5">
    <w:name w:val="heading 5"/>
    <w:basedOn w:val="Normal"/>
    <w:next w:val="Normal"/>
    <w:link w:val="Heading5Char"/>
    <w:uiPriority w:val="9"/>
    <w:semiHidden/>
    <w:unhideWhenUsed/>
    <w:qFormat/>
    <w:rsid w:val="00DC40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0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0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0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0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0C5"/>
    <w:rPr>
      <w:rFonts w:ascii="Arial" w:eastAsiaTheme="majorEastAsia" w:hAnsi="Arial" w:cstheme="majorBidi"/>
      <w:b/>
      <w:bCs/>
      <w:kern w:val="0"/>
      <w:sz w:val="36"/>
      <w:szCs w:val="28"/>
      <w:lang w:val="en-US"/>
      <w14:ligatures w14:val="none"/>
    </w:rPr>
  </w:style>
  <w:style w:type="character" w:customStyle="1" w:styleId="Heading2Char">
    <w:name w:val="Heading 2 Char"/>
    <w:basedOn w:val="DefaultParagraphFont"/>
    <w:link w:val="Heading2"/>
    <w:uiPriority w:val="9"/>
    <w:rsid w:val="00DC40C5"/>
    <w:rPr>
      <w:rFonts w:ascii="Arial" w:eastAsiaTheme="majorEastAsia" w:hAnsi="Arial" w:cstheme="majorBidi"/>
      <w:b/>
      <w:bCs/>
      <w:kern w:val="0"/>
      <w:szCs w:val="26"/>
      <w:lang w:val="en-US"/>
      <w14:ligatures w14:val="none"/>
    </w:rPr>
  </w:style>
  <w:style w:type="character" w:customStyle="1" w:styleId="Heading3Char">
    <w:name w:val="Heading 3 Char"/>
    <w:basedOn w:val="DefaultParagraphFont"/>
    <w:link w:val="Heading3"/>
    <w:uiPriority w:val="9"/>
    <w:rsid w:val="00DC40C5"/>
    <w:rPr>
      <w:rFonts w:ascii="Arial" w:eastAsiaTheme="majorEastAsia" w:hAnsi="Arial" w:cstheme="majorBidi"/>
      <w:b/>
      <w:bCs/>
      <w:i/>
      <w:kern w:val="0"/>
      <w:sz w:val="24"/>
      <w:lang w:val="en-US"/>
      <w14:ligatures w14:val="none"/>
    </w:rPr>
  </w:style>
  <w:style w:type="character" w:customStyle="1" w:styleId="Heading4Char">
    <w:name w:val="Heading 4 Char"/>
    <w:basedOn w:val="DefaultParagraphFont"/>
    <w:link w:val="Heading4"/>
    <w:uiPriority w:val="9"/>
    <w:rsid w:val="00DC40C5"/>
    <w:rPr>
      <w:rFonts w:ascii="Arial" w:eastAsiaTheme="majorEastAsia" w:hAnsi="Arial" w:cstheme="majorBidi"/>
      <w:b/>
      <w:bCs/>
      <w:i/>
      <w:iCs/>
      <w:kern w:val="0"/>
      <w:sz w:val="20"/>
      <w:lang w:val="en-US"/>
      <w14:ligatures w14:val="none"/>
    </w:rPr>
  </w:style>
  <w:style w:type="character" w:customStyle="1" w:styleId="Heading5Char">
    <w:name w:val="Heading 5 Char"/>
    <w:basedOn w:val="DefaultParagraphFont"/>
    <w:link w:val="Heading5"/>
    <w:uiPriority w:val="9"/>
    <w:semiHidden/>
    <w:rsid w:val="00DC4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0C5"/>
    <w:rPr>
      <w:rFonts w:eastAsiaTheme="majorEastAsia" w:cstheme="majorBidi"/>
      <w:color w:val="272727" w:themeColor="text1" w:themeTint="D8"/>
    </w:rPr>
  </w:style>
  <w:style w:type="paragraph" w:styleId="Title">
    <w:name w:val="Title"/>
    <w:basedOn w:val="Normal"/>
    <w:next w:val="Normal"/>
    <w:link w:val="TitleChar"/>
    <w:uiPriority w:val="10"/>
    <w:qFormat/>
    <w:rsid w:val="00DC4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0C5"/>
    <w:pPr>
      <w:spacing w:before="160"/>
      <w:jc w:val="center"/>
    </w:pPr>
    <w:rPr>
      <w:i/>
      <w:iCs/>
      <w:color w:val="404040" w:themeColor="text1" w:themeTint="BF"/>
    </w:rPr>
  </w:style>
  <w:style w:type="character" w:customStyle="1" w:styleId="QuoteChar">
    <w:name w:val="Quote Char"/>
    <w:basedOn w:val="DefaultParagraphFont"/>
    <w:link w:val="Quote"/>
    <w:uiPriority w:val="29"/>
    <w:rsid w:val="00DC40C5"/>
    <w:rPr>
      <w:i/>
      <w:iCs/>
      <w:color w:val="404040" w:themeColor="text1" w:themeTint="BF"/>
    </w:rPr>
  </w:style>
  <w:style w:type="paragraph" w:styleId="ListParagraph">
    <w:name w:val="List Paragraph"/>
    <w:basedOn w:val="Normal"/>
    <w:uiPriority w:val="34"/>
    <w:qFormat/>
    <w:rsid w:val="00DC40C5"/>
    <w:pPr>
      <w:ind w:left="720"/>
      <w:contextualSpacing/>
    </w:pPr>
  </w:style>
  <w:style w:type="character" w:styleId="IntenseEmphasis">
    <w:name w:val="Intense Emphasis"/>
    <w:basedOn w:val="DefaultParagraphFont"/>
    <w:uiPriority w:val="21"/>
    <w:qFormat/>
    <w:rsid w:val="00DC40C5"/>
    <w:rPr>
      <w:i/>
      <w:iCs/>
      <w:color w:val="0F4761" w:themeColor="accent1" w:themeShade="BF"/>
    </w:rPr>
  </w:style>
  <w:style w:type="paragraph" w:styleId="IntenseQuote">
    <w:name w:val="Intense Quote"/>
    <w:basedOn w:val="Normal"/>
    <w:next w:val="Normal"/>
    <w:link w:val="IntenseQuoteChar"/>
    <w:uiPriority w:val="30"/>
    <w:qFormat/>
    <w:rsid w:val="00DC4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0C5"/>
    <w:rPr>
      <w:i/>
      <w:iCs/>
      <w:color w:val="0F4761" w:themeColor="accent1" w:themeShade="BF"/>
    </w:rPr>
  </w:style>
  <w:style w:type="character" w:styleId="IntenseReference">
    <w:name w:val="Intense Reference"/>
    <w:basedOn w:val="DefaultParagraphFont"/>
    <w:uiPriority w:val="32"/>
    <w:qFormat/>
    <w:rsid w:val="00DC40C5"/>
    <w:rPr>
      <w:b/>
      <w:bCs/>
      <w:smallCaps/>
      <w:color w:val="0F4761" w:themeColor="accent1" w:themeShade="BF"/>
      <w:spacing w:val="5"/>
    </w:rPr>
  </w:style>
  <w:style w:type="paragraph" w:styleId="Header">
    <w:name w:val="header"/>
    <w:basedOn w:val="Normal"/>
    <w:link w:val="HeaderChar"/>
    <w:uiPriority w:val="99"/>
    <w:unhideWhenUsed/>
    <w:rsid w:val="00DC4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0C5"/>
    <w:rPr>
      <w:rFonts w:eastAsiaTheme="minorEastAsia"/>
      <w:kern w:val="0"/>
      <w:lang w:val="en-US"/>
      <w14:ligatures w14:val="none"/>
    </w:rPr>
  </w:style>
  <w:style w:type="paragraph" w:styleId="Footer">
    <w:name w:val="footer"/>
    <w:basedOn w:val="Normal"/>
    <w:link w:val="FooterChar"/>
    <w:uiPriority w:val="99"/>
    <w:unhideWhenUsed/>
    <w:rsid w:val="00DC4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0C5"/>
    <w:rPr>
      <w:rFonts w:eastAsiaTheme="minorEastAsia"/>
      <w:kern w:val="0"/>
      <w:lang w:val="en-US"/>
      <w14:ligatures w14:val="none"/>
    </w:rPr>
  </w:style>
  <w:style w:type="table" w:styleId="TableGrid">
    <w:name w:val="Table Grid"/>
    <w:basedOn w:val="TableNormal"/>
    <w:uiPriority w:val="59"/>
    <w:rsid w:val="00DC40C5"/>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C4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0C5"/>
    <w:rPr>
      <w:rFonts w:ascii="Tahoma" w:eastAsiaTheme="minorEastAsia" w:hAnsi="Tahoma" w:cs="Tahoma"/>
      <w:kern w:val="0"/>
      <w:sz w:val="16"/>
      <w:szCs w:val="16"/>
      <w:lang w:val="en-US"/>
      <w14:ligatures w14:val="none"/>
    </w:rPr>
  </w:style>
  <w:style w:type="character" w:styleId="Hyperlink">
    <w:name w:val="Hyperlink"/>
    <w:basedOn w:val="DefaultParagraphFont"/>
    <w:uiPriority w:val="99"/>
    <w:unhideWhenUsed/>
    <w:rsid w:val="00DC40C5"/>
    <w:rPr>
      <w:color w:val="467886" w:themeColor="hyperlink"/>
      <w:u w:val="single"/>
    </w:rPr>
  </w:style>
  <w:style w:type="paragraph" w:customStyle="1" w:styleId="ReferHead">
    <w:name w:val="Refer Head"/>
    <w:basedOn w:val="Normal"/>
    <w:rsid w:val="00DC40C5"/>
    <w:pPr>
      <w:keepNext/>
      <w:spacing w:after="240" w:line="240" w:lineRule="auto"/>
    </w:pPr>
    <w:rPr>
      <w:rFonts w:ascii="Helvetica" w:eastAsia="Times New Roman" w:hAnsi="Helvetica" w:cs="Times New Roman"/>
      <w:b/>
      <w:caps/>
      <w:szCs w:val="20"/>
    </w:rPr>
  </w:style>
  <w:style w:type="paragraph" w:customStyle="1" w:styleId="EndNoteBibliographyTitle">
    <w:name w:val="EndNote Bibliography Title"/>
    <w:basedOn w:val="Normal"/>
    <w:link w:val="EndNoteBibliographyTitleChar"/>
    <w:rsid w:val="00DC40C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C40C5"/>
    <w:rPr>
      <w:rFonts w:ascii="Calibri" w:eastAsiaTheme="minorEastAsia" w:hAnsi="Calibri" w:cs="Calibri"/>
      <w:noProof/>
      <w:kern w:val="0"/>
      <w:lang w:val="en-US"/>
      <w14:ligatures w14:val="none"/>
    </w:rPr>
  </w:style>
  <w:style w:type="paragraph" w:customStyle="1" w:styleId="EndNoteBibliography">
    <w:name w:val="EndNote Bibliography"/>
    <w:basedOn w:val="Normal"/>
    <w:link w:val="EndNoteBibliographyChar"/>
    <w:rsid w:val="00DC40C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C40C5"/>
    <w:rPr>
      <w:rFonts w:ascii="Calibri" w:eastAsiaTheme="minorEastAsia" w:hAnsi="Calibri" w:cs="Calibri"/>
      <w:noProof/>
      <w:kern w:val="0"/>
      <w:lang w:val="en-US"/>
      <w14:ligatures w14:val="none"/>
    </w:rPr>
  </w:style>
  <w:style w:type="paragraph" w:styleId="NoSpacing">
    <w:name w:val="No Spacing"/>
    <w:uiPriority w:val="1"/>
    <w:qFormat/>
    <w:rsid w:val="00DC40C5"/>
    <w:pPr>
      <w:spacing w:after="0" w:line="240" w:lineRule="auto"/>
    </w:pPr>
    <w:rPr>
      <w:rFonts w:eastAsiaTheme="minorEastAsia"/>
      <w:kern w:val="0"/>
      <w:lang w:val="en-US"/>
      <w14:ligatures w14:val="none"/>
    </w:rPr>
  </w:style>
  <w:style w:type="character" w:customStyle="1" w:styleId="UnresolvedMention1">
    <w:name w:val="Unresolved Mention1"/>
    <w:basedOn w:val="DefaultParagraphFont"/>
    <w:uiPriority w:val="99"/>
    <w:semiHidden/>
    <w:unhideWhenUsed/>
    <w:rsid w:val="00DC40C5"/>
    <w:rPr>
      <w:color w:val="605E5C"/>
      <w:shd w:val="clear" w:color="auto" w:fill="E1DFDD"/>
    </w:rPr>
  </w:style>
  <w:style w:type="character" w:styleId="FollowedHyperlink">
    <w:name w:val="FollowedHyperlink"/>
    <w:basedOn w:val="DefaultParagraphFont"/>
    <w:uiPriority w:val="99"/>
    <w:semiHidden/>
    <w:unhideWhenUsed/>
    <w:rsid w:val="00DC40C5"/>
    <w:rPr>
      <w:color w:val="96607D" w:themeColor="followedHyperlink"/>
      <w:u w:val="single"/>
    </w:rPr>
  </w:style>
  <w:style w:type="character" w:customStyle="1" w:styleId="position-number">
    <w:name w:val="position-number"/>
    <w:basedOn w:val="DefaultParagraphFont"/>
    <w:rsid w:val="00DC40C5"/>
  </w:style>
  <w:style w:type="character" w:customStyle="1" w:styleId="docsum-authors">
    <w:name w:val="docsum-authors"/>
    <w:basedOn w:val="DefaultParagraphFont"/>
    <w:rsid w:val="00DC40C5"/>
  </w:style>
  <w:style w:type="character" w:customStyle="1" w:styleId="docsum-journal-citation">
    <w:name w:val="docsum-journal-citation"/>
    <w:basedOn w:val="DefaultParagraphFont"/>
    <w:rsid w:val="00DC40C5"/>
  </w:style>
  <w:style w:type="character" w:customStyle="1" w:styleId="citation-part">
    <w:name w:val="citation-part"/>
    <w:basedOn w:val="DefaultParagraphFont"/>
    <w:rsid w:val="00DC40C5"/>
  </w:style>
  <w:style w:type="character" w:customStyle="1" w:styleId="docsum-pmid">
    <w:name w:val="docsum-pmid"/>
    <w:basedOn w:val="DefaultParagraphFont"/>
    <w:rsid w:val="00DC40C5"/>
  </w:style>
  <w:style w:type="character" w:customStyle="1" w:styleId="free-resources">
    <w:name w:val="free-resources"/>
    <w:basedOn w:val="DefaultParagraphFont"/>
    <w:rsid w:val="00DC40C5"/>
  </w:style>
  <w:style w:type="character" w:customStyle="1" w:styleId="publication-type">
    <w:name w:val="publication-type"/>
    <w:basedOn w:val="DefaultParagraphFont"/>
    <w:rsid w:val="00DC40C5"/>
  </w:style>
  <w:style w:type="character" w:styleId="Emphasis">
    <w:name w:val="Emphasis"/>
    <w:basedOn w:val="DefaultParagraphFont"/>
    <w:uiPriority w:val="20"/>
    <w:qFormat/>
    <w:rsid w:val="00DC40C5"/>
    <w:rPr>
      <w:i/>
      <w:iCs/>
    </w:rPr>
  </w:style>
  <w:style w:type="paragraph" w:styleId="NormalWeb">
    <w:name w:val="Normal (Web)"/>
    <w:basedOn w:val="Normal"/>
    <w:uiPriority w:val="99"/>
    <w:unhideWhenUsed/>
    <w:rsid w:val="00DC40C5"/>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7074</Words>
  <Characters>40323</Characters>
  <Application>Microsoft Office Word</Application>
  <DocSecurity>0</DocSecurity>
  <Lines>336</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Celso Eduardo Olivier</dc:creator>
  <cp:keywords/>
  <dc:description/>
  <cp:lastModifiedBy>SDI 1180</cp:lastModifiedBy>
  <cp:revision>9</cp:revision>
  <dcterms:created xsi:type="dcterms:W3CDTF">2025-07-27T13:22:00Z</dcterms:created>
  <dcterms:modified xsi:type="dcterms:W3CDTF">2025-07-29T07:13:00Z</dcterms:modified>
</cp:coreProperties>
</file>