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E909D" w14:textId="77777777" w:rsidR="00754C9A" w:rsidRDefault="00754C9A" w:rsidP="00441B6F">
      <w:pPr>
        <w:pStyle w:val="Title"/>
        <w:spacing w:after="0"/>
        <w:jc w:val="both"/>
        <w:rPr>
          <w:rFonts w:ascii="Arial" w:hAnsi="Arial" w:cs="Arial"/>
        </w:rPr>
      </w:pPr>
    </w:p>
    <w:p w14:paraId="537EA26A" w14:textId="2AB1803B" w:rsidR="00163BC4" w:rsidRPr="00163BC4" w:rsidRDefault="00874446" w:rsidP="00441B6F">
      <w:pPr>
        <w:pStyle w:val="Author"/>
        <w:spacing w:line="240" w:lineRule="auto"/>
        <w:rPr>
          <w:rFonts w:ascii="Arial" w:hAnsi="Arial" w:cs="Arial"/>
          <w:bCs/>
          <w:iCs/>
          <w:kern w:val="28"/>
          <w:sz w:val="36"/>
        </w:rPr>
      </w:pPr>
      <w:r>
        <w:rPr>
          <w:rFonts w:ascii="Arial" w:hAnsi="Arial" w:cs="Arial"/>
          <w:bCs/>
          <w:iCs/>
          <w:kern w:val="28"/>
          <w:sz w:val="36"/>
        </w:rPr>
        <w:t xml:space="preserve">The Impact of Floating Net Cage Cultivation </w:t>
      </w:r>
      <w:proofErr w:type="gramStart"/>
      <w:r>
        <w:rPr>
          <w:rFonts w:ascii="Arial" w:hAnsi="Arial" w:cs="Arial"/>
          <w:bCs/>
          <w:iCs/>
          <w:kern w:val="28"/>
          <w:sz w:val="36"/>
        </w:rPr>
        <w:t>On</w:t>
      </w:r>
      <w:proofErr w:type="gramEnd"/>
      <w:r>
        <w:rPr>
          <w:rFonts w:ascii="Arial" w:hAnsi="Arial" w:cs="Arial"/>
          <w:bCs/>
          <w:iCs/>
          <w:kern w:val="28"/>
          <w:sz w:val="36"/>
        </w:rPr>
        <w:t xml:space="preserve"> Primary Productivity In The Saguling Reservoir</w:t>
      </w:r>
    </w:p>
    <w:p w14:paraId="3C298C02" w14:textId="77777777" w:rsidR="00A258C3" w:rsidRPr="00790ADA" w:rsidRDefault="00A258C3" w:rsidP="00441B6F">
      <w:pPr>
        <w:pStyle w:val="Author"/>
        <w:spacing w:line="240" w:lineRule="auto"/>
        <w:jc w:val="both"/>
        <w:rPr>
          <w:rFonts w:ascii="Arial" w:hAnsi="Arial" w:cs="Arial"/>
          <w:sz w:val="36"/>
        </w:rPr>
      </w:pPr>
    </w:p>
    <w:p w14:paraId="051871A0" w14:textId="77777777" w:rsidR="00790ADA" w:rsidRDefault="00790ADA" w:rsidP="00441B6F">
      <w:pPr>
        <w:pStyle w:val="Affiliation"/>
        <w:spacing w:after="0" w:line="240" w:lineRule="auto"/>
        <w:jc w:val="both"/>
        <w:rPr>
          <w:rFonts w:ascii="Arial" w:hAnsi="Arial" w:cs="Arial"/>
        </w:rPr>
      </w:pPr>
    </w:p>
    <w:p w14:paraId="15CBC252" w14:textId="77777777" w:rsidR="002C57D2" w:rsidRPr="00FB3A86" w:rsidRDefault="002C57D2" w:rsidP="00441B6F">
      <w:pPr>
        <w:pStyle w:val="Affiliation"/>
        <w:spacing w:after="0" w:line="240" w:lineRule="auto"/>
        <w:jc w:val="both"/>
        <w:rPr>
          <w:rFonts w:ascii="Arial" w:hAnsi="Arial" w:cs="Arial"/>
        </w:rPr>
      </w:pPr>
    </w:p>
    <w:p w14:paraId="44EA8A4C" w14:textId="2602B5B0" w:rsidR="00B01FCD" w:rsidRPr="00FB3A86" w:rsidRDefault="004C0FCE" w:rsidP="00441B6F">
      <w:pPr>
        <w:pStyle w:val="Copyright"/>
        <w:spacing w:after="0" w:line="240" w:lineRule="auto"/>
        <w:jc w:val="both"/>
        <w:rPr>
          <w:rFonts w:ascii="Arial" w:hAnsi="Arial" w:cs="Arial"/>
        </w:rPr>
        <w:sectPr w:rsidR="00B01FCD" w:rsidRPr="00FB3A86" w:rsidSect="006A25C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828DD8A" wp14:editId="6A06E817">
                <wp:extent cx="5303520" cy="635"/>
                <wp:effectExtent l="15240" t="17145" r="15240" b="114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08DA254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74C85C86" w14:textId="4D3D2CF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592757E"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2BD634" w14:textId="77777777" w:rsidTr="001E44FE">
        <w:tc>
          <w:tcPr>
            <w:tcW w:w="9576" w:type="dxa"/>
            <w:shd w:val="clear" w:color="auto" w:fill="F2F2F2"/>
          </w:tcPr>
          <w:p w14:paraId="18C365FA" w14:textId="3D0E8AF7" w:rsidR="00505F06" w:rsidRPr="00391E27" w:rsidRDefault="00442304" w:rsidP="006022C3">
            <w:pPr>
              <w:pStyle w:val="Body"/>
              <w:spacing w:after="0" w:line="276" w:lineRule="auto"/>
              <w:rPr>
                <w:rFonts w:ascii="Arial" w:eastAsia="Calibri" w:hAnsi="Arial" w:cs="Arial"/>
                <w:szCs w:val="22"/>
              </w:rPr>
            </w:pPr>
            <w:bookmarkStart w:id="1" w:name="_Hlk203858516"/>
            <w:r>
              <w:rPr>
                <w:rFonts w:ascii="Arial" w:eastAsia="Calibri" w:hAnsi="Arial" w:cs="Arial"/>
                <w:szCs w:val="22"/>
              </w:rPr>
              <w:t xml:space="preserve">This study aimed to analyze the impact of fish farming using floating net cage (KJA) system on primary productivity in Saguling Reservoir. </w:t>
            </w:r>
            <w:r w:rsidR="00266E31">
              <w:rPr>
                <w:rFonts w:ascii="Arial" w:eastAsia="Calibri" w:hAnsi="Arial" w:cs="Arial"/>
                <w:szCs w:val="22"/>
              </w:rPr>
              <w:t>C</w:t>
            </w:r>
            <w:r>
              <w:rPr>
                <w:rFonts w:ascii="Arial" w:eastAsia="Calibri" w:hAnsi="Arial" w:cs="Arial"/>
                <w:szCs w:val="22"/>
              </w:rPr>
              <w:t xml:space="preserve">onducted </w:t>
            </w:r>
            <w:r w:rsidR="00266E31">
              <w:rPr>
                <w:rFonts w:ascii="Arial" w:eastAsia="Calibri" w:hAnsi="Arial" w:cs="Arial"/>
                <w:szCs w:val="22"/>
              </w:rPr>
              <w:t>between January and February 2025, the research utilized a comparative descriptive design at</w:t>
            </w:r>
            <w:r>
              <w:rPr>
                <w:rFonts w:ascii="Arial" w:eastAsia="Calibri" w:hAnsi="Arial" w:cs="Arial"/>
                <w:szCs w:val="22"/>
              </w:rPr>
              <w:t xml:space="preserve"> Saguling Reservoir, West Bandung Regency and in the Aquatic Resources</w:t>
            </w:r>
            <w:r w:rsidR="000F199A">
              <w:rPr>
                <w:rFonts w:ascii="Arial" w:eastAsia="Calibri" w:hAnsi="Arial" w:cs="Arial"/>
                <w:szCs w:val="22"/>
              </w:rPr>
              <w:t xml:space="preserve"> Laboratory, </w:t>
            </w:r>
            <w:proofErr w:type="spellStart"/>
            <w:r w:rsidR="000F199A">
              <w:rPr>
                <w:rFonts w:ascii="Arial" w:eastAsia="Calibri" w:hAnsi="Arial" w:cs="Arial"/>
                <w:szCs w:val="22"/>
              </w:rPr>
              <w:t>Universitas</w:t>
            </w:r>
            <w:proofErr w:type="spellEnd"/>
            <w:r w:rsidR="000F199A">
              <w:rPr>
                <w:rFonts w:ascii="Arial" w:eastAsia="Calibri" w:hAnsi="Arial" w:cs="Arial"/>
                <w:szCs w:val="22"/>
              </w:rPr>
              <w:t xml:space="preserve"> </w:t>
            </w:r>
            <w:proofErr w:type="spellStart"/>
            <w:r w:rsidR="000F199A">
              <w:rPr>
                <w:rFonts w:ascii="Arial" w:eastAsia="Calibri" w:hAnsi="Arial" w:cs="Arial"/>
                <w:szCs w:val="22"/>
              </w:rPr>
              <w:t>Padjadjaran</w:t>
            </w:r>
            <w:proofErr w:type="spellEnd"/>
            <w:r w:rsidR="000F199A">
              <w:rPr>
                <w:rFonts w:ascii="Arial" w:eastAsia="Calibri" w:hAnsi="Arial" w:cs="Arial"/>
                <w:szCs w:val="22"/>
              </w:rPr>
              <w:t xml:space="preserve">. </w:t>
            </w:r>
            <w:r w:rsidR="00DB4D1F">
              <w:rPr>
                <w:rFonts w:ascii="Arial" w:eastAsia="Calibri" w:hAnsi="Arial" w:cs="Arial"/>
                <w:szCs w:val="22"/>
              </w:rPr>
              <w:t xml:space="preserve">Water sampling was </w:t>
            </w:r>
            <w:r w:rsidR="0032559C">
              <w:rPr>
                <w:rFonts w:ascii="Arial" w:eastAsia="Calibri" w:hAnsi="Arial" w:cs="Arial"/>
                <w:szCs w:val="22"/>
              </w:rPr>
              <w:t>performed</w:t>
            </w:r>
            <w:r w:rsidR="00DB4D1F">
              <w:rPr>
                <w:rFonts w:ascii="Arial" w:eastAsia="Calibri" w:hAnsi="Arial" w:cs="Arial"/>
                <w:szCs w:val="22"/>
              </w:rPr>
              <w:t xml:space="preserve"> at four stations based on</w:t>
            </w:r>
            <w:r w:rsidR="0032559C">
              <w:rPr>
                <w:rFonts w:ascii="Arial" w:eastAsia="Calibri" w:hAnsi="Arial" w:cs="Arial"/>
                <w:szCs w:val="22"/>
              </w:rPr>
              <w:t xml:space="preserve"> </w:t>
            </w:r>
            <w:r w:rsidR="00DB4D1F">
              <w:rPr>
                <w:rFonts w:ascii="Arial" w:eastAsia="Calibri" w:hAnsi="Arial" w:cs="Arial"/>
                <w:szCs w:val="22"/>
              </w:rPr>
              <w:t>varying levels of KJA activity</w:t>
            </w:r>
            <w:r w:rsidR="0032559C">
              <w:rPr>
                <w:rFonts w:ascii="Arial" w:eastAsia="Calibri" w:hAnsi="Arial" w:cs="Arial"/>
                <w:szCs w:val="22"/>
              </w:rPr>
              <w:t xml:space="preserve"> to </w:t>
            </w:r>
            <w:r w:rsidR="00DB4D1F">
              <w:rPr>
                <w:rFonts w:ascii="Arial" w:eastAsia="Calibri" w:hAnsi="Arial" w:cs="Arial"/>
                <w:szCs w:val="22"/>
              </w:rPr>
              <w:t xml:space="preserve">represent areas with and without aquaculture. </w:t>
            </w:r>
            <w:r w:rsidR="0032559C">
              <w:rPr>
                <w:rFonts w:ascii="Arial" w:eastAsia="Calibri" w:hAnsi="Arial" w:cs="Arial"/>
                <w:szCs w:val="22"/>
              </w:rPr>
              <w:t>The p</w:t>
            </w:r>
            <w:r w:rsidR="00DB4D1F">
              <w:rPr>
                <w:rFonts w:ascii="Arial" w:eastAsia="Calibri" w:hAnsi="Arial" w:cs="Arial"/>
                <w:szCs w:val="22"/>
              </w:rPr>
              <w:t xml:space="preserve">arameters measured included physical </w:t>
            </w:r>
            <w:r w:rsidR="00467347">
              <w:rPr>
                <w:rFonts w:ascii="Arial" w:eastAsia="Calibri" w:hAnsi="Arial" w:cs="Arial"/>
                <w:szCs w:val="22"/>
              </w:rPr>
              <w:t xml:space="preserve">(temperature, transparency), chemical (pH, </w:t>
            </w:r>
            <w:r w:rsidR="0032559C">
              <w:rPr>
                <w:rFonts w:ascii="Arial" w:eastAsia="Calibri" w:hAnsi="Arial" w:cs="Arial"/>
                <w:szCs w:val="22"/>
              </w:rPr>
              <w:t>dissolved oxygen (</w:t>
            </w:r>
            <w:r w:rsidR="00467347">
              <w:rPr>
                <w:rFonts w:ascii="Arial" w:eastAsia="Calibri" w:hAnsi="Arial" w:cs="Arial"/>
                <w:szCs w:val="22"/>
              </w:rPr>
              <w:t>DO</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biochemical oxygen demand</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BOD</w:t>
            </w:r>
            <w:r w:rsidR="0032559C">
              <w:rPr>
                <w:rFonts w:ascii="Arial" w:eastAsia="Calibri" w:hAnsi="Arial" w:cs="Arial"/>
                <w:szCs w:val="22"/>
              </w:rPr>
              <w:t>)</w:t>
            </w:r>
            <w:r w:rsidR="00467347">
              <w:rPr>
                <w:rFonts w:ascii="Arial" w:eastAsia="Calibri" w:hAnsi="Arial" w:cs="Arial"/>
                <w:szCs w:val="22"/>
              </w:rPr>
              <w:t>,</w:t>
            </w:r>
            <w:r w:rsidR="0032559C">
              <w:rPr>
                <w:rFonts w:ascii="Arial" w:eastAsia="Calibri" w:hAnsi="Arial" w:cs="Arial"/>
                <w:szCs w:val="22"/>
              </w:rPr>
              <w:t xml:space="preserve"> carbon dioxide</w:t>
            </w:r>
            <w:r w:rsidR="00467347">
              <w:rPr>
                <w:rFonts w:ascii="Arial" w:eastAsia="Calibri" w:hAnsi="Arial" w:cs="Arial"/>
                <w:szCs w:val="22"/>
              </w:rPr>
              <w:t xml:space="preserve"> </w:t>
            </w:r>
            <w:r w:rsidR="0032559C">
              <w:rPr>
                <w:rFonts w:ascii="Arial" w:eastAsia="Calibri" w:hAnsi="Arial" w:cs="Arial"/>
                <w:szCs w:val="22"/>
              </w:rPr>
              <w:t>(</w:t>
            </w:r>
            <w:r w:rsidR="00467347">
              <w:rPr>
                <w:rFonts w:ascii="Arial" w:eastAsia="Calibri" w:hAnsi="Arial" w:cs="Arial"/>
                <w:szCs w:val="22"/>
              </w:rPr>
              <w:t>CO</w:t>
            </w:r>
            <w:r w:rsidR="00467347">
              <w:rPr>
                <w:rFonts w:ascii="Arial" w:eastAsia="Calibri" w:hAnsi="Arial" w:cs="Arial"/>
                <w:szCs w:val="22"/>
                <w:vertAlign w:val="subscript"/>
              </w:rPr>
              <w:t>2</w:t>
            </w:r>
            <w:r w:rsidR="0032559C">
              <w:rPr>
                <w:rFonts w:ascii="Arial" w:eastAsia="Calibri" w:hAnsi="Arial" w:cs="Arial"/>
                <w:szCs w:val="22"/>
              </w:rPr>
              <w:t>),</w:t>
            </w:r>
            <w:r w:rsidR="00467347">
              <w:rPr>
                <w:rFonts w:ascii="Arial" w:eastAsia="Calibri" w:hAnsi="Arial" w:cs="Arial"/>
                <w:szCs w:val="22"/>
              </w:rPr>
              <w:t xml:space="preserve"> nitrate, ammonia, phosphate), </w:t>
            </w:r>
            <w:r w:rsidR="0032559C">
              <w:rPr>
                <w:rFonts w:ascii="Arial" w:eastAsia="Calibri" w:hAnsi="Arial" w:cs="Arial"/>
                <w:szCs w:val="22"/>
              </w:rPr>
              <w:t xml:space="preserve">as well as </w:t>
            </w:r>
            <w:r w:rsidR="00467347">
              <w:rPr>
                <w:rFonts w:ascii="Arial" w:eastAsia="Calibri" w:hAnsi="Arial" w:cs="Arial"/>
                <w:szCs w:val="22"/>
              </w:rPr>
              <w:t xml:space="preserve">biological factors. Primary productivity was </w:t>
            </w:r>
            <w:r w:rsidR="0032559C">
              <w:rPr>
                <w:rFonts w:ascii="Arial" w:eastAsia="Calibri" w:hAnsi="Arial" w:cs="Arial"/>
                <w:szCs w:val="22"/>
              </w:rPr>
              <w:t>assessed</w:t>
            </w:r>
            <w:r w:rsidR="00467347">
              <w:rPr>
                <w:rFonts w:ascii="Arial" w:eastAsia="Calibri" w:hAnsi="Arial" w:cs="Arial"/>
                <w:szCs w:val="22"/>
              </w:rPr>
              <w:t xml:space="preserve"> using the light and dark bottle oxygen method</w:t>
            </w:r>
            <w:r w:rsidR="0032559C">
              <w:rPr>
                <w:rFonts w:ascii="Arial" w:eastAsia="Calibri" w:hAnsi="Arial" w:cs="Arial"/>
                <w:szCs w:val="22"/>
              </w:rPr>
              <w:t xml:space="preserve"> with s</w:t>
            </w:r>
            <w:r w:rsidR="00467347">
              <w:rPr>
                <w:rFonts w:ascii="Arial" w:eastAsia="Calibri" w:hAnsi="Arial" w:cs="Arial"/>
                <w:szCs w:val="22"/>
              </w:rPr>
              <w:t xml:space="preserve">ampling conducted four times with weekly intervals. The </w:t>
            </w:r>
            <w:r w:rsidR="0032559C">
              <w:rPr>
                <w:rFonts w:ascii="Arial" w:eastAsia="Calibri" w:hAnsi="Arial" w:cs="Arial"/>
                <w:szCs w:val="22"/>
              </w:rPr>
              <w:t xml:space="preserve">results revealed that the </w:t>
            </w:r>
            <w:r w:rsidR="00467347">
              <w:rPr>
                <w:rFonts w:ascii="Arial" w:eastAsia="Calibri" w:hAnsi="Arial" w:cs="Arial"/>
                <w:szCs w:val="22"/>
              </w:rPr>
              <w:t xml:space="preserve">highest primary productivity value </w:t>
            </w:r>
            <w:r w:rsidR="00E2060F">
              <w:rPr>
                <w:rFonts w:ascii="Arial" w:eastAsia="Calibri" w:hAnsi="Arial" w:cs="Arial"/>
                <w:szCs w:val="22"/>
              </w:rPr>
              <w:t xml:space="preserve">is </w:t>
            </w:r>
            <w:r w:rsidR="00391E27">
              <w:rPr>
                <w:rFonts w:ascii="Arial" w:eastAsia="Calibri" w:hAnsi="Arial" w:cs="Arial"/>
                <w:szCs w:val="22"/>
              </w:rPr>
              <w:t xml:space="preserve">746,028 </w:t>
            </w:r>
            <w:proofErr w:type="spellStart"/>
            <w:r w:rsidR="00391E27">
              <w:rPr>
                <w:rFonts w:ascii="Arial" w:eastAsia="Calibri" w:hAnsi="Arial" w:cs="Arial"/>
                <w:szCs w:val="22"/>
              </w:rPr>
              <w:t>mgC</w:t>
            </w:r>
            <w:proofErr w:type="spellEnd"/>
            <w:r w:rsidR="00391E27">
              <w:rPr>
                <w:rFonts w:ascii="Arial" w:eastAsia="Calibri" w:hAnsi="Arial" w:cs="Arial"/>
                <w:szCs w:val="22"/>
              </w:rPr>
              <w:t>/m</w:t>
            </w:r>
            <w:r w:rsidR="00391E27">
              <w:rPr>
                <w:rFonts w:ascii="Arial" w:eastAsia="Calibri" w:hAnsi="Arial" w:cs="Arial"/>
                <w:szCs w:val="22"/>
                <w:vertAlign w:val="superscript"/>
              </w:rPr>
              <w:t>3</w:t>
            </w:r>
            <w:r w:rsidR="00391E27">
              <w:rPr>
                <w:rFonts w:ascii="Arial" w:eastAsia="Calibri" w:hAnsi="Arial" w:cs="Arial"/>
                <w:szCs w:val="22"/>
              </w:rPr>
              <w:t>/day</w:t>
            </w:r>
            <w:r w:rsidR="00E2060F">
              <w:rPr>
                <w:rFonts w:ascii="Arial" w:eastAsia="Calibri" w:hAnsi="Arial" w:cs="Arial"/>
                <w:szCs w:val="22"/>
              </w:rPr>
              <w:t>, was recorded at station 2, w</w:t>
            </w:r>
            <w:r w:rsidR="00E14F14">
              <w:rPr>
                <w:rFonts w:ascii="Arial" w:eastAsia="Calibri" w:hAnsi="Arial" w:cs="Arial"/>
                <w:szCs w:val="22"/>
              </w:rPr>
              <w:t>h</w:t>
            </w:r>
            <w:r w:rsidR="00E2060F">
              <w:rPr>
                <w:rFonts w:ascii="Arial" w:eastAsia="Calibri" w:hAnsi="Arial" w:cs="Arial"/>
                <w:szCs w:val="22"/>
              </w:rPr>
              <w:t xml:space="preserve">ich is situated </w:t>
            </w:r>
            <w:r w:rsidR="00391E27">
              <w:rPr>
                <w:rFonts w:ascii="Arial" w:eastAsia="Calibri" w:hAnsi="Arial" w:cs="Arial"/>
                <w:szCs w:val="22"/>
              </w:rPr>
              <w:t xml:space="preserve">in an area with </w:t>
            </w:r>
            <w:r w:rsidR="00E2060F">
              <w:rPr>
                <w:rFonts w:ascii="Arial" w:eastAsia="Calibri" w:hAnsi="Arial" w:cs="Arial"/>
                <w:szCs w:val="22"/>
              </w:rPr>
              <w:t xml:space="preserve">a </w:t>
            </w:r>
            <w:r w:rsidR="00391E27">
              <w:rPr>
                <w:rFonts w:ascii="Arial" w:eastAsia="Calibri" w:hAnsi="Arial" w:cs="Arial"/>
                <w:szCs w:val="22"/>
              </w:rPr>
              <w:t xml:space="preserve">high </w:t>
            </w:r>
            <w:r w:rsidR="00E2060F">
              <w:rPr>
                <w:rFonts w:ascii="Arial" w:eastAsia="Calibri" w:hAnsi="Arial" w:cs="Arial"/>
                <w:szCs w:val="22"/>
              </w:rPr>
              <w:t xml:space="preserve">density of </w:t>
            </w:r>
            <w:r w:rsidR="00391E27">
              <w:rPr>
                <w:rFonts w:ascii="Arial" w:eastAsia="Calibri" w:hAnsi="Arial" w:cs="Arial"/>
                <w:szCs w:val="22"/>
              </w:rPr>
              <w:t>KJA (1.203 units), while the lowest value was observed at station 1, 225,216</w:t>
            </w:r>
            <w:r w:rsidR="000C3BCA">
              <w:rPr>
                <w:rFonts w:ascii="Arial" w:eastAsia="Calibri" w:hAnsi="Arial" w:cs="Arial"/>
                <w:szCs w:val="22"/>
              </w:rPr>
              <w:t xml:space="preserve"> </w:t>
            </w:r>
            <w:proofErr w:type="spellStart"/>
            <w:r w:rsidR="000C3BCA">
              <w:rPr>
                <w:rFonts w:ascii="Arial" w:eastAsia="Calibri" w:hAnsi="Arial" w:cs="Arial"/>
                <w:szCs w:val="22"/>
              </w:rPr>
              <w:t>mgC</w:t>
            </w:r>
            <w:proofErr w:type="spellEnd"/>
            <w:r w:rsidR="000C3BCA">
              <w:rPr>
                <w:rFonts w:ascii="Arial" w:eastAsia="Calibri" w:hAnsi="Arial" w:cs="Arial"/>
                <w:szCs w:val="22"/>
              </w:rPr>
              <w:t>/m</w:t>
            </w:r>
            <w:r w:rsidR="000C3BCA">
              <w:rPr>
                <w:rFonts w:ascii="Arial" w:eastAsia="Calibri" w:hAnsi="Arial" w:cs="Arial"/>
                <w:szCs w:val="22"/>
                <w:vertAlign w:val="superscript"/>
              </w:rPr>
              <w:t>3</w:t>
            </w:r>
            <w:r w:rsidR="000C3BCA">
              <w:rPr>
                <w:rFonts w:ascii="Arial" w:eastAsia="Calibri" w:hAnsi="Arial" w:cs="Arial"/>
                <w:szCs w:val="22"/>
              </w:rPr>
              <w:t xml:space="preserve">/day located in the reservoir inlet without KJA. </w:t>
            </w:r>
            <w:r w:rsidR="00E2060F">
              <w:rPr>
                <w:rFonts w:ascii="Arial" w:eastAsia="Calibri" w:hAnsi="Arial" w:cs="Arial"/>
                <w:szCs w:val="22"/>
              </w:rPr>
              <w:t>The r</w:t>
            </w:r>
            <w:r w:rsidR="000C3BCA">
              <w:rPr>
                <w:rFonts w:ascii="Arial" w:eastAsia="Calibri" w:hAnsi="Arial" w:cs="Arial"/>
                <w:szCs w:val="22"/>
              </w:rPr>
              <w:t>esults indicate that KJA activities contribute significantly to increased nutrient levels (N and P), promoting phytoplankton growth and photosynthesis, thereby increasing primary productivity. The presence and intensity of KJA aquaculture significantly affect the trophic status and primary productivity in Saguling Reservoir. Management strategies should be implemented to monitor and control the density of floating net cages to preserve the reservoir’s ecological balance</w:t>
            </w:r>
            <w:r w:rsidR="00E14F14">
              <w:rPr>
                <w:rFonts w:ascii="Arial" w:eastAsia="Calibri" w:hAnsi="Arial" w:cs="Arial"/>
                <w:szCs w:val="22"/>
              </w:rPr>
              <w:t>.</w:t>
            </w:r>
            <w:bookmarkEnd w:id="1"/>
          </w:p>
        </w:tc>
      </w:tr>
    </w:tbl>
    <w:p w14:paraId="7BC54D12" w14:textId="77777777" w:rsidR="00636EB2" w:rsidRDefault="00636EB2" w:rsidP="00441B6F">
      <w:pPr>
        <w:pStyle w:val="Body"/>
        <w:spacing w:after="0"/>
        <w:rPr>
          <w:rFonts w:ascii="Arial" w:hAnsi="Arial" w:cs="Arial"/>
          <w:i/>
        </w:rPr>
      </w:pPr>
    </w:p>
    <w:p w14:paraId="5B2AB6FB" w14:textId="2041D926" w:rsidR="00A24E7E" w:rsidRDefault="00A24E7E" w:rsidP="00441B6F">
      <w:pPr>
        <w:pStyle w:val="Body"/>
        <w:spacing w:after="0"/>
        <w:rPr>
          <w:rFonts w:ascii="Arial" w:hAnsi="Arial" w:cs="Arial"/>
          <w:i/>
        </w:rPr>
      </w:pPr>
      <w:r>
        <w:rPr>
          <w:rFonts w:ascii="Arial" w:hAnsi="Arial" w:cs="Arial"/>
          <w:i/>
        </w:rPr>
        <w:t xml:space="preserve">Keywords: </w:t>
      </w:r>
      <w:r w:rsidR="00E2060F">
        <w:rPr>
          <w:rFonts w:ascii="Arial" w:hAnsi="Arial" w:cs="Arial"/>
          <w:i/>
        </w:rPr>
        <w:t xml:space="preserve">Floating net cage, primary productivity, water quality, </w:t>
      </w:r>
      <w:r w:rsidR="00B305CD">
        <w:rPr>
          <w:rFonts w:ascii="Arial" w:hAnsi="Arial" w:cs="Arial"/>
          <w:i/>
        </w:rPr>
        <w:t>nitrate</w:t>
      </w:r>
      <w:r w:rsidR="00E2060F">
        <w:rPr>
          <w:rFonts w:ascii="Arial" w:hAnsi="Arial" w:cs="Arial"/>
          <w:i/>
        </w:rPr>
        <w:t>,</w:t>
      </w:r>
      <w:r w:rsidR="00B305CD">
        <w:rPr>
          <w:rFonts w:ascii="Arial" w:hAnsi="Arial" w:cs="Arial"/>
          <w:i/>
        </w:rPr>
        <w:t xml:space="preserve"> phosphate,</w:t>
      </w:r>
      <w:r w:rsidR="00E2060F">
        <w:rPr>
          <w:rFonts w:ascii="Arial" w:hAnsi="Arial" w:cs="Arial"/>
          <w:i/>
        </w:rPr>
        <w:t xml:space="preserve"> eutrophication</w:t>
      </w:r>
    </w:p>
    <w:p w14:paraId="46CD07E0" w14:textId="77777777" w:rsidR="00505F06" w:rsidRPr="00A24E7E" w:rsidRDefault="00505F06" w:rsidP="00441B6F">
      <w:pPr>
        <w:pStyle w:val="Body"/>
        <w:spacing w:after="0"/>
        <w:rPr>
          <w:rFonts w:ascii="Arial" w:hAnsi="Arial" w:cs="Arial"/>
          <w:i/>
        </w:rPr>
      </w:pPr>
    </w:p>
    <w:p w14:paraId="42B3F89D" w14:textId="30465194" w:rsidR="007F7B32" w:rsidRDefault="00902823" w:rsidP="006022C3">
      <w:pPr>
        <w:pStyle w:val="AbstHead"/>
        <w:spacing w:after="0" w:line="276"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CC5AD7D" w14:textId="22EFA021" w:rsidR="00940BAA" w:rsidRDefault="00940BAA" w:rsidP="006022C3">
      <w:pPr>
        <w:pStyle w:val="Body"/>
        <w:spacing w:after="0" w:line="276" w:lineRule="auto"/>
        <w:ind w:firstLine="720"/>
        <w:rPr>
          <w:rFonts w:ascii="Arial" w:hAnsi="Arial" w:cs="Arial"/>
        </w:rPr>
      </w:pPr>
      <w:r>
        <w:rPr>
          <w:rFonts w:ascii="Arial" w:hAnsi="Arial" w:cs="Arial"/>
        </w:rPr>
        <w:t>Saguling Reservoir</w:t>
      </w:r>
      <w:r w:rsidR="003860DC">
        <w:rPr>
          <w:rFonts w:ascii="Arial" w:hAnsi="Arial" w:cs="Arial"/>
        </w:rPr>
        <w:t xml:space="preserve"> has an area of 5.600 ha (</w:t>
      </w:r>
      <w:proofErr w:type="spellStart"/>
      <w:r w:rsidR="003860DC">
        <w:rPr>
          <w:rFonts w:ascii="Arial" w:hAnsi="Arial" w:cs="Arial"/>
        </w:rPr>
        <w:t>Astuti</w:t>
      </w:r>
      <w:proofErr w:type="spellEnd"/>
      <w:r w:rsidR="003860DC">
        <w:rPr>
          <w:rFonts w:ascii="Arial" w:hAnsi="Arial" w:cs="Arial"/>
        </w:rPr>
        <w:t xml:space="preserve"> &amp; </w:t>
      </w:r>
      <w:proofErr w:type="spellStart"/>
      <w:r w:rsidR="003860DC">
        <w:rPr>
          <w:rFonts w:ascii="Arial" w:hAnsi="Arial" w:cs="Arial"/>
        </w:rPr>
        <w:t>Krismono</w:t>
      </w:r>
      <w:proofErr w:type="spellEnd"/>
      <w:r w:rsidR="003860DC">
        <w:rPr>
          <w:rFonts w:ascii="Arial" w:hAnsi="Arial" w:cs="Arial"/>
        </w:rPr>
        <w:t xml:space="preserve">, 2006), </w:t>
      </w:r>
      <w:r>
        <w:rPr>
          <w:rFonts w:ascii="Arial" w:hAnsi="Arial" w:cs="Arial"/>
        </w:rPr>
        <w:t>located in West Bandung Regency, Indonesia. Built primarily for hydroelectric power generation, the reservoir has expanded its role to support multiple purposes such as irrigation, flood control, domestic water supply, tourism and aquaculture. Among these, aquaculture using floating net cage (KJA) system has seen rapid growth due to its practicality and capacity to yield high fish production in relatively limited space</w:t>
      </w:r>
      <w:r w:rsidR="00062039">
        <w:rPr>
          <w:rFonts w:ascii="Arial" w:hAnsi="Arial" w:cs="Arial"/>
        </w:rPr>
        <w:t>.</w:t>
      </w:r>
    </w:p>
    <w:p w14:paraId="5DDEDFD6" w14:textId="07BACB4B" w:rsidR="003860DC" w:rsidRDefault="003860DC" w:rsidP="006022C3">
      <w:pPr>
        <w:pStyle w:val="Body"/>
        <w:spacing w:after="0" w:line="276" w:lineRule="auto"/>
        <w:ind w:firstLine="720"/>
        <w:rPr>
          <w:rFonts w:ascii="Arial" w:hAnsi="Arial" w:cs="Arial"/>
        </w:rPr>
      </w:pPr>
      <w:r>
        <w:rPr>
          <w:rFonts w:ascii="Arial" w:hAnsi="Arial" w:cs="Arial"/>
        </w:rPr>
        <w:t>However, the rapid increase in KJA installations has ra</w:t>
      </w:r>
      <w:r w:rsidR="005F315A">
        <w:rPr>
          <w:rFonts w:ascii="Arial" w:hAnsi="Arial" w:cs="Arial"/>
        </w:rPr>
        <w:t>ised significant environmental concerns. The operation of KJA systems involves a continuous input of feed, not all of which is consumed by the fish. This residual feed, along with fecal matter and fish excretions, contributes to the accumulation of organic materials in the water. Over time, the microbial decomposition of this organic matter releases nutrients primarily nitrogen (N) and phosphorus (P)</w:t>
      </w:r>
      <w:r w:rsidR="003855CA">
        <w:rPr>
          <w:rFonts w:ascii="Arial" w:hAnsi="Arial" w:cs="Arial"/>
        </w:rPr>
        <w:t xml:space="preserve"> into the water column (</w:t>
      </w:r>
      <w:proofErr w:type="spellStart"/>
      <w:r w:rsidR="003855CA">
        <w:rPr>
          <w:rFonts w:ascii="Arial" w:hAnsi="Arial" w:cs="Arial"/>
        </w:rPr>
        <w:t>Heriyanto</w:t>
      </w:r>
      <w:proofErr w:type="spellEnd"/>
      <w:r w:rsidR="003855CA">
        <w:rPr>
          <w:rFonts w:ascii="Arial" w:hAnsi="Arial" w:cs="Arial"/>
        </w:rPr>
        <w:t xml:space="preserve"> </w:t>
      </w:r>
      <w:r w:rsidR="003855CA">
        <w:rPr>
          <w:rFonts w:ascii="Arial" w:hAnsi="Arial" w:cs="Arial"/>
          <w:i/>
          <w:iCs/>
        </w:rPr>
        <w:t xml:space="preserve">et al. </w:t>
      </w:r>
      <w:r w:rsidR="003855CA">
        <w:rPr>
          <w:rFonts w:ascii="Arial" w:hAnsi="Arial" w:cs="Arial"/>
        </w:rPr>
        <w:t>2018). While these nutrients are essential for supporting phytoplankton growth, their excessive presence can lead to eutrophication, resulting in algal blooms, oxygen depletion and a decline in overall water quality (</w:t>
      </w:r>
      <w:proofErr w:type="spellStart"/>
      <w:r w:rsidR="003855CA">
        <w:rPr>
          <w:rFonts w:ascii="Arial" w:hAnsi="Arial" w:cs="Arial"/>
        </w:rPr>
        <w:t>Agista</w:t>
      </w:r>
      <w:proofErr w:type="spellEnd"/>
      <w:r w:rsidR="003855CA">
        <w:rPr>
          <w:rFonts w:ascii="Arial" w:hAnsi="Arial" w:cs="Arial"/>
        </w:rPr>
        <w:t xml:space="preserve"> </w:t>
      </w:r>
      <w:r w:rsidR="003855CA">
        <w:rPr>
          <w:rFonts w:ascii="Arial" w:hAnsi="Arial" w:cs="Arial"/>
          <w:i/>
          <w:iCs/>
        </w:rPr>
        <w:t>et al</w:t>
      </w:r>
      <w:r w:rsidR="003855CA">
        <w:rPr>
          <w:rFonts w:ascii="Arial" w:hAnsi="Arial" w:cs="Arial"/>
        </w:rPr>
        <w:t>. 2018)</w:t>
      </w:r>
    </w:p>
    <w:p w14:paraId="23F1A6EE" w14:textId="445E6F3F" w:rsidR="00790ADA" w:rsidRDefault="003855CA" w:rsidP="006022C3">
      <w:pPr>
        <w:pStyle w:val="Body"/>
        <w:spacing w:after="0" w:line="276" w:lineRule="auto"/>
        <w:ind w:firstLine="720"/>
        <w:rPr>
          <w:rFonts w:ascii="Arial" w:hAnsi="Arial" w:cs="Arial"/>
        </w:rPr>
      </w:pPr>
      <w:r>
        <w:rPr>
          <w:rFonts w:ascii="Arial" w:hAnsi="Arial" w:cs="Arial"/>
        </w:rPr>
        <w:t>Phytoplankton play a crucial role in aquatic ecosystems as primary producers, converting solar energy into chemical energy through photosynthesis. The rate of this photosynthetic process, known as primary productivity, serves as</w:t>
      </w:r>
      <w:r w:rsidR="00C84FE1">
        <w:rPr>
          <w:rFonts w:ascii="Arial" w:hAnsi="Arial" w:cs="Arial"/>
        </w:rPr>
        <w:t xml:space="preserve"> an indicator of the overall health and nutrient dynamic of the aquatic environment. Monitoring primary productivity offers </w:t>
      </w:r>
      <w:r w:rsidR="00C84FE1">
        <w:rPr>
          <w:rFonts w:ascii="Arial" w:hAnsi="Arial" w:cs="Arial"/>
        </w:rPr>
        <w:lastRenderedPageBreak/>
        <w:t xml:space="preserve">valuable insights into trophic status and can act as an early warning system for anthropogenic stressors, such as overloading effects of aquaculture </w:t>
      </w:r>
    </w:p>
    <w:p w14:paraId="75DE9628" w14:textId="468B1F92" w:rsidR="001301F7" w:rsidRDefault="001301F7" w:rsidP="006022C3">
      <w:pPr>
        <w:pStyle w:val="Body"/>
        <w:spacing w:after="0" w:line="276" w:lineRule="auto"/>
        <w:ind w:firstLine="720"/>
        <w:rPr>
          <w:rFonts w:ascii="Arial" w:hAnsi="Arial" w:cs="Arial"/>
        </w:rPr>
      </w:pPr>
      <w:r>
        <w:rPr>
          <w:rFonts w:ascii="Arial" w:hAnsi="Arial" w:cs="Arial"/>
        </w:rPr>
        <w:t xml:space="preserve">In recent years, Saguling Reservoir has shown signs of increasing nutrient loads and shifts in trophic status (Mulyadi &amp; Atmaja, 2011). Phenomena that are suspected to be linked to the high density of KJA in certain areas of the reservoir. Therefore, this study aims to investigate the influence of KJA aquaculture on primary productivity and water </w:t>
      </w:r>
      <w:r w:rsidR="005B5C71">
        <w:rPr>
          <w:rFonts w:ascii="Arial" w:hAnsi="Arial" w:cs="Arial"/>
        </w:rPr>
        <w:t>quality by comparing regions with varying levels of aquaculture intensity. The findings are anticipated to contribute to the development of sustainable aquaculture practices and inform ecological management strategies for long term preservation of Saguling Reservoir.</w:t>
      </w:r>
    </w:p>
    <w:p w14:paraId="14D1A523" w14:textId="77777777" w:rsidR="001301F7" w:rsidRPr="00FB3A86" w:rsidRDefault="001301F7" w:rsidP="006022C3">
      <w:pPr>
        <w:pStyle w:val="Body"/>
        <w:spacing w:after="0" w:line="276" w:lineRule="auto"/>
        <w:ind w:firstLine="720"/>
        <w:rPr>
          <w:rFonts w:ascii="Arial" w:hAnsi="Arial" w:cs="Arial"/>
        </w:rPr>
      </w:pPr>
    </w:p>
    <w:p w14:paraId="3D3B3D24" w14:textId="11083D6E" w:rsidR="00790ADA" w:rsidRPr="00FB3A86" w:rsidRDefault="00902823" w:rsidP="006022C3">
      <w:pPr>
        <w:pStyle w:val="AbstHead"/>
        <w:spacing w:after="0" w:line="276" w:lineRule="auto"/>
        <w:jc w:val="both"/>
        <w:rPr>
          <w:rFonts w:ascii="Arial" w:hAnsi="Arial" w:cs="Arial"/>
        </w:rPr>
      </w:pPr>
      <w:r>
        <w:rPr>
          <w:rFonts w:ascii="Arial" w:hAnsi="Arial" w:cs="Arial"/>
        </w:rPr>
        <w:t xml:space="preserve">2. </w:t>
      </w:r>
      <w:r w:rsidR="0050714F">
        <w:rPr>
          <w:rFonts w:ascii="Arial" w:hAnsi="Arial" w:cs="Arial"/>
        </w:rPr>
        <w:t>Research methods</w:t>
      </w:r>
    </w:p>
    <w:p w14:paraId="24A569A4" w14:textId="6FADA44A" w:rsidR="00AA74E0" w:rsidRDefault="00AA74E0" w:rsidP="006022C3">
      <w:pPr>
        <w:pStyle w:val="Body"/>
        <w:spacing w:after="0" w:line="276" w:lineRule="auto"/>
        <w:rPr>
          <w:rFonts w:ascii="Arial" w:hAnsi="Arial" w:cs="Arial"/>
          <w:b/>
          <w:sz w:val="22"/>
        </w:rPr>
      </w:pPr>
      <w:r w:rsidRPr="00C30A0F">
        <w:rPr>
          <w:rFonts w:ascii="Arial" w:hAnsi="Arial" w:cs="Arial"/>
          <w:b/>
          <w:caps/>
          <w:sz w:val="22"/>
        </w:rPr>
        <w:t xml:space="preserve">2.1 </w:t>
      </w:r>
      <w:r w:rsidR="001908C3">
        <w:rPr>
          <w:rFonts w:ascii="Arial" w:hAnsi="Arial" w:cs="Arial"/>
          <w:b/>
          <w:sz w:val="22"/>
        </w:rPr>
        <w:t>Time and Place of Research</w:t>
      </w:r>
    </w:p>
    <w:p w14:paraId="27D90889" w14:textId="30B44D7B" w:rsidR="00953A3A" w:rsidRDefault="000F5346" w:rsidP="006022C3">
      <w:pPr>
        <w:pStyle w:val="Body"/>
        <w:spacing w:line="276" w:lineRule="auto"/>
        <w:rPr>
          <w:rFonts w:ascii="Arial" w:hAnsi="Arial" w:cs="Arial"/>
        </w:rPr>
      </w:pPr>
      <w:r>
        <w:rPr>
          <w:rFonts w:ascii="Arial" w:hAnsi="Arial" w:cs="Arial"/>
        </w:rPr>
        <w:tab/>
        <w:t>Sampling was conducted</w:t>
      </w:r>
      <w:r w:rsidR="0004221A">
        <w:rPr>
          <w:rFonts w:ascii="Arial" w:hAnsi="Arial" w:cs="Arial"/>
        </w:rPr>
        <w:t xml:space="preserve"> in Saguling Reservoir, West Bandung Regency, West Java, Indonesia. The field sampling was carried out over a period of four weeks from January to February 2025, during which weekly</w:t>
      </w:r>
      <w:r>
        <w:rPr>
          <w:rFonts w:ascii="Arial" w:hAnsi="Arial" w:cs="Arial"/>
        </w:rPr>
        <w:t xml:space="preserve"> </w:t>
      </w:r>
      <w:r w:rsidR="0004221A">
        <w:rPr>
          <w:rFonts w:ascii="Arial" w:hAnsi="Arial" w:cs="Arial"/>
        </w:rPr>
        <w:t xml:space="preserve">sampling was performed. Laboratory analyses were conducted at the Aquatic Resources Laboratory, Faculty of Fisheries and Marine Sciences, </w:t>
      </w:r>
      <w:proofErr w:type="spellStart"/>
      <w:r w:rsidR="0004221A">
        <w:rPr>
          <w:rFonts w:ascii="Arial" w:hAnsi="Arial" w:cs="Arial"/>
        </w:rPr>
        <w:t>Universitas</w:t>
      </w:r>
      <w:proofErr w:type="spellEnd"/>
      <w:r w:rsidR="0004221A">
        <w:rPr>
          <w:rFonts w:ascii="Arial" w:hAnsi="Arial" w:cs="Arial"/>
        </w:rPr>
        <w:t xml:space="preserve"> </w:t>
      </w:r>
      <w:proofErr w:type="spellStart"/>
      <w:r w:rsidR="0004221A">
        <w:rPr>
          <w:rFonts w:ascii="Arial" w:hAnsi="Arial" w:cs="Arial"/>
        </w:rPr>
        <w:t>Padjadjaran</w:t>
      </w:r>
      <w:proofErr w:type="spellEnd"/>
      <w:r w:rsidR="0004221A">
        <w:rPr>
          <w:rFonts w:ascii="Arial" w:hAnsi="Arial" w:cs="Arial"/>
        </w:rPr>
        <w:t>.</w:t>
      </w:r>
    </w:p>
    <w:p w14:paraId="608CC737" w14:textId="576F52DF" w:rsidR="00953A3A" w:rsidRDefault="00953A3A"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Sampling Stations and Depth</w:t>
      </w:r>
    </w:p>
    <w:p w14:paraId="35E2702A" w14:textId="2AB5E780" w:rsidR="00953A3A" w:rsidRDefault="00953A3A" w:rsidP="006022C3">
      <w:pPr>
        <w:pStyle w:val="Body"/>
        <w:spacing w:after="0" w:line="276" w:lineRule="auto"/>
        <w:rPr>
          <w:rFonts w:ascii="Arial" w:hAnsi="Arial" w:cs="Arial"/>
        </w:rPr>
      </w:pPr>
      <w:r>
        <w:rPr>
          <w:rFonts w:ascii="Arial" w:hAnsi="Arial" w:cs="Arial"/>
        </w:rPr>
        <w:tab/>
        <w:t>The study was conducted at four sampling stations strategically selected to represent zones with varying levels of floating net cage (KJA) activity in Saguling Reservoir</w:t>
      </w:r>
      <w:r w:rsidR="000870F3">
        <w:rPr>
          <w:rFonts w:ascii="Arial" w:hAnsi="Arial" w:cs="Arial"/>
        </w:rPr>
        <w:t xml:space="preserve"> (Figure 1)</w:t>
      </w:r>
      <w:r w:rsidR="00FF7727">
        <w:rPr>
          <w:rFonts w:ascii="Arial" w:hAnsi="Arial" w:cs="Arial"/>
        </w:rPr>
        <w:t>. The selection of the stations is:</w:t>
      </w:r>
    </w:p>
    <w:p w14:paraId="24738273" w14:textId="47197920" w:rsidR="00FF7727" w:rsidRDefault="00FF7727" w:rsidP="006022C3">
      <w:pPr>
        <w:pStyle w:val="Body"/>
        <w:numPr>
          <w:ilvl w:val="0"/>
          <w:numId w:val="31"/>
        </w:numPr>
        <w:spacing w:after="0" w:line="276" w:lineRule="auto"/>
        <w:rPr>
          <w:rFonts w:ascii="Arial" w:hAnsi="Arial" w:cs="Arial"/>
        </w:rPr>
      </w:pPr>
      <w:r>
        <w:rPr>
          <w:rFonts w:ascii="Arial" w:hAnsi="Arial" w:cs="Arial"/>
        </w:rPr>
        <w:t>Station 1 was located at the reservoir’s inlet and characterized by the absence of aquaculture activities</w:t>
      </w:r>
      <w:r w:rsidR="00900BFB">
        <w:rPr>
          <w:rFonts w:ascii="Arial" w:hAnsi="Arial" w:cs="Arial"/>
        </w:rPr>
        <w:t>.</w:t>
      </w:r>
    </w:p>
    <w:p w14:paraId="1506E434" w14:textId="17D7C917" w:rsidR="00FF7727" w:rsidRDefault="00FF7727" w:rsidP="006022C3">
      <w:pPr>
        <w:pStyle w:val="Body"/>
        <w:numPr>
          <w:ilvl w:val="0"/>
          <w:numId w:val="31"/>
        </w:numPr>
        <w:spacing w:after="0" w:line="276" w:lineRule="auto"/>
        <w:rPr>
          <w:rFonts w:ascii="Arial" w:hAnsi="Arial" w:cs="Arial"/>
        </w:rPr>
      </w:pPr>
      <w:r>
        <w:rPr>
          <w:rFonts w:ascii="Arial" w:hAnsi="Arial" w:cs="Arial"/>
        </w:rPr>
        <w:t xml:space="preserve">Station 2, situated in the lacustrine (central) zone, had the highest density </w:t>
      </w:r>
      <w:r w:rsidR="00900BFB">
        <w:rPr>
          <w:rFonts w:ascii="Arial" w:hAnsi="Arial" w:cs="Arial"/>
        </w:rPr>
        <w:t>of KJA installations, total 1.203 cage units.</w:t>
      </w:r>
    </w:p>
    <w:p w14:paraId="4C4A3F70" w14:textId="542347B9" w:rsidR="00900BFB" w:rsidRDefault="00900BFB" w:rsidP="006022C3">
      <w:pPr>
        <w:pStyle w:val="Body"/>
        <w:numPr>
          <w:ilvl w:val="0"/>
          <w:numId w:val="31"/>
        </w:numPr>
        <w:spacing w:after="0" w:line="276" w:lineRule="auto"/>
        <w:rPr>
          <w:rFonts w:ascii="Arial" w:hAnsi="Arial" w:cs="Arial"/>
        </w:rPr>
      </w:pPr>
      <w:r>
        <w:rPr>
          <w:rFonts w:ascii="Arial" w:hAnsi="Arial" w:cs="Arial"/>
        </w:rPr>
        <w:t xml:space="preserve">Station 3 is also in the lacustrine zone but with moderate aquaculture intensity, had 672 cages. </w:t>
      </w:r>
    </w:p>
    <w:p w14:paraId="688365D6" w14:textId="1E448867" w:rsidR="00900BFB" w:rsidRDefault="00900BFB" w:rsidP="006022C3">
      <w:pPr>
        <w:pStyle w:val="Body"/>
        <w:numPr>
          <w:ilvl w:val="0"/>
          <w:numId w:val="31"/>
        </w:numPr>
        <w:spacing w:after="0" w:line="276" w:lineRule="auto"/>
        <w:rPr>
          <w:rFonts w:ascii="Arial" w:hAnsi="Arial" w:cs="Arial"/>
        </w:rPr>
      </w:pPr>
      <w:r>
        <w:rPr>
          <w:rFonts w:ascii="Arial" w:hAnsi="Arial" w:cs="Arial"/>
        </w:rPr>
        <w:t>Station 4 was positioned at the outlet area, where no KJA were found, representing a downstream control site.</w:t>
      </w:r>
    </w:p>
    <w:p w14:paraId="347E05DF" w14:textId="77777777" w:rsidR="000870F3" w:rsidRDefault="000870F3" w:rsidP="006022C3">
      <w:pPr>
        <w:pStyle w:val="Body"/>
        <w:keepNext/>
        <w:spacing w:after="0" w:line="276" w:lineRule="auto"/>
        <w:ind w:left="360"/>
        <w:jc w:val="center"/>
      </w:pPr>
      <w:r>
        <w:rPr>
          <w:noProof/>
        </w:rPr>
        <w:drawing>
          <wp:inline distT="0" distB="0" distL="0" distR="0" wp14:anchorId="0C6B844D" wp14:editId="75B04902">
            <wp:extent cx="3390900" cy="2336800"/>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393110" cy="2338323"/>
                    </a:xfrm>
                    <a:prstGeom prst="rect">
                      <a:avLst/>
                    </a:prstGeom>
                  </pic:spPr>
                </pic:pic>
              </a:graphicData>
            </a:graphic>
          </wp:inline>
        </w:drawing>
      </w:r>
    </w:p>
    <w:p w14:paraId="46319D67" w14:textId="77E50CB5" w:rsidR="000870F3" w:rsidRPr="000870F3" w:rsidRDefault="000870F3" w:rsidP="006022C3">
      <w:pPr>
        <w:pStyle w:val="Caption"/>
        <w:spacing w:line="276" w:lineRule="auto"/>
        <w:jc w:val="center"/>
        <w:rPr>
          <w:rFonts w:ascii="Arial" w:hAnsi="Arial" w:cs="Arial"/>
          <w:i w:val="0"/>
          <w:iCs w:val="0"/>
          <w:color w:val="000000" w:themeColor="text1"/>
        </w:rPr>
      </w:pPr>
      <w:r w:rsidRPr="000870F3">
        <w:rPr>
          <w:rFonts w:ascii="Arial" w:hAnsi="Arial" w:cs="Arial"/>
          <w:b/>
          <w:bCs/>
          <w:i w:val="0"/>
          <w:iCs w:val="0"/>
          <w:color w:val="000000" w:themeColor="text1"/>
        </w:rPr>
        <w:t xml:space="preserve">Figure </w:t>
      </w:r>
      <w:r w:rsidRPr="000870F3">
        <w:rPr>
          <w:rFonts w:ascii="Arial" w:hAnsi="Arial" w:cs="Arial"/>
          <w:b/>
          <w:bCs/>
          <w:i w:val="0"/>
          <w:iCs w:val="0"/>
          <w:color w:val="000000" w:themeColor="text1"/>
        </w:rPr>
        <w:fldChar w:fldCharType="begin"/>
      </w:r>
      <w:r w:rsidRPr="000870F3">
        <w:rPr>
          <w:rFonts w:ascii="Arial" w:hAnsi="Arial" w:cs="Arial"/>
          <w:b/>
          <w:bCs/>
          <w:i w:val="0"/>
          <w:iCs w:val="0"/>
          <w:color w:val="000000" w:themeColor="text1"/>
        </w:rPr>
        <w:instrText xml:space="preserve"> SEQ Figure \* ARABIC </w:instrText>
      </w:r>
      <w:r w:rsidRPr="000870F3">
        <w:rPr>
          <w:rFonts w:ascii="Arial" w:hAnsi="Arial" w:cs="Arial"/>
          <w:b/>
          <w:bCs/>
          <w:i w:val="0"/>
          <w:iCs w:val="0"/>
          <w:color w:val="000000" w:themeColor="text1"/>
        </w:rPr>
        <w:fldChar w:fldCharType="separate"/>
      </w:r>
      <w:r w:rsidRPr="000870F3">
        <w:rPr>
          <w:rFonts w:ascii="Arial" w:hAnsi="Arial" w:cs="Arial"/>
          <w:b/>
          <w:bCs/>
          <w:i w:val="0"/>
          <w:iCs w:val="0"/>
          <w:noProof/>
          <w:color w:val="000000" w:themeColor="text1"/>
        </w:rPr>
        <w:t>1</w:t>
      </w:r>
      <w:r w:rsidRPr="000870F3">
        <w:rPr>
          <w:rFonts w:ascii="Arial" w:hAnsi="Arial" w:cs="Arial"/>
          <w:b/>
          <w:bCs/>
          <w:i w:val="0"/>
          <w:iCs w:val="0"/>
          <w:color w:val="000000" w:themeColor="text1"/>
        </w:rPr>
        <w:fldChar w:fldCharType="end"/>
      </w:r>
      <w:r w:rsidRPr="000870F3">
        <w:rPr>
          <w:rFonts w:ascii="Arial" w:hAnsi="Arial" w:cs="Arial"/>
          <w:b/>
          <w:bCs/>
          <w:i w:val="0"/>
          <w:iCs w:val="0"/>
          <w:color w:val="000000" w:themeColor="text1"/>
        </w:rPr>
        <w:t>.</w:t>
      </w:r>
      <w:r w:rsidRPr="000870F3">
        <w:rPr>
          <w:rFonts w:ascii="Arial" w:hAnsi="Arial" w:cs="Arial"/>
          <w:i w:val="0"/>
          <w:iCs w:val="0"/>
          <w:color w:val="000000" w:themeColor="text1"/>
        </w:rPr>
        <w:t xml:space="preserve"> Location of Research Station</w:t>
      </w:r>
    </w:p>
    <w:p w14:paraId="2052851E" w14:textId="3EB09E84" w:rsidR="00900BFB" w:rsidRDefault="00900BFB" w:rsidP="006022C3">
      <w:pPr>
        <w:pStyle w:val="Body"/>
        <w:spacing w:line="276" w:lineRule="auto"/>
        <w:ind w:firstLine="720"/>
        <w:rPr>
          <w:rFonts w:ascii="Arial" w:hAnsi="Arial" w:cs="Arial"/>
        </w:rPr>
      </w:pPr>
      <w:r>
        <w:rPr>
          <w:rFonts w:ascii="Arial" w:hAnsi="Arial" w:cs="Arial"/>
        </w:rPr>
        <w:t>At each station, water samples were collected at three specific depths to capture vertical variation in water quality. These included the surface (0 – 0,5 meters), half compensation depth</w:t>
      </w:r>
      <w:r w:rsidR="00724A46">
        <w:rPr>
          <w:rFonts w:ascii="Arial" w:hAnsi="Arial" w:cs="Arial"/>
        </w:rPr>
        <w:t xml:space="preserve"> and compensation depth. These depth levels were chosen to assess how light availability, influenced by water transparency that affects primary productivity and related parameters in each zone.</w:t>
      </w:r>
    </w:p>
    <w:p w14:paraId="0E4EE37D" w14:textId="48903A1F" w:rsidR="00724A46" w:rsidRDefault="00724A46" w:rsidP="006022C3">
      <w:pPr>
        <w:pStyle w:val="Body"/>
        <w:spacing w:after="0" w:line="276" w:lineRule="auto"/>
        <w:rPr>
          <w:rFonts w:ascii="Arial" w:hAnsi="Arial" w:cs="Arial"/>
          <w:b/>
          <w:sz w:val="22"/>
        </w:rPr>
      </w:pPr>
      <w:r w:rsidRPr="00C30A0F">
        <w:rPr>
          <w:rFonts w:ascii="Arial" w:hAnsi="Arial" w:cs="Arial"/>
          <w:b/>
          <w:caps/>
          <w:sz w:val="22"/>
        </w:rPr>
        <w:t>2.</w:t>
      </w:r>
      <w:r w:rsidR="00CF1C46">
        <w:rPr>
          <w:rFonts w:ascii="Arial" w:hAnsi="Arial" w:cs="Arial"/>
          <w:b/>
          <w:caps/>
          <w:sz w:val="22"/>
        </w:rPr>
        <w:t>3</w:t>
      </w:r>
      <w:r w:rsidRPr="00C30A0F">
        <w:rPr>
          <w:rFonts w:ascii="Arial" w:hAnsi="Arial" w:cs="Arial"/>
          <w:b/>
          <w:caps/>
          <w:sz w:val="22"/>
        </w:rPr>
        <w:t xml:space="preserve"> </w:t>
      </w:r>
      <w:r>
        <w:rPr>
          <w:rFonts w:ascii="Arial" w:hAnsi="Arial" w:cs="Arial"/>
          <w:b/>
          <w:sz w:val="22"/>
        </w:rPr>
        <w:t>Parameters Measured and Data Analysis</w:t>
      </w:r>
    </w:p>
    <w:p w14:paraId="18BE071F" w14:textId="34644414" w:rsidR="00724A46" w:rsidRDefault="00052632" w:rsidP="006022C3">
      <w:pPr>
        <w:pStyle w:val="Body"/>
        <w:spacing w:after="0" w:line="276" w:lineRule="auto"/>
        <w:ind w:firstLine="720"/>
        <w:rPr>
          <w:rFonts w:ascii="Arial" w:hAnsi="Arial" w:cs="Arial"/>
        </w:rPr>
      </w:pPr>
      <w:r>
        <w:rPr>
          <w:rFonts w:ascii="Arial" w:hAnsi="Arial" w:cs="Arial"/>
        </w:rPr>
        <w:t>A comprehensive set of physical, chemical and biological water quality was measured during the research. Physical parameters included</w:t>
      </w:r>
      <w:r w:rsidR="0035371B">
        <w:rPr>
          <w:rFonts w:ascii="Arial" w:hAnsi="Arial" w:cs="Arial"/>
        </w:rPr>
        <w:t xml:space="preserve"> water temperature and water transparency, which was determined using a Secchi disk. These measurements helped evaluate light penetration and stratification patterns relevant to phytoplankton productivity.</w:t>
      </w:r>
    </w:p>
    <w:p w14:paraId="05947ECC" w14:textId="0F3485C8" w:rsidR="0035371B" w:rsidRDefault="0035371B" w:rsidP="006022C3">
      <w:pPr>
        <w:pStyle w:val="Body"/>
        <w:spacing w:after="0" w:line="276" w:lineRule="auto"/>
        <w:ind w:firstLine="720"/>
        <w:rPr>
          <w:rFonts w:ascii="Arial" w:hAnsi="Arial" w:cs="Arial"/>
        </w:rPr>
      </w:pPr>
      <w:r>
        <w:rPr>
          <w:rFonts w:ascii="Arial" w:hAnsi="Arial" w:cs="Arial"/>
        </w:rPr>
        <w:t>Chemical parameters were assessed using both field and laboratory methods. Chemical parameters include pH, Dissolved Oxygen (DO) levels were determined using the Winkler method, Biochemical Oxygen Demand (BOD) was calculated based on the difference between initial DO and DO after a 5day incubation</w:t>
      </w:r>
      <w:r w:rsidR="005355A9">
        <w:rPr>
          <w:rFonts w:ascii="Arial" w:hAnsi="Arial" w:cs="Arial"/>
        </w:rPr>
        <w:t>, Carbon Dioxide (CO</w:t>
      </w:r>
      <w:r w:rsidR="005355A9">
        <w:rPr>
          <w:rFonts w:ascii="Arial" w:hAnsi="Arial" w:cs="Arial"/>
          <w:vertAlign w:val="subscript"/>
        </w:rPr>
        <w:t>2</w:t>
      </w:r>
      <w:r w:rsidR="005355A9">
        <w:rPr>
          <w:rFonts w:ascii="Arial" w:hAnsi="Arial" w:cs="Arial"/>
        </w:rPr>
        <w:t xml:space="preserve">), and nutrient </w:t>
      </w:r>
      <w:r w:rsidR="005355A9">
        <w:rPr>
          <w:rFonts w:ascii="Arial" w:hAnsi="Arial" w:cs="Arial"/>
        </w:rPr>
        <w:lastRenderedPageBreak/>
        <w:t>concentrations were also analyzed which is nitrate (NO</w:t>
      </w:r>
      <w:r w:rsidR="005355A9">
        <w:rPr>
          <w:rFonts w:ascii="Arial" w:hAnsi="Arial" w:cs="Arial"/>
          <w:vertAlign w:val="subscript"/>
        </w:rPr>
        <w:t>3</w:t>
      </w:r>
      <w:r w:rsidR="005355A9">
        <w:rPr>
          <w:rFonts w:ascii="Arial" w:hAnsi="Arial" w:cs="Arial"/>
        </w:rPr>
        <w:t>), Ammonia (NH</w:t>
      </w:r>
      <w:r w:rsidR="005355A9">
        <w:rPr>
          <w:rFonts w:ascii="Arial" w:hAnsi="Arial" w:cs="Arial"/>
          <w:vertAlign w:val="subscript"/>
        </w:rPr>
        <w:t>3</w:t>
      </w:r>
      <w:r w:rsidR="005355A9">
        <w:rPr>
          <w:rFonts w:ascii="Arial" w:hAnsi="Arial" w:cs="Arial"/>
        </w:rPr>
        <w:t>) and Phosphate (PO</w:t>
      </w:r>
      <w:r w:rsidR="005355A9">
        <w:rPr>
          <w:rFonts w:ascii="Arial" w:hAnsi="Arial" w:cs="Arial"/>
          <w:vertAlign w:val="subscript"/>
        </w:rPr>
        <w:t>4</w:t>
      </w:r>
      <w:r w:rsidR="005355A9">
        <w:rPr>
          <w:rFonts w:ascii="Arial" w:hAnsi="Arial" w:cs="Arial"/>
        </w:rPr>
        <w:t>). These nutrient parameters served as a key indicators of eutrophication potential and aquaculture impact.</w:t>
      </w:r>
    </w:p>
    <w:p w14:paraId="0619059D" w14:textId="170F0B62" w:rsidR="00695974" w:rsidRDefault="00695974" w:rsidP="006022C3">
      <w:pPr>
        <w:pStyle w:val="Body"/>
        <w:spacing w:after="0" w:line="276" w:lineRule="auto"/>
        <w:ind w:firstLine="720"/>
        <w:rPr>
          <w:rFonts w:ascii="Arial" w:hAnsi="Arial" w:cs="Arial"/>
        </w:rPr>
      </w:pPr>
      <w:r>
        <w:rPr>
          <w:rFonts w:ascii="Arial" w:hAnsi="Arial" w:cs="Arial"/>
        </w:rPr>
        <w:t>Biological analysis focused on primary productivity, which was estimated using the light and dark bottle oxygen method. At each depth, four bottle were filled – two kept in the light and two</w:t>
      </w:r>
      <w:r w:rsidR="00991139">
        <w:rPr>
          <w:rFonts w:ascii="Arial" w:hAnsi="Arial" w:cs="Arial"/>
        </w:rPr>
        <w:t xml:space="preserve"> in the dark measurement</w:t>
      </w:r>
      <w:r w:rsidR="0063739C">
        <w:rPr>
          <w:rFonts w:ascii="Arial" w:hAnsi="Arial" w:cs="Arial"/>
        </w:rPr>
        <w:t xml:space="preserve">. The bottles were incubated directly at Saguling Reservoir for four hours. </w:t>
      </w:r>
      <w:r w:rsidR="00604781">
        <w:rPr>
          <w:rFonts w:ascii="Arial" w:hAnsi="Arial" w:cs="Arial"/>
        </w:rPr>
        <w:t>The tools, methods and observation locations used are presented in Table 1.</w:t>
      </w:r>
    </w:p>
    <w:p w14:paraId="37346E37" w14:textId="77777777" w:rsidR="00A4148D" w:rsidRDefault="00A4148D" w:rsidP="006022C3">
      <w:pPr>
        <w:pStyle w:val="Body"/>
        <w:spacing w:after="0" w:line="276" w:lineRule="auto"/>
        <w:ind w:firstLine="720"/>
        <w:rPr>
          <w:rFonts w:ascii="Arial" w:hAnsi="Arial" w:cs="Arial"/>
        </w:rPr>
      </w:pPr>
    </w:p>
    <w:p w14:paraId="4531B4C2" w14:textId="2230C3C5" w:rsidR="00A4148D" w:rsidRPr="00A4148D" w:rsidRDefault="00A4148D" w:rsidP="006022C3">
      <w:pPr>
        <w:pStyle w:val="Caption"/>
        <w:keepNext/>
        <w:spacing w:after="0" w:line="276" w:lineRule="auto"/>
        <w:rPr>
          <w:rFonts w:ascii="Arial" w:hAnsi="Arial" w:cs="Arial"/>
          <w:i w:val="0"/>
          <w:iCs w:val="0"/>
          <w:color w:val="000000" w:themeColor="text1"/>
        </w:rPr>
      </w:pPr>
      <w:r w:rsidRPr="0030688C">
        <w:rPr>
          <w:rFonts w:ascii="Arial" w:hAnsi="Arial" w:cs="Arial"/>
          <w:b/>
          <w:bCs/>
          <w:i w:val="0"/>
          <w:iCs w:val="0"/>
          <w:color w:val="000000" w:themeColor="text1"/>
        </w:rPr>
        <w:t xml:space="preserve">Table </w:t>
      </w:r>
      <w:r w:rsidRPr="0030688C">
        <w:rPr>
          <w:rFonts w:ascii="Arial" w:hAnsi="Arial" w:cs="Arial"/>
          <w:b/>
          <w:bCs/>
          <w:i w:val="0"/>
          <w:iCs w:val="0"/>
          <w:color w:val="000000" w:themeColor="text1"/>
        </w:rPr>
        <w:fldChar w:fldCharType="begin"/>
      </w:r>
      <w:r w:rsidRPr="0030688C">
        <w:rPr>
          <w:rFonts w:ascii="Arial" w:hAnsi="Arial" w:cs="Arial"/>
          <w:b/>
          <w:bCs/>
          <w:i w:val="0"/>
          <w:iCs w:val="0"/>
          <w:color w:val="000000" w:themeColor="text1"/>
        </w:rPr>
        <w:instrText xml:space="preserve"> SEQ Table \* ARABIC </w:instrText>
      </w:r>
      <w:r w:rsidRPr="0030688C">
        <w:rPr>
          <w:rFonts w:ascii="Arial" w:hAnsi="Arial" w:cs="Arial"/>
          <w:b/>
          <w:bCs/>
          <w:i w:val="0"/>
          <w:iCs w:val="0"/>
          <w:color w:val="000000" w:themeColor="text1"/>
        </w:rPr>
        <w:fldChar w:fldCharType="separate"/>
      </w:r>
      <w:r w:rsidR="008A784F">
        <w:rPr>
          <w:rFonts w:ascii="Arial" w:hAnsi="Arial" w:cs="Arial"/>
          <w:b/>
          <w:bCs/>
          <w:i w:val="0"/>
          <w:iCs w:val="0"/>
          <w:noProof/>
          <w:color w:val="000000" w:themeColor="text1"/>
        </w:rPr>
        <w:t>1</w:t>
      </w:r>
      <w:r w:rsidRPr="0030688C">
        <w:rPr>
          <w:rFonts w:ascii="Arial" w:hAnsi="Arial" w:cs="Arial"/>
          <w:b/>
          <w:bCs/>
          <w:i w:val="0"/>
          <w:iCs w:val="0"/>
          <w:color w:val="000000" w:themeColor="text1"/>
        </w:rPr>
        <w:fldChar w:fldCharType="end"/>
      </w:r>
      <w:r w:rsidRPr="0030688C">
        <w:rPr>
          <w:rFonts w:ascii="Arial" w:hAnsi="Arial" w:cs="Arial"/>
          <w:b/>
          <w:bCs/>
          <w:i w:val="0"/>
          <w:iCs w:val="0"/>
          <w:color w:val="000000" w:themeColor="text1"/>
        </w:rPr>
        <w:t>.</w:t>
      </w:r>
      <w:r w:rsidRPr="00A4148D">
        <w:rPr>
          <w:rFonts w:ascii="Arial" w:hAnsi="Arial" w:cs="Arial"/>
          <w:i w:val="0"/>
          <w:iCs w:val="0"/>
          <w:color w:val="000000" w:themeColor="text1"/>
        </w:rPr>
        <w:t xml:space="preserve"> Physical, Chemical and biology Parameters</w:t>
      </w:r>
    </w:p>
    <w:tbl>
      <w:tblPr>
        <w:tblStyle w:val="TableGrid"/>
        <w:tblW w:w="0" w:type="auto"/>
        <w:tblBorders>
          <w:insideV w:val="none" w:sz="0" w:space="0" w:color="auto"/>
        </w:tblBorders>
        <w:tblLook w:val="04A0" w:firstRow="1" w:lastRow="0" w:firstColumn="1" w:lastColumn="0" w:noHBand="0" w:noVBand="1"/>
      </w:tblPr>
      <w:tblGrid>
        <w:gridCol w:w="1439"/>
        <w:gridCol w:w="1311"/>
        <w:gridCol w:w="2291"/>
        <w:gridCol w:w="1951"/>
        <w:gridCol w:w="1432"/>
      </w:tblGrid>
      <w:tr w:rsidR="00BF4921" w14:paraId="76810805" w14:textId="77777777" w:rsidTr="00BF4921">
        <w:tc>
          <w:tcPr>
            <w:tcW w:w="1439" w:type="dxa"/>
            <w:tcBorders>
              <w:left w:val="single" w:sz="4" w:space="0" w:color="FFFFFF" w:themeColor="background1"/>
            </w:tcBorders>
            <w:vAlign w:val="center"/>
          </w:tcPr>
          <w:p w14:paraId="69A45A80" w14:textId="700D7A97"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Parameter</w:t>
            </w:r>
          </w:p>
        </w:tc>
        <w:tc>
          <w:tcPr>
            <w:tcW w:w="1311" w:type="dxa"/>
            <w:vAlign w:val="center"/>
          </w:tcPr>
          <w:p w14:paraId="6130CC78" w14:textId="29F20E06"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Unit</w:t>
            </w:r>
          </w:p>
        </w:tc>
        <w:tc>
          <w:tcPr>
            <w:tcW w:w="2291" w:type="dxa"/>
            <w:vAlign w:val="center"/>
          </w:tcPr>
          <w:p w14:paraId="28210DFB" w14:textId="7106EA0A"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Tool</w:t>
            </w:r>
          </w:p>
        </w:tc>
        <w:tc>
          <w:tcPr>
            <w:tcW w:w="1951" w:type="dxa"/>
            <w:vAlign w:val="center"/>
          </w:tcPr>
          <w:p w14:paraId="17222FBA" w14:textId="17AA7B98"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Method</w:t>
            </w:r>
          </w:p>
        </w:tc>
        <w:tc>
          <w:tcPr>
            <w:tcW w:w="1432" w:type="dxa"/>
            <w:tcBorders>
              <w:right w:val="single" w:sz="4" w:space="0" w:color="FFFFFF" w:themeColor="background1"/>
            </w:tcBorders>
            <w:vAlign w:val="center"/>
          </w:tcPr>
          <w:p w14:paraId="158DA85F" w14:textId="08B94A3D" w:rsidR="00604781" w:rsidRPr="00E14061" w:rsidRDefault="00604781" w:rsidP="006022C3">
            <w:pPr>
              <w:pStyle w:val="Body"/>
              <w:spacing w:after="0" w:line="276" w:lineRule="auto"/>
              <w:jc w:val="center"/>
              <w:rPr>
                <w:rFonts w:ascii="Arial" w:hAnsi="Arial" w:cs="Arial"/>
                <w:b/>
                <w:bCs/>
                <w:sz w:val="20"/>
                <w:szCs w:val="20"/>
              </w:rPr>
            </w:pPr>
            <w:r w:rsidRPr="00E14061">
              <w:rPr>
                <w:rFonts w:ascii="Arial" w:hAnsi="Arial" w:cs="Arial"/>
                <w:b/>
                <w:bCs/>
                <w:sz w:val="20"/>
                <w:szCs w:val="20"/>
              </w:rPr>
              <w:t>Location</w:t>
            </w:r>
          </w:p>
        </w:tc>
      </w:tr>
      <w:tr w:rsidR="00604781" w14:paraId="5DB550E0" w14:textId="77777777" w:rsidTr="00BF4921">
        <w:tc>
          <w:tcPr>
            <w:tcW w:w="8424" w:type="dxa"/>
            <w:gridSpan w:val="5"/>
            <w:tcBorders>
              <w:left w:val="single" w:sz="4" w:space="0" w:color="FFFFFF" w:themeColor="background1"/>
              <w:right w:val="single" w:sz="4" w:space="0" w:color="FFFFFF" w:themeColor="background1"/>
            </w:tcBorders>
            <w:vAlign w:val="center"/>
          </w:tcPr>
          <w:p w14:paraId="19514449" w14:textId="4D766E92" w:rsidR="0060478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1. </w:t>
            </w:r>
            <w:r w:rsidR="00E14061" w:rsidRPr="00E14061">
              <w:rPr>
                <w:rFonts w:ascii="Arial" w:hAnsi="Arial" w:cs="Arial"/>
                <w:b/>
                <w:bCs/>
                <w:sz w:val="20"/>
                <w:szCs w:val="20"/>
              </w:rPr>
              <w:t xml:space="preserve">Physical </w:t>
            </w:r>
          </w:p>
        </w:tc>
      </w:tr>
      <w:tr w:rsidR="00BF4921" w14:paraId="6A88BD9F" w14:textId="77777777" w:rsidTr="00BF4921">
        <w:tc>
          <w:tcPr>
            <w:tcW w:w="1439" w:type="dxa"/>
            <w:tcBorders>
              <w:left w:val="single" w:sz="4" w:space="0" w:color="FFFFFF" w:themeColor="background1"/>
              <w:bottom w:val="single" w:sz="4" w:space="0" w:color="FFFFFF" w:themeColor="background1"/>
            </w:tcBorders>
            <w:vAlign w:val="center"/>
          </w:tcPr>
          <w:p w14:paraId="0FEC8F99" w14:textId="77987EAE"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Temperature</w:t>
            </w:r>
          </w:p>
        </w:tc>
        <w:tc>
          <w:tcPr>
            <w:tcW w:w="1311" w:type="dxa"/>
            <w:tcBorders>
              <w:bottom w:val="single" w:sz="4" w:space="0" w:color="FFFFFF" w:themeColor="background1"/>
            </w:tcBorders>
            <w:vAlign w:val="center"/>
          </w:tcPr>
          <w:p w14:paraId="014D9B7B" w14:textId="6882ECBB"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°C</w:t>
            </w:r>
          </w:p>
        </w:tc>
        <w:tc>
          <w:tcPr>
            <w:tcW w:w="2291" w:type="dxa"/>
            <w:tcBorders>
              <w:bottom w:val="single" w:sz="4" w:space="0" w:color="FFFFFF" w:themeColor="background1"/>
            </w:tcBorders>
            <w:vAlign w:val="center"/>
          </w:tcPr>
          <w:p w14:paraId="19526852" w14:textId="7E7B909C"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Thermometer</w:t>
            </w:r>
          </w:p>
        </w:tc>
        <w:tc>
          <w:tcPr>
            <w:tcW w:w="1951" w:type="dxa"/>
            <w:tcBorders>
              <w:bottom w:val="single" w:sz="4" w:space="0" w:color="FFFFFF" w:themeColor="background1"/>
            </w:tcBorders>
            <w:vAlign w:val="center"/>
          </w:tcPr>
          <w:p w14:paraId="0978D2D5" w14:textId="03813F15"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7B3CE777" w14:textId="30B4BA1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r w:rsidR="00BF4921" w14:paraId="39DBFEBF" w14:textId="77777777" w:rsidTr="00BF4921">
        <w:tc>
          <w:tcPr>
            <w:tcW w:w="1439" w:type="dxa"/>
            <w:tcBorders>
              <w:top w:val="single" w:sz="4" w:space="0" w:color="FFFFFF" w:themeColor="background1"/>
              <w:left w:val="single" w:sz="4" w:space="0" w:color="FFFFFF" w:themeColor="background1"/>
            </w:tcBorders>
            <w:vAlign w:val="center"/>
          </w:tcPr>
          <w:p w14:paraId="1ADF68E3" w14:textId="32E2DD4D" w:rsidR="00604781" w:rsidRPr="00E14061" w:rsidRDefault="00E14061" w:rsidP="006022C3">
            <w:pPr>
              <w:pStyle w:val="Body"/>
              <w:spacing w:after="0" w:line="276" w:lineRule="auto"/>
              <w:jc w:val="left"/>
              <w:rPr>
                <w:rFonts w:ascii="Arial" w:hAnsi="Arial" w:cs="Arial"/>
                <w:sz w:val="20"/>
                <w:szCs w:val="20"/>
              </w:rPr>
            </w:pPr>
            <w:r w:rsidRPr="00E14061">
              <w:rPr>
                <w:rFonts w:ascii="Arial" w:hAnsi="Arial" w:cs="Arial"/>
                <w:sz w:val="20"/>
                <w:szCs w:val="20"/>
              </w:rPr>
              <w:t>Transparency</w:t>
            </w:r>
          </w:p>
        </w:tc>
        <w:tc>
          <w:tcPr>
            <w:tcW w:w="1311" w:type="dxa"/>
            <w:tcBorders>
              <w:top w:val="single" w:sz="4" w:space="0" w:color="FFFFFF" w:themeColor="background1"/>
            </w:tcBorders>
            <w:vAlign w:val="center"/>
          </w:tcPr>
          <w:p w14:paraId="07C78411" w14:textId="3C15E77E"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w:t>
            </w:r>
          </w:p>
        </w:tc>
        <w:tc>
          <w:tcPr>
            <w:tcW w:w="2291" w:type="dxa"/>
            <w:tcBorders>
              <w:top w:val="single" w:sz="4" w:space="0" w:color="FFFFFF" w:themeColor="background1"/>
            </w:tcBorders>
            <w:vAlign w:val="center"/>
          </w:tcPr>
          <w:p w14:paraId="0C222B1D" w14:textId="4E379BD9"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Secchi disk</w:t>
            </w:r>
          </w:p>
        </w:tc>
        <w:tc>
          <w:tcPr>
            <w:tcW w:w="1951" w:type="dxa"/>
            <w:tcBorders>
              <w:top w:val="single" w:sz="4" w:space="0" w:color="FFFFFF" w:themeColor="background1"/>
            </w:tcBorders>
            <w:vAlign w:val="center"/>
          </w:tcPr>
          <w:p w14:paraId="15DCAE16" w14:textId="1D07188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Visual</w:t>
            </w:r>
          </w:p>
        </w:tc>
        <w:tc>
          <w:tcPr>
            <w:tcW w:w="1432" w:type="dxa"/>
            <w:tcBorders>
              <w:top w:val="single" w:sz="4" w:space="0" w:color="FFFFFF" w:themeColor="background1"/>
              <w:right w:val="single" w:sz="4" w:space="0" w:color="FFFFFF" w:themeColor="background1"/>
            </w:tcBorders>
            <w:vAlign w:val="center"/>
          </w:tcPr>
          <w:p w14:paraId="4E0F3E75" w14:textId="0F0A5B0C"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E14061" w14:paraId="044F10EB" w14:textId="77777777" w:rsidTr="00BF4921">
        <w:tc>
          <w:tcPr>
            <w:tcW w:w="8424" w:type="dxa"/>
            <w:gridSpan w:val="5"/>
            <w:tcBorders>
              <w:left w:val="single" w:sz="4" w:space="0" w:color="FFFFFF" w:themeColor="background1"/>
              <w:right w:val="single" w:sz="4" w:space="0" w:color="FFFFFF" w:themeColor="background1"/>
            </w:tcBorders>
            <w:vAlign w:val="center"/>
          </w:tcPr>
          <w:p w14:paraId="3FD5B35F" w14:textId="439F9C51"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2. </w:t>
            </w:r>
            <w:r w:rsidR="00E14061" w:rsidRPr="00E14061">
              <w:rPr>
                <w:rFonts w:ascii="Arial" w:hAnsi="Arial" w:cs="Arial"/>
                <w:b/>
                <w:bCs/>
                <w:sz w:val="20"/>
                <w:szCs w:val="20"/>
              </w:rPr>
              <w:t>Chemical</w:t>
            </w:r>
          </w:p>
        </w:tc>
      </w:tr>
      <w:tr w:rsidR="00BF4921" w14:paraId="07B37AC9" w14:textId="77777777" w:rsidTr="00BF4921">
        <w:tc>
          <w:tcPr>
            <w:tcW w:w="1439" w:type="dxa"/>
            <w:tcBorders>
              <w:left w:val="single" w:sz="4" w:space="0" w:color="FFFFFF" w:themeColor="background1"/>
              <w:bottom w:val="single" w:sz="4" w:space="0" w:color="FFFFFF" w:themeColor="background1"/>
            </w:tcBorders>
            <w:vAlign w:val="center"/>
          </w:tcPr>
          <w:p w14:paraId="6848ACD5" w14:textId="431DA6E0"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pH</w:t>
            </w:r>
          </w:p>
        </w:tc>
        <w:tc>
          <w:tcPr>
            <w:tcW w:w="1311" w:type="dxa"/>
            <w:tcBorders>
              <w:bottom w:val="single" w:sz="4" w:space="0" w:color="FFFFFF" w:themeColor="background1"/>
            </w:tcBorders>
            <w:vAlign w:val="center"/>
          </w:tcPr>
          <w:p w14:paraId="471B60B0" w14:textId="0E3F3319"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w:t>
            </w:r>
          </w:p>
        </w:tc>
        <w:tc>
          <w:tcPr>
            <w:tcW w:w="2291" w:type="dxa"/>
            <w:tcBorders>
              <w:bottom w:val="single" w:sz="4" w:space="0" w:color="FFFFFF" w:themeColor="background1"/>
            </w:tcBorders>
            <w:vAlign w:val="center"/>
          </w:tcPr>
          <w:p w14:paraId="00591CB4" w14:textId="1976E882"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pH meter</w:t>
            </w:r>
          </w:p>
        </w:tc>
        <w:tc>
          <w:tcPr>
            <w:tcW w:w="1951" w:type="dxa"/>
            <w:tcBorders>
              <w:bottom w:val="single" w:sz="4" w:space="0" w:color="FFFFFF" w:themeColor="background1"/>
            </w:tcBorders>
            <w:vAlign w:val="center"/>
          </w:tcPr>
          <w:p w14:paraId="75AED3EB" w14:textId="2EEC9F21"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bottom w:val="single" w:sz="4" w:space="0" w:color="FFFFFF" w:themeColor="background1"/>
              <w:right w:val="single" w:sz="4" w:space="0" w:color="FFFFFF" w:themeColor="background1"/>
            </w:tcBorders>
            <w:vAlign w:val="center"/>
          </w:tcPr>
          <w:p w14:paraId="4F04D6DB" w14:textId="36BB244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46C7570A"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0B7A21BA" w14:textId="1AC118CC" w:rsidR="00604781" w:rsidRPr="00E14061" w:rsidRDefault="00E14061" w:rsidP="006022C3">
            <w:pPr>
              <w:pStyle w:val="Body"/>
              <w:spacing w:after="0" w:line="276" w:lineRule="auto"/>
              <w:rPr>
                <w:rFonts w:ascii="Arial" w:hAnsi="Arial" w:cs="Arial"/>
                <w:sz w:val="20"/>
                <w:szCs w:val="20"/>
                <w:vertAlign w:val="subscript"/>
              </w:rPr>
            </w:pPr>
            <w:r w:rsidRPr="00E14061">
              <w:rPr>
                <w:rFonts w:ascii="Arial" w:hAnsi="Arial" w:cs="Arial"/>
                <w:sz w:val="20"/>
                <w:szCs w:val="20"/>
              </w:rPr>
              <w:t>CO</w:t>
            </w:r>
            <w:r w:rsidRPr="00E14061">
              <w:rPr>
                <w:rFonts w:ascii="Arial" w:hAnsi="Arial" w:cs="Arial"/>
                <w:sz w:val="20"/>
                <w:szCs w:val="20"/>
                <w:vertAlign w:val="subscript"/>
              </w:rPr>
              <w:t>2</w:t>
            </w:r>
          </w:p>
        </w:tc>
        <w:tc>
          <w:tcPr>
            <w:tcW w:w="1311" w:type="dxa"/>
            <w:tcBorders>
              <w:top w:val="single" w:sz="4" w:space="0" w:color="FFFFFF" w:themeColor="background1"/>
              <w:bottom w:val="single" w:sz="4" w:space="0" w:color="FFFFFF" w:themeColor="background1"/>
            </w:tcBorders>
            <w:vAlign w:val="center"/>
          </w:tcPr>
          <w:p w14:paraId="676C9297" w14:textId="7BB18DE6"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B40A9A2" w14:textId="6AD9F086"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Erlenmeyer flask</w:t>
            </w:r>
          </w:p>
        </w:tc>
        <w:tc>
          <w:tcPr>
            <w:tcW w:w="1951" w:type="dxa"/>
            <w:tcBorders>
              <w:top w:val="single" w:sz="4" w:space="0" w:color="FFFFFF" w:themeColor="background1"/>
              <w:bottom w:val="single" w:sz="4" w:space="0" w:color="FFFFFF" w:themeColor="background1"/>
            </w:tcBorders>
            <w:vAlign w:val="center"/>
          </w:tcPr>
          <w:p w14:paraId="0AB89295" w14:textId="51EA0663"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Titrimetric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5DC12BA" w14:textId="63DF91DE"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24D795F8"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86302EE" w14:textId="132BD6C5" w:rsidR="00604781" w:rsidRPr="00E14061" w:rsidRDefault="00E14061" w:rsidP="006022C3">
            <w:pPr>
              <w:pStyle w:val="Body"/>
              <w:spacing w:after="0" w:line="276" w:lineRule="auto"/>
              <w:rPr>
                <w:rFonts w:ascii="Arial" w:hAnsi="Arial" w:cs="Arial"/>
                <w:sz w:val="20"/>
                <w:szCs w:val="20"/>
              </w:rPr>
            </w:pPr>
            <w:r w:rsidRPr="00E14061">
              <w:rPr>
                <w:rFonts w:ascii="Arial" w:hAnsi="Arial" w:cs="Arial"/>
                <w:sz w:val="20"/>
                <w:szCs w:val="20"/>
              </w:rPr>
              <w:t>BOD</w:t>
            </w:r>
          </w:p>
        </w:tc>
        <w:tc>
          <w:tcPr>
            <w:tcW w:w="1311" w:type="dxa"/>
            <w:tcBorders>
              <w:top w:val="single" w:sz="4" w:space="0" w:color="FFFFFF" w:themeColor="background1"/>
              <w:bottom w:val="single" w:sz="4" w:space="0" w:color="FFFFFF" w:themeColor="background1"/>
            </w:tcBorders>
            <w:vAlign w:val="center"/>
          </w:tcPr>
          <w:p w14:paraId="39745EAB" w14:textId="4A7B6877" w:rsidR="00604781"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4060A9C7" w14:textId="6200F2BD" w:rsidR="00604781"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Winkler bottle</w:t>
            </w:r>
          </w:p>
        </w:tc>
        <w:tc>
          <w:tcPr>
            <w:tcW w:w="1951" w:type="dxa"/>
            <w:tcBorders>
              <w:top w:val="single" w:sz="4" w:space="0" w:color="FFFFFF" w:themeColor="background1"/>
              <w:bottom w:val="single" w:sz="4" w:space="0" w:color="FFFFFF" w:themeColor="background1"/>
            </w:tcBorders>
            <w:vAlign w:val="center"/>
          </w:tcPr>
          <w:p w14:paraId="575E0119" w14:textId="3105722A"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Titrimetric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4C5CF2B3" w14:textId="10E908B4" w:rsidR="0060478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0944BA42"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44DE90E0" w14:textId="5446BB85"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DO</w:t>
            </w:r>
          </w:p>
        </w:tc>
        <w:tc>
          <w:tcPr>
            <w:tcW w:w="1311" w:type="dxa"/>
            <w:tcBorders>
              <w:top w:val="single" w:sz="4" w:space="0" w:color="FFFFFF" w:themeColor="background1"/>
              <w:bottom w:val="single" w:sz="4" w:space="0" w:color="FFFFFF" w:themeColor="background1"/>
            </w:tcBorders>
            <w:vAlign w:val="center"/>
          </w:tcPr>
          <w:p w14:paraId="2968CC00" w14:textId="1480F192"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3466E1AF" w14:textId="3FB71037"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DO meter</w:t>
            </w:r>
          </w:p>
        </w:tc>
        <w:tc>
          <w:tcPr>
            <w:tcW w:w="1951" w:type="dxa"/>
            <w:tcBorders>
              <w:top w:val="single" w:sz="4" w:space="0" w:color="FFFFFF" w:themeColor="background1"/>
              <w:bottom w:val="single" w:sz="4" w:space="0" w:color="FFFFFF" w:themeColor="background1"/>
            </w:tcBorders>
            <w:vAlign w:val="center"/>
          </w:tcPr>
          <w:p w14:paraId="69ECCD90" w14:textId="7F48AE7E"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Potentiometric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3C970918" w14:textId="16DFC2BD"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Direct</w:t>
            </w:r>
          </w:p>
        </w:tc>
      </w:tr>
      <w:tr w:rsidR="00BF4921" w14:paraId="37CF4CF1"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3DDC48DB" w14:textId="6DB0E45D" w:rsidR="007E063E" w:rsidRPr="00E14061" w:rsidRDefault="007E063E" w:rsidP="006022C3">
            <w:pPr>
              <w:pStyle w:val="Body"/>
              <w:spacing w:after="0" w:line="276" w:lineRule="auto"/>
              <w:rPr>
                <w:rFonts w:ascii="Arial" w:hAnsi="Arial" w:cs="Arial"/>
                <w:sz w:val="20"/>
                <w:szCs w:val="20"/>
              </w:rPr>
            </w:pPr>
            <w:r w:rsidRPr="00E14061">
              <w:rPr>
                <w:rFonts w:ascii="Arial" w:hAnsi="Arial" w:cs="Arial"/>
                <w:sz w:val="20"/>
                <w:szCs w:val="20"/>
              </w:rPr>
              <w:t>Nitrate</w:t>
            </w:r>
          </w:p>
        </w:tc>
        <w:tc>
          <w:tcPr>
            <w:tcW w:w="1311" w:type="dxa"/>
            <w:tcBorders>
              <w:top w:val="single" w:sz="4" w:space="0" w:color="FFFFFF" w:themeColor="background1"/>
              <w:bottom w:val="single" w:sz="4" w:space="0" w:color="FFFFFF" w:themeColor="background1"/>
            </w:tcBorders>
            <w:vAlign w:val="center"/>
          </w:tcPr>
          <w:p w14:paraId="46E3DD23" w14:textId="31C0269C" w:rsidR="007E063E" w:rsidRPr="00E14061" w:rsidRDefault="007E063E"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vAlign w:val="center"/>
          </w:tcPr>
          <w:p w14:paraId="2EA770EA" w14:textId="710B0111"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vAlign w:val="center"/>
          </w:tcPr>
          <w:p w14:paraId="68A39BBE" w14:textId="0E958022"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Spectrophotometric </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679AC6F3" w14:textId="7DAD2EBB"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58A4846" w14:textId="77777777" w:rsidTr="00BF4921">
        <w:tc>
          <w:tcPr>
            <w:tcW w:w="1439" w:type="dxa"/>
            <w:tcBorders>
              <w:top w:val="single" w:sz="4" w:space="0" w:color="FFFFFF" w:themeColor="background1"/>
              <w:left w:val="single" w:sz="4" w:space="0" w:color="FFFFFF" w:themeColor="background1"/>
              <w:bottom w:val="single" w:sz="4" w:space="0" w:color="FFFFFF" w:themeColor="background1"/>
            </w:tcBorders>
            <w:vAlign w:val="center"/>
          </w:tcPr>
          <w:p w14:paraId="6FEED9DD" w14:textId="77CAEE15"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Ammonia</w:t>
            </w:r>
          </w:p>
        </w:tc>
        <w:tc>
          <w:tcPr>
            <w:tcW w:w="1311" w:type="dxa"/>
            <w:tcBorders>
              <w:top w:val="single" w:sz="4" w:space="0" w:color="FFFFFF" w:themeColor="background1"/>
              <w:bottom w:val="single" w:sz="4" w:space="0" w:color="FFFFFF" w:themeColor="background1"/>
            </w:tcBorders>
            <w:vAlign w:val="center"/>
          </w:tcPr>
          <w:p w14:paraId="3928DFDB" w14:textId="33960DD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bottom w:val="single" w:sz="4" w:space="0" w:color="FFFFFF" w:themeColor="background1"/>
            </w:tcBorders>
          </w:tcPr>
          <w:p w14:paraId="7020B60A" w14:textId="4398AC1D"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bottom w:val="single" w:sz="4" w:space="0" w:color="FFFFFF" w:themeColor="background1"/>
            </w:tcBorders>
          </w:tcPr>
          <w:p w14:paraId="31F48389" w14:textId="1002BF99"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bottom w:val="single" w:sz="4" w:space="0" w:color="FFFFFF" w:themeColor="background1"/>
              <w:right w:val="single" w:sz="4" w:space="0" w:color="FFFFFF" w:themeColor="background1"/>
            </w:tcBorders>
            <w:vAlign w:val="center"/>
          </w:tcPr>
          <w:p w14:paraId="0C66F9D0" w14:textId="319ADD13"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BF4921" w14:paraId="647D1EA0" w14:textId="77777777" w:rsidTr="00BF4921">
        <w:tc>
          <w:tcPr>
            <w:tcW w:w="1439" w:type="dxa"/>
            <w:tcBorders>
              <w:top w:val="single" w:sz="4" w:space="0" w:color="FFFFFF" w:themeColor="background1"/>
              <w:left w:val="single" w:sz="4" w:space="0" w:color="FFFFFF" w:themeColor="background1"/>
            </w:tcBorders>
            <w:vAlign w:val="center"/>
          </w:tcPr>
          <w:p w14:paraId="0FEB8657" w14:textId="14FB5B12" w:rsidR="00BF4921" w:rsidRPr="00E14061" w:rsidRDefault="00BF4921" w:rsidP="006022C3">
            <w:pPr>
              <w:pStyle w:val="Body"/>
              <w:spacing w:after="0" w:line="276" w:lineRule="auto"/>
              <w:rPr>
                <w:rFonts w:ascii="Arial" w:hAnsi="Arial" w:cs="Arial"/>
                <w:sz w:val="20"/>
                <w:szCs w:val="20"/>
              </w:rPr>
            </w:pPr>
            <w:r w:rsidRPr="00E14061">
              <w:rPr>
                <w:rFonts w:ascii="Arial" w:hAnsi="Arial" w:cs="Arial"/>
                <w:sz w:val="20"/>
                <w:szCs w:val="20"/>
              </w:rPr>
              <w:t>Phosphate</w:t>
            </w:r>
          </w:p>
        </w:tc>
        <w:tc>
          <w:tcPr>
            <w:tcW w:w="1311" w:type="dxa"/>
            <w:tcBorders>
              <w:top w:val="single" w:sz="4" w:space="0" w:color="FFFFFF" w:themeColor="background1"/>
            </w:tcBorders>
            <w:vAlign w:val="center"/>
          </w:tcPr>
          <w:p w14:paraId="598D7EF0" w14:textId="1E9D7215" w:rsidR="00BF4921" w:rsidRPr="00E14061" w:rsidRDefault="00BF4921" w:rsidP="006022C3">
            <w:pPr>
              <w:pStyle w:val="Body"/>
              <w:spacing w:after="0" w:line="276" w:lineRule="auto"/>
              <w:jc w:val="center"/>
              <w:rPr>
                <w:rFonts w:ascii="Arial" w:hAnsi="Arial" w:cs="Arial"/>
                <w:sz w:val="20"/>
                <w:szCs w:val="20"/>
              </w:rPr>
            </w:pPr>
            <w:r>
              <w:rPr>
                <w:rFonts w:ascii="Arial" w:hAnsi="Arial" w:cs="Arial"/>
                <w:sz w:val="20"/>
                <w:szCs w:val="20"/>
              </w:rPr>
              <w:t>Mg/L</w:t>
            </w:r>
          </w:p>
        </w:tc>
        <w:tc>
          <w:tcPr>
            <w:tcW w:w="2291" w:type="dxa"/>
            <w:tcBorders>
              <w:top w:val="single" w:sz="4" w:space="0" w:color="FFFFFF" w:themeColor="background1"/>
            </w:tcBorders>
          </w:tcPr>
          <w:p w14:paraId="244B9408" w14:textId="530FADC6" w:rsidR="00BF4921" w:rsidRPr="00E14061" w:rsidRDefault="00BF4921" w:rsidP="006022C3">
            <w:pPr>
              <w:pStyle w:val="Body"/>
              <w:spacing w:after="0" w:line="276" w:lineRule="auto"/>
              <w:jc w:val="left"/>
              <w:rPr>
                <w:rFonts w:ascii="Arial" w:hAnsi="Arial" w:cs="Arial"/>
                <w:sz w:val="20"/>
                <w:szCs w:val="20"/>
              </w:rPr>
            </w:pPr>
            <w:r w:rsidRPr="00403613">
              <w:rPr>
                <w:rFonts w:ascii="Arial" w:hAnsi="Arial" w:cs="Arial"/>
                <w:sz w:val="20"/>
                <w:szCs w:val="20"/>
              </w:rPr>
              <w:t>Spectrophotometric</w:t>
            </w:r>
          </w:p>
        </w:tc>
        <w:tc>
          <w:tcPr>
            <w:tcW w:w="1951" w:type="dxa"/>
            <w:tcBorders>
              <w:top w:val="single" w:sz="4" w:space="0" w:color="FFFFFF" w:themeColor="background1"/>
            </w:tcBorders>
          </w:tcPr>
          <w:p w14:paraId="027ABE64" w14:textId="547D15BD" w:rsidR="00BF4921" w:rsidRPr="00E14061" w:rsidRDefault="00BF4921" w:rsidP="006022C3">
            <w:pPr>
              <w:pStyle w:val="Body"/>
              <w:spacing w:after="0" w:line="276" w:lineRule="auto"/>
              <w:jc w:val="left"/>
              <w:rPr>
                <w:rFonts w:ascii="Arial" w:hAnsi="Arial" w:cs="Arial"/>
                <w:sz w:val="20"/>
                <w:szCs w:val="20"/>
              </w:rPr>
            </w:pPr>
            <w:r w:rsidRPr="00042E75">
              <w:rPr>
                <w:rFonts w:ascii="Arial" w:hAnsi="Arial" w:cs="Arial"/>
                <w:sz w:val="20"/>
                <w:szCs w:val="20"/>
              </w:rPr>
              <w:t>Spectrophotometric</w:t>
            </w:r>
          </w:p>
        </w:tc>
        <w:tc>
          <w:tcPr>
            <w:tcW w:w="1432" w:type="dxa"/>
            <w:tcBorders>
              <w:top w:val="single" w:sz="4" w:space="0" w:color="FFFFFF" w:themeColor="background1"/>
              <w:right w:val="single" w:sz="4" w:space="0" w:color="FFFFFF" w:themeColor="background1"/>
            </w:tcBorders>
            <w:vAlign w:val="center"/>
          </w:tcPr>
          <w:p w14:paraId="39E6C0BE" w14:textId="2F99C308" w:rsidR="00BF4921"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Laboratory</w:t>
            </w:r>
          </w:p>
        </w:tc>
      </w:tr>
      <w:tr w:rsidR="00E14061" w14:paraId="11A8FEAB" w14:textId="77777777" w:rsidTr="00BF4921">
        <w:tc>
          <w:tcPr>
            <w:tcW w:w="8424" w:type="dxa"/>
            <w:gridSpan w:val="5"/>
            <w:tcBorders>
              <w:left w:val="single" w:sz="4" w:space="0" w:color="FFFFFF" w:themeColor="background1"/>
              <w:right w:val="single" w:sz="4" w:space="0" w:color="FFFFFF" w:themeColor="background1"/>
            </w:tcBorders>
            <w:vAlign w:val="center"/>
          </w:tcPr>
          <w:p w14:paraId="43AE52BD" w14:textId="4FAED5ED" w:rsidR="00E14061" w:rsidRPr="00E14061" w:rsidRDefault="00A4148D" w:rsidP="006022C3">
            <w:pPr>
              <w:pStyle w:val="Body"/>
              <w:spacing w:after="0" w:line="276" w:lineRule="auto"/>
              <w:jc w:val="left"/>
              <w:rPr>
                <w:rFonts w:ascii="Arial" w:hAnsi="Arial" w:cs="Arial"/>
                <w:b/>
                <w:bCs/>
                <w:sz w:val="20"/>
                <w:szCs w:val="20"/>
              </w:rPr>
            </w:pPr>
            <w:r>
              <w:rPr>
                <w:rFonts w:ascii="Arial" w:hAnsi="Arial" w:cs="Arial"/>
                <w:b/>
                <w:bCs/>
                <w:sz w:val="20"/>
                <w:szCs w:val="20"/>
              </w:rPr>
              <w:t xml:space="preserve">3. </w:t>
            </w:r>
            <w:r w:rsidR="00E14061" w:rsidRPr="00E14061">
              <w:rPr>
                <w:rFonts w:ascii="Arial" w:hAnsi="Arial" w:cs="Arial"/>
                <w:b/>
                <w:bCs/>
                <w:sz w:val="20"/>
                <w:szCs w:val="20"/>
              </w:rPr>
              <w:t>Biology</w:t>
            </w:r>
          </w:p>
        </w:tc>
      </w:tr>
      <w:tr w:rsidR="00BF4921" w14:paraId="5A0BDD17" w14:textId="77777777" w:rsidTr="00BF4921">
        <w:tc>
          <w:tcPr>
            <w:tcW w:w="1439" w:type="dxa"/>
            <w:tcBorders>
              <w:left w:val="single" w:sz="4" w:space="0" w:color="FFFFFF" w:themeColor="background1"/>
            </w:tcBorders>
            <w:vAlign w:val="center"/>
          </w:tcPr>
          <w:p w14:paraId="2FA5D3FD" w14:textId="7DB106AB" w:rsidR="007E063E" w:rsidRPr="00E14061" w:rsidRDefault="007E063E" w:rsidP="006022C3">
            <w:pPr>
              <w:pStyle w:val="Body"/>
              <w:spacing w:after="0" w:line="276" w:lineRule="auto"/>
              <w:rPr>
                <w:rFonts w:ascii="Arial" w:hAnsi="Arial" w:cs="Arial"/>
                <w:sz w:val="20"/>
                <w:szCs w:val="20"/>
              </w:rPr>
            </w:pPr>
            <w:r>
              <w:rPr>
                <w:rFonts w:ascii="Arial" w:hAnsi="Arial" w:cs="Arial"/>
                <w:sz w:val="20"/>
                <w:szCs w:val="20"/>
              </w:rPr>
              <w:t>Primary Productivity</w:t>
            </w:r>
          </w:p>
        </w:tc>
        <w:tc>
          <w:tcPr>
            <w:tcW w:w="1311" w:type="dxa"/>
            <w:vAlign w:val="center"/>
          </w:tcPr>
          <w:p w14:paraId="07C257CC" w14:textId="34DBB803" w:rsidR="007E063E" w:rsidRPr="007E063E" w:rsidRDefault="007E063E" w:rsidP="006022C3">
            <w:pPr>
              <w:pStyle w:val="Body"/>
              <w:spacing w:after="0" w:line="276" w:lineRule="auto"/>
              <w:jc w:val="center"/>
              <w:rPr>
                <w:rFonts w:ascii="Arial" w:hAnsi="Arial" w:cs="Arial"/>
                <w:sz w:val="20"/>
                <w:szCs w:val="20"/>
              </w:rPr>
            </w:pPr>
            <w:r w:rsidRPr="007E063E">
              <w:rPr>
                <w:rFonts w:ascii="Arial" w:hAnsi="Arial" w:cs="Arial"/>
                <w:sz w:val="20"/>
                <w:szCs w:val="20"/>
                <w:lang w:val="sv-SE"/>
              </w:rPr>
              <w:t>mgC/m</w:t>
            </w:r>
            <w:r w:rsidRPr="007E063E">
              <w:rPr>
                <w:rFonts w:ascii="Arial" w:hAnsi="Arial" w:cs="Arial"/>
                <w:sz w:val="20"/>
                <w:szCs w:val="20"/>
                <w:vertAlign w:val="superscript"/>
                <w:lang w:val="sv-SE"/>
              </w:rPr>
              <w:t>3</w:t>
            </w:r>
            <w:r w:rsidRPr="007E063E">
              <w:rPr>
                <w:rFonts w:ascii="Arial" w:hAnsi="Arial" w:cs="Arial"/>
                <w:sz w:val="20"/>
                <w:szCs w:val="20"/>
                <w:lang w:val="sv-SE"/>
              </w:rPr>
              <w:t>/day</w:t>
            </w:r>
          </w:p>
        </w:tc>
        <w:tc>
          <w:tcPr>
            <w:tcW w:w="2291" w:type="dxa"/>
            <w:vAlign w:val="center"/>
          </w:tcPr>
          <w:p w14:paraId="45AEDA24" w14:textId="4734DD8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Light and dark bottle</w:t>
            </w:r>
          </w:p>
        </w:tc>
        <w:tc>
          <w:tcPr>
            <w:tcW w:w="1951" w:type="dxa"/>
            <w:vAlign w:val="center"/>
          </w:tcPr>
          <w:p w14:paraId="5FF37749" w14:textId="4BFC54C0" w:rsidR="007E063E" w:rsidRPr="00E14061" w:rsidRDefault="007E063E" w:rsidP="006022C3">
            <w:pPr>
              <w:pStyle w:val="Body"/>
              <w:spacing w:after="0" w:line="276" w:lineRule="auto"/>
              <w:jc w:val="left"/>
              <w:rPr>
                <w:rFonts w:ascii="Arial" w:hAnsi="Arial" w:cs="Arial"/>
                <w:sz w:val="20"/>
                <w:szCs w:val="20"/>
              </w:rPr>
            </w:pPr>
            <w:r>
              <w:rPr>
                <w:rFonts w:ascii="Arial" w:hAnsi="Arial" w:cs="Arial"/>
                <w:sz w:val="20"/>
                <w:szCs w:val="20"/>
              </w:rPr>
              <w:t xml:space="preserve">Potentiometric </w:t>
            </w:r>
          </w:p>
        </w:tc>
        <w:tc>
          <w:tcPr>
            <w:tcW w:w="1432" w:type="dxa"/>
            <w:tcBorders>
              <w:right w:val="single" w:sz="4" w:space="0" w:color="FFFFFF" w:themeColor="background1"/>
            </w:tcBorders>
            <w:vAlign w:val="center"/>
          </w:tcPr>
          <w:p w14:paraId="1A340E0E" w14:textId="4FF8B40C" w:rsidR="007E063E" w:rsidRPr="00E14061" w:rsidRDefault="00BF4921" w:rsidP="006022C3">
            <w:pPr>
              <w:pStyle w:val="Body"/>
              <w:spacing w:after="0" w:line="276" w:lineRule="auto"/>
              <w:jc w:val="left"/>
              <w:rPr>
                <w:rFonts w:ascii="Arial" w:hAnsi="Arial" w:cs="Arial"/>
                <w:sz w:val="20"/>
                <w:szCs w:val="20"/>
              </w:rPr>
            </w:pPr>
            <w:r>
              <w:rPr>
                <w:rFonts w:ascii="Arial" w:hAnsi="Arial" w:cs="Arial"/>
                <w:sz w:val="20"/>
                <w:szCs w:val="20"/>
              </w:rPr>
              <w:t xml:space="preserve">Direct </w:t>
            </w:r>
          </w:p>
        </w:tc>
      </w:tr>
    </w:tbl>
    <w:p w14:paraId="3C4E1035" w14:textId="77777777" w:rsidR="00604781" w:rsidRPr="005355A9" w:rsidRDefault="00604781" w:rsidP="006022C3">
      <w:pPr>
        <w:pStyle w:val="Body"/>
        <w:spacing w:after="0" w:line="276" w:lineRule="auto"/>
        <w:rPr>
          <w:rFonts w:ascii="Arial" w:hAnsi="Arial" w:cs="Arial"/>
        </w:rPr>
      </w:pPr>
    </w:p>
    <w:p w14:paraId="6FA65B17" w14:textId="337679CF" w:rsidR="00CF1C46" w:rsidRDefault="00CF1C46" w:rsidP="006022C3">
      <w:pPr>
        <w:pStyle w:val="Body"/>
        <w:spacing w:after="0" w:line="276" w:lineRule="auto"/>
        <w:rPr>
          <w:rFonts w:ascii="Arial" w:hAnsi="Arial" w:cs="Arial"/>
          <w:b/>
          <w:sz w:val="22"/>
        </w:rPr>
      </w:pPr>
      <w:r w:rsidRPr="00C30A0F">
        <w:rPr>
          <w:rFonts w:ascii="Arial" w:hAnsi="Arial" w:cs="Arial"/>
          <w:b/>
          <w:caps/>
          <w:sz w:val="22"/>
        </w:rPr>
        <w:t>2.</w:t>
      </w:r>
      <w:r>
        <w:rPr>
          <w:rFonts w:ascii="Arial" w:hAnsi="Arial" w:cs="Arial"/>
          <w:b/>
          <w:caps/>
          <w:sz w:val="22"/>
        </w:rPr>
        <w:t>4</w:t>
      </w:r>
      <w:r w:rsidRPr="00C30A0F">
        <w:rPr>
          <w:rFonts w:ascii="Arial" w:hAnsi="Arial" w:cs="Arial"/>
          <w:b/>
          <w:caps/>
          <w:sz w:val="22"/>
        </w:rPr>
        <w:t xml:space="preserve"> </w:t>
      </w:r>
      <w:r>
        <w:rPr>
          <w:rFonts w:ascii="Arial" w:hAnsi="Arial" w:cs="Arial"/>
          <w:b/>
          <w:sz w:val="22"/>
        </w:rPr>
        <w:t>Data Analysis</w:t>
      </w:r>
    </w:p>
    <w:p w14:paraId="78D29111" w14:textId="4778B92B" w:rsidR="00505F06" w:rsidRDefault="00CF1C46" w:rsidP="006022C3">
      <w:pPr>
        <w:pStyle w:val="Body"/>
        <w:spacing w:after="0" w:line="276" w:lineRule="auto"/>
        <w:rPr>
          <w:rFonts w:ascii="Arial" w:hAnsi="Arial" w:cs="Arial"/>
        </w:rPr>
      </w:pPr>
      <w:r>
        <w:rPr>
          <w:rFonts w:ascii="Arial" w:hAnsi="Arial" w:cs="Arial"/>
        </w:rPr>
        <w:tab/>
        <w:t>The data obtained from field and laboratory</w:t>
      </w:r>
      <w:r w:rsidR="00E13D01">
        <w:rPr>
          <w:rFonts w:ascii="Arial" w:hAnsi="Arial" w:cs="Arial"/>
        </w:rPr>
        <w:t xml:space="preserve"> measurements were analyzed to assess spatial and vertical variations in water quality and primary productivity across the four stations. Primary productivity values were interpreted using the trophic state classification proposed </w:t>
      </w:r>
      <w:r w:rsidR="00A32BF4">
        <w:rPr>
          <w:rFonts w:ascii="Arial" w:hAnsi="Arial" w:cs="Arial"/>
        </w:rPr>
        <w:t xml:space="preserve">where values below 0-200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indicate oligotrophic conditions, values between 200-750 </w:t>
      </w:r>
      <w:r w:rsidR="00A32BF4" w:rsidRPr="007E063E">
        <w:rPr>
          <w:rFonts w:ascii="Arial" w:hAnsi="Arial" w:cs="Arial"/>
          <w:lang w:val="sv-SE"/>
        </w:rPr>
        <w:t>mgC/m</w:t>
      </w:r>
      <w:r w:rsidR="00A32BF4" w:rsidRPr="007E063E">
        <w:rPr>
          <w:rFonts w:ascii="Arial" w:hAnsi="Arial" w:cs="Arial"/>
          <w:vertAlign w:val="superscript"/>
          <w:lang w:val="sv-SE"/>
        </w:rPr>
        <w:t>3</w:t>
      </w:r>
      <w:r w:rsidR="00A32BF4" w:rsidRPr="007E063E">
        <w:rPr>
          <w:rFonts w:ascii="Arial" w:hAnsi="Arial" w:cs="Arial"/>
          <w:lang w:val="sv-SE"/>
        </w:rPr>
        <w:t>/day</w:t>
      </w:r>
      <w:r w:rsidR="00A32BF4">
        <w:rPr>
          <w:rFonts w:ascii="Arial" w:hAnsi="Arial" w:cs="Arial"/>
          <w:lang w:val="sv-SE"/>
        </w:rPr>
        <w:t xml:space="preserve"> suggest mesotrophic conditions and values above </w:t>
      </w:r>
      <w:r w:rsidR="007E011C">
        <w:rPr>
          <w:rFonts w:ascii="Arial" w:hAnsi="Arial" w:cs="Arial"/>
          <w:lang w:val="sv-SE"/>
        </w:rPr>
        <w:t xml:space="preserve">750 </w:t>
      </w:r>
      <w:r w:rsidR="007E011C" w:rsidRPr="007E063E">
        <w:rPr>
          <w:rFonts w:ascii="Arial" w:hAnsi="Arial" w:cs="Arial"/>
          <w:lang w:val="sv-SE"/>
        </w:rPr>
        <w:t>mgC/m</w:t>
      </w:r>
      <w:r w:rsidR="007E011C" w:rsidRPr="007E063E">
        <w:rPr>
          <w:rFonts w:ascii="Arial" w:hAnsi="Arial" w:cs="Arial"/>
          <w:vertAlign w:val="superscript"/>
          <w:lang w:val="sv-SE"/>
        </w:rPr>
        <w:t>3</w:t>
      </w:r>
      <w:r w:rsidR="007E011C" w:rsidRPr="007E063E">
        <w:rPr>
          <w:rFonts w:ascii="Arial" w:hAnsi="Arial" w:cs="Arial"/>
          <w:lang w:val="sv-SE"/>
        </w:rPr>
        <w:t>/day</w:t>
      </w:r>
      <w:r w:rsidR="007E011C">
        <w:rPr>
          <w:rFonts w:ascii="Arial" w:hAnsi="Arial" w:cs="Arial"/>
          <w:lang w:val="sv-SE"/>
        </w:rPr>
        <w:t xml:space="preserve"> reflect eutrophic conditions (Sunaryo, 2017). Comparisons among stations were made to determine the influence of KJA aquaculture on the productivity and nutrient dynamics of the reservoir, providing a scientific basis for future management and conservation strategies.</w:t>
      </w:r>
    </w:p>
    <w:p w14:paraId="10B7C06A" w14:textId="203FC0F4" w:rsidR="00790ADA" w:rsidRPr="00FB3A86" w:rsidRDefault="00790ADA" w:rsidP="006022C3">
      <w:pPr>
        <w:pStyle w:val="Body"/>
        <w:spacing w:after="0" w:line="276" w:lineRule="auto"/>
        <w:rPr>
          <w:rFonts w:ascii="Arial" w:hAnsi="Arial" w:cs="Arial"/>
        </w:rPr>
      </w:pPr>
    </w:p>
    <w:p w14:paraId="58A986E4" w14:textId="79EDF13A" w:rsidR="00863BD3" w:rsidRPr="00FB3A86" w:rsidRDefault="00000F8F" w:rsidP="006022C3">
      <w:pPr>
        <w:pStyle w:val="Head1"/>
        <w:spacing w:after="0" w:line="276"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A8BCC7" w14:textId="6E4FFE58" w:rsidR="00C30A0F" w:rsidRDefault="00C30A0F"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 xml:space="preserve">.1 </w:t>
      </w:r>
      <w:r w:rsidR="006C478E">
        <w:rPr>
          <w:rFonts w:ascii="Arial" w:hAnsi="Arial" w:cs="Arial"/>
          <w:b/>
          <w:sz w:val="22"/>
        </w:rPr>
        <w:t>Primary Productivity</w:t>
      </w:r>
    </w:p>
    <w:p w14:paraId="0DDD664A" w14:textId="366D50D2" w:rsidR="006C478E" w:rsidRDefault="006C478E" w:rsidP="006022C3">
      <w:pPr>
        <w:pStyle w:val="Body"/>
        <w:spacing w:after="0" w:line="276" w:lineRule="auto"/>
        <w:rPr>
          <w:rFonts w:ascii="Arial" w:hAnsi="Arial" w:cs="Arial"/>
          <w:lang w:val="sv-SE"/>
        </w:rPr>
      </w:pPr>
      <w:r>
        <w:rPr>
          <w:rFonts w:ascii="Arial" w:hAnsi="Arial" w:cs="Arial"/>
          <w:bCs/>
          <w:szCs w:val="18"/>
        </w:rPr>
        <w:tab/>
        <w:t xml:space="preserve">The measurement of primary productivity across the four stations in Saguling Reservoir revealed a clear spatial variation, strongly influenced by the presence and intensity of aquaculture activities using floating net cages (KJA). The highest </w:t>
      </w:r>
      <w:r w:rsidR="00F0741B">
        <w:rPr>
          <w:rFonts w:ascii="Arial" w:hAnsi="Arial" w:cs="Arial"/>
          <w:bCs/>
          <w:szCs w:val="18"/>
        </w:rPr>
        <w:t xml:space="preserve">value of primary productivity was observed at station 2, located in the central zone of the reservoir where the density of KJA reached 1.203 units. At this site, primary productivity reached 746,028 </w:t>
      </w:r>
      <w:r w:rsidR="00F0741B" w:rsidRPr="007E063E">
        <w:rPr>
          <w:rFonts w:ascii="Arial" w:hAnsi="Arial" w:cs="Arial"/>
          <w:lang w:val="sv-SE"/>
        </w:rPr>
        <w:t>mgC/m</w:t>
      </w:r>
      <w:r w:rsidR="00F0741B" w:rsidRPr="007E063E">
        <w:rPr>
          <w:rFonts w:ascii="Arial" w:hAnsi="Arial" w:cs="Arial"/>
          <w:vertAlign w:val="superscript"/>
          <w:lang w:val="sv-SE"/>
        </w:rPr>
        <w:t>3</w:t>
      </w:r>
      <w:r w:rsidR="00F0741B" w:rsidRPr="007E063E">
        <w:rPr>
          <w:rFonts w:ascii="Arial" w:hAnsi="Arial" w:cs="Arial"/>
          <w:lang w:val="sv-SE"/>
        </w:rPr>
        <w:t>/day</w:t>
      </w:r>
      <w:r w:rsidR="00F0741B">
        <w:rPr>
          <w:rFonts w:ascii="Arial" w:hAnsi="Arial" w:cs="Arial"/>
          <w:lang w:val="sv-SE"/>
        </w:rPr>
        <w:t>, particularly pronounced at the ½ compensation depth, where light penetration is still adequate and nutrient concentration is elevated. This high productivit</w:t>
      </w:r>
      <w:r w:rsidR="00CA2BFA">
        <w:rPr>
          <w:rFonts w:ascii="Arial" w:hAnsi="Arial" w:cs="Arial"/>
          <w:lang w:val="sv-SE"/>
        </w:rPr>
        <w:t>y</w:t>
      </w:r>
      <w:r w:rsidR="00F0741B">
        <w:rPr>
          <w:rFonts w:ascii="Arial" w:hAnsi="Arial" w:cs="Arial"/>
          <w:lang w:val="sv-SE"/>
        </w:rPr>
        <w:t xml:space="preserve"> indicates that nutrient enrichment due to organic waste from uneaten feed and fish metabolism has stimulated </w:t>
      </w:r>
      <w:r w:rsidR="00E90313">
        <w:rPr>
          <w:rFonts w:ascii="Arial" w:hAnsi="Arial" w:cs="Arial"/>
          <w:lang w:val="sv-SE"/>
        </w:rPr>
        <w:t>phytoplankton growth and photosynthetic activity.</w:t>
      </w:r>
      <w:r w:rsidR="00284593">
        <w:rPr>
          <w:rFonts w:ascii="Arial" w:hAnsi="Arial" w:cs="Arial"/>
          <w:lang w:val="sv-SE"/>
        </w:rPr>
        <w:t xml:space="preserve"> </w:t>
      </w:r>
    </w:p>
    <w:p w14:paraId="593BEE02" w14:textId="03BACA76" w:rsidR="0030688C" w:rsidRDefault="0030688C" w:rsidP="006022C3">
      <w:pPr>
        <w:pStyle w:val="Body"/>
        <w:spacing w:after="0" w:line="276" w:lineRule="auto"/>
        <w:rPr>
          <w:rFonts w:ascii="Arial" w:hAnsi="Arial" w:cs="Arial"/>
          <w:lang w:val="sv-SE"/>
        </w:rPr>
      </w:pPr>
      <w:r>
        <w:rPr>
          <w:rFonts w:ascii="Arial" w:hAnsi="Arial" w:cs="Arial"/>
          <w:lang w:val="sv-SE"/>
        </w:rPr>
        <w:tab/>
        <w:t>Station 3, which is also situated</w:t>
      </w:r>
      <w:r w:rsidR="00D9473D">
        <w:rPr>
          <w:rFonts w:ascii="Arial" w:hAnsi="Arial" w:cs="Arial"/>
          <w:lang w:val="sv-SE"/>
        </w:rPr>
        <w:t xml:space="preserve"> in the lacustrine zone but with a moderate number of cages (672 units), showed slightly lower but still elevated productivity values, with an average of 689,724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In contrast, significantly lower productivity was recorded at station 1, 225,216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and station 4 with 478,584 </w:t>
      </w:r>
      <w:r w:rsidR="00D9473D" w:rsidRPr="007E063E">
        <w:rPr>
          <w:rFonts w:ascii="Arial" w:hAnsi="Arial" w:cs="Arial"/>
          <w:lang w:val="sv-SE"/>
        </w:rPr>
        <w:t>mgC/m</w:t>
      </w:r>
      <w:r w:rsidR="00D9473D" w:rsidRPr="007E063E">
        <w:rPr>
          <w:rFonts w:ascii="Arial" w:hAnsi="Arial" w:cs="Arial"/>
          <w:vertAlign w:val="superscript"/>
          <w:lang w:val="sv-SE"/>
        </w:rPr>
        <w:t>3</w:t>
      </w:r>
      <w:r w:rsidR="00D9473D" w:rsidRPr="007E063E">
        <w:rPr>
          <w:rFonts w:ascii="Arial" w:hAnsi="Arial" w:cs="Arial"/>
          <w:lang w:val="sv-SE"/>
        </w:rPr>
        <w:t>/day</w:t>
      </w:r>
      <w:r w:rsidR="00D9473D">
        <w:rPr>
          <w:rFonts w:ascii="Arial" w:hAnsi="Arial" w:cs="Arial"/>
          <w:lang w:val="sv-SE"/>
        </w:rPr>
        <w:t xml:space="preserve"> which are located in the inlet and outlet zones repectively, both without KJA activities. These results support the hypothesis that nutrient input from KJA operations significantl</w:t>
      </w:r>
      <w:r w:rsidR="00C17148">
        <w:rPr>
          <w:rFonts w:ascii="Arial" w:hAnsi="Arial" w:cs="Arial"/>
          <w:lang w:val="sv-SE"/>
        </w:rPr>
        <w:t>y</w:t>
      </w:r>
      <w:r w:rsidR="00D9473D">
        <w:rPr>
          <w:rFonts w:ascii="Arial" w:hAnsi="Arial" w:cs="Arial"/>
          <w:lang w:val="sv-SE"/>
        </w:rPr>
        <w:t xml:space="preserve"> contributes to increased </w:t>
      </w:r>
      <w:r w:rsidR="00C17148">
        <w:rPr>
          <w:rFonts w:ascii="Arial" w:hAnsi="Arial" w:cs="Arial"/>
          <w:lang w:val="sv-SE"/>
        </w:rPr>
        <w:t xml:space="preserve">primary productivity (Aprianto </w:t>
      </w:r>
      <w:r w:rsidR="00C17148">
        <w:rPr>
          <w:rFonts w:ascii="Arial" w:hAnsi="Arial" w:cs="Arial"/>
          <w:i/>
          <w:iCs/>
          <w:lang w:val="sv-SE"/>
        </w:rPr>
        <w:t xml:space="preserve">et al. </w:t>
      </w:r>
      <w:r w:rsidR="00C17148">
        <w:rPr>
          <w:rFonts w:ascii="Arial" w:hAnsi="Arial" w:cs="Arial"/>
          <w:lang w:val="sv-SE"/>
        </w:rPr>
        <w:t>2020). The spatial distribution of productivity values follows a gradient consistent with aquaculture density, reinforcing the role of anthropogenic input as a key driver of trophic dynamics in the reservoir. The following is a table of primary productivity values obtained (Table 2).</w:t>
      </w:r>
    </w:p>
    <w:p w14:paraId="310CDF97" w14:textId="77777777" w:rsidR="00F6112F" w:rsidRDefault="00F6112F" w:rsidP="006022C3">
      <w:pPr>
        <w:pStyle w:val="Body"/>
        <w:spacing w:after="0" w:line="276" w:lineRule="auto"/>
        <w:rPr>
          <w:rFonts w:ascii="Arial" w:hAnsi="Arial" w:cs="Arial"/>
          <w:lang w:val="sv-SE"/>
        </w:rPr>
      </w:pPr>
    </w:p>
    <w:p w14:paraId="05D517D9" w14:textId="3EF552D2" w:rsidR="00F6112F" w:rsidRPr="0030688C" w:rsidRDefault="00F6112F" w:rsidP="006022C3">
      <w:pPr>
        <w:pStyle w:val="Caption"/>
        <w:keepNext/>
        <w:spacing w:after="0" w:line="276" w:lineRule="auto"/>
        <w:rPr>
          <w:rFonts w:ascii="Arial" w:hAnsi="Arial" w:cs="Arial"/>
          <w:i w:val="0"/>
          <w:iCs w:val="0"/>
        </w:rPr>
      </w:pPr>
      <w:r w:rsidRPr="0030688C">
        <w:rPr>
          <w:rFonts w:ascii="Arial" w:hAnsi="Arial" w:cs="Arial"/>
          <w:b/>
          <w:bCs/>
          <w:i w:val="0"/>
          <w:iCs w:val="0"/>
          <w:color w:val="auto"/>
        </w:rPr>
        <w:t xml:space="preserve">Table </w:t>
      </w:r>
      <w:r w:rsidRPr="0030688C">
        <w:rPr>
          <w:rFonts w:ascii="Arial" w:hAnsi="Arial" w:cs="Arial"/>
          <w:b/>
          <w:bCs/>
          <w:i w:val="0"/>
          <w:iCs w:val="0"/>
          <w:color w:val="auto"/>
        </w:rPr>
        <w:fldChar w:fldCharType="begin"/>
      </w:r>
      <w:r w:rsidRPr="0030688C">
        <w:rPr>
          <w:rFonts w:ascii="Arial" w:hAnsi="Arial" w:cs="Arial"/>
          <w:b/>
          <w:bCs/>
          <w:i w:val="0"/>
          <w:iCs w:val="0"/>
          <w:color w:val="auto"/>
        </w:rPr>
        <w:instrText xml:space="preserve"> SEQ Table \* ARABIC </w:instrText>
      </w:r>
      <w:r w:rsidRPr="0030688C">
        <w:rPr>
          <w:rFonts w:ascii="Arial" w:hAnsi="Arial" w:cs="Arial"/>
          <w:b/>
          <w:bCs/>
          <w:i w:val="0"/>
          <w:iCs w:val="0"/>
          <w:color w:val="auto"/>
        </w:rPr>
        <w:fldChar w:fldCharType="separate"/>
      </w:r>
      <w:r w:rsidR="008A784F">
        <w:rPr>
          <w:rFonts w:ascii="Arial" w:hAnsi="Arial" w:cs="Arial"/>
          <w:b/>
          <w:bCs/>
          <w:i w:val="0"/>
          <w:iCs w:val="0"/>
          <w:noProof/>
          <w:color w:val="auto"/>
        </w:rPr>
        <w:t>2</w:t>
      </w:r>
      <w:r w:rsidRPr="0030688C">
        <w:rPr>
          <w:rFonts w:ascii="Arial" w:hAnsi="Arial" w:cs="Arial"/>
          <w:b/>
          <w:bCs/>
          <w:i w:val="0"/>
          <w:iCs w:val="0"/>
          <w:color w:val="auto"/>
        </w:rPr>
        <w:fldChar w:fldCharType="end"/>
      </w:r>
      <w:r w:rsidRPr="0030688C">
        <w:rPr>
          <w:rFonts w:ascii="Arial" w:hAnsi="Arial" w:cs="Arial"/>
          <w:b/>
          <w:bCs/>
          <w:i w:val="0"/>
          <w:iCs w:val="0"/>
          <w:color w:val="auto"/>
        </w:rPr>
        <w:t>.</w:t>
      </w:r>
      <w:r w:rsidRPr="0030688C">
        <w:rPr>
          <w:rFonts w:ascii="Arial" w:hAnsi="Arial" w:cs="Arial"/>
          <w:i w:val="0"/>
          <w:iCs w:val="0"/>
          <w:color w:val="auto"/>
        </w:rPr>
        <w:t xml:space="preserve"> </w:t>
      </w:r>
      <w:r w:rsidR="0030688C" w:rsidRPr="0030688C">
        <w:rPr>
          <w:rFonts w:ascii="Arial" w:hAnsi="Arial" w:cs="Arial"/>
          <w:i w:val="0"/>
          <w:iCs w:val="0"/>
          <w:color w:val="auto"/>
        </w:rPr>
        <w:t>The V</w:t>
      </w:r>
      <w:r w:rsidRPr="0030688C">
        <w:rPr>
          <w:rFonts w:ascii="Arial" w:hAnsi="Arial" w:cs="Arial"/>
          <w:i w:val="0"/>
          <w:iCs w:val="0"/>
          <w:color w:val="auto"/>
        </w:rPr>
        <w:t>alue of Primary Productivity in Saguling Reservoir</w:t>
      </w:r>
    </w:p>
    <w:tbl>
      <w:tblPr>
        <w:tblStyle w:val="TableGrid"/>
        <w:tblW w:w="0" w:type="auto"/>
        <w:tblBorders>
          <w:insideH w:val="single" w:sz="4" w:space="0" w:color="auto"/>
        </w:tblBorders>
        <w:tblLook w:val="04A0" w:firstRow="1" w:lastRow="0" w:firstColumn="1" w:lastColumn="0" w:noHBand="0" w:noVBand="1"/>
      </w:tblPr>
      <w:tblGrid>
        <w:gridCol w:w="1838"/>
        <w:gridCol w:w="1559"/>
        <w:gridCol w:w="1701"/>
        <w:gridCol w:w="1701"/>
        <w:gridCol w:w="1701"/>
      </w:tblGrid>
      <w:tr w:rsidR="00284593" w14:paraId="51748F7F" w14:textId="77777777" w:rsidTr="00530778">
        <w:tc>
          <w:tcPr>
            <w:tcW w:w="1838" w:type="dxa"/>
            <w:vMerge w:val="restart"/>
            <w:tcBorders>
              <w:left w:val="single" w:sz="4" w:space="0" w:color="FFFFFF"/>
              <w:right w:val="single" w:sz="4" w:space="0" w:color="FFFFFF"/>
            </w:tcBorders>
            <w:vAlign w:val="center"/>
          </w:tcPr>
          <w:p w14:paraId="6D4BEFF7" w14:textId="0FCB45D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Depth (m)</w:t>
            </w:r>
          </w:p>
        </w:tc>
        <w:tc>
          <w:tcPr>
            <w:tcW w:w="6662" w:type="dxa"/>
            <w:gridSpan w:val="4"/>
            <w:tcBorders>
              <w:left w:val="single" w:sz="4" w:space="0" w:color="FFFFFF"/>
              <w:right w:val="single" w:sz="4" w:space="0" w:color="FFFFFF"/>
            </w:tcBorders>
            <w:vAlign w:val="center"/>
          </w:tcPr>
          <w:p w14:paraId="3974D0A1" w14:textId="209F874C"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Station</w:t>
            </w:r>
          </w:p>
        </w:tc>
      </w:tr>
      <w:tr w:rsidR="00284593" w14:paraId="516D3583" w14:textId="77777777" w:rsidTr="00530778">
        <w:tc>
          <w:tcPr>
            <w:tcW w:w="1838" w:type="dxa"/>
            <w:vMerge/>
            <w:tcBorders>
              <w:left w:val="single" w:sz="4" w:space="0" w:color="FFFFFF"/>
              <w:right w:val="single" w:sz="4" w:space="0" w:color="FFFFFF"/>
            </w:tcBorders>
            <w:vAlign w:val="center"/>
          </w:tcPr>
          <w:p w14:paraId="7FB1E143" w14:textId="77777777" w:rsidR="00284593" w:rsidRPr="00F6112F" w:rsidRDefault="00284593" w:rsidP="006022C3">
            <w:pPr>
              <w:pStyle w:val="Body"/>
              <w:spacing w:after="0" w:line="276" w:lineRule="auto"/>
              <w:jc w:val="center"/>
              <w:rPr>
                <w:rFonts w:ascii="Arial" w:hAnsi="Arial" w:cs="Arial"/>
                <w:b/>
                <w:sz w:val="20"/>
                <w:szCs w:val="16"/>
              </w:rPr>
            </w:pPr>
          </w:p>
        </w:tc>
        <w:tc>
          <w:tcPr>
            <w:tcW w:w="1559" w:type="dxa"/>
            <w:tcBorders>
              <w:left w:val="single" w:sz="4" w:space="0" w:color="FFFFFF"/>
              <w:right w:val="single" w:sz="4" w:space="0" w:color="FFFFFF"/>
            </w:tcBorders>
            <w:vAlign w:val="center"/>
          </w:tcPr>
          <w:p w14:paraId="1884E3E6"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1</w:t>
            </w:r>
          </w:p>
          <w:p w14:paraId="661BB748" w14:textId="4D506C9D"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245A81D2"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2</w:t>
            </w:r>
          </w:p>
          <w:p w14:paraId="50532D61" w14:textId="79ED8DB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5C0EADCD"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3</w:t>
            </w:r>
          </w:p>
          <w:p w14:paraId="2200D57B" w14:textId="20E72DC2"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c>
          <w:tcPr>
            <w:tcW w:w="1701" w:type="dxa"/>
            <w:tcBorders>
              <w:left w:val="single" w:sz="4" w:space="0" w:color="FFFFFF"/>
              <w:right w:val="single" w:sz="4" w:space="0" w:color="FFFFFF"/>
            </w:tcBorders>
            <w:vAlign w:val="center"/>
          </w:tcPr>
          <w:p w14:paraId="44D2AD70" w14:textId="77777777"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sz w:val="20"/>
                <w:szCs w:val="16"/>
              </w:rPr>
              <w:t>4</w:t>
            </w:r>
          </w:p>
          <w:p w14:paraId="150A9119" w14:textId="1AC5840D" w:rsidR="00284593" w:rsidRPr="00F6112F" w:rsidRDefault="00284593" w:rsidP="006022C3">
            <w:pPr>
              <w:pStyle w:val="Body"/>
              <w:spacing w:after="0" w:line="276" w:lineRule="auto"/>
              <w:jc w:val="center"/>
              <w:rPr>
                <w:rFonts w:ascii="Arial" w:hAnsi="Arial" w:cs="Arial"/>
                <w:b/>
                <w:sz w:val="20"/>
                <w:szCs w:val="16"/>
              </w:rPr>
            </w:pP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p>
        </w:tc>
      </w:tr>
      <w:tr w:rsidR="00F6112F" w14:paraId="012A3A78" w14:textId="77777777" w:rsidTr="00530778">
        <w:tc>
          <w:tcPr>
            <w:tcW w:w="1838" w:type="dxa"/>
            <w:tcBorders>
              <w:left w:val="single" w:sz="4" w:space="0" w:color="FFFFFF"/>
              <w:bottom w:val="single" w:sz="4" w:space="0" w:color="FFFFFF"/>
              <w:right w:val="single" w:sz="4" w:space="0" w:color="FFFFFF"/>
            </w:tcBorders>
            <w:vAlign w:val="center"/>
          </w:tcPr>
          <w:p w14:paraId="65AABCBA" w14:textId="33C663AE"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 xml:space="preserve">Surface </w:t>
            </w:r>
          </w:p>
        </w:tc>
        <w:tc>
          <w:tcPr>
            <w:tcW w:w="1559" w:type="dxa"/>
            <w:tcBorders>
              <w:left w:val="single" w:sz="4" w:space="0" w:color="FFFFFF"/>
              <w:bottom w:val="single" w:sz="4" w:space="0" w:color="FFFFFF"/>
              <w:right w:val="single" w:sz="4" w:space="0" w:color="FFFFFF"/>
            </w:tcBorders>
          </w:tcPr>
          <w:p w14:paraId="6217191D" w14:textId="60460014"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267,444</w:t>
            </w:r>
          </w:p>
        </w:tc>
        <w:tc>
          <w:tcPr>
            <w:tcW w:w="1701" w:type="dxa"/>
            <w:tcBorders>
              <w:left w:val="single" w:sz="4" w:space="0" w:color="FFFFFF"/>
              <w:bottom w:val="single" w:sz="4" w:space="0" w:color="FFFFFF"/>
              <w:right w:val="single" w:sz="4" w:space="0" w:color="FFFFFF"/>
            </w:tcBorders>
          </w:tcPr>
          <w:p w14:paraId="2B2B5CCE" w14:textId="787DE73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534,888</w:t>
            </w:r>
          </w:p>
        </w:tc>
        <w:tc>
          <w:tcPr>
            <w:tcW w:w="1701" w:type="dxa"/>
            <w:tcBorders>
              <w:left w:val="single" w:sz="4" w:space="0" w:color="FFFFFF"/>
              <w:bottom w:val="single" w:sz="4" w:space="0" w:color="FFFFFF"/>
              <w:right w:val="single" w:sz="4" w:space="0" w:color="FFFFFF"/>
            </w:tcBorders>
          </w:tcPr>
          <w:p w14:paraId="39941A8F" w14:textId="111B1A2C"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492,660</w:t>
            </w:r>
          </w:p>
        </w:tc>
        <w:tc>
          <w:tcPr>
            <w:tcW w:w="1701" w:type="dxa"/>
            <w:tcBorders>
              <w:left w:val="single" w:sz="4" w:space="0" w:color="FFFFFF"/>
              <w:bottom w:val="single" w:sz="4" w:space="0" w:color="FFFFFF"/>
              <w:right w:val="single" w:sz="4" w:space="0" w:color="FFFFFF"/>
            </w:tcBorders>
          </w:tcPr>
          <w:p w14:paraId="01CBC3FC" w14:textId="57C7B5AB"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478,584</w:t>
            </w:r>
          </w:p>
        </w:tc>
      </w:tr>
      <w:tr w:rsidR="00F6112F" w14:paraId="0E8D9948" w14:textId="77777777" w:rsidTr="00530778">
        <w:tc>
          <w:tcPr>
            <w:tcW w:w="1838" w:type="dxa"/>
            <w:tcBorders>
              <w:top w:val="single" w:sz="4" w:space="0" w:color="FFFFFF"/>
              <w:left w:val="single" w:sz="4" w:space="0" w:color="FFFFFF"/>
              <w:bottom w:val="single" w:sz="4" w:space="0" w:color="FFFFFF"/>
              <w:right w:val="single" w:sz="4" w:space="0" w:color="FFFFFF"/>
            </w:tcBorders>
            <w:vAlign w:val="center"/>
          </w:tcPr>
          <w:p w14:paraId="4C11CF9C" w14:textId="4AE49BB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½ Compensation</w:t>
            </w:r>
          </w:p>
        </w:tc>
        <w:tc>
          <w:tcPr>
            <w:tcW w:w="1559" w:type="dxa"/>
            <w:tcBorders>
              <w:top w:val="single" w:sz="4" w:space="0" w:color="FFFFFF"/>
              <w:left w:val="single" w:sz="4" w:space="0" w:color="FFFFFF"/>
              <w:bottom w:val="single" w:sz="4" w:space="0" w:color="FFFFFF"/>
              <w:right w:val="single" w:sz="4" w:space="0" w:color="FFFFFF"/>
            </w:tcBorders>
          </w:tcPr>
          <w:p w14:paraId="62565F1E" w14:textId="239136F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422,280</w:t>
            </w:r>
          </w:p>
        </w:tc>
        <w:tc>
          <w:tcPr>
            <w:tcW w:w="1701" w:type="dxa"/>
            <w:tcBorders>
              <w:top w:val="single" w:sz="4" w:space="0" w:color="FFFFFF"/>
              <w:left w:val="single" w:sz="4" w:space="0" w:color="FFFFFF"/>
              <w:bottom w:val="single" w:sz="4" w:space="0" w:color="FFFFFF"/>
              <w:right w:val="single" w:sz="4" w:space="0" w:color="FFFFFF"/>
            </w:tcBorders>
          </w:tcPr>
          <w:p w14:paraId="268BEBA0" w14:textId="14F767E5"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746,028</w:t>
            </w:r>
          </w:p>
        </w:tc>
        <w:tc>
          <w:tcPr>
            <w:tcW w:w="1701" w:type="dxa"/>
            <w:tcBorders>
              <w:top w:val="single" w:sz="4" w:space="0" w:color="FFFFFF"/>
              <w:left w:val="single" w:sz="4" w:space="0" w:color="FFFFFF"/>
              <w:bottom w:val="single" w:sz="4" w:space="0" w:color="FFFFFF"/>
              <w:right w:val="single" w:sz="4" w:space="0" w:color="FFFFFF"/>
            </w:tcBorders>
          </w:tcPr>
          <w:p w14:paraId="60DB17EA" w14:textId="725989D0"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689,724</w:t>
            </w:r>
          </w:p>
        </w:tc>
        <w:tc>
          <w:tcPr>
            <w:tcW w:w="1701" w:type="dxa"/>
            <w:tcBorders>
              <w:top w:val="single" w:sz="4" w:space="0" w:color="FFFFFF"/>
              <w:left w:val="single" w:sz="4" w:space="0" w:color="FFFFFF"/>
              <w:bottom w:val="single" w:sz="4" w:space="0" w:color="FFFFFF"/>
              <w:right w:val="single" w:sz="4" w:space="0" w:color="FFFFFF"/>
            </w:tcBorders>
          </w:tcPr>
          <w:p w14:paraId="50314E17" w14:textId="7008F7A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r>
      <w:tr w:rsidR="00F6112F" w14:paraId="10C52CD3" w14:textId="77777777" w:rsidTr="00530778">
        <w:tc>
          <w:tcPr>
            <w:tcW w:w="1838" w:type="dxa"/>
            <w:tcBorders>
              <w:top w:val="single" w:sz="4" w:space="0" w:color="FFFFFF"/>
              <w:left w:val="single" w:sz="4" w:space="0" w:color="FFFFFF"/>
              <w:right w:val="single" w:sz="4" w:space="0" w:color="FFFFFF"/>
            </w:tcBorders>
            <w:vAlign w:val="center"/>
          </w:tcPr>
          <w:p w14:paraId="693E1939" w14:textId="41C7D5E3" w:rsidR="00F6112F" w:rsidRPr="00284593" w:rsidRDefault="00F6112F" w:rsidP="006022C3">
            <w:pPr>
              <w:pStyle w:val="Body"/>
              <w:spacing w:after="0" w:line="276" w:lineRule="auto"/>
              <w:jc w:val="left"/>
              <w:rPr>
                <w:rFonts w:ascii="Arial" w:hAnsi="Arial" w:cs="Arial"/>
                <w:bCs/>
                <w:sz w:val="20"/>
                <w:szCs w:val="16"/>
              </w:rPr>
            </w:pPr>
            <w:r>
              <w:rPr>
                <w:rFonts w:ascii="Arial" w:hAnsi="Arial" w:cs="Arial"/>
                <w:bCs/>
                <w:sz w:val="20"/>
                <w:szCs w:val="16"/>
              </w:rPr>
              <w:t>Compensation</w:t>
            </w:r>
          </w:p>
        </w:tc>
        <w:tc>
          <w:tcPr>
            <w:tcW w:w="1559" w:type="dxa"/>
            <w:tcBorders>
              <w:top w:val="single" w:sz="4" w:space="0" w:color="FFFFFF"/>
              <w:left w:val="single" w:sz="4" w:space="0" w:color="FFFFFF"/>
              <w:right w:val="single" w:sz="4" w:space="0" w:color="FFFFFF"/>
            </w:tcBorders>
          </w:tcPr>
          <w:p w14:paraId="0E5A9725" w14:textId="2311D50E"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225,216</w:t>
            </w:r>
          </w:p>
        </w:tc>
        <w:tc>
          <w:tcPr>
            <w:tcW w:w="1701" w:type="dxa"/>
            <w:tcBorders>
              <w:top w:val="single" w:sz="4" w:space="0" w:color="FFFFFF"/>
              <w:left w:val="single" w:sz="4" w:space="0" w:color="FFFFFF"/>
              <w:right w:val="single" w:sz="4" w:space="0" w:color="FFFFFF"/>
            </w:tcBorders>
          </w:tcPr>
          <w:p w14:paraId="44652E73" w14:textId="7E2738A6"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506,736</w:t>
            </w:r>
          </w:p>
        </w:tc>
        <w:tc>
          <w:tcPr>
            <w:tcW w:w="1701" w:type="dxa"/>
            <w:tcBorders>
              <w:top w:val="single" w:sz="4" w:space="0" w:color="FFFFFF"/>
              <w:left w:val="single" w:sz="4" w:space="0" w:color="FFFFFF"/>
              <w:right w:val="single" w:sz="4" w:space="0" w:color="FFFFFF"/>
            </w:tcBorders>
          </w:tcPr>
          <w:p w14:paraId="78B3BA9B" w14:textId="41B52BD8"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450,432</w:t>
            </w:r>
          </w:p>
        </w:tc>
        <w:tc>
          <w:tcPr>
            <w:tcW w:w="1701" w:type="dxa"/>
            <w:tcBorders>
              <w:top w:val="single" w:sz="4" w:space="0" w:color="FFFFFF"/>
              <w:left w:val="single" w:sz="4" w:space="0" w:color="FFFFFF"/>
              <w:right w:val="single" w:sz="4" w:space="0" w:color="FFFFFF"/>
            </w:tcBorders>
          </w:tcPr>
          <w:p w14:paraId="220ABB6E" w14:textId="5E5FDAE7" w:rsidR="00F6112F" w:rsidRPr="00F6112F" w:rsidRDefault="00F6112F" w:rsidP="006022C3">
            <w:pPr>
              <w:pStyle w:val="Body"/>
              <w:spacing w:after="0" w:line="276" w:lineRule="auto"/>
              <w:jc w:val="center"/>
              <w:rPr>
                <w:rFonts w:ascii="Arial" w:hAnsi="Arial" w:cs="Arial"/>
                <w:bCs/>
                <w:sz w:val="20"/>
                <w:szCs w:val="20"/>
              </w:rPr>
            </w:pPr>
            <w:r w:rsidRPr="00F6112F">
              <w:rPr>
                <w:rFonts w:ascii="Arial" w:hAnsi="Arial" w:cs="Arial"/>
                <w:sz w:val="20"/>
                <w:szCs w:val="20"/>
              </w:rPr>
              <w:t>408,204</w:t>
            </w:r>
          </w:p>
        </w:tc>
      </w:tr>
    </w:tbl>
    <w:p w14:paraId="60A0FAF7" w14:textId="77777777" w:rsidR="00284593" w:rsidRPr="006C478E" w:rsidRDefault="00284593" w:rsidP="006022C3">
      <w:pPr>
        <w:pStyle w:val="Body"/>
        <w:spacing w:after="0" w:line="276" w:lineRule="auto"/>
        <w:rPr>
          <w:rFonts w:ascii="Arial" w:hAnsi="Arial" w:cs="Arial"/>
          <w:bCs/>
          <w:szCs w:val="18"/>
        </w:rPr>
      </w:pPr>
    </w:p>
    <w:p w14:paraId="365F2A56" w14:textId="2528A1FF" w:rsidR="00505F06" w:rsidRDefault="00C17148" w:rsidP="006022C3">
      <w:pPr>
        <w:pStyle w:val="Body"/>
        <w:spacing w:after="0" w:line="276" w:lineRule="auto"/>
        <w:rPr>
          <w:rFonts w:ascii="Arial" w:hAnsi="Arial" w:cs="Arial"/>
        </w:rPr>
      </w:pPr>
      <w:r>
        <w:rPr>
          <w:rFonts w:ascii="Arial" w:hAnsi="Arial" w:cs="Arial"/>
        </w:rPr>
        <w:tab/>
        <w:t xml:space="preserve">According to the trophic classification </w:t>
      </w:r>
      <w:r w:rsidR="00011FBA">
        <w:rPr>
          <w:rFonts w:ascii="Arial" w:hAnsi="Arial" w:cs="Arial"/>
        </w:rPr>
        <w:t xml:space="preserve">by Sari </w:t>
      </w:r>
      <w:r w:rsidR="00011FBA">
        <w:rPr>
          <w:rFonts w:ascii="Arial" w:hAnsi="Arial" w:cs="Arial"/>
          <w:i/>
          <w:iCs/>
        </w:rPr>
        <w:t xml:space="preserve">et al. </w:t>
      </w:r>
      <w:r w:rsidR="00011FBA">
        <w:rPr>
          <w:rFonts w:ascii="Arial" w:hAnsi="Arial" w:cs="Arial"/>
        </w:rPr>
        <w:t xml:space="preserve">(2017), all of the stations can be categorized as mesotrophic rage. Mesotrophic reservoir still support a diversity of organisms because at this </w:t>
      </w:r>
      <w:r w:rsidR="001B771A">
        <w:rPr>
          <w:rFonts w:ascii="Arial" w:hAnsi="Arial" w:cs="Arial"/>
        </w:rPr>
        <w:t xml:space="preserve">trophic </w:t>
      </w:r>
      <w:r w:rsidR="00011FBA">
        <w:rPr>
          <w:rFonts w:ascii="Arial" w:hAnsi="Arial" w:cs="Arial"/>
        </w:rPr>
        <w:t xml:space="preserve">level they are sufficient to support the life of organisms but not excessively (Ismail </w:t>
      </w:r>
      <w:r w:rsidR="00011FBA">
        <w:rPr>
          <w:rFonts w:ascii="Arial" w:hAnsi="Arial" w:cs="Arial"/>
          <w:i/>
          <w:iCs/>
        </w:rPr>
        <w:t xml:space="preserve">et al. </w:t>
      </w:r>
      <w:r w:rsidR="00011FBA">
        <w:rPr>
          <w:rFonts w:ascii="Arial" w:hAnsi="Arial" w:cs="Arial"/>
        </w:rPr>
        <w:t xml:space="preserve">2018). This pattern a shift in trophic status in areas with intensive aquaculture, which could, over time, lead to ecosystem degradation if not managed appropriately. </w:t>
      </w:r>
      <w:r w:rsidR="00530778">
        <w:rPr>
          <w:rFonts w:ascii="Arial" w:hAnsi="Arial" w:cs="Arial"/>
        </w:rPr>
        <w:t>Table 3 shows the average value of primary productivity and the trophic status of Saguling Reservoir during the research.</w:t>
      </w:r>
    </w:p>
    <w:p w14:paraId="22DB7606" w14:textId="77777777" w:rsidR="008A784F" w:rsidRDefault="008A784F" w:rsidP="006022C3">
      <w:pPr>
        <w:pStyle w:val="Body"/>
        <w:spacing w:after="0" w:line="276" w:lineRule="auto"/>
        <w:rPr>
          <w:rFonts w:ascii="Arial" w:hAnsi="Arial" w:cs="Arial"/>
        </w:rPr>
      </w:pPr>
    </w:p>
    <w:p w14:paraId="78A1BBF2" w14:textId="77777777" w:rsidR="008A784F" w:rsidRPr="008A784F" w:rsidRDefault="008A784F" w:rsidP="006022C3">
      <w:pPr>
        <w:pStyle w:val="Caption"/>
        <w:keepNext/>
        <w:spacing w:after="0" w:line="276" w:lineRule="auto"/>
        <w:rPr>
          <w:rFonts w:ascii="Arial" w:hAnsi="Arial" w:cs="Arial"/>
          <w:i w:val="0"/>
          <w:iCs w:val="0"/>
          <w:color w:val="auto"/>
        </w:rPr>
      </w:pPr>
      <w:r w:rsidRPr="008A784F">
        <w:rPr>
          <w:rFonts w:ascii="Arial" w:hAnsi="Arial" w:cs="Arial"/>
          <w:b/>
          <w:bCs/>
          <w:i w:val="0"/>
          <w:iCs w:val="0"/>
          <w:color w:val="auto"/>
        </w:rPr>
        <w:t xml:space="preserve">Table </w:t>
      </w:r>
      <w:r w:rsidRPr="008A784F">
        <w:rPr>
          <w:rFonts w:ascii="Arial" w:hAnsi="Arial" w:cs="Arial"/>
          <w:b/>
          <w:bCs/>
          <w:i w:val="0"/>
          <w:iCs w:val="0"/>
          <w:color w:val="auto"/>
        </w:rPr>
        <w:fldChar w:fldCharType="begin"/>
      </w:r>
      <w:r w:rsidRPr="008A784F">
        <w:rPr>
          <w:rFonts w:ascii="Arial" w:hAnsi="Arial" w:cs="Arial"/>
          <w:b/>
          <w:bCs/>
          <w:i w:val="0"/>
          <w:iCs w:val="0"/>
          <w:color w:val="auto"/>
        </w:rPr>
        <w:instrText xml:space="preserve"> SEQ Table \* ARABIC </w:instrText>
      </w:r>
      <w:r w:rsidRPr="008A784F">
        <w:rPr>
          <w:rFonts w:ascii="Arial" w:hAnsi="Arial" w:cs="Arial"/>
          <w:b/>
          <w:bCs/>
          <w:i w:val="0"/>
          <w:iCs w:val="0"/>
          <w:color w:val="auto"/>
        </w:rPr>
        <w:fldChar w:fldCharType="separate"/>
      </w:r>
      <w:r w:rsidRPr="008A784F">
        <w:rPr>
          <w:rFonts w:ascii="Arial" w:hAnsi="Arial" w:cs="Arial"/>
          <w:b/>
          <w:bCs/>
          <w:i w:val="0"/>
          <w:iCs w:val="0"/>
          <w:noProof/>
          <w:color w:val="auto"/>
        </w:rPr>
        <w:t>3</w:t>
      </w:r>
      <w:r w:rsidRPr="008A784F">
        <w:rPr>
          <w:rFonts w:ascii="Arial" w:hAnsi="Arial" w:cs="Arial"/>
          <w:b/>
          <w:bCs/>
          <w:i w:val="0"/>
          <w:iCs w:val="0"/>
          <w:color w:val="auto"/>
        </w:rPr>
        <w:fldChar w:fldCharType="end"/>
      </w:r>
      <w:r w:rsidRPr="008A784F">
        <w:rPr>
          <w:rFonts w:ascii="Arial" w:hAnsi="Arial" w:cs="Arial"/>
          <w:b/>
          <w:bCs/>
          <w:i w:val="0"/>
          <w:iCs w:val="0"/>
          <w:color w:val="auto"/>
        </w:rPr>
        <w:t>.</w:t>
      </w:r>
      <w:r w:rsidRPr="008A784F">
        <w:rPr>
          <w:rFonts w:ascii="Arial" w:hAnsi="Arial" w:cs="Arial"/>
          <w:i w:val="0"/>
          <w:iCs w:val="0"/>
          <w:color w:val="auto"/>
        </w:rPr>
        <w:t xml:space="preserve"> Average Value of Primary Productivity and Trophic Status of Saguling Reservoir</w:t>
      </w:r>
    </w:p>
    <w:tbl>
      <w:tblPr>
        <w:tblStyle w:val="TableGrid"/>
        <w:tblW w:w="0" w:type="auto"/>
        <w:tblLook w:val="04A0" w:firstRow="1" w:lastRow="0" w:firstColumn="1" w:lastColumn="0" w:noHBand="0" w:noVBand="1"/>
      </w:tblPr>
      <w:tblGrid>
        <w:gridCol w:w="2689"/>
        <w:gridCol w:w="3118"/>
        <w:gridCol w:w="2693"/>
      </w:tblGrid>
      <w:tr w:rsidR="00530778" w14:paraId="77736333" w14:textId="77777777" w:rsidTr="008A784F">
        <w:trPr>
          <w:tblHeader/>
        </w:trPr>
        <w:tc>
          <w:tcPr>
            <w:tcW w:w="2689" w:type="dxa"/>
            <w:tcBorders>
              <w:left w:val="single" w:sz="4" w:space="0" w:color="FFFFFF"/>
              <w:right w:val="single" w:sz="4" w:space="0" w:color="FFFFFF"/>
            </w:tcBorders>
            <w:vAlign w:val="center"/>
          </w:tcPr>
          <w:p w14:paraId="570E0FEA" w14:textId="46EA06C8" w:rsidR="00530778" w:rsidRPr="00530778" w:rsidRDefault="00530778" w:rsidP="006022C3">
            <w:pPr>
              <w:pStyle w:val="Body"/>
              <w:spacing w:after="0" w:line="276" w:lineRule="auto"/>
              <w:jc w:val="center"/>
              <w:rPr>
                <w:rFonts w:ascii="Arial" w:hAnsi="Arial" w:cs="Arial"/>
                <w:b/>
                <w:bCs/>
                <w:sz w:val="20"/>
                <w:szCs w:val="20"/>
              </w:rPr>
            </w:pPr>
            <w:r>
              <w:rPr>
                <w:rFonts w:ascii="Arial" w:hAnsi="Arial" w:cs="Arial"/>
                <w:b/>
                <w:bCs/>
                <w:sz w:val="20"/>
                <w:szCs w:val="20"/>
              </w:rPr>
              <w:t>Station</w:t>
            </w:r>
          </w:p>
        </w:tc>
        <w:tc>
          <w:tcPr>
            <w:tcW w:w="3118" w:type="dxa"/>
            <w:tcBorders>
              <w:left w:val="single" w:sz="4" w:space="0" w:color="FFFFFF"/>
              <w:right w:val="single" w:sz="4" w:space="0" w:color="FFFFFF"/>
            </w:tcBorders>
            <w:vAlign w:val="center"/>
          </w:tcPr>
          <w:p w14:paraId="3D568006" w14:textId="77777777" w:rsid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Primary Productivity</w:t>
            </w:r>
          </w:p>
          <w:p w14:paraId="518577EC" w14:textId="5F101015" w:rsidR="008A784F"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w:t>
            </w:r>
            <w:r w:rsidRPr="00F6112F">
              <w:rPr>
                <w:rFonts w:ascii="Arial" w:hAnsi="Arial" w:cs="Arial"/>
                <w:b/>
                <w:lang w:val="sv-SE"/>
              </w:rPr>
              <w:t>mgC/m</w:t>
            </w:r>
            <w:r w:rsidRPr="00F6112F">
              <w:rPr>
                <w:rFonts w:ascii="Arial" w:hAnsi="Arial" w:cs="Arial"/>
                <w:b/>
                <w:vertAlign w:val="superscript"/>
                <w:lang w:val="sv-SE"/>
              </w:rPr>
              <w:t>3</w:t>
            </w:r>
            <w:r w:rsidRPr="00F6112F">
              <w:rPr>
                <w:rFonts w:ascii="Arial" w:hAnsi="Arial" w:cs="Arial"/>
                <w:b/>
                <w:lang w:val="sv-SE"/>
              </w:rPr>
              <w:t>/day</w:t>
            </w:r>
            <w:r>
              <w:rPr>
                <w:rFonts w:ascii="Arial" w:hAnsi="Arial" w:cs="Arial"/>
                <w:b/>
                <w:lang w:val="sv-SE"/>
              </w:rPr>
              <w:t>)</w:t>
            </w:r>
          </w:p>
        </w:tc>
        <w:tc>
          <w:tcPr>
            <w:tcW w:w="2693" w:type="dxa"/>
            <w:tcBorders>
              <w:left w:val="single" w:sz="4" w:space="0" w:color="FFFFFF"/>
              <w:right w:val="single" w:sz="4" w:space="0" w:color="FFFFFF"/>
            </w:tcBorders>
            <w:vAlign w:val="center"/>
          </w:tcPr>
          <w:p w14:paraId="08567281" w14:textId="189FB784" w:rsidR="00530778" w:rsidRPr="00530778" w:rsidRDefault="008A784F" w:rsidP="006022C3">
            <w:pPr>
              <w:pStyle w:val="Body"/>
              <w:spacing w:after="0" w:line="276" w:lineRule="auto"/>
              <w:jc w:val="center"/>
              <w:rPr>
                <w:rFonts w:ascii="Arial" w:hAnsi="Arial" w:cs="Arial"/>
                <w:b/>
                <w:bCs/>
                <w:sz w:val="20"/>
                <w:szCs w:val="20"/>
              </w:rPr>
            </w:pPr>
            <w:r>
              <w:rPr>
                <w:rFonts w:ascii="Arial" w:hAnsi="Arial" w:cs="Arial"/>
                <w:b/>
                <w:bCs/>
                <w:sz w:val="20"/>
                <w:szCs w:val="20"/>
              </w:rPr>
              <w:t>Trophic status</w:t>
            </w:r>
          </w:p>
        </w:tc>
      </w:tr>
      <w:tr w:rsidR="00530778" w14:paraId="7C0BB82F" w14:textId="77777777" w:rsidTr="008A784F">
        <w:trPr>
          <w:tblHeader/>
        </w:trPr>
        <w:tc>
          <w:tcPr>
            <w:tcW w:w="2689" w:type="dxa"/>
            <w:tcBorders>
              <w:left w:val="single" w:sz="4" w:space="0" w:color="FFFFFF"/>
              <w:bottom w:val="single" w:sz="4" w:space="0" w:color="FFFFFF"/>
              <w:right w:val="single" w:sz="4" w:space="0" w:color="FFFFFF"/>
            </w:tcBorders>
            <w:vAlign w:val="center"/>
          </w:tcPr>
          <w:p w14:paraId="20B19F67" w14:textId="2BEDB3E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1</w:t>
            </w:r>
          </w:p>
        </w:tc>
        <w:tc>
          <w:tcPr>
            <w:tcW w:w="3118" w:type="dxa"/>
            <w:tcBorders>
              <w:left w:val="single" w:sz="4" w:space="0" w:color="FFFFFF"/>
              <w:bottom w:val="single" w:sz="4" w:space="0" w:color="FFFFFF"/>
              <w:right w:val="single" w:sz="4" w:space="0" w:color="FFFFFF"/>
            </w:tcBorders>
            <w:vAlign w:val="center"/>
          </w:tcPr>
          <w:p w14:paraId="593D0044" w14:textId="76829634"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304,980</w:t>
            </w:r>
          </w:p>
        </w:tc>
        <w:tc>
          <w:tcPr>
            <w:tcW w:w="2693" w:type="dxa"/>
            <w:tcBorders>
              <w:left w:val="single" w:sz="4" w:space="0" w:color="FFFFFF"/>
              <w:bottom w:val="single" w:sz="4" w:space="0" w:color="FFFFFF"/>
              <w:right w:val="single" w:sz="4" w:space="0" w:color="FFFFFF"/>
            </w:tcBorders>
            <w:vAlign w:val="center"/>
          </w:tcPr>
          <w:p w14:paraId="14402658" w14:textId="36F5A322" w:rsidR="00530778"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Mesotrophic</w:t>
            </w:r>
          </w:p>
        </w:tc>
      </w:tr>
      <w:tr w:rsidR="008A784F" w14:paraId="0610C1FB"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68A5E872" w14:textId="591AB69F"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2</w:t>
            </w:r>
          </w:p>
        </w:tc>
        <w:tc>
          <w:tcPr>
            <w:tcW w:w="3118" w:type="dxa"/>
            <w:tcBorders>
              <w:top w:val="single" w:sz="4" w:space="0" w:color="FFFFFF"/>
              <w:left w:val="single" w:sz="4" w:space="0" w:color="FFFFFF"/>
              <w:bottom w:val="single" w:sz="4" w:space="0" w:color="FFFFFF"/>
              <w:right w:val="single" w:sz="4" w:space="0" w:color="FFFFFF"/>
            </w:tcBorders>
            <w:vAlign w:val="center"/>
          </w:tcPr>
          <w:p w14:paraId="3FD3438B" w14:textId="432D457C"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595,884</w:t>
            </w:r>
          </w:p>
        </w:tc>
        <w:tc>
          <w:tcPr>
            <w:tcW w:w="2693" w:type="dxa"/>
            <w:tcBorders>
              <w:top w:val="single" w:sz="4" w:space="0" w:color="FFFFFF"/>
              <w:left w:val="single" w:sz="4" w:space="0" w:color="FFFFFF"/>
              <w:bottom w:val="single" w:sz="4" w:space="0" w:color="FFFFFF"/>
              <w:right w:val="single" w:sz="4" w:space="0" w:color="FFFFFF"/>
            </w:tcBorders>
          </w:tcPr>
          <w:p w14:paraId="26D2F514" w14:textId="372A9E8B"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E6856EC" w14:textId="77777777" w:rsidTr="008A784F">
        <w:trPr>
          <w:tblHeader/>
        </w:trPr>
        <w:tc>
          <w:tcPr>
            <w:tcW w:w="2689" w:type="dxa"/>
            <w:tcBorders>
              <w:top w:val="single" w:sz="4" w:space="0" w:color="FFFFFF"/>
              <w:left w:val="single" w:sz="4" w:space="0" w:color="FFFFFF"/>
              <w:bottom w:val="single" w:sz="4" w:space="0" w:color="FFFFFF"/>
              <w:right w:val="single" w:sz="4" w:space="0" w:color="FFFFFF"/>
            </w:tcBorders>
            <w:vAlign w:val="center"/>
          </w:tcPr>
          <w:p w14:paraId="4BEE791F" w14:textId="70DCE393"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3</w:t>
            </w:r>
          </w:p>
        </w:tc>
        <w:tc>
          <w:tcPr>
            <w:tcW w:w="3118" w:type="dxa"/>
            <w:tcBorders>
              <w:top w:val="single" w:sz="4" w:space="0" w:color="FFFFFF"/>
              <w:left w:val="single" w:sz="4" w:space="0" w:color="FFFFFF"/>
              <w:bottom w:val="single" w:sz="4" w:space="0" w:color="FFFFFF"/>
              <w:right w:val="single" w:sz="4" w:space="0" w:color="FFFFFF"/>
            </w:tcBorders>
            <w:vAlign w:val="center"/>
          </w:tcPr>
          <w:p w14:paraId="16A98A48" w14:textId="4B1C356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544,272</w:t>
            </w:r>
          </w:p>
        </w:tc>
        <w:tc>
          <w:tcPr>
            <w:tcW w:w="2693" w:type="dxa"/>
            <w:tcBorders>
              <w:top w:val="single" w:sz="4" w:space="0" w:color="FFFFFF"/>
              <w:left w:val="single" w:sz="4" w:space="0" w:color="FFFFFF"/>
              <w:bottom w:val="single" w:sz="4" w:space="0" w:color="FFFFFF"/>
              <w:right w:val="single" w:sz="4" w:space="0" w:color="FFFFFF"/>
            </w:tcBorders>
          </w:tcPr>
          <w:p w14:paraId="012AB4D7" w14:textId="7910FF80"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r w:rsidR="008A784F" w14:paraId="5249F5D9" w14:textId="77777777" w:rsidTr="008A784F">
        <w:trPr>
          <w:tblHeader/>
        </w:trPr>
        <w:tc>
          <w:tcPr>
            <w:tcW w:w="2689" w:type="dxa"/>
            <w:tcBorders>
              <w:top w:val="single" w:sz="4" w:space="0" w:color="FFFFFF"/>
              <w:left w:val="single" w:sz="4" w:space="0" w:color="FFFFFF"/>
              <w:right w:val="single" w:sz="4" w:space="0" w:color="FFFFFF"/>
            </w:tcBorders>
            <w:vAlign w:val="center"/>
          </w:tcPr>
          <w:p w14:paraId="63DB8C20" w14:textId="65137B3B"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w:t>
            </w:r>
          </w:p>
        </w:tc>
        <w:tc>
          <w:tcPr>
            <w:tcW w:w="3118" w:type="dxa"/>
            <w:tcBorders>
              <w:top w:val="single" w:sz="4" w:space="0" w:color="FFFFFF"/>
              <w:left w:val="single" w:sz="4" w:space="0" w:color="FFFFFF"/>
              <w:right w:val="single" w:sz="4" w:space="0" w:color="FFFFFF"/>
            </w:tcBorders>
            <w:vAlign w:val="center"/>
          </w:tcPr>
          <w:p w14:paraId="789B9E9C" w14:textId="1028CA42" w:rsidR="008A784F" w:rsidRPr="00530778" w:rsidRDefault="008A784F" w:rsidP="006022C3">
            <w:pPr>
              <w:pStyle w:val="Body"/>
              <w:spacing w:after="0" w:line="276" w:lineRule="auto"/>
              <w:jc w:val="center"/>
              <w:rPr>
                <w:rFonts w:ascii="Arial" w:hAnsi="Arial" w:cs="Arial"/>
                <w:sz w:val="20"/>
                <w:szCs w:val="20"/>
              </w:rPr>
            </w:pPr>
            <w:r>
              <w:rPr>
                <w:rFonts w:ascii="Arial" w:hAnsi="Arial" w:cs="Arial"/>
                <w:sz w:val="20"/>
                <w:szCs w:val="20"/>
              </w:rPr>
              <w:t>445,740</w:t>
            </w:r>
          </w:p>
        </w:tc>
        <w:tc>
          <w:tcPr>
            <w:tcW w:w="2693" w:type="dxa"/>
            <w:tcBorders>
              <w:top w:val="single" w:sz="4" w:space="0" w:color="FFFFFF"/>
              <w:left w:val="single" w:sz="4" w:space="0" w:color="FFFFFF"/>
              <w:right w:val="single" w:sz="4" w:space="0" w:color="FFFFFF"/>
            </w:tcBorders>
          </w:tcPr>
          <w:p w14:paraId="0520B199" w14:textId="1C26DCDE" w:rsidR="008A784F" w:rsidRPr="00530778" w:rsidRDefault="008A784F" w:rsidP="006022C3">
            <w:pPr>
              <w:pStyle w:val="Body"/>
              <w:spacing w:after="0" w:line="276" w:lineRule="auto"/>
              <w:jc w:val="center"/>
              <w:rPr>
                <w:rFonts w:ascii="Arial" w:hAnsi="Arial" w:cs="Arial"/>
                <w:sz w:val="20"/>
                <w:szCs w:val="20"/>
              </w:rPr>
            </w:pPr>
            <w:r w:rsidRPr="00100756">
              <w:rPr>
                <w:rFonts w:ascii="Arial" w:hAnsi="Arial" w:cs="Arial"/>
                <w:sz w:val="20"/>
                <w:szCs w:val="20"/>
              </w:rPr>
              <w:t>Mesotrophic</w:t>
            </w:r>
          </w:p>
        </w:tc>
      </w:tr>
    </w:tbl>
    <w:p w14:paraId="77013D38" w14:textId="661F2598" w:rsidR="00530778" w:rsidRPr="0036423E" w:rsidRDefault="0036423E" w:rsidP="006022C3">
      <w:pPr>
        <w:pStyle w:val="Body"/>
        <w:spacing w:after="0" w:line="276" w:lineRule="auto"/>
        <w:rPr>
          <w:rFonts w:ascii="Arial" w:hAnsi="Arial" w:cs="Arial"/>
          <w:sz w:val="18"/>
          <w:szCs w:val="18"/>
        </w:rPr>
      </w:pPr>
      <w:r>
        <w:rPr>
          <w:rFonts w:ascii="Arial" w:hAnsi="Arial" w:cs="Arial"/>
          <w:sz w:val="18"/>
          <w:szCs w:val="18"/>
        </w:rPr>
        <w:t xml:space="preserve">Source: Sari </w:t>
      </w:r>
      <w:r>
        <w:rPr>
          <w:rFonts w:ascii="Arial" w:hAnsi="Arial" w:cs="Arial"/>
          <w:i/>
          <w:iCs/>
          <w:sz w:val="18"/>
          <w:szCs w:val="18"/>
        </w:rPr>
        <w:t xml:space="preserve">et al. </w:t>
      </w:r>
      <w:r>
        <w:rPr>
          <w:rFonts w:ascii="Arial" w:hAnsi="Arial" w:cs="Arial"/>
          <w:sz w:val="18"/>
          <w:szCs w:val="18"/>
        </w:rPr>
        <w:t>(2018)</w:t>
      </w:r>
    </w:p>
    <w:p w14:paraId="3E3BFA2A" w14:textId="77777777" w:rsidR="00011FBA" w:rsidRPr="00011FBA" w:rsidRDefault="00011FBA" w:rsidP="006022C3">
      <w:pPr>
        <w:pStyle w:val="Body"/>
        <w:spacing w:after="0" w:line="276" w:lineRule="auto"/>
        <w:rPr>
          <w:rFonts w:ascii="Arial" w:hAnsi="Arial" w:cs="Arial"/>
        </w:rPr>
      </w:pPr>
    </w:p>
    <w:p w14:paraId="2989F925" w14:textId="2235A79E" w:rsidR="001B771A" w:rsidRDefault="001B771A" w:rsidP="006022C3">
      <w:pPr>
        <w:pStyle w:val="Body"/>
        <w:spacing w:after="0" w:line="276" w:lineRule="auto"/>
        <w:rPr>
          <w:rFonts w:ascii="Arial" w:hAnsi="Arial" w:cs="Arial"/>
          <w:b/>
          <w:sz w:val="22"/>
        </w:rPr>
      </w:pPr>
      <w:r>
        <w:rPr>
          <w:rFonts w:ascii="Arial" w:hAnsi="Arial" w:cs="Arial"/>
          <w:b/>
          <w:caps/>
          <w:sz w:val="22"/>
        </w:rPr>
        <w:t>3</w:t>
      </w:r>
      <w:r w:rsidRPr="00C30A0F">
        <w:rPr>
          <w:rFonts w:ascii="Arial" w:hAnsi="Arial" w:cs="Arial"/>
          <w:b/>
          <w:caps/>
          <w:sz w:val="22"/>
        </w:rPr>
        <w:t>.</w:t>
      </w:r>
      <w:r>
        <w:rPr>
          <w:rFonts w:ascii="Arial" w:hAnsi="Arial" w:cs="Arial"/>
          <w:b/>
          <w:caps/>
          <w:sz w:val="22"/>
        </w:rPr>
        <w:t>2</w:t>
      </w:r>
      <w:r w:rsidRPr="00C30A0F">
        <w:rPr>
          <w:rFonts w:ascii="Arial" w:hAnsi="Arial" w:cs="Arial"/>
          <w:b/>
          <w:caps/>
          <w:sz w:val="22"/>
        </w:rPr>
        <w:t xml:space="preserve"> </w:t>
      </w:r>
      <w:r>
        <w:rPr>
          <w:rFonts w:ascii="Arial" w:hAnsi="Arial" w:cs="Arial"/>
          <w:b/>
          <w:sz w:val="22"/>
        </w:rPr>
        <w:t>Physical and Chemical Water Quality Factors</w:t>
      </w:r>
    </w:p>
    <w:p w14:paraId="7F6C1C0E" w14:textId="26D760F5" w:rsidR="001B771A" w:rsidRPr="001B771A" w:rsidRDefault="001B771A" w:rsidP="006022C3">
      <w:pPr>
        <w:pStyle w:val="Body"/>
        <w:spacing w:after="0" w:line="276" w:lineRule="auto"/>
        <w:rPr>
          <w:rFonts w:ascii="Arial" w:hAnsi="Arial" w:cs="Arial"/>
          <w:bCs/>
          <w:szCs w:val="18"/>
        </w:rPr>
      </w:pPr>
      <w:r>
        <w:rPr>
          <w:rFonts w:ascii="Arial" w:hAnsi="Arial" w:cs="Arial"/>
          <w:bCs/>
          <w:szCs w:val="18"/>
        </w:rPr>
        <w:tab/>
        <w:t>The physical and chemical characteristics of the water also showed distinct differences across stations, further supporting the findings on primary productivity.</w:t>
      </w:r>
    </w:p>
    <w:p w14:paraId="258BA3CE" w14:textId="77777777" w:rsidR="001B771A" w:rsidRDefault="001B771A" w:rsidP="006022C3">
      <w:pPr>
        <w:pStyle w:val="Body"/>
        <w:spacing w:after="0" w:line="276" w:lineRule="auto"/>
        <w:rPr>
          <w:rFonts w:ascii="Arial" w:hAnsi="Arial" w:cs="Arial"/>
          <w:b/>
          <w:sz w:val="22"/>
        </w:rPr>
      </w:pPr>
    </w:p>
    <w:p w14:paraId="14232102" w14:textId="6DD6FEF5" w:rsidR="001B771A" w:rsidRDefault="001B771A" w:rsidP="006022C3">
      <w:pPr>
        <w:pStyle w:val="Body"/>
        <w:spacing w:after="0" w:line="276" w:lineRule="auto"/>
        <w:rPr>
          <w:rFonts w:ascii="Arial" w:hAnsi="Arial" w:cs="Arial"/>
          <w:b/>
          <w:u w:val="single"/>
        </w:rPr>
      </w:pPr>
      <w:r>
        <w:rPr>
          <w:rFonts w:ascii="Arial" w:hAnsi="Arial" w:cs="Arial"/>
          <w:b/>
          <w:u w:val="single"/>
        </w:rPr>
        <w:t xml:space="preserve">3.2.1 Water </w:t>
      </w:r>
      <w:r w:rsidR="00FE7BB9">
        <w:rPr>
          <w:rFonts w:ascii="Arial" w:hAnsi="Arial" w:cs="Arial"/>
          <w:b/>
          <w:u w:val="single"/>
        </w:rPr>
        <w:t>Temperature</w:t>
      </w:r>
    </w:p>
    <w:p w14:paraId="6BFFE2D4" w14:textId="3E4D208E" w:rsidR="00FE7BB9" w:rsidRDefault="00FE7BB9" w:rsidP="006022C3">
      <w:pPr>
        <w:pStyle w:val="Body"/>
        <w:spacing w:after="0" w:line="276" w:lineRule="auto"/>
        <w:rPr>
          <w:rFonts w:ascii="Arial" w:hAnsi="Arial" w:cs="Arial"/>
          <w:bCs/>
        </w:rPr>
      </w:pPr>
      <w:r>
        <w:rPr>
          <w:rFonts w:ascii="Arial" w:hAnsi="Arial" w:cs="Arial"/>
          <w:bCs/>
        </w:rPr>
        <w:tab/>
        <w:t xml:space="preserve">Water temperature across the reservoir ranged from </w:t>
      </w:r>
      <w:r w:rsidRPr="00FE7BB9">
        <w:rPr>
          <w:rFonts w:ascii="Arial" w:hAnsi="Arial" w:cs="Arial"/>
          <w:lang w:val="sv-SE"/>
        </w:rPr>
        <w:t>23,9°C ± 1,95°C – 26,7°C ± 0,44°C</w:t>
      </w:r>
      <w:r>
        <w:rPr>
          <w:rFonts w:ascii="Arial" w:hAnsi="Arial" w:cs="Arial"/>
          <w:bCs/>
        </w:rPr>
        <w:t xml:space="preserve">, with minimal variation between stations and depths. These values are within the optimal range for phytoplankton growth (Kadir </w:t>
      </w:r>
      <w:r>
        <w:rPr>
          <w:rFonts w:ascii="Arial" w:hAnsi="Arial" w:cs="Arial"/>
          <w:bCs/>
          <w:i/>
          <w:iCs/>
        </w:rPr>
        <w:t xml:space="preserve">et al. </w:t>
      </w:r>
      <w:r>
        <w:rPr>
          <w:rFonts w:ascii="Arial" w:hAnsi="Arial" w:cs="Arial"/>
          <w:bCs/>
        </w:rPr>
        <w:t>2015), suggesting that temperature was not a limiting factor during the research.</w:t>
      </w:r>
    </w:p>
    <w:p w14:paraId="47DEE466" w14:textId="55851357" w:rsidR="00FE7BB9" w:rsidRDefault="00FE7BB9" w:rsidP="006022C3">
      <w:pPr>
        <w:pStyle w:val="Body"/>
        <w:spacing w:after="0" w:line="276" w:lineRule="auto"/>
        <w:rPr>
          <w:rFonts w:ascii="Arial" w:hAnsi="Arial" w:cs="Arial"/>
          <w:b/>
          <w:u w:val="single"/>
        </w:rPr>
      </w:pPr>
      <w:r>
        <w:rPr>
          <w:rFonts w:ascii="Arial" w:hAnsi="Arial" w:cs="Arial"/>
          <w:b/>
          <w:u w:val="single"/>
        </w:rPr>
        <w:t>3.2.</w:t>
      </w:r>
      <w:r w:rsidR="000A640E">
        <w:rPr>
          <w:rFonts w:ascii="Arial" w:hAnsi="Arial" w:cs="Arial"/>
          <w:b/>
          <w:u w:val="single"/>
        </w:rPr>
        <w:t>2</w:t>
      </w:r>
      <w:r>
        <w:rPr>
          <w:rFonts w:ascii="Arial" w:hAnsi="Arial" w:cs="Arial"/>
          <w:b/>
          <w:u w:val="single"/>
        </w:rPr>
        <w:t xml:space="preserve"> Water T</w:t>
      </w:r>
      <w:r w:rsidR="000A640E">
        <w:rPr>
          <w:rFonts w:ascii="Arial" w:hAnsi="Arial" w:cs="Arial"/>
          <w:b/>
          <w:u w:val="single"/>
        </w:rPr>
        <w:t>ransparency</w:t>
      </w:r>
    </w:p>
    <w:p w14:paraId="6D43E3EB" w14:textId="57C99F1F" w:rsidR="000A640E" w:rsidRDefault="000A640E" w:rsidP="006022C3">
      <w:pPr>
        <w:pStyle w:val="Body"/>
        <w:spacing w:after="0" w:line="276" w:lineRule="auto"/>
        <w:rPr>
          <w:rFonts w:ascii="Arial" w:hAnsi="Arial" w:cs="Arial"/>
          <w:bCs/>
        </w:rPr>
      </w:pPr>
      <w:r>
        <w:rPr>
          <w:rFonts w:ascii="Arial" w:hAnsi="Arial" w:cs="Arial"/>
          <w:bCs/>
        </w:rPr>
        <w:tab/>
      </w:r>
      <w:proofErr w:type="spellStart"/>
      <w:r w:rsidR="005F67E7">
        <w:rPr>
          <w:rFonts w:ascii="Arial" w:hAnsi="Arial" w:cs="Arial"/>
          <w:bCs/>
        </w:rPr>
        <w:t>Paserang</w:t>
      </w:r>
      <w:proofErr w:type="spellEnd"/>
      <w:r w:rsidR="005F67E7">
        <w:rPr>
          <w:rFonts w:ascii="Arial" w:hAnsi="Arial" w:cs="Arial"/>
          <w:bCs/>
        </w:rPr>
        <w:t xml:space="preserve"> (2020) stated that the optimal water clarity level for plankton photosynthesis is between 30 – 50 cm. But in this case, the transparency in Saguling Reservoir is above 50 cm at all stations, meaning that photosynthesis in the Saguling Reservoir still occurs at a depth of more than 50 cm</w:t>
      </w:r>
      <w:r w:rsidR="007E3FD3">
        <w:rPr>
          <w:rFonts w:ascii="Arial" w:hAnsi="Arial" w:cs="Arial"/>
          <w:bCs/>
        </w:rPr>
        <w:t>.</w:t>
      </w:r>
    </w:p>
    <w:p w14:paraId="00ECA2E8" w14:textId="2CF89EFC" w:rsidR="007E3FD3" w:rsidRDefault="007E3FD3" w:rsidP="006022C3">
      <w:pPr>
        <w:pStyle w:val="Body"/>
        <w:spacing w:after="0" w:line="276" w:lineRule="auto"/>
        <w:rPr>
          <w:rFonts w:ascii="Arial" w:hAnsi="Arial" w:cs="Arial"/>
          <w:b/>
          <w:u w:val="single"/>
        </w:rPr>
      </w:pPr>
      <w:r>
        <w:rPr>
          <w:rFonts w:ascii="Arial" w:hAnsi="Arial" w:cs="Arial"/>
          <w:b/>
          <w:u w:val="single"/>
        </w:rPr>
        <w:t>3.2.3 pH</w:t>
      </w:r>
    </w:p>
    <w:p w14:paraId="56702ED8" w14:textId="75E5AC04" w:rsidR="007E3FD3" w:rsidRPr="007E3FD3" w:rsidRDefault="007E3FD3" w:rsidP="006022C3">
      <w:pPr>
        <w:pStyle w:val="Body"/>
        <w:spacing w:after="0" w:line="276" w:lineRule="auto"/>
        <w:rPr>
          <w:rFonts w:ascii="Arial" w:hAnsi="Arial" w:cs="Arial"/>
          <w:bCs/>
        </w:rPr>
      </w:pPr>
      <w:r>
        <w:rPr>
          <w:rFonts w:ascii="Arial" w:hAnsi="Arial" w:cs="Arial"/>
          <w:bCs/>
        </w:rPr>
        <w:tab/>
        <w:t xml:space="preserve">The pH value in Saguling Reservoir varies between 6,7 and 7,2 at the surface from station 1 to station 4. At half compensation depth, the pH value ranges from 6,4 to 7,8 while </w:t>
      </w:r>
      <w:r w:rsidR="00DD5182">
        <w:rPr>
          <w:rFonts w:ascii="Arial" w:hAnsi="Arial" w:cs="Arial"/>
          <w:bCs/>
        </w:rPr>
        <w:t>at the compensation depth, the pH value ranges from 6,5 to 7,7. Thus, the pH value in Saguling Reservoir is still within the optimal range to support tilapia cultivation activities (</w:t>
      </w:r>
      <w:proofErr w:type="spellStart"/>
      <w:r w:rsidR="00E27FCB">
        <w:rPr>
          <w:rFonts w:ascii="Arial" w:hAnsi="Arial" w:cs="Arial"/>
          <w:bCs/>
        </w:rPr>
        <w:t>Indriati</w:t>
      </w:r>
      <w:proofErr w:type="spellEnd"/>
      <w:r w:rsidR="00E27FCB">
        <w:rPr>
          <w:rFonts w:ascii="Arial" w:hAnsi="Arial" w:cs="Arial"/>
          <w:bCs/>
        </w:rPr>
        <w:t xml:space="preserve"> &amp; </w:t>
      </w:r>
      <w:proofErr w:type="spellStart"/>
      <w:r w:rsidR="00E27FCB">
        <w:rPr>
          <w:rFonts w:ascii="Arial" w:hAnsi="Arial" w:cs="Arial"/>
          <w:bCs/>
        </w:rPr>
        <w:t>Hafiludin</w:t>
      </w:r>
      <w:proofErr w:type="spellEnd"/>
      <w:r w:rsidR="00E27FCB">
        <w:rPr>
          <w:rFonts w:ascii="Arial" w:hAnsi="Arial" w:cs="Arial"/>
          <w:bCs/>
        </w:rPr>
        <w:t xml:space="preserve"> 2022).</w:t>
      </w:r>
    </w:p>
    <w:p w14:paraId="36C62403" w14:textId="0BEF0AA6" w:rsidR="00DD5182" w:rsidRDefault="00DD5182" w:rsidP="006022C3">
      <w:pPr>
        <w:pStyle w:val="Body"/>
        <w:spacing w:after="0" w:line="276" w:lineRule="auto"/>
        <w:rPr>
          <w:rFonts w:ascii="Arial" w:hAnsi="Arial" w:cs="Arial"/>
          <w:b/>
          <w:u w:val="single"/>
        </w:rPr>
      </w:pPr>
      <w:r>
        <w:rPr>
          <w:rFonts w:ascii="Arial" w:hAnsi="Arial" w:cs="Arial"/>
          <w:b/>
          <w:u w:val="single"/>
        </w:rPr>
        <w:t>3.2.</w:t>
      </w:r>
      <w:r w:rsidR="000F57C1">
        <w:rPr>
          <w:rFonts w:ascii="Arial" w:hAnsi="Arial" w:cs="Arial"/>
          <w:b/>
          <w:u w:val="single"/>
        </w:rPr>
        <w:t>4 Carbon dioxide (CO</w:t>
      </w:r>
      <w:r w:rsidR="000F57C1">
        <w:rPr>
          <w:rFonts w:ascii="Arial" w:hAnsi="Arial" w:cs="Arial"/>
          <w:b/>
          <w:u w:val="single"/>
          <w:vertAlign w:val="subscript"/>
        </w:rPr>
        <w:t>2</w:t>
      </w:r>
      <w:r w:rsidR="000F57C1">
        <w:rPr>
          <w:rFonts w:ascii="Arial" w:hAnsi="Arial" w:cs="Arial"/>
          <w:b/>
          <w:u w:val="single"/>
        </w:rPr>
        <w:t>)</w:t>
      </w:r>
    </w:p>
    <w:p w14:paraId="6C782C0A" w14:textId="0DAF9014" w:rsidR="000F57C1" w:rsidRDefault="000F57C1" w:rsidP="006022C3">
      <w:pPr>
        <w:pStyle w:val="Body"/>
        <w:spacing w:after="0" w:line="276" w:lineRule="auto"/>
        <w:rPr>
          <w:rFonts w:ascii="Arial" w:hAnsi="Arial" w:cs="Arial"/>
          <w:bCs/>
        </w:rPr>
      </w:pPr>
      <w:r>
        <w:rPr>
          <w:rFonts w:ascii="Arial" w:hAnsi="Arial" w:cs="Arial"/>
          <w:bCs/>
        </w:rPr>
        <w:tab/>
      </w:r>
      <w:r w:rsidR="001E5C93">
        <w:rPr>
          <w:rFonts w:ascii="Arial" w:hAnsi="Arial" w:cs="Arial"/>
          <w:bCs/>
        </w:rPr>
        <w:t xml:space="preserve">The average </w:t>
      </w:r>
      <w:r w:rsidR="001E5C93" w:rsidRPr="001E5C93">
        <w:rPr>
          <w:rFonts w:ascii="Arial" w:hAnsi="Arial" w:cs="Arial"/>
          <w:bCs/>
        </w:rPr>
        <w:t>CO</w:t>
      </w:r>
      <w:r w:rsidR="001E5C93" w:rsidRPr="001E5C93">
        <w:rPr>
          <w:rFonts w:ascii="Arial" w:hAnsi="Arial" w:cs="Arial"/>
          <w:bCs/>
          <w:vertAlign w:val="subscript"/>
        </w:rPr>
        <w:t>2</w:t>
      </w:r>
      <w:r w:rsidR="001E5C93">
        <w:rPr>
          <w:rFonts w:ascii="Arial" w:hAnsi="Arial" w:cs="Arial"/>
          <w:bCs/>
          <w:vertAlign w:val="subscript"/>
        </w:rPr>
        <w:t xml:space="preserve"> </w:t>
      </w:r>
      <w:r w:rsidR="001E5C93">
        <w:rPr>
          <w:rFonts w:ascii="Arial" w:hAnsi="Arial" w:cs="Arial"/>
          <w:bCs/>
        </w:rPr>
        <w:t>value in Saguling Reservoir ranges from 12,92 to 19,21 mg/L. there is a negative correlation between carbon dioxide concentration and pH (</w:t>
      </w:r>
      <w:proofErr w:type="spellStart"/>
      <w:r w:rsidR="008F7547">
        <w:rPr>
          <w:rFonts w:ascii="Arial" w:hAnsi="Arial" w:cs="Arial"/>
          <w:bCs/>
        </w:rPr>
        <w:t>Prasetyawan</w:t>
      </w:r>
      <w:proofErr w:type="spellEnd"/>
      <w:r w:rsidR="008F7547">
        <w:rPr>
          <w:rFonts w:ascii="Arial" w:hAnsi="Arial" w:cs="Arial"/>
          <w:bCs/>
        </w:rPr>
        <w:t xml:space="preserve"> </w:t>
      </w:r>
      <w:r w:rsidR="008F7547">
        <w:rPr>
          <w:rFonts w:ascii="Arial" w:hAnsi="Arial" w:cs="Arial"/>
          <w:bCs/>
          <w:i/>
          <w:iCs/>
        </w:rPr>
        <w:t xml:space="preserve">et al. </w:t>
      </w:r>
      <w:r w:rsidR="008F7547">
        <w:rPr>
          <w:rFonts w:ascii="Arial" w:hAnsi="Arial" w:cs="Arial"/>
          <w:bCs/>
        </w:rPr>
        <w:t xml:space="preserve">2017). This means that the higher pH value, the lower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vertAlign w:val="subscript"/>
        </w:rPr>
        <w:t xml:space="preserve"> </w:t>
      </w:r>
      <w:r w:rsidR="008F7547">
        <w:rPr>
          <w:rFonts w:ascii="Arial" w:hAnsi="Arial" w:cs="Arial"/>
          <w:bCs/>
        </w:rPr>
        <w:t xml:space="preserve">concentration and vice versa, the lower pH value, the higher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This can be seen in measurements at station 1 compensation depth, which showed a low pH value 6,5 has 23,05 mg/L of </w:t>
      </w:r>
      <w:r w:rsidR="008F7547" w:rsidRPr="001E5C93">
        <w:rPr>
          <w:rFonts w:ascii="Arial" w:hAnsi="Arial" w:cs="Arial"/>
          <w:bCs/>
        </w:rPr>
        <w:t>CO</w:t>
      </w:r>
      <w:r w:rsidR="008F7547" w:rsidRPr="001E5C93">
        <w:rPr>
          <w:rFonts w:ascii="Arial" w:hAnsi="Arial" w:cs="Arial"/>
          <w:bCs/>
          <w:vertAlign w:val="subscript"/>
        </w:rPr>
        <w:t>2</w:t>
      </w:r>
      <w:r w:rsidR="008F7547">
        <w:rPr>
          <w:rFonts w:ascii="Arial" w:hAnsi="Arial" w:cs="Arial"/>
          <w:bCs/>
        </w:rPr>
        <w:t xml:space="preserve"> and pH value at the surface of station 3 which reached 7,0 has </w:t>
      </w:r>
      <w:r w:rsidR="00A75118">
        <w:rPr>
          <w:rFonts w:ascii="Arial" w:hAnsi="Arial" w:cs="Arial"/>
          <w:bCs/>
        </w:rPr>
        <w:t xml:space="preserve">11,52 mg/L of </w:t>
      </w:r>
      <w:r w:rsidR="00A75118" w:rsidRPr="001E5C93">
        <w:rPr>
          <w:rFonts w:ascii="Arial" w:hAnsi="Arial" w:cs="Arial"/>
          <w:bCs/>
        </w:rPr>
        <w:t>CO</w:t>
      </w:r>
      <w:r w:rsidR="00A75118" w:rsidRPr="001E5C93">
        <w:rPr>
          <w:rFonts w:ascii="Arial" w:hAnsi="Arial" w:cs="Arial"/>
          <w:bCs/>
          <w:vertAlign w:val="subscript"/>
        </w:rPr>
        <w:t>2</w:t>
      </w:r>
      <w:r w:rsidR="00A75118">
        <w:rPr>
          <w:rFonts w:ascii="Arial" w:hAnsi="Arial" w:cs="Arial"/>
          <w:bCs/>
        </w:rPr>
        <w:t>.</w:t>
      </w:r>
    </w:p>
    <w:p w14:paraId="297FD7F5" w14:textId="28778408" w:rsidR="00A75118" w:rsidRDefault="00A75118" w:rsidP="006022C3">
      <w:pPr>
        <w:pStyle w:val="Body"/>
        <w:spacing w:after="0" w:line="276" w:lineRule="auto"/>
        <w:rPr>
          <w:rFonts w:ascii="Arial" w:hAnsi="Arial" w:cs="Arial"/>
          <w:b/>
          <w:u w:val="single"/>
        </w:rPr>
      </w:pPr>
      <w:r>
        <w:rPr>
          <w:rFonts w:ascii="Arial" w:hAnsi="Arial" w:cs="Arial"/>
          <w:b/>
          <w:u w:val="single"/>
        </w:rPr>
        <w:t>3.2.</w:t>
      </w:r>
      <w:r w:rsidR="00EB1384">
        <w:rPr>
          <w:rFonts w:ascii="Arial" w:hAnsi="Arial" w:cs="Arial"/>
          <w:b/>
          <w:u w:val="single"/>
        </w:rPr>
        <w:t>5</w:t>
      </w:r>
      <w:r>
        <w:rPr>
          <w:rFonts w:ascii="Arial" w:hAnsi="Arial" w:cs="Arial"/>
          <w:b/>
          <w:u w:val="single"/>
        </w:rPr>
        <w:t xml:space="preserve"> Biochemical Oxygen Demand (BOD)</w:t>
      </w:r>
    </w:p>
    <w:p w14:paraId="615E85A7" w14:textId="32960A74" w:rsidR="00A75118" w:rsidRDefault="00A75118" w:rsidP="006022C3">
      <w:pPr>
        <w:pStyle w:val="Body"/>
        <w:spacing w:after="0" w:line="276" w:lineRule="auto"/>
        <w:rPr>
          <w:rFonts w:ascii="Arial" w:hAnsi="Arial" w:cs="Arial"/>
          <w:bCs/>
        </w:rPr>
      </w:pPr>
      <w:r>
        <w:rPr>
          <w:rFonts w:ascii="Arial" w:hAnsi="Arial" w:cs="Arial"/>
          <w:bCs/>
        </w:rPr>
        <w:tab/>
        <w:t>BOD value in Saguling Reservoir was high</w:t>
      </w:r>
      <w:r w:rsidR="009D0FD9">
        <w:rPr>
          <w:rFonts w:ascii="Arial" w:hAnsi="Arial" w:cs="Arial"/>
          <w:bCs/>
        </w:rPr>
        <w:t>,</w:t>
      </w:r>
      <w:r w:rsidR="006022C3">
        <w:rPr>
          <w:rFonts w:ascii="Arial" w:hAnsi="Arial" w:cs="Arial"/>
          <w:bCs/>
        </w:rPr>
        <w:t xml:space="preserve"> the highest</w:t>
      </w:r>
      <w:r w:rsidR="009D0FD9">
        <w:rPr>
          <w:rFonts w:ascii="Arial" w:hAnsi="Arial" w:cs="Arial"/>
          <w:bCs/>
        </w:rPr>
        <w:t xml:space="preserve"> BOD</w:t>
      </w:r>
      <w:r w:rsidR="009D0FD9">
        <w:rPr>
          <w:rFonts w:ascii="Arial" w:hAnsi="Arial" w:cs="Arial"/>
          <w:bCs/>
          <w:vertAlign w:val="subscript"/>
        </w:rPr>
        <w:t>5</w:t>
      </w:r>
      <w:r w:rsidR="009D0FD9">
        <w:rPr>
          <w:rFonts w:ascii="Arial" w:hAnsi="Arial" w:cs="Arial"/>
          <w:bCs/>
        </w:rPr>
        <w:t xml:space="preserve"> value was recorded at surface station 1, reaching 10,14 mg/L, while the lowest value during the research was 3,65 mg/L at ½ compensation depth at station 3. This high BOD value</w:t>
      </w:r>
      <w:r>
        <w:rPr>
          <w:rFonts w:ascii="Arial" w:hAnsi="Arial" w:cs="Arial"/>
          <w:bCs/>
        </w:rPr>
        <w:t xml:space="preserve"> indicate</w:t>
      </w:r>
      <w:r w:rsidR="009D0FD9">
        <w:rPr>
          <w:rFonts w:ascii="Arial" w:hAnsi="Arial" w:cs="Arial"/>
          <w:bCs/>
        </w:rPr>
        <w:t>s a high</w:t>
      </w:r>
      <w:r>
        <w:rPr>
          <w:rFonts w:ascii="Arial" w:hAnsi="Arial" w:cs="Arial"/>
          <w:bCs/>
        </w:rPr>
        <w:t xml:space="preserve"> substantial organic loading. High BOD reflects the microbial oxygen consumption needed to break down organic material</w:t>
      </w:r>
      <w:r w:rsidR="00EB1384">
        <w:rPr>
          <w:rFonts w:ascii="Arial" w:hAnsi="Arial" w:cs="Arial"/>
          <w:bCs/>
        </w:rPr>
        <w:t xml:space="preserve"> (Anas </w:t>
      </w:r>
      <w:r w:rsidR="00EB1384">
        <w:rPr>
          <w:rFonts w:ascii="Arial" w:hAnsi="Arial" w:cs="Arial"/>
          <w:bCs/>
          <w:i/>
          <w:iCs/>
        </w:rPr>
        <w:t xml:space="preserve">et al. </w:t>
      </w:r>
      <w:r w:rsidR="00EB1384">
        <w:rPr>
          <w:rFonts w:ascii="Arial" w:hAnsi="Arial" w:cs="Arial"/>
          <w:bCs/>
        </w:rPr>
        <w:t>2017)</w:t>
      </w:r>
      <w:r>
        <w:rPr>
          <w:rFonts w:ascii="Arial" w:hAnsi="Arial" w:cs="Arial"/>
          <w:bCs/>
        </w:rPr>
        <w:t xml:space="preserve">, further stressing the oxygen balance in the ecosystem. Similar to </w:t>
      </w:r>
      <w:r w:rsidRPr="001E5C93">
        <w:rPr>
          <w:rFonts w:ascii="Arial" w:hAnsi="Arial" w:cs="Arial"/>
          <w:bCs/>
        </w:rPr>
        <w:t>CO</w:t>
      </w:r>
      <w:r w:rsidRPr="001E5C93">
        <w:rPr>
          <w:rFonts w:ascii="Arial" w:hAnsi="Arial" w:cs="Arial"/>
          <w:bCs/>
          <w:vertAlign w:val="subscript"/>
        </w:rPr>
        <w:t>2</w:t>
      </w:r>
      <w:r>
        <w:rPr>
          <w:rFonts w:ascii="Arial" w:hAnsi="Arial" w:cs="Arial"/>
          <w:bCs/>
        </w:rPr>
        <w:t xml:space="preserve"> concentrations were elevated at depth in KJA zones, indicating increased respiration and organic decay processes.</w:t>
      </w:r>
    </w:p>
    <w:p w14:paraId="411BCD7F" w14:textId="77777777" w:rsidR="00262F32" w:rsidRDefault="00262F32" w:rsidP="006022C3">
      <w:pPr>
        <w:pStyle w:val="Body"/>
        <w:spacing w:after="0" w:line="276" w:lineRule="auto"/>
        <w:rPr>
          <w:rFonts w:ascii="Arial" w:hAnsi="Arial" w:cs="Arial"/>
          <w:bCs/>
        </w:rPr>
      </w:pPr>
    </w:p>
    <w:p w14:paraId="37B8279B" w14:textId="16373B03" w:rsidR="00A75118" w:rsidRDefault="00771F49" w:rsidP="006022C3">
      <w:pPr>
        <w:pStyle w:val="Body"/>
        <w:spacing w:after="0" w:line="276" w:lineRule="auto"/>
        <w:rPr>
          <w:rFonts w:ascii="Arial" w:hAnsi="Arial" w:cs="Arial"/>
          <w:b/>
          <w:u w:val="single"/>
        </w:rPr>
      </w:pPr>
      <w:r>
        <w:rPr>
          <w:rFonts w:ascii="Arial" w:hAnsi="Arial" w:cs="Arial"/>
          <w:b/>
          <w:u w:val="single"/>
        </w:rPr>
        <w:t>3.2.</w:t>
      </w:r>
      <w:r w:rsidR="00E95C7F">
        <w:rPr>
          <w:rFonts w:ascii="Arial" w:hAnsi="Arial" w:cs="Arial"/>
          <w:b/>
          <w:u w:val="single"/>
        </w:rPr>
        <w:t>6</w:t>
      </w:r>
      <w:r>
        <w:rPr>
          <w:rFonts w:ascii="Arial" w:hAnsi="Arial" w:cs="Arial"/>
          <w:b/>
          <w:u w:val="single"/>
        </w:rPr>
        <w:t xml:space="preserve"> Nitrate and Phosphate (N &amp; P)</w:t>
      </w:r>
    </w:p>
    <w:p w14:paraId="28F7E995" w14:textId="3D5AF091" w:rsidR="00771F49" w:rsidRDefault="00771F49" w:rsidP="006022C3">
      <w:pPr>
        <w:pStyle w:val="Body"/>
        <w:spacing w:after="0" w:line="276" w:lineRule="auto"/>
        <w:rPr>
          <w:rFonts w:ascii="Arial" w:hAnsi="Arial" w:cs="Arial"/>
          <w:bCs/>
        </w:rPr>
      </w:pPr>
      <w:r>
        <w:rPr>
          <w:rFonts w:ascii="Arial" w:hAnsi="Arial" w:cs="Arial"/>
          <w:bCs/>
        </w:rPr>
        <w:lastRenderedPageBreak/>
        <w:tab/>
        <w:t>Nutrient concentrations showed a consistent pattern with productivity data. Nitrate and phosphate levels were significantly higher at station 2 and station 3, consistent with input from fish excretion and decomposing feed</w:t>
      </w:r>
      <w:r w:rsidR="00025119">
        <w:rPr>
          <w:rFonts w:ascii="Arial" w:hAnsi="Arial" w:cs="Arial"/>
          <w:bCs/>
        </w:rPr>
        <w:t xml:space="preserve"> (</w:t>
      </w:r>
      <w:proofErr w:type="spellStart"/>
      <w:r w:rsidR="00025119">
        <w:rPr>
          <w:rFonts w:ascii="Arial" w:hAnsi="Arial" w:cs="Arial"/>
          <w:bCs/>
        </w:rPr>
        <w:t>Heriyanto</w:t>
      </w:r>
      <w:proofErr w:type="spellEnd"/>
      <w:r w:rsidR="00025119">
        <w:rPr>
          <w:rFonts w:ascii="Arial" w:hAnsi="Arial" w:cs="Arial"/>
          <w:bCs/>
        </w:rPr>
        <w:t xml:space="preserve"> </w:t>
      </w:r>
      <w:r w:rsidR="00025119">
        <w:rPr>
          <w:rFonts w:ascii="Arial" w:hAnsi="Arial" w:cs="Arial"/>
          <w:bCs/>
          <w:i/>
          <w:iCs/>
        </w:rPr>
        <w:t>et al</w:t>
      </w:r>
      <w:r w:rsidR="00025119">
        <w:rPr>
          <w:rFonts w:ascii="Arial" w:hAnsi="Arial" w:cs="Arial"/>
          <w:bCs/>
        </w:rPr>
        <w:t>. 2018)</w:t>
      </w:r>
      <w:r>
        <w:rPr>
          <w:rFonts w:ascii="Arial" w:hAnsi="Arial" w:cs="Arial"/>
          <w:bCs/>
        </w:rPr>
        <w:t>. These nutrients are essential for phytoplankton growth and were directly associated with the higher productivity observed in these stations.</w:t>
      </w:r>
    </w:p>
    <w:p w14:paraId="4E963CE3" w14:textId="201F7E37" w:rsidR="00B90F7A" w:rsidRPr="00771F49" w:rsidRDefault="00B90F7A" w:rsidP="006022C3">
      <w:pPr>
        <w:pStyle w:val="Body"/>
        <w:spacing w:after="0" w:line="276" w:lineRule="auto"/>
        <w:rPr>
          <w:rFonts w:ascii="Arial" w:hAnsi="Arial" w:cs="Arial"/>
          <w:bCs/>
        </w:rPr>
      </w:pPr>
      <w:r>
        <w:rPr>
          <w:rFonts w:ascii="Arial" w:hAnsi="Arial" w:cs="Arial"/>
          <w:bCs/>
        </w:rPr>
        <w:tab/>
        <w:t>Nitrate value in Saguling Reservoir ranges from 0,051 mg/L to 0,218 mg/L</w:t>
      </w:r>
      <w:r w:rsidR="00025119">
        <w:rPr>
          <w:rFonts w:ascii="Arial" w:hAnsi="Arial" w:cs="Arial"/>
          <w:bCs/>
        </w:rPr>
        <w:t xml:space="preserve">, while phosphate levels ranged from 0,040 mg/L to 0,064 mg/L. </w:t>
      </w:r>
      <w:proofErr w:type="gramStart"/>
      <w:r w:rsidR="00025119">
        <w:rPr>
          <w:rFonts w:ascii="Arial" w:hAnsi="Arial" w:cs="Arial"/>
          <w:bCs/>
        </w:rPr>
        <w:t>These value</w:t>
      </w:r>
      <w:proofErr w:type="gramEnd"/>
      <w:r w:rsidR="00025119">
        <w:rPr>
          <w:rFonts w:ascii="Arial" w:hAnsi="Arial" w:cs="Arial"/>
          <w:bCs/>
        </w:rPr>
        <w:t xml:space="preserve"> indicates that nitrate and phosphate concentration still meets quality standards</w:t>
      </w:r>
      <w:r w:rsidR="00586061">
        <w:rPr>
          <w:rFonts w:ascii="Arial" w:hAnsi="Arial" w:cs="Arial"/>
          <w:bCs/>
        </w:rPr>
        <w:t xml:space="preserve"> (</w:t>
      </w:r>
      <w:r w:rsidR="00AF0E01">
        <w:rPr>
          <w:rFonts w:ascii="Arial" w:hAnsi="Arial" w:cs="Arial"/>
          <w:bCs/>
        </w:rPr>
        <w:t xml:space="preserve">PP No. 22 tahun 2021 kelas </w:t>
      </w:r>
      <w:r w:rsidR="00586061">
        <w:rPr>
          <w:rFonts w:ascii="Arial" w:hAnsi="Arial" w:cs="Arial"/>
          <w:bCs/>
        </w:rPr>
        <w:t>2)</w:t>
      </w:r>
      <w:r w:rsidR="00AF0E01">
        <w:rPr>
          <w:rFonts w:ascii="Arial" w:hAnsi="Arial" w:cs="Arial"/>
          <w:bCs/>
        </w:rPr>
        <w:t>.</w:t>
      </w:r>
    </w:p>
    <w:p w14:paraId="189DA9E6" w14:textId="20C4D39C" w:rsidR="00E95C7F" w:rsidRDefault="00E95C7F" w:rsidP="006022C3">
      <w:pPr>
        <w:pStyle w:val="Body"/>
        <w:spacing w:after="0" w:line="276" w:lineRule="auto"/>
        <w:rPr>
          <w:rFonts w:ascii="Arial" w:hAnsi="Arial" w:cs="Arial"/>
          <w:b/>
          <w:u w:val="single"/>
        </w:rPr>
      </w:pPr>
      <w:r>
        <w:rPr>
          <w:rFonts w:ascii="Arial" w:hAnsi="Arial" w:cs="Arial"/>
          <w:b/>
          <w:u w:val="single"/>
        </w:rPr>
        <w:t>3.2.7 Ammonia (NH</w:t>
      </w:r>
      <w:r>
        <w:rPr>
          <w:rFonts w:ascii="Arial" w:hAnsi="Arial" w:cs="Arial"/>
          <w:b/>
          <w:u w:val="single"/>
          <w:vertAlign w:val="subscript"/>
        </w:rPr>
        <w:t>3</w:t>
      </w:r>
      <w:r>
        <w:rPr>
          <w:rFonts w:ascii="Arial" w:hAnsi="Arial" w:cs="Arial"/>
          <w:b/>
          <w:u w:val="single"/>
        </w:rPr>
        <w:t>)</w:t>
      </w:r>
    </w:p>
    <w:p w14:paraId="4E6BA230" w14:textId="6D318001" w:rsidR="0036423E" w:rsidRDefault="00080215" w:rsidP="006022C3">
      <w:pPr>
        <w:pStyle w:val="Body"/>
        <w:spacing w:after="0" w:line="276" w:lineRule="auto"/>
        <w:rPr>
          <w:rFonts w:ascii="Arial" w:hAnsi="Arial" w:cs="Arial"/>
          <w:bCs/>
          <w:szCs w:val="18"/>
        </w:rPr>
      </w:pPr>
      <w:r>
        <w:rPr>
          <w:rFonts w:ascii="Arial" w:hAnsi="Arial" w:cs="Arial"/>
          <w:bCs/>
          <w:sz w:val="22"/>
        </w:rPr>
        <w:tab/>
      </w:r>
      <w:r w:rsidR="00340462">
        <w:rPr>
          <w:rFonts w:ascii="Arial" w:hAnsi="Arial" w:cs="Arial"/>
          <w:bCs/>
          <w:szCs w:val="18"/>
        </w:rPr>
        <w:t>Ammonia c</w:t>
      </w:r>
      <w:r w:rsidRPr="00A51C51">
        <w:rPr>
          <w:rFonts w:ascii="Arial" w:hAnsi="Arial" w:cs="Arial"/>
          <w:bCs/>
          <w:szCs w:val="18"/>
        </w:rPr>
        <w:t>oncentrations were also elevated in KJA zones, suggesting incomplete nitrifications</w:t>
      </w:r>
      <w:r w:rsidR="00A51C51" w:rsidRPr="00A51C51">
        <w:rPr>
          <w:rFonts w:ascii="Arial" w:hAnsi="Arial" w:cs="Arial"/>
          <w:bCs/>
          <w:szCs w:val="18"/>
        </w:rPr>
        <w:t xml:space="preserve"> or overloading of system’s assimilation capacity</w:t>
      </w:r>
      <w:r w:rsidR="00AF0E01">
        <w:rPr>
          <w:rFonts w:ascii="Arial" w:hAnsi="Arial" w:cs="Arial"/>
          <w:bCs/>
          <w:szCs w:val="18"/>
        </w:rPr>
        <w:t xml:space="preserve"> (Melinda </w:t>
      </w:r>
      <w:r w:rsidR="00AF0E01">
        <w:rPr>
          <w:rFonts w:ascii="Arial" w:hAnsi="Arial" w:cs="Arial"/>
          <w:bCs/>
          <w:i/>
          <w:iCs/>
          <w:szCs w:val="18"/>
        </w:rPr>
        <w:t xml:space="preserve">et al. </w:t>
      </w:r>
      <w:r w:rsidR="00AF0E01">
        <w:rPr>
          <w:rFonts w:ascii="Arial" w:hAnsi="Arial" w:cs="Arial"/>
          <w:bCs/>
          <w:szCs w:val="18"/>
        </w:rPr>
        <w:t>2019). The lowest value is 0,0097 mg/L was measured on the surface of station 1, while the highest value was at station 4 that reached 0,0374 mg/L in ½ compensation depth.</w:t>
      </w:r>
    </w:p>
    <w:p w14:paraId="230C912D" w14:textId="2D4D1DD7" w:rsidR="00BE6E23" w:rsidRDefault="0036423E" w:rsidP="006022C3">
      <w:pPr>
        <w:pStyle w:val="Body"/>
        <w:spacing w:after="0" w:line="276" w:lineRule="auto"/>
        <w:rPr>
          <w:rFonts w:ascii="Arial" w:hAnsi="Arial" w:cs="Arial"/>
          <w:bCs/>
          <w:szCs w:val="18"/>
        </w:rPr>
      </w:pPr>
      <w:r>
        <w:rPr>
          <w:rFonts w:ascii="Arial" w:hAnsi="Arial" w:cs="Arial"/>
          <w:bCs/>
          <w:szCs w:val="18"/>
        </w:rPr>
        <w:tab/>
        <w:t>Overall, the water quality at each observation station can be classified as good, except at station 1 which showed indications of organic pollution, as evidenced by a high BOD value, thus requiring water quality management in the surrounding area. Based on these measurements, the nutrient content supporting primary productivity in the Saguling Reservoir meets the water quality standards, placing its primary productivity within the mesotrophic trophic status</w:t>
      </w:r>
      <w:r w:rsidR="00BE6E23">
        <w:rPr>
          <w:rFonts w:ascii="Arial" w:hAnsi="Arial" w:cs="Arial"/>
          <w:bCs/>
          <w:szCs w:val="18"/>
        </w:rPr>
        <w:t xml:space="preserve">, or moderate trophic level. </w:t>
      </w:r>
    </w:p>
    <w:p w14:paraId="433F056F" w14:textId="77777777" w:rsidR="00AF0E01" w:rsidRPr="00FB3A86" w:rsidRDefault="00AF0E01" w:rsidP="006022C3">
      <w:pPr>
        <w:pStyle w:val="Body"/>
        <w:spacing w:after="0" w:line="276" w:lineRule="auto"/>
        <w:rPr>
          <w:rFonts w:ascii="Arial" w:hAnsi="Arial" w:cs="Arial"/>
        </w:rPr>
      </w:pPr>
    </w:p>
    <w:p w14:paraId="0F6858D5" w14:textId="1696D735" w:rsidR="00790ADA" w:rsidRPr="00FB3A86" w:rsidRDefault="00000F8F" w:rsidP="006022C3">
      <w:pPr>
        <w:pStyle w:val="ConcHead"/>
        <w:spacing w:after="0" w:line="276"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31249B47" w14:textId="291C9F8B" w:rsidR="00B01FCD" w:rsidRDefault="00226B12" w:rsidP="006022C3">
      <w:pPr>
        <w:pStyle w:val="Body"/>
        <w:spacing w:after="0" w:line="276" w:lineRule="auto"/>
        <w:rPr>
          <w:rFonts w:ascii="Arial" w:hAnsi="Arial" w:cs="Arial"/>
        </w:rPr>
      </w:pPr>
      <w:r>
        <w:rPr>
          <w:rFonts w:ascii="Arial" w:hAnsi="Arial" w:cs="Arial"/>
        </w:rPr>
        <w:tab/>
        <w:t>This study confirms that floating net cage (KJA) aquaculture significantly impacts primary productivity and water quality in Saguling Reservoir. Stations with high KJA density, particularly station 2, exhibited elevated primary productivity due to increased nutrient input, especially nitrogen and phosphorus</w:t>
      </w:r>
      <w:r w:rsidR="0047412E">
        <w:rPr>
          <w:rFonts w:ascii="Arial" w:hAnsi="Arial" w:cs="Arial"/>
        </w:rPr>
        <w:t xml:space="preserve"> from organic waste. In contrast stations without KJA showed lower productivity and better water clarity.</w:t>
      </w:r>
    </w:p>
    <w:p w14:paraId="4A214D25" w14:textId="4064E6A6" w:rsidR="0047412E" w:rsidRPr="0047412E" w:rsidRDefault="0047412E" w:rsidP="006022C3">
      <w:pPr>
        <w:pStyle w:val="Body"/>
        <w:spacing w:after="0" w:line="276" w:lineRule="auto"/>
        <w:rPr>
          <w:rFonts w:ascii="Arial" w:hAnsi="Arial" w:cs="Arial"/>
        </w:rPr>
      </w:pPr>
      <w:r>
        <w:rPr>
          <w:rFonts w:ascii="Arial" w:hAnsi="Arial" w:cs="Arial"/>
        </w:rPr>
        <w:tab/>
        <w:t>Physical and chemical analyses further revealed that aquaculture zones had higher concentrations of BOD, CO</w:t>
      </w:r>
      <w:r>
        <w:rPr>
          <w:rFonts w:ascii="Arial" w:hAnsi="Arial" w:cs="Arial"/>
          <w:vertAlign w:val="subscript"/>
        </w:rPr>
        <w:t>2</w:t>
      </w:r>
      <w:r>
        <w:rPr>
          <w:rFonts w:ascii="Arial" w:hAnsi="Arial" w:cs="Arial"/>
        </w:rPr>
        <w:t>, ammonia, nitrate, and phosphate indicating organic enrichment and a shift toward eutrophic conditions. While moderate nutrient input can support productivity, excessive accumulation risks eutrophication and ecological imbalance.</w:t>
      </w:r>
    </w:p>
    <w:p w14:paraId="6465B999" w14:textId="6EBE9D04" w:rsidR="00790ADA" w:rsidRDefault="0047412E" w:rsidP="006022C3">
      <w:pPr>
        <w:pStyle w:val="Body"/>
        <w:spacing w:after="0" w:line="276" w:lineRule="auto"/>
        <w:rPr>
          <w:rFonts w:ascii="Arial" w:hAnsi="Arial" w:cs="Arial"/>
        </w:rPr>
      </w:pPr>
      <w:r>
        <w:rPr>
          <w:rFonts w:ascii="Arial" w:hAnsi="Arial" w:cs="Arial"/>
        </w:rPr>
        <w:tab/>
        <w:t>To ensure sustainability, it is essential to regulate KJA density, improve feed management and conduct regular water quality monitoring. Responsible aquaculture practices are necessary to balance fish production with the preservation of the reservoir’s ecological integrity.</w:t>
      </w:r>
    </w:p>
    <w:p w14:paraId="7D2F2205" w14:textId="77777777" w:rsidR="0047412E" w:rsidRPr="00FB3A86" w:rsidRDefault="0047412E" w:rsidP="006022C3">
      <w:pPr>
        <w:pStyle w:val="Body"/>
        <w:spacing w:after="0" w:line="276" w:lineRule="auto"/>
        <w:rPr>
          <w:rFonts w:ascii="Arial" w:hAnsi="Arial" w:cs="Arial"/>
        </w:rPr>
      </w:pPr>
    </w:p>
    <w:p w14:paraId="6B1AF588" w14:textId="27A83F17" w:rsidR="00860000" w:rsidRDefault="00860000" w:rsidP="006022C3">
      <w:pPr>
        <w:pStyle w:val="ReferHead"/>
        <w:spacing w:after="0" w:line="276" w:lineRule="auto"/>
        <w:jc w:val="both"/>
        <w:rPr>
          <w:rFonts w:ascii="Arial" w:hAnsi="Arial" w:cs="Arial"/>
        </w:rPr>
      </w:pPr>
    </w:p>
    <w:p w14:paraId="7C891F02" w14:textId="77777777" w:rsidR="006A25C7" w:rsidRDefault="006A25C7" w:rsidP="006022C3">
      <w:pPr>
        <w:pStyle w:val="ReferHead"/>
        <w:spacing w:after="0" w:line="276" w:lineRule="auto"/>
        <w:jc w:val="both"/>
        <w:rPr>
          <w:rFonts w:ascii="Arial" w:hAnsi="Arial" w:cs="Arial"/>
        </w:rPr>
      </w:pPr>
    </w:p>
    <w:p w14:paraId="044A55BA" w14:textId="77777777" w:rsidR="00B01FCD" w:rsidRDefault="00B01FCD" w:rsidP="006022C3">
      <w:pPr>
        <w:pStyle w:val="ReferHead"/>
        <w:spacing w:after="0" w:line="276" w:lineRule="auto"/>
        <w:jc w:val="both"/>
        <w:rPr>
          <w:rFonts w:ascii="Arial" w:hAnsi="Arial" w:cs="Arial"/>
        </w:rPr>
      </w:pPr>
      <w:r w:rsidRPr="00FB3A86">
        <w:rPr>
          <w:rFonts w:ascii="Arial" w:hAnsi="Arial" w:cs="Arial"/>
        </w:rPr>
        <w:t>References</w:t>
      </w:r>
    </w:p>
    <w:p w14:paraId="6D77B649" w14:textId="77777777" w:rsidR="00284C4C" w:rsidRPr="00A63D09" w:rsidRDefault="00284C4C" w:rsidP="006022C3">
      <w:pPr>
        <w:pStyle w:val="Body"/>
        <w:spacing w:after="0" w:line="276" w:lineRule="auto"/>
        <w:rPr>
          <w:rFonts w:ascii="Arial" w:hAnsi="Arial" w:cs="Arial"/>
          <w:iCs/>
          <w:u w:val="single"/>
        </w:rPr>
      </w:pPr>
    </w:p>
    <w:p w14:paraId="447F9571"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Agista</w:t>
      </w:r>
      <w:proofErr w:type="spellEnd"/>
      <w:r w:rsidRPr="00E67BEF">
        <w:rPr>
          <w:rFonts w:ascii="Arial" w:hAnsi="Arial" w:cs="Arial"/>
          <w:color w:val="222222"/>
          <w:shd w:val="clear" w:color="auto" w:fill="FFFFFF"/>
        </w:rPr>
        <w:t xml:space="preserve">, R., Rahman, M., &amp; </w:t>
      </w:r>
      <w:proofErr w:type="spellStart"/>
      <w:r w:rsidRPr="00E67BEF">
        <w:rPr>
          <w:rFonts w:ascii="Arial" w:hAnsi="Arial" w:cs="Arial"/>
          <w:color w:val="222222"/>
          <w:shd w:val="clear" w:color="auto" w:fill="FFFFFF"/>
        </w:rPr>
        <w:t>Yasmi</w:t>
      </w:r>
      <w:proofErr w:type="spellEnd"/>
      <w:r w:rsidRPr="00E67BEF">
        <w:rPr>
          <w:rFonts w:ascii="Arial" w:hAnsi="Arial" w:cs="Arial"/>
          <w:color w:val="222222"/>
          <w:shd w:val="clear" w:color="auto" w:fill="FFFFFF"/>
        </w:rPr>
        <w:t xml:space="preserve">, Z. (2018). Primary Productivity Around Floating Net Cages (KJA) in the </w:t>
      </w:r>
      <w:proofErr w:type="spellStart"/>
      <w:r w:rsidRPr="00E67BEF">
        <w:rPr>
          <w:rFonts w:ascii="Arial" w:hAnsi="Arial" w:cs="Arial"/>
          <w:color w:val="222222"/>
          <w:shd w:val="clear" w:color="auto" w:fill="FFFFFF"/>
        </w:rPr>
        <w:t>Riam</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Kanan</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Aranio</w:t>
      </w:r>
      <w:proofErr w:type="spellEnd"/>
      <w:r w:rsidRPr="00E67BEF">
        <w:rPr>
          <w:rFonts w:ascii="Arial" w:hAnsi="Arial" w:cs="Arial"/>
          <w:color w:val="222222"/>
          <w:shd w:val="clear" w:color="auto" w:fill="FFFFFF"/>
        </w:rPr>
        <w:t xml:space="preserve"> District, Banjar Regency, South Kalimantan Province. AQUATIC Journal of Aquatic Resources Management, 1(2), 119-131.</w:t>
      </w:r>
    </w:p>
    <w:p w14:paraId="6D94ECA9"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Anas, P., </w:t>
      </w:r>
      <w:proofErr w:type="spellStart"/>
      <w:r w:rsidRPr="00E67BEF">
        <w:rPr>
          <w:rFonts w:ascii="Arial" w:hAnsi="Arial" w:cs="Arial"/>
          <w:color w:val="222222"/>
          <w:shd w:val="clear" w:color="auto" w:fill="FFFFFF"/>
        </w:rPr>
        <w:t>Jubaedah</w:t>
      </w:r>
      <w:proofErr w:type="spellEnd"/>
      <w:r w:rsidRPr="00E67BEF">
        <w:rPr>
          <w:rFonts w:ascii="Arial" w:hAnsi="Arial" w:cs="Arial"/>
          <w:color w:val="222222"/>
          <w:shd w:val="clear" w:color="auto" w:fill="FFFFFF"/>
        </w:rPr>
        <w:t xml:space="preserve">, I., &amp; </w:t>
      </w:r>
      <w:proofErr w:type="spellStart"/>
      <w:r w:rsidRPr="00E67BEF">
        <w:rPr>
          <w:rFonts w:ascii="Arial" w:hAnsi="Arial" w:cs="Arial"/>
          <w:color w:val="222222"/>
          <w:shd w:val="clear" w:color="auto" w:fill="FFFFFF"/>
        </w:rPr>
        <w:t>Sudinno</w:t>
      </w:r>
      <w:proofErr w:type="spellEnd"/>
      <w:r w:rsidRPr="00E67BEF">
        <w:rPr>
          <w:rFonts w:ascii="Arial" w:hAnsi="Arial" w:cs="Arial"/>
          <w:color w:val="222222"/>
          <w:shd w:val="clear" w:color="auto" w:fill="FFFFFF"/>
        </w:rPr>
        <w:t xml:space="preserve">, D. (2017). Water Quality and Waste Load of Floating Net Cages in the </w:t>
      </w:r>
      <w:proofErr w:type="spellStart"/>
      <w:r w:rsidRPr="00E67BEF">
        <w:rPr>
          <w:rFonts w:ascii="Arial" w:hAnsi="Arial" w:cs="Arial"/>
          <w:color w:val="222222"/>
          <w:shd w:val="clear" w:color="auto" w:fill="FFFFFF"/>
        </w:rPr>
        <w:t>Jatiluhur</w:t>
      </w:r>
      <w:proofErr w:type="spellEnd"/>
      <w:r w:rsidRPr="00E67BEF">
        <w:rPr>
          <w:rFonts w:ascii="Arial" w:hAnsi="Arial" w:cs="Arial"/>
          <w:color w:val="222222"/>
          <w:shd w:val="clear" w:color="auto" w:fill="FFFFFF"/>
        </w:rPr>
        <w:t xml:space="preserve"> Reservoir, West Java. Journal of Fisheries and Marine Extension, 11(1), 35-47.</w:t>
      </w:r>
    </w:p>
    <w:p w14:paraId="0547FCB8"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Aprianto</w:t>
      </w:r>
      <w:proofErr w:type="spellEnd"/>
      <w:r w:rsidRPr="00E67BEF">
        <w:rPr>
          <w:rFonts w:ascii="Arial" w:hAnsi="Arial" w:cs="Arial"/>
          <w:color w:val="222222"/>
          <w:shd w:val="clear" w:color="auto" w:fill="FFFFFF"/>
        </w:rPr>
        <w:t xml:space="preserve">, T. R., </w:t>
      </w:r>
      <w:proofErr w:type="spellStart"/>
      <w:r w:rsidRPr="00E67BEF">
        <w:rPr>
          <w:rFonts w:ascii="Arial" w:hAnsi="Arial" w:cs="Arial"/>
          <w:color w:val="222222"/>
          <w:shd w:val="clear" w:color="auto" w:fill="FFFFFF"/>
        </w:rPr>
        <w:t>Simarmata</w:t>
      </w:r>
      <w:proofErr w:type="spellEnd"/>
      <w:r w:rsidRPr="00E67BEF">
        <w:rPr>
          <w:rFonts w:ascii="Arial" w:hAnsi="Arial" w:cs="Arial"/>
          <w:color w:val="222222"/>
          <w:shd w:val="clear" w:color="auto" w:fill="FFFFFF"/>
        </w:rPr>
        <w:t xml:space="preserve">, A. H., &amp; </w:t>
      </w:r>
      <w:proofErr w:type="spellStart"/>
      <w:r w:rsidRPr="00E67BEF">
        <w:rPr>
          <w:rFonts w:ascii="Arial" w:hAnsi="Arial" w:cs="Arial"/>
          <w:color w:val="222222"/>
          <w:shd w:val="clear" w:color="auto" w:fill="FFFFFF"/>
        </w:rPr>
        <w:t>Dahril</w:t>
      </w:r>
      <w:proofErr w:type="spellEnd"/>
      <w:r w:rsidRPr="00E67BEF">
        <w:rPr>
          <w:rFonts w:ascii="Arial" w:hAnsi="Arial" w:cs="Arial"/>
          <w:color w:val="222222"/>
          <w:shd w:val="clear" w:color="auto" w:fill="FFFFFF"/>
        </w:rPr>
        <w:t xml:space="preserve">, T. (2020). Primary Productivity Based on the Oxygen Method in Lake </w:t>
      </w:r>
      <w:proofErr w:type="spellStart"/>
      <w:r w:rsidRPr="00E67BEF">
        <w:rPr>
          <w:rFonts w:ascii="Arial" w:hAnsi="Arial" w:cs="Arial"/>
          <w:color w:val="222222"/>
          <w:shd w:val="clear" w:color="auto" w:fill="FFFFFF"/>
        </w:rPr>
        <w:t>Tuok</w:t>
      </w:r>
      <w:proofErr w:type="spellEnd"/>
      <w:r w:rsidRPr="00E67BEF">
        <w:rPr>
          <w:rFonts w:ascii="Arial" w:hAnsi="Arial" w:cs="Arial"/>
          <w:color w:val="222222"/>
          <w:shd w:val="clear" w:color="auto" w:fill="FFFFFF"/>
        </w:rPr>
        <w:t xml:space="preserve"> Tonga, </w:t>
      </w:r>
      <w:proofErr w:type="spellStart"/>
      <w:r w:rsidRPr="00E67BEF">
        <w:rPr>
          <w:rFonts w:ascii="Arial" w:hAnsi="Arial" w:cs="Arial"/>
          <w:color w:val="222222"/>
          <w:shd w:val="clear" w:color="auto" w:fill="FFFFFF"/>
        </w:rPr>
        <w:t>Buluh</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Cina</w:t>
      </w:r>
      <w:proofErr w:type="spellEnd"/>
      <w:r w:rsidRPr="00E67BEF">
        <w:rPr>
          <w:rFonts w:ascii="Arial" w:hAnsi="Arial" w:cs="Arial"/>
          <w:color w:val="222222"/>
          <w:shd w:val="clear" w:color="auto" w:fill="FFFFFF"/>
        </w:rPr>
        <w:t xml:space="preserve"> Village, </w:t>
      </w:r>
      <w:proofErr w:type="spellStart"/>
      <w:r w:rsidRPr="00E67BEF">
        <w:rPr>
          <w:rFonts w:ascii="Arial" w:hAnsi="Arial" w:cs="Arial"/>
          <w:color w:val="222222"/>
          <w:shd w:val="clear" w:color="auto" w:fill="FFFFFF"/>
        </w:rPr>
        <w:t>Siak</w:t>
      </w:r>
      <w:proofErr w:type="spellEnd"/>
      <w:r w:rsidRPr="00E67BEF">
        <w:rPr>
          <w:rFonts w:ascii="Arial" w:hAnsi="Arial" w:cs="Arial"/>
          <w:color w:val="222222"/>
          <w:shd w:val="clear" w:color="auto" w:fill="FFFFFF"/>
        </w:rPr>
        <w:t xml:space="preserve"> Hulu District, Kampar Regency, Riau Province. Journal of Aquatic Resources and Environment, 1(1), 40-51.</w:t>
      </w:r>
    </w:p>
    <w:p w14:paraId="35B6D2EB"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Astuti</w:t>
      </w:r>
      <w:proofErr w:type="spellEnd"/>
      <w:r w:rsidRPr="00E67BEF">
        <w:rPr>
          <w:rFonts w:ascii="Arial" w:hAnsi="Arial" w:cs="Arial"/>
          <w:color w:val="222222"/>
          <w:shd w:val="clear" w:color="auto" w:fill="FFFFFF"/>
        </w:rPr>
        <w:t xml:space="preserve">, L. P., &amp; </w:t>
      </w:r>
      <w:proofErr w:type="spellStart"/>
      <w:r w:rsidRPr="00E67BEF">
        <w:rPr>
          <w:rFonts w:ascii="Arial" w:hAnsi="Arial" w:cs="Arial"/>
          <w:color w:val="222222"/>
          <w:shd w:val="clear" w:color="auto" w:fill="FFFFFF"/>
        </w:rPr>
        <w:t>Krismono</w:t>
      </w:r>
      <w:proofErr w:type="spellEnd"/>
      <w:r w:rsidRPr="00E67BEF">
        <w:rPr>
          <w:rFonts w:ascii="Arial" w:hAnsi="Arial" w:cs="Arial"/>
          <w:color w:val="222222"/>
          <w:shd w:val="clear" w:color="auto" w:fill="FFFFFF"/>
        </w:rPr>
        <w:t>. 2006. Management of Cascade Reservoirs (</w:t>
      </w:r>
      <w:proofErr w:type="spellStart"/>
      <w:r w:rsidRPr="00E67BEF">
        <w:rPr>
          <w:rFonts w:ascii="Arial" w:hAnsi="Arial" w:cs="Arial"/>
          <w:color w:val="222222"/>
          <w:shd w:val="clear" w:color="auto" w:fill="FFFFFF"/>
        </w:rPr>
        <w:t>Saguling</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Cirata</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Jatiluhur</w:t>
      </w:r>
      <w:proofErr w:type="spellEnd"/>
      <w:r w:rsidRPr="00E67BEF">
        <w:rPr>
          <w:rFonts w:ascii="Arial" w:hAnsi="Arial" w:cs="Arial"/>
          <w:color w:val="222222"/>
          <w:shd w:val="clear" w:color="auto" w:fill="FFFFFF"/>
        </w:rPr>
        <w:t>) for Fish Cultivation in Floating Net Cages (KJM).</w:t>
      </w:r>
    </w:p>
    <w:p w14:paraId="41C6646D"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Heriyanto</w:t>
      </w:r>
      <w:proofErr w:type="spellEnd"/>
      <w:r w:rsidRPr="00E67BEF">
        <w:rPr>
          <w:rFonts w:ascii="Arial" w:hAnsi="Arial" w:cs="Arial"/>
          <w:color w:val="222222"/>
          <w:shd w:val="clear" w:color="auto" w:fill="FFFFFF"/>
        </w:rPr>
        <w:t xml:space="preserve">, H., Hasan, Z., </w:t>
      </w:r>
      <w:proofErr w:type="spellStart"/>
      <w:r w:rsidRPr="00E67BEF">
        <w:rPr>
          <w:rFonts w:ascii="Arial" w:hAnsi="Arial" w:cs="Arial"/>
          <w:color w:val="222222"/>
          <w:shd w:val="clear" w:color="auto" w:fill="FFFFFF"/>
        </w:rPr>
        <w:t>Yustiati</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Nurruhwati</w:t>
      </w:r>
      <w:proofErr w:type="spellEnd"/>
      <w:r w:rsidRPr="00E67BEF">
        <w:rPr>
          <w:rFonts w:ascii="Arial" w:hAnsi="Arial" w:cs="Arial"/>
          <w:color w:val="222222"/>
          <w:shd w:val="clear" w:color="auto" w:fill="FFFFFF"/>
        </w:rPr>
        <w:t xml:space="preserve">, I. (2018). The Impact of Floating Net Cage Cultivation on Primary Productivity in the </w:t>
      </w:r>
      <w:proofErr w:type="spellStart"/>
      <w:r w:rsidRPr="00E67BEF">
        <w:rPr>
          <w:rFonts w:ascii="Arial" w:hAnsi="Arial" w:cs="Arial"/>
          <w:color w:val="222222"/>
          <w:shd w:val="clear" w:color="auto" w:fill="FFFFFF"/>
        </w:rPr>
        <w:t>Darma</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Kuningan</w:t>
      </w:r>
      <w:proofErr w:type="spellEnd"/>
      <w:r w:rsidRPr="00E67BEF">
        <w:rPr>
          <w:rFonts w:ascii="Arial" w:hAnsi="Arial" w:cs="Arial"/>
          <w:color w:val="222222"/>
          <w:shd w:val="clear" w:color="auto" w:fill="FFFFFF"/>
        </w:rPr>
        <w:t xml:space="preserve"> Regency, West Java. Journal of Fisheries and Marine Affairs Vol. IX No. 27, 33.</w:t>
      </w:r>
    </w:p>
    <w:p w14:paraId="73078861"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lastRenderedPageBreak/>
        <w:t>Indriati</w:t>
      </w:r>
      <w:proofErr w:type="spellEnd"/>
      <w:r w:rsidRPr="00E67BEF">
        <w:rPr>
          <w:rFonts w:ascii="Arial" w:hAnsi="Arial" w:cs="Arial"/>
          <w:color w:val="222222"/>
          <w:shd w:val="clear" w:color="auto" w:fill="FFFFFF"/>
        </w:rPr>
        <w:t xml:space="preserve">, P. A., &amp; </w:t>
      </w:r>
      <w:proofErr w:type="spellStart"/>
      <w:r w:rsidRPr="00E67BEF">
        <w:rPr>
          <w:rFonts w:ascii="Arial" w:hAnsi="Arial" w:cs="Arial"/>
          <w:color w:val="222222"/>
          <w:shd w:val="clear" w:color="auto" w:fill="FFFFFF"/>
        </w:rPr>
        <w:t>Hafiludin</w:t>
      </w:r>
      <w:proofErr w:type="spellEnd"/>
      <w:r w:rsidRPr="00E67BEF">
        <w:rPr>
          <w:rFonts w:ascii="Arial" w:hAnsi="Arial" w:cs="Arial"/>
          <w:color w:val="222222"/>
          <w:shd w:val="clear" w:color="auto" w:fill="FFFFFF"/>
        </w:rPr>
        <w:t xml:space="preserve">, H. (2022). Water Quality Management in Tilapia (Oreochromis </w:t>
      </w:r>
      <w:proofErr w:type="spellStart"/>
      <w:r w:rsidRPr="00E67BEF">
        <w:rPr>
          <w:rFonts w:ascii="Arial" w:hAnsi="Arial" w:cs="Arial"/>
          <w:color w:val="222222"/>
          <w:shd w:val="clear" w:color="auto" w:fill="FFFFFF"/>
        </w:rPr>
        <w:t>niloticus</w:t>
      </w:r>
      <w:proofErr w:type="spellEnd"/>
      <w:r w:rsidRPr="00E67BEF">
        <w:rPr>
          <w:rFonts w:ascii="Arial" w:hAnsi="Arial" w:cs="Arial"/>
          <w:color w:val="222222"/>
          <w:shd w:val="clear" w:color="auto" w:fill="FFFFFF"/>
        </w:rPr>
        <w:t xml:space="preserve">) Hatchery at the East </w:t>
      </w:r>
      <w:proofErr w:type="spellStart"/>
      <w:r w:rsidRPr="00E67BEF">
        <w:rPr>
          <w:rFonts w:ascii="Arial" w:hAnsi="Arial" w:cs="Arial"/>
          <w:color w:val="222222"/>
          <w:shd w:val="clear" w:color="auto" w:fill="FFFFFF"/>
        </w:rPr>
        <w:t>Teja</w:t>
      </w:r>
      <w:proofErr w:type="spellEnd"/>
      <w:r w:rsidRPr="00E67BEF">
        <w:rPr>
          <w:rFonts w:ascii="Arial" w:hAnsi="Arial" w:cs="Arial"/>
          <w:color w:val="222222"/>
          <w:shd w:val="clear" w:color="auto" w:fill="FFFFFF"/>
        </w:rPr>
        <w:t xml:space="preserve"> Fish Seed Center, </w:t>
      </w:r>
      <w:proofErr w:type="spellStart"/>
      <w:r w:rsidRPr="00E67BEF">
        <w:rPr>
          <w:rFonts w:ascii="Arial" w:hAnsi="Arial" w:cs="Arial"/>
          <w:color w:val="222222"/>
          <w:shd w:val="clear" w:color="auto" w:fill="FFFFFF"/>
        </w:rPr>
        <w:t>Pamekasan</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Juvenil</w:t>
      </w:r>
      <w:proofErr w:type="spellEnd"/>
      <w:r w:rsidRPr="00E67BEF">
        <w:rPr>
          <w:rFonts w:ascii="Arial" w:hAnsi="Arial" w:cs="Arial"/>
          <w:color w:val="222222"/>
          <w:shd w:val="clear" w:color="auto" w:fill="FFFFFF"/>
        </w:rPr>
        <w:t>: Scientific Journal of Marine Affairs and Fisheries, 3(2), 27-31.</w:t>
      </w:r>
    </w:p>
    <w:p w14:paraId="0307E8D4"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Ismail, I., </w:t>
      </w:r>
      <w:proofErr w:type="spellStart"/>
      <w:r w:rsidRPr="00E67BEF">
        <w:rPr>
          <w:rFonts w:ascii="Arial" w:hAnsi="Arial" w:cs="Arial"/>
          <w:color w:val="222222"/>
          <w:shd w:val="clear" w:color="auto" w:fill="FFFFFF"/>
        </w:rPr>
        <w:t>Melani</w:t>
      </w:r>
      <w:proofErr w:type="spellEnd"/>
      <w:r w:rsidRPr="00E67BEF">
        <w:rPr>
          <w:rFonts w:ascii="Arial" w:hAnsi="Arial" w:cs="Arial"/>
          <w:color w:val="222222"/>
          <w:shd w:val="clear" w:color="auto" w:fill="FFFFFF"/>
        </w:rPr>
        <w:t xml:space="preserve">, W. R., &amp; </w:t>
      </w:r>
      <w:proofErr w:type="spellStart"/>
      <w:r w:rsidRPr="00E67BEF">
        <w:rPr>
          <w:rFonts w:ascii="Arial" w:hAnsi="Arial" w:cs="Arial"/>
          <w:color w:val="222222"/>
          <w:shd w:val="clear" w:color="auto" w:fill="FFFFFF"/>
        </w:rPr>
        <w:t>Apriadi</w:t>
      </w:r>
      <w:proofErr w:type="spellEnd"/>
      <w:r w:rsidRPr="00E67BEF">
        <w:rPr>
          <w:rFonts w:ascii="Arial" w:hAnsi="Arial" w:cs="Arial"/>
          <w:color w:val="222222"/>
          <w:shd w:val="clear" w:color="auto" w:fill="FFFFFF"/>
        </w:rPr>
        <w:t xml:space="preserve">, T. Water Fertility Level in the Waters of Kampung </w:t>
      </w:r>
      <w:proofErr w:type="spellStart"/>
      <w:r w:rsidRPr="00E67BEF">
        <w:rPr>
          <w:rFonts w:ascii="Arial" w:hAnsi="Arial" w:cs="Arial"/>
          <w:color w:val="222222"/>
          <w:shd w:val="clear" w:color="auto" w:fill="FFFFFF"/>
        </w:rPr>
        <w:t>Madong</w:t>
      </w:r>
      <w:proofErr w:type="spellEnd"/>
      <w:r w:rsidRPr="00E67BEF">
        <w:rPr>
          <w:rFonts w:ascii="Arial" w:hAnsi="Arial" w:cs="Arial"/>
          <w:color w:val="222222"/>
          <w:shd w:val="clear" w:color="auto" w:fill="FFFFFF"/>
        </w:rPr>
        <w:t xml:space="preserve">, Kampung </w:t>
      </w:r>
      <w:proofErr w:type="spellStart"/>
      <w:r w:rsidRPr="00E67BEF">
        <w:rPr>
          <w:rFonts w:ascii="Arial" w:hAnsi="Arial" w:cs="Arial"/>
          <w:color w:val="222222"/>
          <w:shd w:val="clear" w:color="auto" w:fill="FFFFFF"/>
        </w:rPr>
        <w:t>Bugis</w:t>
      </w:r>
      <w:proofErr w:type="spellEnd"/>
      <w:r w:rsidRPr="00E67BEF">
        <w:rPr>
          <w:rFonts w:ascii="Arial" w:hAnsi="Arial" w:cs="Arial"/>
          <w:color w:val="222222"/>
          <w:shd w:val="clear" w:color="auto" w:fill="FFFFFF"/>
        </w:rPr>
        <w:t xml:space="preserve"> Subdistrict, </w:t>
      </w:r>
      <w:proofErr w:type="spellStart"/>
      <w:r w:rsidRPr="00E67BEF">
        <w:rPr>
          <w:rFonts w:ascii="Arial" w:hAnsi="Arial" w:cs="Arial"/>
          <w:color w:val="222222"/>
          <w:shd w:val="clear" w:color="auto" w:fill="FFFFFF"/>
        </w:rPr>
        <w:t>Tanjungpinang</w:t>
      </w:r>
      <w:proofErr w:type="spellEnd"/>
      <w:r w:rsidRPr="00E67BEF">
        <w:rPr>
          <w:rFonts w:ascii="Arial" w:hAnsi="Arial" w:cs="Arial"/>
          <w:color w:val="222222"/>
          <w:shd w:val="clear" w:color="auto" w:fill="FFFFFF"/>
        </w:rPr>
        <w:t xml:space="preserve"> City. </w:t>
      </w:r>
      <w:proofErr w:type="spellStart"/>
      <w:r w:rsidRPr="00E67BEF">
        <w:rPr>
          <w:rFonts w:ascii="Arial" w:hAnsi="Arial" w:cs="Arial"/>
          <w:color w:val="222222"/>
          <w:shd w:val="clear" w:color="auto" w:fill="FFFFFF"/>
        </w:rPr>
        <w:t>Jurnal</w:t>
      </w:r>
      <w:proofErr w:type="spellEnd"/>
      <w:r w:rsidRPr="00E67BEF">
        <w:rPr>
          <w:rFonts w:ascii="Arial" w:hAnsi="Arial" w:cs="Arial"/>
          <w:color w:val="222222"/>
          <w:shd w:val="clear" w:color="auto" w:fill="FFFFFF"/>
        </w:rPr>
        <w:t xml:space="preserve"> </w:t>
      </w:r>
      <w:proofErr w:type="spellStart"/>
      <w:r w:rsidRPr="00E67BEF">
        <w:rPr>
          <w:rFonts w:ascii="Arial" w:hAnsi="Arial" w:cs="Arial"/>
          <w:color w:val="222222"/>
          <w:shd w:val="clear" w:color="auto" w:fill="FFFFFF"/>
        </w:rPr>
        <w:t>Akuatiklestari</w:t>
      </w:r>
      <w:proofErr w:type="spellEnd"/>
      <w:r w:rsidRPr="00E67BEF">
        <w:rPr>
          <w:rFonts w:ascii="Arial" w:hAnsi="Arial" w:cs="Arial"/>
          <w:color w:val="222222"/>
          <w:shd w:val="clear" w:color="auto" w:fill="FFFFFF"/>
        </w:rPr>
        <w:t>, 2(1), 9-13.</w:t>
      </w:r>
    </w:p>
    <w:p w14:paraId="617BBC98"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Kadir, M. A., </w:t>
      </w:r>
      <w:proofErr w:type="spellStart"/>
      <w:r w:rsidRPr="00E67BEF">
        <w:rPr>
          <w:rFonts w:ascii="Arial" w:hAnsi="Arial" w:cs="Arial"/>
          <w:color w:val="222222"/>
          <w:shd w:val="clear" w:color="auto" w:fill="FFFFFF"/>
        </w:rPr>
        <w:t>Damar</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Krisanti</w:t>
      </w:r>
      <w:proofErr w:type="spellEnd"/>
      <w:r w:rsidRPr="00E67BEF">
        <w:rPr>
          <w:rFonts w:ascii="Arial" w:hAnsi="Arial" w:cs="Arial"/>
          <w:color w:val="222222"/>
          <w:shd w:val="clear" w:color="auto" w:fill="FFFFFF"/>
        </w:rPr>
        <w:t>, M. (2015). Spatial and Temporal Dynamics of Zooplankton Community Structure in Jakarta Bay. Indonesian Journal of Agricultural Sciences, 20(3), 247-256.</w:t>
      </w:r>
    </w:p>
    <w:p w14:paraId="62FEFA2C"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Melinda, F. S., </w:t>
      </w:r>
      <w:proofErr w:type="spellStart"/>
      <w:r w:rsidRPr="00E67BEF">
        <w:rPr>
          <w:rFonts w:ascii="Arial" w:hAnsi="Arial" w:cs="Arial"/>
          <w:color w:val="222222"/>
          <w:shd w:val="clear" w:color="auto" w:fill="FFFFFF"/>
        </w:rPr>
        <w:t>Rudiyanti</w:t>
      </w:r>
      <w:proofErr w:type="spellEnd"/>
      <w:r w:rsidRPr="00E67BEF">
        <w:rPr>
          <w:rFonts w:ascii="Arial" w:hAnsi="Arial" w:cs="Arial"/>
          <w:color w:val="222222"/>
          <w:shd w:val="clear" w:color="auto" w:fill="FFFFFF"/>
        </w:rPr>
        <w:t xml:space="preserve">, S., &amp; </w:t>
      </w:r>
      <w:proofErr w:type="spellStart"/>
      <w:r w:rsidRPr="00E67BEF">
        <w:rPr>
          <w:rFonts w:ascii="Arial" w:hAnsi="Arial" w:cs="Arial"/>
          <w:color w:val="222222"/>
          <w:shd w:val="clear" w:color="auto" w:fill="FFFFFF"/>
        </w:rPr>
        <w:t>Haeruddin</w:t>
      </w:r>
      <w:proofErr w:type="spellEnd"/>
      <w:r w:rsidRPr="00E67BEF">
        <w:rPr>
          <w:rFonts w:ascii="Arial" w:hAnsi="Arial" w:cs="Arial"/>
          <w:color w:val="222222"/>
          <w:shd w:val="clear" w:color="auto" w:fill="FFFFFF"/>
        </w:rPr>
        <w:t xml:space="preserve">, H. (2019). Water Pollution Status of </w:t>
      </w:r>
      <w:proofErr w:type="spellStart"/>
      <w:r w:rsidRPr="00E67BEF">
        <w:rPr>
          <w:rFonts w:ascii="Arial" w:hAnsi="Arial" w:cs="Arial"/>
          <w:color w:val="222222"/>
          <w:shd w:val="clear" w:color="auto" w:fill="FFFFFF"/>
        </w:rPr>
        <w:t>Jatibarang</w:t>
      </w:r>
      <w:proofErr w:type="spellEnd"/>
      <w:r w:rsidRPr="00E67BEF">
        <w:rPr>
          <w:rFonts w:ascii="Arial" w:hAnsi="Arial" w:cs="Arial"/>
          <w:color w:val="222222"/>
          <w:shd w:val="clear" w:color="auto" w:fill="FFFFFF"/>
        </w:rPr>
        <w:t xml:space="preserve"> Reservoir, Semarang City in Various Activities Allocation. Management of Aquatic Resources Journal (MAQUARES), 8(3), 118-125.</w:t>
      </w:r>
    </w:p>
    <w:p w14:paraId="6AD04A7D"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Mulyadi</w:t>
      </w:r>
      <w:proofErr w:type="spellEnd"/>
      <w:r w:rsidRPr="00E67BEF">
        <w:rPr>
          <w:rFonts w:ascii="Arial" w:hAnsi="Arial" w:cs="Arial"/>
          <w:color w:val="222222"/>
          <w:shd w:val="clear" w:color="auto" w:fill="FFFFFF"/>
        </w:rPr>
        <w:t xml:space="preserve">, A., &amp; </w:t>
      </w:r>
      <w:proofErr w:type="spellStart"/>
      <w:r w:rsidRPr="00E67BEF">
        <w:rPr>
          <w:rFonts w:ascii="Arial" w:hAnsi="Arial" w:cs="Arial"/>
          <w:color w:val="222222"/>
          <w:shd w:val="clear" w:color="auto" w:fill="FFFFFF"/>
        </w:rPr>
        <w:t>Atmaja</w:t>
      </w:r>
      <w:proofErr w:type="spellEnd"/>
      <w:r w:rsidRPr="00E67BEF">
        <w:rPr>
          <w:rFonts w:ascii="Arial" w:hAnsi="Arial" w:cs="Arial"/>
          <w:color w:val="222222"/>
          <w:shd w:val="clear" w:color="auto" w:fill="FFFFFF"/>
        </w:rPr>
        <w:t xml:space="preserve">, E. S. (2011). The Impact of </w:t>
      </w:r>
      <w:proofErr w:type="spellStart"/>
      <w:r w:rsidRPr="00E67BEF">
        <w:rPr>
          <w:rFonts w:ascii="Arial" w:hAnsi="Arial" w:cs="Arial"/>
          <w:color w:val="222222"/>
          <w:shd w:val="clear" w:color="auto" w:fill="FFFFFF"/>
        </w:rPr>
        <w:t>Saguling</w:t>
      </w:r>
      <w:proofErr w:type="spellEnd"/>
      <w:r w:rsidRPr="00E67BEF">
        <w:rPr>
          <w:rFonts w:ascii="Arial" w:hAnsi="Arial" w:cs="Arial"/>
          <w:color w:val="222222"/>
          <w:shd w:val="clear" w:color="auto" w:fill="FFFFFF"/>
        </w:rPr>
        <w:t xml:space="preserve"> Reservoir Pollution on Floating Net Fish Farming. </w:t>
      </w:r>
      <w:proofErr w:type="spellStart"/>
      <w:r w:rsidRPr="00E67BEF">
        <w:rPr>
          <w:rFonts w:ascii="Arial" w:hAnsi="Arial" w:cs="Arial"/>
          <w:color w:val="222222"/>
          <w:shd w:val="clear" w:color="auto" w:fill="FFFFFF"/>
        </w:rPr>
        <w:t>Gea</w:t>
      </w:r>
      <w:proofErr w:type="spellEnd"/>
      <w:r w:rsidRPr="00E67BEF">
        <w:rPr>
          <w:rFonts w:ascii="Arial" w:hAnsi="Arial" w:cs="Arial"/>
          <w:color w:val="222222"/>
          <w:shd w:val="clear" w:color="auto" w:fill="FFFFFF"/>
        </w:rPr>
        <w:t xml:space="preserve"> Geography Journal, 11(2).</w:t>
      </w:r>
    </w:p>
    <w:p w14:paraId="53C69BD0"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Paserang</w:t>
      </w:r>
      <w:proofErr w:type="spellEnd"/>
      <w:r w:rsidRPr="00E67BEF">
        <w:rPr>
          <w:rFonts w:ascii="Arial" w:hAnsi="Arial" w:cs="Arial"/>
          <w:color w:val="222222"/>
          <w:shd w:val="clear" w:color="auto" w:fill="FFFFFF"/>
        </w:rPr>
        <w:t xml:space="preserve">, A. P. (2020). Primary Productivity of Lake </w:t>
      </w:r>
      <w:proofErr w:type="spellStart"/>
      <w:r w:rsidRPr="00E67BEF">
        <w:rPr>
          <w:rFonts w:ascii="Arial" w:hAnsi="Arial" w:cs="Arial"/>
          <w:color w:val="222222"/>
          <w:shd w:val="clear" w:color="auto" w:fill="FFFFFF"/>
        </w:rPr>
        <w:t>Sibili</w:t>
      </w:r>
      <w:proofErr w:type="spellEnd"/>
      <w:r w:rsidRPr="00E67BEF">
        <w:rPr>
          <w:rFonts w:ascii="Arial" w:hAnsi="Arial" w:cs="Arial"/>
          <w:color w:val="222222"/>
          <w:shd w:val="clear" w:color="auto" w:fill="FFFFFF"/>
        </w:rPr>
        <w:t xml:space="preserve"> Waters, </w:t>
      </w:r>
      <w:proofErr w:type="spellStart"/>
      <w:r w:rsidRPr="00E67BEF">
        <w:rPr>
          <w:rFonts w:ascii="Arial" w:hAnsi="Arial" w:cs="Arial"/>
          <w:color w:val="222222"/>
          <w:shd w:val="clear" w:color="auto" w:fill="FFFFFF"/>
        </w:rPr>
        <w:t>Tawaeli</w:t>
      </w:r>
      <w:proofErr w:type="spellEnd"/>
      <w:r w:rsidRPr="00E67BEF">
        <w:rPr>
          <w:rFonts w:ascii="Arial" w:hAnsi="Arial" w:cs="Arial"/>
          <w:color w:val="222222"/>
          <w:shd w:val="clear" w:color="auto" w:fill="FFFFFF"/>
        </w:rPr>
        <w:t xml:space="preserve"> District, </w:t>
      </w:r>
      <w:proofErr w:type="spellStart"/>
      <w:r w:rsidRPr="00E67BEF">
        <w:rPr>
          <w:rFonts w:ascii="Arial" w:hAnsi="Arial" w:cs="Arial"/>
          <w:color w:val="222222"/>
          <w:shd w:val="clear" w:color="auto" w:fill="FFFFFF"/>
        </w:rPr>
        <w:t>Palu</w:t>
      </w:r>
      <w:proofErr w:type="spellEnd"/>
      <w:r w:rsidRPr="00E67BEF">
        <w:rPr>
          <w:rFonts w:ascii="Arial" w:hAnsi="Arial" w:cs="Arial"/>
          <w:color w:val="222222"/>
          <w:shd w:val="clear" w:color="auto" w:fill="FFFFFF"/>
        </w:rPr>
        <w:t xml:space="preserve"> City, Central Sulawesi. </w:t>
      </w:r>
      <w:proofErr w:type="spellStart"/>
      <w:r w:rsidRPr="00E67BEF">
        <w:rPr>
          <w:rFonts w:ascii="Arial" w:hAnsi="Arial" w:cs="Arial"/>
          <w:color w:val="222222"/>
          <w:shd w:val="clear" w:color="auto" w:fill="FFFFFF"/>
        </w:rPr>
        <w:t>Biocelebes</w:t>
      </w:r>
      <w:proofErr w:type="spellEnd"/>
      <w:r w:rsidRPr="00E67BEF">
        <w:rPr>
          <w:rFonts w:ascii="Arial" w:hAnsi="Arial" w:cs="Arial"/>
          <w:color w:val="222222"/>
          <w:shd w:val="clear" w:color="auto" w:fill="FFFFFF"/>
        </w:rPr>
        <w:t>, 14(3), 244-252.</w:t>
      </w:r>
    </w:p>
    <w:p w14:paraId="055464E4" w14:textId="77777777" w:rsidR="00E67BEF" w:rsidRPr="00E67BEF" w:rsidRDefault="00E67BEF" w:rsidP="00E67BEF">
      <w:pPr>
        <w:pStyle w:val="Body"/>
        <w:spacing w:line="276" w:lineRule="auto"/>
        <w:rPr>
          <w:rFonts w:ascii="Arial" w:hAnsi="Arial" w:cs="Arial"/>
          <w:color w:val="222222"/>
          <w:shd w:val="clear" w:color="auto" w:fill="FFFFFF"/>
        </w:rPr>
      </w:pPr>
      <w:proofErr w:type="spellStart"/>
      <w:r w:rsidRPr="00E67BEF">
        <w:rPr>
          <w:rFonts w:ascii="Arial" w:hAnsi="Arial" w:cs="Arial"/>
          <w:color w:val="222222"/>
          <w:shd w:val="clear" w:color="auto" w:fill="FFFFFF"/>
        </w:rPr>
        <w:t>Prasetyawan</w:t>
      </w:r>
      <w:proofErr w:type="spellEnd"/>
      <w:r w:rsidRPr="00E67BEF">
        <w:rPr>
          <w:rFonts w:ascii="Arial" w:hAnsi="Arial" w:cs="Arial"/>
          <w:color w:val="222222"/>
          <w:shd w:val="clear" w:color="auto" w:fill="FFFFFF"/>
        </w:rPr>
        <w:t xml:space="preserve">, I. B., </w:t>
      </w:r>
      <w:proofErr w:type="spellStart"/>
      <w:r w:rsidRPr="00E67BEF">
        <w:rPr>
          <w:rFonts w:ascii="Arial" w:hAnsi="Arial" w:cs="Arial"/>
          <w:color w:val="222222"/>
          <w:shd w:val="clear" w:color="auto" w:fill="FFFFFF"/>
        </w:rPr>
        <w:t>Maslukah</w:t>
      </w:r>
      <w:proofErr w:type="spellEnd"/>
      <w:r w:rsidRPr="00E67BEF">
        <w:rPr>
          <w:rFonts w:ascii="Arial" w:hAnsi="Arial" w:cs="Arial"/>
          <w:color w:val="222222"/>
          <w:shd w:val="clear" w:color="auto" w:fill="FFFFFF"/>
        </w:rPr>
        <w:t xml:space="preserve">, L., &amp; Rifai, A. (2017). Measurement of the carbon dioxide (CO2) system as baseline data for determining carbon flux in </w:t>
      </w:r>
      <w:proofErr w:type="spellStart"/>
      <w:r w:rsidRPr="00E67BEF">
        <w:rPr>
          <w:rFonts w:ascii="Arial" w:hAnsi="Arial" w:cs="Arial"/>
          <w:color w:val="222222"/>
          <w:shd w:val="clear" w:color="auto" w:fill="FFFFFF"/>
        </w:rPr>
        <w:t>Jepara</w:t>
      </w:r>
      <w:proofErr w:type="spellEnd"/>
      <w:r w:rsidRPr="00E67BEF">
        <w:rPr>
          <w:rFonts w:ascii="Arial" w:hAnsi="Arial" w:cs="Arial"/>
          <w:color w:val="222222"/>
          <w:shd w:val="clear" w:color="auto" w:fill="FFFFFF"/>
        </w:rPr>
        <w:t xml:space="preserve"> waters. Marina Oceanography Bulletin, 6(1), 9-16.</w:t>
      </w:r>
    </w:p>
    <w:p w14:paraId="11AF28A4" w14:textId="77777777" w:rsidR="00E67BEF" w:rsidRPr="00E67BEF" w:rsidRDefault="00E67BEF" w:rsidP="00E67BEF">
      <w:pPr>
        <w:pStyle w:val="Body"/>
        <w:spacing w:line="276" w:lineRule="auto"/>
        <w:rPr>
          <w:rFonts w:ascii="Arial" w:hAnsi="Arial" w:cs="Arial"/>
          <w:color w:val="222222"/>
          <w:shd w:val="clear" w:color="auto" w:fill="FFFFFF"/>
        </w:rPr>
      </w:pPr>
      <w:r w:rsidRPr="00E67BEF">
        <w:rPr>
          <w:rFonts w:ascii="Arial" w:hAnsi="Arial" w:cs="Arial"/>
          <w:color w:val="222222"/>
          <w:shd w:val="clear" w:color="auto" w:fill="FFFFFF"/>
        </w:rPr>
        <w:t xml:space="preserve">Sari, D. Y., </w:t>
      </w:r>
      <w:proofErr w:type="spellStart"/>
      <w:r w:rsidRPr="00E67BEF">
        <w:rPr>
          <w:rFonts w:ascii="Arial" w:hAnsi="Arial" w:cs="Arial"/>
          <w:color w:val="222222"/>
          <w:shd w:val="clear" w:color="auto" w:fill="FFFFFF"/>
        </w:rPr>
        <w:t>Haeruddin</w:t>
      </w:r>
      <w:proofErr w:type="spellEnd"/>
      <w:r w:rsidRPr="00E67BEF">
        <w:rPr>
          <w:rFonts w:ascii="Arial" w:hAnsi="Arial" w:cs="Arial"/>
          <w:color w:val="222222"/>
          <w:shd w:val="clear" w:color="auto" w:fill="FFFFFF"/>
        </w:rPr>
        <w:t xml:space="preserve">, H., &amp; </w:t>
      </w:r>
      <w:proofErr w:type="spellStart"/>
      <w:r w:rsidRPr="00E67BEF">
        <w:rPr>
          <w:rFonts w:ascii="Arial" w:hAnsi="Arial" w:cs="Arial"/>
          <w:color w:val="222222"/>
          <w:shd w:val="clear" w:color="auto" w:fill="FFFFFF"/>
        </w:rPr>
        <w:t>Rudiyanti</w:t>
      </w:r>
      <w:proofErr w:type="spellEnd"/>
      <w:r w:rsidRPr="00E67BEF">
        <w:rPr>
          <w:rFonts w:ascii="Arial" w:hAnsi="Arial" w:cs="Arial"/>
          <w:color w:val="222222"/>
          <w:shd w:val="clear" w:color="auto" w:fill="FFFFFF"/>
        </w:rPr>
        <w:t xml:space="preserve">, S. (2018). Habitat Quality Review based on Level of Productivity as Utilization Database Coastal Waters </w:t>
      </w:r>
      <w:proofErr w:type="spellStart"/>
      <w:r w:rsidRPr="00E67BEF">
        <w:rPr>
          <w:rFonts w:ascii="Arial" w:hAnsi="Arial" w:cs="Arial"/>
          <w:color w:val="222222"/>
          <w:shd w:val="clear" w:color="auto" w:fill="FFFFFF"/>
        </w:rPr>
        <w:t>Tasikagung</w:t>
      </w:r>
      <w:proofErr w:type="spellEnd"/>
      <w:r w:rsidRPr="00E67BEF">
        <w:rPr>
          <w:rFonts w:ascii="Arial" w:hAnsi="Arial" w:cs="Arial"/>
          <w:color w:val="222222"/>
          <w:shd w:val="clear" w:color="auto" w:fill="FFFFFF"/>
        </w:rPr>
        <w:t xml:space="preserve"> Village, </w:t>
      </w:r>
      <w:proofErr w:type="spellStart"/>
      <w:r w:rsidRPr="00E67BEF">
        <w:rPr>
          <w:rFonts w:ascii="Arial" w:hAnsi="Arial" w:cs="Arial"/>
          <w:color w:val="222222"/>
          <w:shd w:val="clear" w:color="auto" w:fill="FFFFFF"/>
        </w:rPr>
        <w:t>Rembang</w:t>
      </w:r>
      <w:proofErr w:type="spellEnd"/>
      <w:r w:rsidRPr="00E67BEF">
        <w:rPr>
          <w:rFonts w:ascii="Arial" w:hAnsi="Arial" w:cs="Arial"/>
          <w:color w:val="222222"/>
          <w:shd w:val="clear" w:color="auto" w:fill="FFFFFF"/>
        </w:rPr>
        <w:t>. Management of Aquatic Resources Journal (MAQUARES), 6(4), 490-497.</w:t>
      </w:r>
    </w:p>
    <w:p w14:paraId="46091BE2" w14:textId="07B6DCB2" w:rsidR="00B01FCD" w:rsidRPr="0004736B" w:rsidRDefault="00E67BEF" w:rsidP="00E67BEF">
      <w:pPr>
        <w:pStyle w:val="Body"/>
        <w:spacing w:line="276" w:lineRule="auto"/>
        <w:rPr>
          <w:rFonts w:ascii="Arial" w:hAnsi="Arial" w:cs="Arial"/>
          <w:lang w:val="sv-SE"/>
        </w:rPr>
      </w:pPr>
      <w:proofErr w:type="spellStart"/>
      <w:r w:rsidRPr="00E67BEF">
        <w:rPr>
          <w:rFonts w:ascii="Arial" w:hAnsi="Arial" w:cs="Arial"/>
          <w:color w:val="222222"/>
          <w:shd w:val="clear" w:color="auto" w:fill="FFFFFF"/>
        </w:rPr>
        <w:t>Sunaryo</w:t>
      </w:r>
      <w:proofErr w:type="spellEnd"/>
      <w:r w:rsidRPr="00E67BEF">
        <w:rPr>
          <w:rFonts w:ascii="Arial" w:hAnsi="Arial" w:cs="Arial"/>
          <w:color w:val="222222"/>
          <w:shd w:val="clear" w:color="auto" w:fill="FFFFFF"/>
        </w:rPr>
        <w:t xml:space="preserve">, A. 2017. Primary Productivity in Ir. H. </w:t>
      </w:r>
      <w:proofErr w:type="spellStart"/>
      <w:r w:rsidRPr="00E67BEF">
        <w:rPr>
          <w:rFonts w:ascii="Arial" w:hAnsi="Arial" w:cs="Arial"/>
          <w:color w:val="222222"/>
          <w:shd w:val="clear" w:color="auto" w:fill="FFFFFF"/>
        </w:rPr>
        <w:t>Juanda</w:t>
      </w:r>
      <w:proofErr w:type="spellEnd"/>
      <w:r w:rsidRPr="00E67BEF">
        <w:rPr>
          <w:rFonts w:ascii="Arial" w:hAnsi="Arial" w:cs="Arial"/>
          <w:color w:val="222222"/>
          <w:shd w:val="clear" w:color="auto" w:fill="FFFFFF"/>
        </w:rPr>
        <w:t xml:space="preserve"> Reservoir, </w:t>
      </w:r>
      <w:proofErr w:type="spellStart"/>
      <w:r w:rsidRPr="00E67BEF">
        <w:rPr>
          <w:rFonts w:ascii="Arial" w:hAnsi="Arial" w:cs="Arial"/>
          <w:color w:val="222222"/>
          <w:shd w:val="clear" w:color="auto" w:fill="FFFFFF"/>
        </w:rPr>
        <w:t>Purwakarta</w:t>
      </w:r>
      <w:proofErr w:type="spellEnd"/>
      <w:r w:rsidRPr="00E67BEF">
        <w:rPr>
          <w:rFonts w:ascii="Arial" w:hAnsi="Arial" w:cs="Arial"/>
          <w:color w:val="222222"/>
          <w:shd w:val="clear" w:color="auto" w:fill="FFFFFF"/>
        </w:rPr>
        <w:t xml:space="preserve"> Regency, West Java Province. Journal of Fisheries and Marine Extension, 11(2): 110-120.</w:t>
      </w:r>
    </w:p>
    <w:sectPr w:rsidR="00B01FCD" w:rsidRPr="0004736B" w:rsidSect="006A25C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6FB63" w14:textId="77777777" w:rsidR="00DC4B5D" w:rsidRDefault="00DC4B5D" w:rsidP="00C37E61">
      <w:r>
        <w:separator/>
      </w:r>
    </w:p>
  </w:endnote>
  <w:endnote w:type="continuationSeparator" w:id="0">
    <w:p w14:paraId="397B6616" w14:textId="77777777" w:rsidR="00DC4B5D" w:rsidRDefault="00DC4B5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FF4AA" w14:textId="77777777" w:rsidR="006A25C7" w:rsidRDefault="006A25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F2A5E" w14:textId="77777777" w:rsidR="006A25C7" w:rsidRDefault="006A25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EF69A" w14:textId="498E47BC" w:rsidR="00754C9A" w:rsidRPr="006A25C7" w:rsidRDefault="00754C9A" w:rsidP="006A25C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DE01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49F86" w14:textId="77777777" w:rsidR="00DC4B5D" w:rsidRDefault="00DC4B5D" w:rsidP="00C37E61">
      <w:r>
        <w:separator/>
      </w:r>
    </w:p>
  </w:footnote>
  <w:footnote w:type="continuationSeparator" w:id="0">
    <w:p w14:paraId="7E6AF24B" w14:textId="77777777" w:rsidR="00DC4B5D" w:rsidRDefault="00DC4B5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A1C73" w14:textId="285BDDE5" w:rsidR="006A25C7" w:rsidRDefault="006A25C7">
    <w:pPr>
      <w:pStyle w:val="Header"/>
    </w:pPr>
    <w:r>
      <w:rPr>
        <w:noProof/>
      </w:rPr>
      <w:pict w14:anchorId="3237F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6"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35D40" w14:textId="661F4170" w:rsidR="006A25C7" w:rsidRDefault="006A25C7">
    <w:pPr>
      <w:pStyle w:val="Header"/>
    </w:pPr>
    <w:r>
      <w:rPr>
        <w:noProof/>
      </w:rPr>
      <w:pict w14:anchorId="618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7"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D217" w14:textId="7C9DA8FC" w:rsidR="00296529" w:rsidRPr="00296529" w:rsidRDefault="006A25C7" w:rsidP="00296529">
    <w:pPr>
      <w:ind w:left="2160"/>
      <w:jc w:val="center"/>
      <w:rPr>
        <w:rFonts w:ascii="Times New Roman" w:eastAsia="Calibri" w:hAnsi="Times New Roman"/>
        <w:i/>
        <w:sz w:val="18"/>
        <w:szCs w:val="22"/>
      </w:rPr>
    </w:pPr>
    <w:r>
      <w:rPr>
        <w:noProof/>
      </w:rPr>
      <w:pict w14:anchorId="2FD795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5"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2B080F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851526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2D4551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D0913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A5EF61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813C2C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6326C" w14:textId="4F2768F1" w:rsidR="006A25C7" w:rsidRDefault="006A25C7">
    <w:pPr>
      <w:pStyle w:val="Header"/>
    </w:pPr>
    <w:r>
      <w:rPr>
        <w:noProof/>
      </w:rPr>
      <w:pict w14:anchorId="47D846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9"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9D1A6" w14:textId="63CD2A20" w:rsidR="006A25C7" w:rsidRDefault="006A25C7">
    <w:pPr>
      <w:pStyle w:val="Header"/>
    </w:pPr>
    <w:r>
      <w:rPr>
        <w:noProof/>
      </w:rPr>
      <w:pict w14:anchorId="008405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20"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A27B3" w14:textId="48E40725" w:rsidR="006A25C7" w:rsidRDefault="006A25C7">
    <w:pPr>
      <w:pStyle w:val="Header"/>
    </w:pPr>
    <w:r>
      <w:rPr>
        <w:noProof/>
      </w:rPr>
      <w:pict w14:anchorId="34194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268518"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13427C8"/>
    <w:multiLevelType w:val="hybridMultilevel"/>
    <w:tmpl w:val="B130024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9AC674C"/>
    <w:multiLevelType w:val="singleLevel"/>
    <w:tmpl w:val="D722B678"/>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2D82B95"/>
    <w:multiLevelType w:val="hybridMultilevel"/>
    <w:tmpl w:val="3968AE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8"/>
  </w:num>
  <w:num w:numId="10">
    <w:abstractNumId w:val="2"/>
  </w:num>
  <w:num w:numId="11">
    <w:abstractNumId w:val="21"/>
  </w:num>
  <w:num w:numId="12">
    <w:abstractNumId w:val="3"/>
  </w:num>
  <w:num w:numId="13">
    <w:abstractNumId w:val="20"/>
  </w:num>
  <w:num w:numId="14">
    <w:abstractNumId w:val="9"/>
  </w:num>
  <w:num w:numId="15">
    <w:abstractNumId w:val="24"/>
  </w:num>
  <w:num w:numId="16">
    <w:abstractNumId w:val="5"/>
  </w:num>
  <w:num w:numId="17">
    <w:abstractNumId w:val="25"/>
  </w:num>
  <w:num w:numId="18">
    <w:abstractNumId w:val="16"/>
  </w:num>
  <w:num w:numId="19">
    <w:abstractNumId w:val="31"/>
  </w:num>
  <w:num w:numId="20">
    <w:abstractNumId w:val="12"/>
  </w:num>
  <w:num w:numId="21">
    <w:abstractNumId w:val="10"/>
  </w:num>
  <w:num w:numId="22">
    <w:abstractNumId w:val="15"/>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1"/>
  </w:num>
  <w:num w:numId="31">
    <w:abstractNumId w:val="7"/>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11FBA"/>
    <w:rsid w:val="00024569"/>
    <w:rsid w:val="00025119"/>
    <w:rsid w:val="00030174"/>
    <w:rsid w:val="0004221A"/>
    <w:rsid w:val="0004579C"/>
    <w:rsid w:val="0004736B"/>
    <w:rsid w:val="00052632"/>
    <w:rsid w:val="00062039"/>
    <w:rsid w:val="00080215"/>
    <w:rsid w:val="000870F3"/>
    <w:rsid w:val="000A47FA"/>
    <w:rsid w:val="000A640E"/>
    <w:rsid w:val="000A65D3"/>
    <w:rsid w:val="000B1E33"/>
    <w:rsid w:val="000C3BCA"/>
    <w:rsid w:val="000D689F"/>
    <w:rsid w:val="000E7B7B"/>
    <w:rsid w:val="000E7D62"/>
    <w:rsid w:val="000F199A"/>
    <w:rsid w:val="000F5346"/>
    <w:rsid w:val="000F57C1"/>
    <w:rsid w:val="00103357"/>
    <w:rsid w:val="00123C9F"/>
    <w:rsid w:val="00126190"/>
    <w:rsid w:val="001301F7"/>
    <w:rsid w:val="00130F17"/>
    <w:rsid w:val="001320BF"/>
    <w:rsid w:val="00163BC4"/>
    <w:rsid w:val="001908C3"/>
    <w:rsid w:val="00191062"/>
    <w:rsid w:val="00192B72"/>
    <w:rsid w:val="001A29D8"/>
    <w:rsid w:val="001A5CAA"/>
    <w:rsid w:val="001B0427"/>
    <w:rsid w:val="001B771A"/>
    <w:rsid w:val="001D3A51"/>
    <w:rsid w:val="001E10D2"/>
    <w:rsid w:val="001E25B4"/>
    <w:rsid w:val="001E44FE"/>
    <w:rsid w:val="001E5C93"/>
    <w:rsid w:val="00200595"/>
    <w:rsid w:val="00204835"/>
    <w:rsid w:val="00225983"/>
    <w:rsid w:val="00226B12"/>
    <w:rsid w:val="00231920"/>
    <w:rsid w:val="0023195C"/>
    <w:rsid w:val="0024282C"/>
    <w:rsid w:val="002460DC"/>
    <w:rsid w:val="00250985"/>
    <w:rsid w:val="002556F6"/>
    <w:rsid w:val="00262F32"/>
    <w:rsid w:val="00266E31"/>
    <w:rsid w:val="00283105"/>
    <w:rsid w:val="00284593"/>
    <w:rsid w:val="00284C4C"/>
    <w:rsid w:val="00287E68"/>
    <w:rsid w:val="00296529"/>
    <w:rsid w:val="002B27FB"/>
    <w:rsid w:val="002B685A"/>
    <w:rsid w:val="002C57D2"/>
    <w:rsid w:val="002E0D56"/>
    <w:rsid w:val="0030688C"/>
    <w:rsid w:val="00315186"/>
    <w:rsid w:val="0032559C"/>
    <w:rsid w:val="0033343E"/>
    <w:rsid w:val="00340462"/>
    <w:rsid w:val="003512C2"/>
    <w:rsid w:val="0035371B"/>
    <w:rsid w:val="0036423E"/>
    <w:rsid w:val="00371FB6"/>
    <w:rsid w:val="003763C1"/>
    <w:rsid w:val="00376BBE"/>
    <w:rsid w:val="003855CA"/>
    <w:rsid w:val="003860DC"/>
    <w:rsid w:val="00391E27"/>
    <w:rsid w:val="0039224F"/>
    <w:rsid w:val="003A3F67"/>
    <w:rsid w:val="003A43A4"/>
    <w:rsid w:val="003A7E18"/>
    <w:rsid w:val="003C4C86"/>
    <w:rsid w:val="003C6258"/>
    <w:rsid w:val="003E2904"/>
    <w:rsid w:val="00401927"/>
    <w:rsid w:val="0041027F"/>
    <w:rsid w:val="00412475"/>
    <w:rsid w:val="00423789"/>
    <w:rsid w:val="00440F43"/>
    <w:rsid w:val="00441B6F"/>
    <w:rsid w:val="00442304"/>
    <w:rsid w:val="00446221"/>
    <w:rsid w:val="00450E62"/>
    <w:rsid w:val="004539DB"/>
    <w:rsid w:val="004607BC"/>
    <w:rsid w:val="00467347"/>
    <w:rsid w:val="00471A80"/>
    <w:rsid w:val="0047412E"/>
    <w:rsid w:val="004A2BF2"/>
    <w:rsid w:val="004C0FCE"/>
    <w:rsid w:val="004D305E"/>
    <w:rsid w:val="004D4277"/>
    <w:rsid w:val="004E1365"/>
    <w:rsid w:val="00502516"/>
    <w:rsid w:val="00505F06"/>
    <w:rsid w:val="00506828"/>
    <w:rsid w:val="0050714F"/>
    <w:rsid w:val="0053056E"/>
    <w:rsid w:val="00530778"/>
    <w:rsid w:val="005355A9"/>
    <w:rsid w:val="00554FDA"/>
    <w:rsid w:val="00586061"/>
    <w:rsid w:val="005B5C71"/>
    <w:rsid w:val="005C784C"/>
    <w:rsid w:val="005D17F6"/>
    <w:rsid w:val="005E5539"/>
    <w:rsid w:val="005F315A"/>
    <w:rsid w:val="005F67E7"/>
    <w:rsid w:val="006022C3"/>
    <w:rsid w:val="00602BF5"/>
    <w:rsid w:val="00604781"/>
    <w:rsid w:val="00617FDD"/>
    <w:rsid w:val="00633614"/>
    <w:rsid w:val="00633F68"/>
    <w:rsid w:val="00636EB2"/>
    <w:rsid w:val="0063739C"/>
    <w:rsid w:val="006375B8"/>
    <w:rsid w:val="00653988"/>
    <w:rsid w:val="0066510A"/>
    <w:rsid w:val="00673F9F"/>
    <w:rsid w:val="00686953"/>
    <w:rsid w:val="00687DEA"/>
    <w:rsid w:val="00687E67"/>
    <w:rsid w:val="00695974"/>
    <w:rsid w:val="006967F7"/>
    <w:rsid w:val="006A250C"/>
    <w:rsid w:val="006A25C7"/>
    <w:rsid w:val="006B21D3"/>
    <w:rsid w:val="006B57D0"/>
    <w:rsid w:val="006C478E"/>
    <w:rsid w:val="006D30FF"/>
    <w:rsid w:val="006D6940"/>
    <w:rsid w:val="006F11EC"/>
    <w:rsid w:val="006F3055"/>
    <w:rsid w:val="0070082C"/>
    <w:rsid w:val="00707954"/>
    <w:rsid w:val="00724A46"/>
    <w:rsid w:val="007369E6"/>
    <w:rsid w:val="00746E59"/>
    <w:rsid w:val="00754C9A"/>
    <w:rsid w:val="0075599A"/>
    <w:rsid w:val="00761D52"/>
    <w:rsid w:val="00771F49"/>
    <w:rsid w:val="0077749E"/>
    <w:rsid w:val="0079058F"/>
    <w:rsid w:val="00790ADA"/>
    <w:rsid w:val="007D2288"/>
    <w:rsid w:val="007E011C"/>
    <w:rsid w:val="007E063E"/>
    <w:rsid w:val="007E088F"/>
    <w:rsid w:val="007E3FD3"/>
    <w:rsid w:val="007F7B32"/>
    <w:rsid w:val="00804BC2"/>
    <w:rsid w:val="0081243D"/>
    <w:rsid w:val="0081431A"/>
    <w:rsid w:val="0083216F"/>
    <w:rsid w:val="00860000"/>
    <w:rsid w:val="00863BD3"/>
    <w:rsid w:val="008641ED"/>
    <w:rsid w:val="00866D66"/>
    <w:rsid w:val="008671C6"/>
    <w:rsid w:val="00874446"/>
    <w:rsid w:val="00875803"/>
    <w:rsid w:val="008A784F"/>
    <w:rsid w:val="008B3843"/>
    <w:rsid w:val="008B459E"/>
    <w:rsid w:val="008E13AE"/>
    <w:rsid w:val="008E1506"/>
    <w:rsid w:val="008E710C"/>
    <w:rsid w:val="008F69D6"/>
    <w:rsid w:val="008F7547"/>
    <w:rsid w:val="00900BFB"/>
    <w:rsid w:val="00902823"/>
    <w:rsid w:val="00915CA6"/>
    <w:rsid w:val="00927834"/>
    <w:rsid w:val="00940BAA"/>
    <w:rsid w:val="009500A6"/>
    <w:rsid w:val="009507DA"/>
    <w:rsid w:val="00953A3A"/>
    <w:rsid w:val="00957C18"/>
    <w:rsid w:val="009659BA"/>
    <w:rsid w:val="00983040"/>
    <w:rsid w:val="00991139"/>
    <w:rsid w:val="009B3FB9"/>
    <w:rsid w:val="009C2465"/>
    <w:rsid w:val="009D0FD9"/>
    <w:rsid w:val="009D35A0"/>
    <w:rsid w:val="009D7EB7"/>
    <w:rsid w:val="009E048A"/>
    <w:rsid w:val="009E08E9"/>
    <w:rsid w:val="009E3DB9"/>
    <w:rsid w:val="009E5E02"/>
    <w:rsid w:val="009E6E35"/>
    <w:rsid w:val="009F0EDA"/>
    <w:rsid w:val="00A03B96"/>
    <w:rsid w:val="00A05B19"/>
    <w:rsid w:val="00A1134E"/>
    <w:rsid w:val="00A24E7E"/>
    <w:rsid w:val="00A258C3"/>
    <w:rsid w:val="00A32BF4"/>
    <w:rsid w:val="00A347C0"/>
    <w:rsid w:val="00A4148D"/>
    <w:rsid w:val="00A51431"/>
    <w:rsid w:val="00A51C51"/>
    <w:rsid w:val="00A539AD"/>
    <w:rsid w:val="00A63D09"/>
    <w:rsid w:val="00A75118"/>
    <w:rsid w:val="00A77DC3"/>
    <w:rsid w:val="00A94063"/>
    <w:rsid w:val="00AA6219"/>
    <w:rsid w:val="00AA74E0"/>
    <w:rsid w:val="00AB703F"/>
    <w:rsid w:val="00AC6BB8"/>
    <w:rsid w:val="00AE008F"/>
    <w:rsid w:val="00AF0E01"/>
    <w:rsid w:val="00B01FCD"/>
    <w:rsid w:val="00B16F3F"/>
    <w:rsid w:val="00B1776C"/>
    <w:rsid w:val="00B305CD"/>
    <w:rsid w:val="00B52583"/>
    <w:rsid w:val="00B52896"/>
    <w:rsid w:val="00B672E0"/>
    <w:rsid w:val="00B90F7A"/>
    <w:rsid w:val="00B95236"/>
    <w:rsid w:val="00B96BD9"/>
    <w:rsid w:val="00BA1B01"/>
    <w:rsid w:val="00BA2641"/>
    <w:rsid w:val="00BB37AA"/>
    <w:rsid w:val="00BC53A0"/>
    <w:rsid w:val="00BE62AD"/>
    <w:rsid w:val="00BE6E23"/>
    <w:rsid w:val="00BF121F"/>
    <w:rsid w:val="00BF1F80"/>
    <w:rsid w:val="00BF4921"/>
    <w:rsid w:val="00C166EF"/>
    <w:rsid w:val="00C17148"/>
    <w:rsid w:val="00C17EB0"/>
    <w:rsid w:val="00C27F5F"/>
    <w:rsid w:val="00C30A0F"/>
    <w:rsid w:val="00C37E61"/>
    <w:rsid w:val="00C70F1B"/>
    <w:rsid w:val="00C71A47"/>
    <w:rsid w:val="00C7464C"/>
    <w:rsid w:val="00C84FE1"/>
    <w:rsid w:val="00C85588"/>
    <w:rsid w:val="00CA2BFA"/>
    <w:rsid w:val="00CD6755"/>
    <w:rsid w:val="00CD6856"/>
    <w:rsid w:val="00CE0089"/>
    <w:rsid w:val="00CE793C"/>
    <w:rsid w:val="00CF193C"/>
    <w:rsid w:val="00CF1C46"/>
    <w:rsid w:val="00D173F1"/>
    <w:rsid w:val="00D51CF8"/>
    <w:rsid w:val="00D74CB0"/>
    <w:rsid w:val="00D8295D"/>
    <w:rsid w:val="00D9473D"/>
    <w:rsid w:val="00DB4D1F"/>
    <w:rsid w:val="00DC2A65"/>
    <w:rsid w:val="00DC4B5D"/>
    <w:rsid w:val="00DD5182"/>
    <w:rsid w:val="00DE15F0"/>
    <w:rsid w:val="00DE5663"/>
    <w:rsid w:val="00DE78AA"/>
    <w:rsid w:val="00E053D0"/>
    <w:rsid w:val="00E13D01"/>
    <w:rsid w:val="00E14061"/>
    <w:rsid w:val="00E14F14"/>
    <w:rsid w:val="00E15994"/>
    <w:rsid w:val="00E2060F"/>
    <w:rsid w:val="00E27FCB"/>
    <w:rsid w:val="00E3114E"/>
    <w:rsid w:val="00E31A70"/>
    <w:rsid w:val="00E35B02"/>
    <w:rsid w:val="00E66496"/>
    <w:rsid w:val="00E66B35"/>
    <w:rsid w:val="00E66E10"/>
    <w:rsid w:val="00E67BEF"/>
    <w:rsid w:val="00E769F6"/>
    <w:rsid w:val="00E8407C"/>
    <w:rsid w:val="00E84F3C"/>
    <w:rsid w:val="00E90313"/>
    <w:rsid w:val="00E95C7F"/>
    <w:rsid w:val="00EA012C"/>
    <w:rsid w:val="00EB1384"/>
    <w:rsid w:val="00EC6A55"/>
    <w:rsid w:val="00ED0288"/>
    <w:rsid w:val="00EE2254"/>
    <w:rsid w:val="00EE52CB"/>
    <w:rsid w:val="00EF581D"/>
    <w:rsid w:val="00EF7FD8"/>
    <w:rsid w:val="00F06F59"/>
    <w:rsid w:val="00F0741B"/>
    <w:rsid w:val="00F17988"/>
    <w:rsid w:val="00F469F0"/>
    <w:rsid w:val="00F53273"/>
    <w:rsid w:val="00F6112F"/>
    <w:rsid w:val="00F755E4"/>
    <w:rsid w:val="00F77D02"/>
    <w:rsid w:val="00FB3A86"/>
    <w:rsid w:val="00FD36C8"/>
    <w:rsid w:val="00FE7BB9"/>
    <w:rsid w:val="00FF7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7F1639B"/>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nhideWhenUsed/>
    <w:qFormat/>
    <w:rsid w:val="00A4148D"/>
    <w:pPr>
      <w:spacing w:after="200"/>
    </w:pPr>
    <w:rPr>
      <w:i/>
      <w:iCs/>
      <w:color w:val="1F497D" w:themeColor="text2"/>
      <w:sz w:val="18"/>
      <w:szCs w:val="18"/>
    </w:rPr>
  </w:style>
  <w:style w:type="paragraph" w:styleId="ListBullet">
    <w:name w:val="List Bullet"/>
    <w:basedOn w:val="Normal"/>
    <w:uiPriority w:val="99"/>
    <w:unhideWhenUsed/>
    <w:rsid w:val="00A63D09"/>
    <w:pPr>
      <w:numPr>
        <w:numId w:val="33"/>
      </w:numPr>
      <w:spacing w:after="160" w:line="256" w:lineRule="auto"/>
      <w:ind w:left="720" w:hanging="720"/>
      <w:contextualSpacing/>
    </w:pPr>
    <w:rPr>
      <w:rFonts w:asciiTheme="minorHAnsi" w:eastAsiaTheme="minorHAnsi" w:hAnsiTheme="minorHAnsi" w:cstheme="minorBidi"/>
      <w:kern w:val="2"/>
      <w:sz w:val="22"/>
      <w:szCs w:val="22"/>
    </w:rPr>
  </w:style>
  <w:style w:type="paragraph" w:customStyle="1" w:styleId="selectable-text">
    <w:name w:val="selectable-text"/>
    <w:basedOn w:val="Normal"/>
    <w:rsid w:val="00A63D09"/>
    <w:pPr>
      <w:spacing w:before="100" w:beforeAutospacing="1" w:after="100" w:afterAutospacing="1"/>
    </w:pPr>
    <w:rPr>
      <w:rFonts w:ascii="Times New Roman" w:hAnsi="Times New Roman"/>
      <w:sz w:val="24"/>
      <w:szCs w:val="24"/>
    </w:rPr>
  </w:style>
  <w:style w:type="character" w:customStyle="1" w:styleId="selectable-text1">
    <w:name w:val="selectable-text1"/>
    <w:basedOn w:val="DefaultParagraphFont"/>
    <w:rsid w:val="00A63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0665070">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1937905">
      <w:bodyDiv w:val="1"/>
      <w:marLeft w:val="0"/>
      <w:marRight w:val="0"/>
      <w:marTop w:val="0"/>
      <w:marBottom w:val="0"/>
      <w:divBdr>
        <w:top w:val="none" w:sz="0" w:space="0" w:color="auto"/>
        <w:left w:val="none" w:sz="0" w:space="0" w:color="auto"/>
        <w:bottom w:val="none" w:sz="0" w:space="0" w:color="auto"/>
        <w:right w:val="none" w:sz="0" w:space="0" w:color="auto"/>
      </w:divBdr>
    </w:div>
    <w:div w:id="405499226">
      <w:bodyDiv w:val="1"/>
      <w:marLeft w:val="0"/>
      <w:marRight w:val="0"/>
      <w:marTop w:val="0"/>
      <w:marBottom w:val="0"/>
      <w:divBdr>
        <w:top w:val="none" w:sz="0" w:space="0" w:color="auto"/>
        <w:left w:val="none" w:sz="0" w:space="0" w:color="auto"/>
        <w:bottom w:val="none" w:sz="0" w:space="0" w:color="auto"/>
        <w:right w:val="none" w:sz="0" w:space="0" w:color="auto"/>
      </w:divBdr>
    </w:div>
    <w:div w:id="463961322">
      <w:bodyDiv w:val="1"/>
      <w:marLeft w:val="0"/>
      <w:marRight w:val="0"/>
      <w:marTop w:val="0"/>
      <w:marBottom w:val="0"/>
      <w:divBdr>
        <w:top w:val="none" w:sz="0" w:space="0" w:color="auto"/>
        <w:left w:val="none" w:sz="0" w:space="0" w:color="auto"/>
        <w:bottom w:val="none" w:sz="0" w:space="0" w:color="auto"/>
        <w:right w:val="none" w:sz="0" w:space="0" w:color="auto"/>
      </w:divBdr>
    </w:div>
    <w:div w:id="580406906">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6986948">
      <w:bodyDiv w:val="1"/>
      <w:marLeft w:val="0"/>
      <w:marRight w:val="0"/>
      <w:marTop w:val="0"/>
      <w:marBottom w:val="0"/>
      <w:divBdr>
        <w:top w:val="none" w:sz="0" w:space="0" w:color="auto"/>
        <w:left w:val="none" w:sz="0" w:space="0" w:color="auto"/>
        <w:bottom w:val="none" w:sz="0" w:space="0" w:color="auto"/>
        <w:right w:val="none" w:sz="0" w:space="0" w:color="auto"/>
      </w:divBdr>
    </w:div>
    <w:div w:id="903414297">
      <w:bodyDiv w:val="1"/>
      <w:marLeft w:val="0"/>
      <w:marRight w:val="0"/>
      <w:marTop w:val="0"/>
      <w:marBottom w:val="0"/>
      <w:divBdr>
        <w:top w:val="none" w:sz="0" w:space="0" w:color="auto"/>
        <w:left w:val="none" w:sz="0" w:space="0" w:color="auto"/>
        <w:bottom w:val="none" w:sz="0" w:space="0" w:color="auto"/>
        <w:right w:val="none" w:sz="0" w:space="0" w:color="auto"/>
      </w:divBdr>
    </w:div>
    <w:div w:id="90618980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4209480">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23234091">
      <w:bodyDiv w:val="1"/>
      <w:marLeft w:val="0"/>
      <w:marRight w:val="0"/>
      <w:marTop w:val="0"/>
      <w:marBottom w:val="0"/>
      <w:divBdr>
        <w:top w:val="none" w:sz="0" w:space="0" w:color="auto"/>
        <w:left w:val="none" w:sz="0" w:space="0" w:color="auto"/>
        <w:bottom w:val="none" w:sz="0" w:space="0" w:color="auto"/>
        <w:right w:val="none" w:sz="0" w:space="0" w:color="auto"/>
      </w:divBdr>
    </w:div>
    <w:div w:id="1342582309">
      <w:bodyDiv w:val="1"/>
      <w:marLeft w:val="0"/>
      <w:marRight w:val="0"/>
      <w:marTop w:val="0"/>
      <w:marBottom w:val="0"/>
      <w:divBdr>
        <w:top w:val="none" w:sz="0" w:space="0" w:color="auto"/>
        <w:left w:val="none" w:sz="0" w:space="0" w:color="auto"/>
        <w:bottom w:val="none" w:sz="0" w:space="0" w:color="auto"/>
        <w:right w:val="none" w:sz="0" w:space="0" w:color="auto"/>
      </w:divBdr>
    </w:div>
    <w:div w:id="1509710641">
      <w:bodyDiv w:val="1"/>
      <w:marLeft w:val="0"/>
      <w:marRight w:val="0"/>
      <w:marTop w:val="0"/>
      <w:marBottom w:val="0"/>
      <w:divBdr>
        <w:top w:val="none" w:sz="0" w:space="0" w:color="auto"/>
        <w:left w:val="none" w:sz="0" w:space="0" w:color="auto"/>
        <w:bottom w:val="none" w:sz="0" w:space="0" w:color="auto"/>
        <w:right w:val="none" w:sz="0" w:space="0" w:color="auto"/>
      </w:divBdr>
    </w:div>
    <w:div w:id="168967450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7627347">
      <w:bodyDiv w:val="1"/>
      <w:marLeft w:val="0"/>
      <w:marRight w:val="0"/>
      <w:marTop w:val="0"/>
      <w:marBottom w:val="0"/>
      <w:divBdr>
        <w:top w:val="none" w:sz="0" w:space="0" w:color="auto"/>
        <w:left w:val="none" w:sz="0" w:space="0" w:color="auto"/>
        <w:bottom w:val="none" w:sz="0" w:space="0" w:color="auto"/>
        <w:right w:val="none" w:sz="0" w:space="0" w:color="auto"/>
      </w:divBdr>
    </w:div>
    <w:div w:id="184693680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5129159">
      <w:bodyDiv w:val="1"/>
      <w:marLeft w:val="0"/>
      <w:marRight w:val="0"/>
      <w:marTop w:val="0"/>
      <w:marBottom w:val="0"/>
      <w:divBdr>
        <w:top w:val="none" w:sz="0" w:space="0" w:color="auto"/>
        <w:left w:val="none" w:sz="0" w:space="0" w:color="auto"/>
        <w:bottom w:val="none" w:sz="0" w:space="0" w:color="auto"/>
        <w:right w:val="none" w:sz="0" w:space="0" w:color="auto"/>
      </w:divBdr>
    </w:div>
    <w:div w:id="21364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3CBB6-26E6-4700-8B6D-616493D3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489</TotalTime>
  <Pages>6</Pages>
  <Words>2854</Words>
  <Characters>16273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19089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12</cp:revision>
  <cp:lastPrinted>1999-07-06T11:00:00Z</cp:lastPrinted>
  <dcterms:created xsi:type="dcterms:W3CDTF">2025-07-20T05:31:00Z</dcterms:created>
  <dcterms:modified xsi:type="dcterms:W3CDTF">2025-08-11T10:01:00Z</dcterms:modified>
</cp:coreProperties>
</file>