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56081" w14:textId="7E5DCE26" w:rsidR="00891A7D" w:rsidRPr="009C2587" w:rsidRDefault="00CE0344" w:rsidP="009C2587">
      <w:pPr>
        <w:jc w:val="both"/>
        <w:rPr>
          <w:b/>
          <w:sz w:val="24"/>
          <w:szCs w:val="24"/>
        </w:rPr>
      </w:pPr>
      <w:r w:rsidRPr="009C2587">
        <w:rPr>
          <w:b/>
          <w:color w:val="000000"/>
          <w:sz w:val="24"/>
          <w:szCs w:val="24"/>
        </w:rPr>
        <w:t>COLLABORATIVE</w:t>
      </w:r>
      <w:r w:rsidRPr="009C2587">
        <w:rPr>
          <w:sz w:val="24"/>
          <w:szCs w:val="24"/>
        </w:rPr>
        <w:t xml:space="preserve"> </w:t>
      </w:r>
      <w:r w:rsidRPr="009C2587">
        <w:rPr>
          <w:b/>
          <w:sz w:val="24"/>
          <w:szCs w:val="24"/>
        </w:rPr>
        <w:t>INSTRUCTIONAL STRATEGY AND STUDENTS’ MOTIVATION IN JUNIOR SCHOOLS IN GARISSA TOWNSHIP SUB-COUNTY, KENYA</w:t>
      </w:r>
    </w:p>
    <w:p w14:paraId="5E6775BA" w14:textId="77777777" w:rsidR="00041807" w:rsidRDefault="00041807" w:rsidP="009C2587">
      <w:pPr>
        <w:widowControl/>
        <w:pBdr>
          <w:top w:val="nil"/>
          <w:left w:val="nil"/>
          <w:bottom w:val="nil"/>
          <w:right w:val="nil"/>
          <w:between w:val="nil"/>
        </w:pBdr>
        <w:rPr>
          <w:b/>
          <w:color w:val="000000"/>
          <w:sz w:val="24"/>
          <w:szCs w:val="24"/>
        </w:rPr>
      </w:pPr>
    </w:p>
    <w:p w14:paraId="284735FE" w14:textId="77777777" w:rsidR="00900725" w:rsidRPr="009C2587" w:rsidRDefault="00900725" w:rsidP="009C2587">
      <w:pPr>
        <w:pBdr>
          <w:top w:val="nil"/>
          <w:left w:val="nil"/>
          <w:bottom w:val="nil"/>
          <w:right w:val="nil"/>
          <w:between w:val="nil"/>
        </w:pBdr>
        <w:ind w:right="1129"/>
        <w:rPr>
          <w:b/>
          <w:color w:val="000000"/>
          <w:sz w:val="24"/>
          <w:szCs w:val="24"/>
        </w:rPr>
      </w:pPr>
      <w:bookmarkStart w:id="0" w:name="_GoBack"/>
      <w:bookmarkEnd w:id="0"/>
    </w:p>
    <w:p w14:paraId="469A5375" w14:textId="7A1D44DF" w:rsidR="00891A7D" w:rsidRDefault="00CE0344" w:rsidP="007351C7">
      <w:pPr>
        <w:pBdr>
          <w:top w:val="nil"/>
          <w:left w:val="nil"/>
          <w:bottom w:val="nil"/>
          <w:right w:val="nil"/>
          <w:between w:val="nil"/>
        </w:pBdr>
        <w:ind w:right="1129"/>
        <w:rPr>
          <w:sz w:val="24"/>
          <w:szCs w:val="24"/>
        </w:rPr>
      </w:pPr>
      <w:r>
        <w:rPr>
          <w:b/>
          <w:sz w:val="24"/>
          <w:szCs w:val="24"/>
        </w:rPr>
        <w:t>ABSTRACT</w:t>
      </w:r>
    </w:p>
    <w:p w14:paraId="29807D0E" w14:textId="4724BA30" w:rsidR="00891A7D" w:rsidRDefault="00CE0344" w:rsidP="007351C7">
      <w:pPr>
        <w:jc w:val="both"/>
        <w:rPr>
          <w:color w:val="000000"/>
          <w:sz w:val="24"/>
          <w:szCs w:val="24"/>
        </w:rPr>
      </w:pPr>
      <w:r>
        <w:rPr>
          <w:color w:val="000000"/>
          <w:sz w:val="24"/>
          <w:szCs w:val="24"/>
        </w:rPr>
        <w:t xml:space="preserve">The purpose of this study was to investigate the collaborative instructional strategy employed by teachers and its relationship with student motivation in public Junior schools in </w:t>
      </w:r>
      <w:r>
        <w:rPr>
          <w:color w:val="000000"/>
          <w:sz w:val="24"/>
          <w:szCs w:val="24"/>
        </w:rPr>
        <w:t>Garissa Township Sub- County. This study was guided by the Howard Gardner's Theory of Multiple Intelligence</w:t>
      </w:r>
      <w:r w:rsidR="00C95A5B">
        <w:rPr>
          <w:color w:val="000000"/>
          <w:sz w:val="24"/>
          <w:szCs w:val="24"/>
        </w:rPr>
        <w:t xml:space="preserve">. It </w:t>
      </w:r>
      <w:r>
        <w:rPr>
          <w:color w:val="000000"/>
          <w:sz w:val="24"/>
          <w:szCs w:val="24"/>
        </w:rPr>
        <w:t xml:space="preserve">employed a descriptive survey design that uses both quantitative and qualitative approaches. The target population was be 22 Head teachers, 122 </w:t>
      </w:r>
      <w:r>
        <w:rPr>
          <w:color w:val="000000"/>
          <w:sz w:val="24"/>
          <w:szCs w:val="24"/>
        </w:rPr>
        <w:t xml:space="preserve">teachers and 2324 students from grade 8 and 9. Simple random sampling was used to select </w:t>
      </w:r>
      <w:r w:rsidR="00F41C4B">
        <w:rPr>
          <w:color w:val="000000"/>
          <w:sz w:val="24"/>
          <w:szCs w:val="24"/>
        </w:rPr>
        <w:t>7 Junior schools, 7 Head teachers, 37 teachers and 233 students</w:t>
      </w:r>
      <w:r>
        <w:rPr>
          <w:color w:val="000000"/>
          <w:sz w:val="24"/>
          <w:szCs w:val="24"/>
        </w:rPr>
        <w:t>. Questionnaires were used to collect data from teachers and students while interviews were for the head</w:t>
      </w:r>
      <w:r>
        <w:rPr>
          <w:color w:val="000000"/>
          <w:sz w:val="24"/>
          <w:szCs w:val="24"/>
        </w:rPr>
        <w:t xml:space="preserve"> teachers. Quantitative data from the questionnaires were analyzed using Pearson correlation test while data from interviews was analyzed verbatim. </w:t>
      </w:r>
      <w:r w:rsidR="00FA50C0">
        <w:rPr>
          <w:color w:val="000000"/>
          <w:sz w:val="24"/>
          <w:szCs w:val="24"/>
        </w:rPr>
        <w:t>The</w:t>
      </w:r>
      <w:r>
        <w:rPr>
          <w:color w:val="000000"/>
          <w:sz w:val="24"/>
          <w:szCs w:val="24"/>
        </w:rPr>
        <w:t xml:space="preserve"> findings </w:t>
      </w:r>
      <w:r w:rsidR="00FA50C0">
        <w:rPr>
          <w:color w:val="000000"/>
          <w:sz w:val="24"/>
          <w:szCs w:val="24"/>
        </w:rPr>
        <w:t xml:space="preserve">showed that </w:t>
      </w:r>
      <w:r>
        <w:rPr>
          <w:color w:val="000000"/>
          <w:sz w:val="24"/>
          <w:szCs w:val="24"/>
        </w:rPr>
        <w:t>collaborative instructional strategy</w:t>
      </w:r>
      <w:r w:rsidR="00FA50C0">
        <w:rPr>
          <w:color w:val="000000"/>
          <w:sz w:val="24"/>
          <w:szCs w:val="24"/>
        </w:rPr>
        <w:t xml:space="preserve"> had a</w:t>
      </w:r>
      <w:r>
        <w:rPr>
          <w:color w:val="000000"/>
          <w:sz w:val="24"/>
          <w:szCs w:val="24"/>
        </w:rPr>
        <w:t xml:space="preserve"> positively </w:t>
      </w:r>
      <w:r w:rsidR="007351C7">
        <w:rPr>
          <w:color w:val="000000"/>
          <w:sz w:val="24"/>
          <w:szCs w:val="24"/>
        </w:rPr>
        <w:t xml:space="preserve">strong </w:t>
      </w:r>
      <w:r w:rsidR="00FA50C0">
        <w:rPr>
          <w:color w:val="000000"/>
          <w:sz w:val="24"/>
          <w:szCs w:val="24"/>
        </w:rPr>
        <w:t>significant association student motivation in public Junior schools in Garissa Township Sub- Count</w:t>
      </w:r>
      <w:r w:rsidR="007351C7">
        <w:rPr>
          <w:color w:val="000000"/>
          <w:sz w:val="24"/>
          <w:szCs w:val="24"/>
        </w:rPr>
        <w:t>y</w:t>
      </w:r>
      <w:r>
        <w:rPr>
          <w:color w:val="000000"/>
          <w:sz w:val="24"/>
          <w:szCs w:val="24"/>
        </w:rPr>
        <w:t xml:space="preserve"> </w:t>
      </w:r>
      <w:r w:rsidR="007351C7">
        <w:rPr>
          <w:color w:val="000000"/>
          <w:sz w:val="24"/>
          <w:szCs w:val="24"/>
        </w:rPr>
        <w:t>(</w:t>
      </w:r>
      <w:r>
        <w:rPr>
          <w:color w:val="000000"/>
          <w:sz w:val="24"/>
          <w:szCs w:val="24"/>
        </w:rPr>
        <w:t>p</w:t>
      </w:r>
      <w:r w:rsidR="007351C7">
        <w:rPr>
          <w:color w:val="000000"/>
          <w:sz w:val="24"/>
          <w:szCs w:val="24"/>
        </w:rPr>
        <w:t xml:space="preserve">&lt;0.01; </w:t>
      </w:r>
      <w:r w:rsidR="007351C7">
        <w:rPr>
          <w:sz w:val="24"/>
          <w:szCs w:val="24"/>
        </w:rPr>
        <w:t>r = 0.675.</w:t>
      </w:r>
      <w:r w:rsidR="007351C7">
        <w:rPr>
          <w:color w:val="000000"/>
          <w:sz w:val="24"/>
          <w:szCs w:val="24"/>
        </w:rPr>
        <w:t>)</w:t>
      </w:r>
      <w:r>
        <w:rPr>
          <w:color w:val="000000"/>
          <w:sz w:val="24"/>
          <w:szCs w:val="24"/>
        </w:rPr>
        <w:t xml:space="preserve">. The </w:t>
      </w:r>
      <w:r w:rsidR="007351C7">
        <w:rPr>
          <w:color w:val="000000"/>
          <w:sz w:val="24"/>
          <w:szCs w:val="24"/>
        </w:rPr>
        <w:t>study concludes collaborative instructional strategy has a positively strong significant effect on student motivation in public Junior schools in Garissa Township Sub- Count</w:t>
      </w:r>
      <w:r w:rsidR="007351C7">
        <w:rPr>
          <w:sz w:val="24"/>
          <w:szCs w:val="24"/>
        </w:rPr>
        <w:t>y.</w:t>
      </w:r>
      <w:r>
        <w:rPr>
          <w:sz w:val="24"/>
          <w:szCs w:val="24"/>
        </w:rPr>
        <w:t xml:space="preserve"> The study thus recommends for improvement of </w:t>
      </w:r>
      <w:r>
        <w:rPr>
          <w:color w:val="000000"/>
          <w:sz w:val="24"/>
          <w:szCs w:val="24"/>
        </w:rPr>
        <w:t>collaborative instructional strategies so as to enhance students’ motivation. The findings of this study will provide valuable insights into the effectiveness of collaborative instruction</w:t>
      </w:r>
      <w:r>
        <w:rPr>
          <w:color w:val="000000"/>
          <w:sz w:val="24"/>
          <w:szCs w:val="24"/>
        </w:rPr>
        <w:t>al strategy in enhancing student motivation. Policymakers, educators, and stakeholders will benefit from understanding how this strategy can be effectively implemented to improve educational outcomes and students’ motivation.</w:t>
      </w:r>
    </w:p>
    <w:p w14:paraId="7E84DED0" w14:textId="7523A28E" w:rsidR="00891A7D" w:rsidRDefault="007351C7" w:rsidP="00C95A5B">
      <w:pPr>
        <w:spacing w:before="240" w:after="240"/>
        <w:jc w:val="both"/>
        <w:rPr>
          <w:color w:val="000000"/>
          <w:sz w:val="24"/>
          <w:szCs w:val="24"/>
        </w:rPr>
      </w:pPr>
      <w:r>
        <w:rPr>
          <w:color w:val="000000"/>
          <w:sz w:val="24"/>
          <w:szCs w:val="24"/>
        </w:rPr>
        <w:t>Keywords: Collaborative Competency-Based Curriculum, Instructional Strategies, Public Junior Schools, Student Motivation</w:t>
      </w:r>
    </w:p>
    <w:p w14:paraId="5E4F2685" w14:textId="77777777" w:rsidR="001D5A82" w:rsidRDefault="001D5A82" w:rsidP="00C95A5B">
      <w:pPr>
        <w:spacing w:before="240" w:after="240"/>
        <w:jc w:val="both"/>
        <w:rPr>
          <w:color w:val="000000"/>
          <w:sz w:val="24"/>
          <w:szCs w:val="24"/>
        </w:rPr>
      </w:pPr>
    </w:p>
    <w:p w14:paraId="2D6A79D4" w14:textId="064655EE" w:rsidR="001D5A82" w:rsidRDefault="001D5A82" w:rsidP="00C95A5B">
      <w:pPr>
        <w:spacing w:before="240" w:after="240"/>
        <w:jc w:val="both"/>
        <w:rPr>
          <w:color w:val="000000"/>
          <w:sz w:val="24"/>
          <w:szCs w:val="24"/>
        </w:rPr>
      </w:pPr>
      <w:r>
        <w:rPr>
          <w:color w:val="000000"/>
          <w:sz w:val="24"/>
          <w:szCs w:val="24"/>
        </w:rPr>
        <w:t>INTRODUCTION</w:t>
      </w:r>
    </w:p>
    <w:p w14:paraId="4A64D882" w14:textId="77777777" w:rsidR="00891A7D" w:rsidRDefault="00CE0344">
      <w:pPr>
        <w:spacing w:after="240"/>
        <w:jc w:val="both"/>
        <w:rPr>
          <w:b/>
          <w:sz w:val="24"/>
          <w:szCs w:val="24"/>
        </w:rPr>
      </w:pPr>
      <w:r>
        <w:rPr>
          <w:b/>
          <w:sz w:val="24"/>
          <w:szCs w:val="24"/>
        </w:rPr>
        <w:t>BACKGROUND OF THE STUDY</w:t>
      </w:r>
    </w:p>
    <w:p w14:paraId="27637742" w14:textId="2C8B5EA9" w:rsidR="00891A7D" w:rsidRDefault="00CE0344" w:rsidP="00C95A5B">
      <w:pPr>
        <w:jc w:val="both"/>
        <w:rPr>
          <w:color w:val="000000"/>
          <w:sz w:val="24"/>
          <w:szCs w:val="24"/>
        </w:rPr>
      </w:pPr>
      <w:r>
        <w:rPr>
          <w:color w:val="000000"/>
          <w:sz w:val="24"/>
          <w:szCs w:val="24"/>
        </w:rPr>
        <w:t xml:space="preserve">OECD (2020) pointed out that many countries emphasize professional development as an essential part of teacher preparedness. </w:t>
      </w:r>
      <w:r w:rsidR="007351C7">
        <w:rPr>
          <w:color w:val="000000"/>
          <w:sz w:val="24"/>
          <w:szCs w:val="24"/>
        </w:rPr>
        <w:t>Moreover,</w:t>
      </w:r>
      <w:r>
        <w:rPr>
          <w:color w:val="000000"/>
          <w:sz w:val="24"/>
          <w:szCs w:val="24"/>
        </w:rPr>
        <w:t xml:space="preserve"> teachers who undergo continuous training are better equipped to meet the needs of their students and adapt to changing educational demands. UNESCO (2020) asserts that the rapid advancement of technology in the classroom, particularly the integratio</w:t>
      </w:r>
      <w:r>
        <w:rPr>
          <w:color w:val="000000"/>
          <w:sz w:val="24"/>
          <w:szCs w:val="24"/>
        </w:rPr>
        <w:t xml:space="preserve">n of digital literacy, has fundamentally reshaped the global education landscape in recent years. This transformation has brought about both opportunities and challenges for students, teachers, and educational systems around the world. </w:t>
      </w:r>
      <w:r w:rsidR="00C95A5B">
        <w:rPr>
          <w:color w:val="000000"/>
          <w:sz w:val="24"/>
          <w:szCs w:val="24"/>
        </w:rPr>
        <w:t xml:space="preserve">  </w:t>
      </w:r>
      <w:r>
        <w:rPr>
          <w:color w:val="000000"/>
          <w:sz w:val="24"/>
          <w:szCs w:val="24"/>
        </w:rPr>
        <w:t>Innovative instruc</w:t>
      </w:r>
      <w:r>
        <w:rPr>
          <w:color w:val="000000"/>
          <w:sz w:val="24"/>
          <w:szCs w:val="24"/>
        </w:rPr>
        <w:t>tional strategies, such as collaborative instructional strategy have become a focal point in global education reform efforts. The push towards student-centered learning has led to the adoption of diverse teaching methods that engage students actively. Rese</w:t>
      </w:r>
      <w:r>
        <w:rPr>
          <w:color w:val="000000"/>
          <w:sz w:val="24"/>
          <w:szCs w:val="24"/>
        </w:rPr>
        <w:t>arch indicates that approaches such as cooperative learning, project-based learning, and the use of technology significantly enhance student motivation and performance (Freeman et al., 2014). These strategies empower students by fostering critical thinking</w:t>
      </w:r>
      <w:r>
        <w:rPr>
          <w:color w:val="000000"/>
          <w:sz w:val="24"/>
          <w:szCs w:val="24"/>
        </w:rPr>
        <w:t>, creativity, and collaboration, essential skills for the 21</w:t>
      </w:r>
      <w:r>
        <w:rPr>
          <w:color w:val="000000"/>
          <w:sz w:val="24"/>
          <w:szCs w:val="24"/>
          <w:vertAlign w:val="superscript"/>
        </w:rPr>
        <w:t>st</w:t>
      </w:r>
      <w:r>
        <w:rPr>
          <w:color w:val="000000"/>
          <w:sz w:val="24"/>
          <w:szCs w:val="24"/>
        </w:rPr>
        <w:t xml:space="preserve"> century.</w:t>
      </w:r>
    </w:p>
    <w:p w14:paraId="73C16603" w14:textId="5AFAEFFC" w:rsidR="00891A7D" w:rsidRDefault="00CE0344">
      <w:pPr>
        <w:spacing w:before="240" w:after="240"/>
        <w:jc w:val="both"/>
        <w:rPr>
          <w:color w:val="000000"/>
          <w:sz w:val="24"/>
          <w:szCs w:val="24"/>
        </w:rPr>
      </w:pPr>
      <w:r>
        <w:rPr>
          <w:color w:val="000000"/>
          <w:sz w:val="24"/>
          <w:szCs w:val="24"/>
        </w:rPr>
        <w:lastRenderedPageBreak/>
        <w:t>In the flipped classroom model, students learn new content at home through videos or readings and then engage in interactive activities and discussions in class to apply that knowledge</w:t>
      </w:r>
      <w:r>
        <w:rPr>
          <w:color w:val="000000"/>
          <w:sz w:val="24"/>
          <w:szCs w:val="24"/>
        </w:rPr>
        <w:t xml:space="preserve">. This approach encourages active learning and deeper engagement during face-to-face sessions. Research by Bergmann and </w:t>
      </w:r>
      <w:proofErr w:type="spellStart"/>
      <w:r>
        <w:rPr>
          <w:color w:val="000000"/>
          <w:sz w:val="24"/>
          <w:szCs w:val="24"/>
        </w:rPr>
        <w:t>Sams</w:t>
      </w:r>
      <w:proofErr w:type="spellEnd"/>
      <w:r>
        <w:rPr>
          <w:color w:val="000000"/>
          <w:sz w:val="24"/>
          <w:szCs w:val="24"/>
        </w:rPr>
        <w:t xml:space="preserve"> (2012) demonstrated that flipped classrooms could improve student achievement and engagement by allowing for more personalized lear</w:t>
      </w:r>
      <w:r>
        <w:rPr>
          <w:color w:val="000000"/>
          <w:sz w:val="24"/>
          <w:szCs w:val="24"/>
        </w:rPr>
        <w:t>ning.</w:t>
      </w:r>
      <w:r w:rsidR="00C95A5B">
        <w:rPr>
          <w:color w:val="000000"/>
          <w:sz w:val="24"/>
          <w:szCs w:val="24"/>
        </w:rPr>
        <w:t xml:space="preserve"> Moreover </w:t>
      </w:r>
      <w:r>
        <w:rPr>
          <w:color w:val="000000"/>
          <w:sz w:val="24"/>
          <w:szCs w:val="24"/>
        </w:rPr>
        <w:t>STEM (Science, Technology, Engineering and Mathematics) education encourages an interdisciplinary approach to teaching that connects these subjects. The integration of the arts into the STEM disciplines aims to foster creativity, innovation,</w:t>
      </w:r>
      <w:r>
        <w:rPr>
          <w:color w:val="000000"/>
          <w:sz w:val="24"/>
          <w:szCs w:val="24"/>
        </w:rPr>
        <w:t xml:space="preserve"> and problem-solving skills. Beers (2011) emphasized that STEM education can bridge the gap between the arts and sciences and help students think critically about complex global challenges.</w:t>
      </w:r>
    </w:p>
    <w:p w14:paraId="347B9D40" w14:textId="024DF741" w:rsidR="00891A7D" w:rsidRDefault="00CE0344">
      <w:pPr>
        <w:spacing w:before="240" w:after="240"/>
        <w:jc w:val="both"/>
        <w:rPr>
          <w:color w:val="000000"/>
          <w:sz w:val="24"/>
          <w:szCs w:val="24"/>
        </w:rPr>
      </w:pPr>
      <w:r>
        <w:rPr>
          <w:color w:val="000000"/>
          <w:sz w:val="24"/>
          <w:szCs w:val="24"/>
        </w:rPr>
        <w:t>In Africa, the need for educational reform is underscored by the A</w:t>
      </w:r>
      <w:r>
        <w:rPr>
          <w:color w:val="000000"/>
          <w:sz w:val="24"/>
          <w:szCs w:val="24"/>
        </w:rPr>
        <w:t>frican Union's Agenda 2063, which emphasizes the importance of quality education and skills development (African Union, 2015). Many African nations are shifting from rote learning to more innovative pedagogical practices to engage students and improve acad</w:t>
      </w:r>
      <w:r>
        <w:rPr>
          <w:color w:val="000000"/>
          <w:sz w:val="24"/>
          <w:szCs w:val="24"/>
        </w:rPr>
        <w:t>emic outcomes. Studies show that when teachers utilize innovative strategies, student motivation and participation increase, resulting in better academic performance (</w:t>
      </w:r>
      <w:proofErr w:type="spellStart"/>
      <w:r>
        <w:rPr>
          <w:color w:val="000000"/>
          <w:sz w:val="24"/>
          <w:szCs w:val="24"/>
        </w:rPr>
        <w:t>Okebukola</w:t>
      </w:r>
      <w:proofErr w:type="spellEnd"/>
      <w:r>
        <w:rPr>
          <w:color w:val="000000"/>
          <w:sz w:val="24"/>
          <w:szCs w:val="24"/>
        </w:rPr>
        <w:t>, 2017). In Africa, innovative instructional strategies are becoming increasingl</w:t>
      </w:r>
      <w:r>
        <w:rPr>
          <w:color w:val="000000"/>
          <w:sz w:val="24"/>
          <w:szCs w:val="24"/>
        </w:rPr>
        <w:t>y important as educators seek to improve student outcomes amidst challenges such as overcrowded classrooms, teacher shortages, and limited resources. Some strategies adapted to the African context include:</w:t>
      </w:r>
      <w:r w:rsidR="00C95A5B">
        <w:rPr>
          <w:color w:val="000000"/>
          <w:sz w:val="24"/>
          <w:szCs w:val="24"/>
        </w:rPr>
        <w:t xml:space="preserve"> </w:t>
      </w:r>
      <w:r>
        <w:rPr>
          <w:color w:val="000000"/>
          <w:sz w:val="24"/>
          <w:szCs w:val="24"/>
        </w:rPr>
        <w:t>Many African educational systems emphasize learner</w:t>
      </w:r>
      <w:r>
        <w:rPr>
          <w:color w:val="000000"/>
          <w:sz w:val="24"/>
          <w:szCs w:val="24"/>
        </w:rPr>
        <w:t>- centered approaches to teaching. Active learning methods, such as group discussions, case studies, role-playing, and problem-solving activities, encourage student participation and critical thinking. The African Union’s (2016) report on education emphasi</w:t>
      </w:r>
      <w:r>
        <w:rPr>
          <w:color w:val="000000"/>
          <w:sz w:val="24"/>
          <w:szCs w:val="24"/>
        </w:rPr>
        <w:t>zed the need for more student-centered pedagogies to address the skills gap and improve the quality of education across the continent.</w:t>
      </w:r>
    </w:p>
    <w:p w14:paraId="61847B12" w14:textId="180E3C15" w:rsidR="00891A7D" w:rsidRDefault="00CE0344">
      <w:pPr>
        <w:spacing w:before="240" w:after="240"/>
        <w:jc w:val="both"/>
        <w:rPr>
          <w:color w:val="000000"/>
          <w:sz w:val="24"/>
          <w:szCs w:val="24"/>
        </w:rPr>
      </w:pPr>
      <w:bookmarkStart w:id="1" w:name="_exvg9pisqkpl" w:colFirst="0" w:colLast="0"/>
      <w:bookmarkEnd w:id="1"/>
      <w:r>
        <w:rPr>
          <w:color w:val="000000"/>
          <w:sz w:val="24"/>
          <w:szCs w:val="24"/>
        </w:rPr>
        <w:t>In Kenya, the government recognizes the importance of innovative instructional methods such as collaborative instructiona</w:t>
      </w:r>
      <w:r>
        <w:rPr>
          <w:color w:val="000000"/>
          <w:sz w:val="24"/>
          <w:szCs w:val="24"/>
        </w:rPr>
        <w:t xml:space="preserve">l strategy in its Education Sector Support </w:t>
      </w:r>
      <w:proofErr w:type="spellStart"/>
      <w:r>
        <w:rPr>
          <w:color w:val="000000"/>
          <w:sz w:val="24"/>
          <w:szCs w:val="24"/>
        </w:rPr>
        <w:t>Programme</w:t>
      </w:r>
      <w:proofErr w:type="spellEnd"/>
      <w:r>
        <w:rPr>
          <w:color w:val="000000"/>
          <w:sz w:val="24"/>
          <w:szCs w:val="24"/>
        </w:rPr>
        <w:t xml:space="preserve"> (Republic of Kenya, 2018).</w:t>
      </w:r>
      <w:r w:rsidR="00C95A5B">
        <w:rPr>
          <w:color w:val="000000"/>
          <w:sz w:val="24"/>
          <w:szCs w:val="24"/>
        </w:rPr>
        <w:t xml:space="preserve"> In the year 2017, Kenya introduced the Competency-Based Curriculum (CBC), which emphasizes the development of learners' competencies rather than focusing solely on content delivery. The CBC encourages personalized learning, critical thinking, creativity, and problem-solving. This shift represents a move towards more learner-centered, innovative instructional strategies. Research by Kenya Institute of Curriculum Development (2018) indicates that CBC has the potential to improve student engagement by focusing on practical skills and the holistic development of learners A study by the Kenya Institute of Curriculum Development [KICD] (2019) found that many teachers lack the skills to implement the CBC, which was introduced to foster 21st-century skills such as critical thinking and problem-solving. In Kenya, continuous professional development is emphasized, but the opportunities are not always widely accessible. </w:t>
      </w:r>
      <w:r>
        <w:rPr>
          <w:color w:val="000000"/>
          <w:sz w:val="24"/>
          <w:szCs w:val="24"/>
        </w:rPr>
        <w:t xml:space="preserve"> However, challenges </w:t>
      </w:r>
      <w:r>
        <w:rPr>
          <w:color w:val="000000"/>
          <w:sz w:val="24"/>
          <w:szCs w:val="24"/>
        </w:rPr>
        <w:t>such as inadequate training and resources persist. Research indicates that teachers in public secondary schools often default to traditional methods due to these limitations (</w:t>
      </w:r>
      <w:proofErr w:type="spellStart"/>
      <w:r>
        <w:rPr>
          <w:color w:val="000000"/>
          <w:sz w:val="24"/>
          <w:szCs w:val="24"/>
        </w:rPr>
        <w:t>Mugambi</w:t>
      </w:r>
      <w:proofErr w:type="spellEnd"/>
      <w:r>
        <w:rPr>
          <w:color w:val="000000"/>
          <w:sz w:val="24"/>
          <w:szCs w:val="24"/>
        </w:rPr>
        <w:t>, 2020). In Garissa Township Sub-county, where socio-economic factors furt</w:t>
      </w:r>
      <w:r>
        <w:rPr>
          <w:color w:val="000000"/>
          <w:sz w:val="24"/>
          <w:szCs w:val="24"/>
        </w:rPr>
        <w:t>her complicate educational delivery, understanding the impact of innovative strategies on student motivation is crucial.</w:t>
      </w:r>
    </w:p>
    <w:p w14:paraId="32724233" w14:textId="77777777" w:rsidR="00891A7D" w:rsidRDefault="00CE0344">
      <w:pPr>
        <w:jc w:val="both"/>
        <w:rPr>
          <w:b/>
          <w:sz w:val="24"/>
          <w:szCs w:val="24"/>
        </w:rPr>
      </w:pPr>
      <w:r>
        <w:rPr>
          <w:b/>
          <w:sz w:val="24"/>
          <w:szCs w:val="24"/>
        </w:rPr>
        <w:t>STATEMENT OF THE PROBLEM</w:t>
      </w:r>
    </w:p>
    <w:p w14:paraId="64625E24" w14:textId="6D7A78AD" w:rsidR="00891A7D" w:rsidRDefault="009C4154">
      <w:pPr>
        <w:spacing w:before="240" w:after="240"/>
        <w:jc w:val="both"/>
        <w:rPr>
          <w:color w:val="000000"/>
          <w:sz w:val="24"/>
          <w:szCs w:val="24"/>
        </w:rPr>
      </w:pPr>
      <w:r>
        <w:rPr>
          <w:color w:val="000000"/>
          <w:sz w:val="24"/>
          <w:szCs w:val="24"/>
        </w:rPr>
        <w:t xml:space="preserve">Globally, high-performing education systems have increasingly adopted active, learner-centered approaches such as project-based learning, technology integration, and personalized instruction, </w:t>
      </w:r>
      <w:r>
        <w:rPr>
          <w:color w:val="000000"/>
          <w:sz w:val="24"/>
          <w:szCs w:val="24"/>
        </w:rPr>
        <w:lastRenderedPageBreak/>
        <w:t>which have been shown to enhance student motivation and engagement (Hattie, 2009). Since the introduction of the Competency-Based Curriculum (CBC) by the Kenya Institute of Curriculum Development (KICD) in 2017, Garissa Township Sub- County has faced significant challenges in implementing the new curriculum, primarily due to a shortage of teachers. The implementation of CBC requires educators to adopt innovative teaching approaches that empower students to create their own learning environments and build their understanding of new concepts (KICD, 2017). Research indicates that traditional teaching methods frequently fail to capture students' interest and address their diverse learning needs (</w:t>
      </w:r>
      <w:proofErr w:type="spellStart"/>
      <w:r>
        <w:rPr>
          <w:color w:val="000000"/>
          <w:sz w:val="24"/>
          <w:szCs w:val="24"/>
        </w:rPr>
        <w:t>Sahlberg</w:t>
      </w:r>
      <w:proofErr w:type="spellEnd"/>
      <w:r>
        <w:rPr>
          <w:color w:val="000000"/>
          <w:sz w:val="24"/>
          <w:szCs w:val="24"/>
        </w:rPr>
        <w:t xml:space="preserve">, 2016). </w:t>
      </w:r>
    </w:p>
    <w:p w14:paraId="2CC26D16" w14:textId="77777777" w:rsidR="00891A7D" w:rsidRDefault="00CE0344">
      <w:pPr>
        <w:spacing w:before="240" w:after="240"/>
        <w:jc w:val="both"/>
        <w:rPr>
          <w:color w:val="000000"/>
          <w:sz w:val="24"/>
          <w:szCs w:val="24"/>
        </w:rPr>
      </w:pPr>
      <w:r>
        <w:rPr>
          <w:color w:val="000000"/>
          <w:sz w:val="24"/>
          <w:szCs w:val="24"/>
        </w:rPr>
        <w:t>In many African countries, including Kenya, educational systems face similar challenges such as large class sizes</w:t>
      </w:r>
      <w:r>
        <w:rPr>
          <w:color w:val="000000"/>
          <w:sz w:val="24"/>
          <w:szCs w:val="24"/>
        </w:rPr>
        <w:t>, limited resources, and an over-reliance on teacher-centered instruction (Miyamoto, 2020). Despite efforts to improve the quality of education, traditional instructional methods continue to dominate, limiting opportunities for student interaction, critica</w:t>
      </w:r>
      <w:r>
        <w:rPr>
          <w:color w:val="000000"/>
          <w:sz w:val="24"/>
          <w:szCs w:val="24"/>
        </w:rPr>
        <w:t>l thinking, and intrinsic motivation (</w:t>
      </w:r>
      <w:proofErr w:type="spellStart"/>
      <w:r>
        <w:rPr>
          <w:color w:val="000000"/>
          <w:sz w:val="24"/>
          <w:szCs w:val="24"/>
        </w:rPr>
        <w:t>Mbithi</w:t>
      </w:r>
      <w:proofErr w:type="spellEnd"/>
      <w:r>
        <w:rPr>
          <w:color w:val="000000"/>
          <w:sz w:val="24"/>
          <w:szCs w:val="24"/>
        </w:rPr>
        <w:t xml:space="preserve"> &amp; </w:t>
      </w:r>
      <w:proofErr w:type="spellStart"/>
      <w:r>
        <w:rPr>
          <w:color w:val="000000"/>
          <w:sz w:val="24"/>
          <w:szCs w:val="24"/>
        </w:rPr>
        <w:t>Wambugu</w:t>
      </w:r>
      <w:proofErr w:type="spellEnd"/>
      <w:r>
        <w:rPr>
          <w:color w:val="000000"/>
          <w:sz w:val="24"/>
          <w:szCs w:val="24"/>
        </w:rPr>
        <w:t>, 2019). This is particularly evident in Kenya, where Junior school students often struggle with low levels of motivation, compounded by barriers such as high teacher-to-student ratios, heavy teacher wo</w:t>
      </w:r>
      <w:r>
        <w:rPr>
          <w:color w:val="000000"/>
          <w:sz w:val="24"/>
          <w:szCs w:val="24"/>
        </w:rPr>
        <w:t>rkloads, insufficient resources, and inadequate preparation of teachers to implement modern pedagogical techniques (Republic of Kenya, 2016). As a result, traditional teaching methods may not effectively cater to the diverse needs of students, nor align wi</w:t>
      </w:r>
      <w:r>
        <w:rPr>
          <w:color w:val="000000"/>
          <w:sz w:val="24"/>
          <w:szCs w:val="24"/>
        </w:rPr>
        <w:t>th the CBC's goals of fostering skill development and preparing learners for future career pathways (Kenya Institute of Curriculum Development, 2017). This study aimed to explore how teachers can create more engaging and motivating learning environments, w</w:t>
      </w:r>
      <w:r>
        <w:rPr>
          <w:color w:val="000000"/>
          <w:sz w:val="24"/>
          <w:szCs w:val="24"/>
        </w:rPr>
        <w:t>hich may contribute to improved student motivation in Junior schools in Garissa Township Sub- County, thus addressing the challenges of CBC implementation.</w:t>
      </w:r>
    </w:p>
    <w:p w14:paraId="39DFAEF2" w14:textId="77777777" w:rsidR="00891A7D" w:rsidRDefault="00CE0344">
      <w:pPr>
        <w:rPr>
          <w:sz w:val="24"/>
          <w:szCs w:val="24"/>
        </w:rPr>
      </w:pPr>
      <w:r>
        <w:rPr>
          <w:b/>
          <w:sz w:val="24"/>
          <w:szCs w:val="24"/>
        </w:rPr>
        <w:t>RESEARCH</w:t>
      </w:r>
      <w:r>
        <w:rPr>
          <w:sz w:val="24"/>
          <w:szCs w:val="24"/>
        </w:rPr>
        <w:t xml:space="preserve"> </w:t>
      </w:r>
      <w:r>
        <w:rPr>
          <w:b/>
          <w:sz w:val="24"/>
          <w:szCs w:val="24"/>
        </w:rPr>
        <w:t>OBJECTIVE</w:t>
      </w:r>
    </w:p>
    <w:p w14:paraId="55475E78" w14:textId="77777777" w:rsidR="00891A7D" w:rsidRDefault="00891A7D">
      <w:pPr>
        <w:jc w:val="both"/>
        <w:rPr>
          <w:sz w:val="24"/>
          <w:szCs w:val="24"/>
        </w:rPr>
      </w:pPr>
    </w:p>
    <w:p w14:paraId="2DFFF24B" w14:textId="77777777" w:rsidR="00891A7D" w:rsidRDefault="00CE0344">
      <w:pPr>
        <w:jc w:val="both"/>
        <w:rPr>
          <w:sz w:val="24"/>
          <w:szCs w:val="24"/>
        </w:rPr>
      </w:pPr>
      <w:r>
        <w:rPr>
          <w:sz w:val="24"/>
          <w:szCs w:val="24"/>
        </w:rPr>
        <w:t xml:space="preserve">To </w:t>
      </w:r>
      <w:r>
        <w:rPr>
          <w:color w:val="000000"/>
          <w:sz w:val="24"/>
          <w:szCs w:val="24"/>
        </w:rPr>
        <w:t>assess use of collaborative instructional strategy and students’ motivation i</w:t>
      </w:r>
      <w:r>
        <w:rPr>
          <w:color w:val="000000"/>
          <w:sz w:val="24"/>
          <w:szCs w:val="24"/>
        </w:rPr>
        <w:t>n public Junior schools in Garissa Township Sub- County</w:t>
      </w:r>
      <w:r>
        <w:rPr>
          <w:sz w:val="24"/>
          <w:szCs w:val="24"/>
        </w:rPr>
        <w:t>.</w:t>
      </w:r>
    </w:p>
    <w:p w14:paraId="4EFEF2C6" w14:textId="77777777" w:rsidR="00891A7D" w:rsidRDefault="00891A7D">
      <w:pPr>
        <w:rPr>
          <w:b/>
          <w:sz w:val="24"/>
          <w:szCs w:val="24"/>
        </w:rPr>
      </w:pPr>
    </w:p>
    <w:p w14:paraId="76586ACF" w14:textId="372BE004" w:rsidR="00F41C4B" w:rsidRDefault="00F41C4B" w:rsidP="00F41C4B">
      <w:pPr>
        <w:rPr>
          <w:sz w:val="24"/>
          <w:szCs w:val="24"/>
        </w:rPr>
      </w:pPr>
      <w:r>
        <w:rPr>
          <w:b/>
          <w:sz w:val="24"/>
          <w:szCs w:val="24"/>
        </w:rPr>
        <w:t>RESEARCH</w:t>
      </w:r>
      <w:r>
        <w:rPr>
          <w:sz w:val="24"/>
          <w:szCs w:val="24"/>
        </w:rPr>
        <w:t xml:space="preserve"> </w:t>
      </w:r>
      <w:r>
        <w:rPr>
          <w:b/>
          <w:sz w:val="24"/>
          <w:szCs w:val="24"/>
        </w:rPr>
        <w:t>HYPOTHESIS</w:t>
      </w:r>
    </w:p>
    <w:p w14:paraId="25B4735E" w14:textId="3654B32B" w:rsidR="00891A7D" w:rsidRDefault="00F41C4B" w:rsidP="006E744D">
      <w:pPr>
        <w:jc w:val="both"/>
        <w:rPr>
          <w:b/>
          <w:sz w:val="24"/>
          <w:szCs w:val="24"/>
        </w:rPr>
      </w:pPr>
      <w:r>
        <w:rPr>
          <w:sz w:val="24"/>
          <w:szCs w:val="24"/>
        </w:rPr>
        <w:t>H</w:t>
      </w:r>
      <w:r w:rsidRPr="00F41C4B">
        <w:rPr>
          <w:sz w:val="24"/>
          <w:szCs w:val="24"/>
          <w:vertAlign w:val="subscript"/>
        </w:rPr>
        <w:t>0</w:t>
      </w:r>
      <w:r>
        <w:rPr>
          <w:sz w:val="24"/>
          <w:szCs w:val="24"/>
        </w:rPr>
        <w:t>:</w:t>
      </w:r>
      <w:r w:rsidR="006E744D" w:rsidRPr="006E744D">
        <w:rPr>
          <w:color w:val="000000"/>
          <w:sz w:val="24"/>
          <w:szCs w:val="24"/>
        </w:rPr>
        <w:t xml:space="preserve"> </w:t>
      </w:r>
      <w:r w:rsidR="006E744D">
        <w:rPr>
          <w:color w:val="000000"/>
          <w:sz w:val="24"/>
          <w:szCs w:val="24"/>
        </w:rPr>
        <w:t>Collaborative instructional strategy does not have significant effect on student motivation in public Junior schools in Garissa Township Sub- Count</w:t>
      </w:r>
      <w:r w:rsidR="006E744D">
        <w:rPr>
          <w:sz w:val="24"/>
          <w:szCs w:val="24"/>
        </w:rPr>
        <w:t>y</w:t>
      </w:r>
    </w:p>
    <w:p w14:paraId="16BAA409" w14:textId="77777777" w:rsidR="00891A7D" w:rsidRDefault="00CE0344">
      <w:pPr>
        <w:rPr>
          <w:b/>
          <w:sz w:val="24"/>
          <w:szCs w:val="24"/>
        </w:rPr>
      </w:pPr>
      <w:r>
        <w:rPr>
          <w:b/>
          <w:sz w:val="24"/>
          <w:szCs w:val="24"/>
        </w:rPr>
        <w:t>THEORETICAL REVIEW</w:t>
      </w:r>
    </w:p>
    <w:p w14:paraId="167F09E7" w14:textId="1FF6D016" w:rsidR="00891A7D" w:rsidRPr="009C4154" w:rsidRDefault="00CE0344" w:rsidP="009C4154">
      <w:pPr>
        <w:spacing w:before="240" w:after="240"/>
        <w:jc w:val="both"/>
        <w:rPr>
          <w:color w:val="000000"/>
          <w:sz w:val="24"/>
          <w:szCs w:val="24"/>
        </w:rPr>
      </w:pPr>
      <w:r>
        <w:rPr>
          <w:color w:val="000000"/>
          <w:sz w:val="24"/>
          <w:szCs w:val="24"/>
        </w:rPr>
        <w:t>The st</w:t>
      </w:r>
      <w:r>
        <w:rPr>
          <w:color w:val="000000"/>
          <w:sz w:val="24"/>
          <w:szCs w:val="24"/>
        </w:rPr>
        <w:t>udy was guided by Howard Gardner's Theory of Multiple Intelligences (1983), which posits that individuals possess diverse types of intelligences that influence how they learn, process information, and solve problems. The theory suggests that traditional te</w:t>
      </w:r>
      <w:r>
        <w:rPr>
          <w:color w:val="000000"/>
          <w:sz w:val="24"/>
          <w:szCs w:val="24"/>
        </w:rPr>
        <w:t>aching methods, which often focus on linguistic and logical-mathematical intelligences, may not cater to the diverse needs of all students. Gardner's theory identifies at least eight intelligences: Linguistic Intelligence: Sensitivity to spoken and written</w:t>
      </w:r>
      <w:r>
        <w:rPr>
          <w:color w:val="000000"/>
          <w:sz w:val="24"/>
          <w:szCs w:val="24"/>
        </w:rPr>
        <w:t xml:space="preserve"> language. Logical-Mathematical Intelligence: Ability to analyze problems logically and carry out mathematical operations. </w:t>
      </w:r>
      <w:r w:rsidR="006E744D">
        <w:rPr>
          <w:color w:val="000000"/>
          <w:sz w:val="24"/>
          <w:szCs w:val="24"/>
        </w:rPr>
        <w:t xml:space="preserve"> </w:t>
      </w:r>
      <w:r>
        <w:rPr>
          <w:color w:val="000000"/>
          <w:sz w:val="24"/>
          <w:szCs w:val="24"/>
        </w:rPr>
        <w:t>Relation to Innovative Teaching Approaches: Gardner's theory supports innovative teaching methods that tailor instruction to student</w:t>
      </w:r>
      <w:r>
        <w:rPr>
          <w:color w:val="000000"/>
          <w:sz w:val="24"/>
          <w:szCs w:val="24"/>
        </w:rPr>
        <w:t>s' unique strengths. Tools such as educational apps, videos, and simulations cater to various intelligences, enhancing engagement and comprehension.  Arts-Integrated Learning: Incorporating music, drama, or art into the curriculum appeals to musical, bodil</w:t>
      </w:r>
      <w:r>
        <w:rPr>
          <w:color w:val="000000"/>
          <w:sz w:val="24"/>
          <w:szCs w:val="24"/>
        </w:rPr>
        <w:t xml:space="preserve">y-kinesthetic, and spatial intelligences. </w:t>
      </w:r>
      <w:r w:rsidR="006E744D">
        <w:rPr>
          <w:color w:val="000000"/>
          <w:sz w:val="24"/>
          <w:szCs w:val="24"/>
        </w:rPr>
        <w:t xml:space="preserve"> </w:t>
      </w:r>
      <w:r>
        <w:rPr>
          <w:color w:val="000000"/>
          <w:sz w:val="24"/>
          <w:szCs w:val="24"/>
        </w:rPr>
        <w:t xml:space="preserve">Applying Gardner's theory in the classroom enhances intrinsic motivation by: Acknowledging Individual Strengths: Students feel valued and confident when their unique </w:t>
      </w:r>
      <w:r>
        <w:rPr>
          <w:color w:val="000000"/>
          <w:sz w:val="24"/>
          <w:szCs w:val="24"/>
        </w:rPr>
        <w:lastRenderedPageBreak/>
        <w:t>abilities are recognized and nurtured. Providin</w:t>
      </w:r>
      <w:r>
        <w:rPr>
          <w:color w:val="000000"/>
          <w:sz w:val="24"/>
          <w:szCs w:val="24"/>
        </w:rPr>
        <w:t>g Choice: Offering varied ways to learn and demonstrate understanding empowers students, making them more interested in their education. Creating Relevant Learning Experiences: Real-world applications and interdisciplinary approaches make learning meaningf</w:t>
      </w:r>
      <w:r>
        <w:rPr>
          <w:color w:val="000000"/>
          <w:sz w:val="24"/>
          <w:szCs w:val="24"/>
        </w:rPr>
        <w:t>ul, motivating students to engage deeply.</w:t>
      </w:r>
    </w:p>
    <w:p w14:paraId="22AB8FE1" w14:textId="77777777" w:rsidR="00891A7D" w:rsidRDefault="00CE0344">
      <w:pPr>
        <w:rPr>
          <w:b/>
          <w:sz w:val="24"/>
          <w:szCs w:val="24"/>
        </w:rPr>
      </w:pPr>
      <w:r>
        <w:rPr>
          <w:b/>
          <w:sz w:val="24"/>
          <w:szCs w:val="24"/>
        </w:rPr>
        <w:t>EMPIRICAL LITERATURE</w:t>
      </w:r>
    </w:p>
    <w:p w14:paraId="3B907F85" w14:textId="3202EEB4" w:rsidR="00891A7D" w:rsidRDefault="006E744D">
      <w:pPr>
        <w:spacing w:before="240" w:after="240"/>
        <w:jc w:val="both"/>
        <w:rPr>
          <w:color w:val="000000"/>
          <w:sz w:val="24"/>
          <w:szCs w:val="24"/>
        </w:rPr>
      </w:pPr>
      <w:r>
        <w:rPr>
          <w:color w:val="000000"/>
          <w:sz w:val="24"/>
          <w:szCs w:val="24"/>
        </w:rPr>
        <w:t>E</w:t>
      </w:r>
      <w:r w:rsidRPr="006E744D">
        <w:rPr>
          <w:color w:val="000000"/>
          <w:sz w:val="24"/>
          <w:szCs w:val="24"/>
        </w:rPr>
        <w:t xml:space="preserve">mpirical review </w:t>
      </w:r>
      <w:r>
        <w:rPr>
          <w:color w:val="000000"/>
          <w:sz w:val="24"/>
          <w:szCs w:val="24"/>
        </w:rPr>
        <w:t xml:space="preserve">has </w:t>
      </w:r>
      <w:r w:rsidRPr="006E744D">
        <w:rPr>
          <w:color w:val="000000"/>
          <w:sz w:val="24"/>
          <w:szCs w:val="24"/>
        </w:rPr>
        <w:t>explore</w:t>
      </w:r>
      <w:r>
        <w:rPr>
          <w:color w:val="000000"/>
          <w:sz w:val="24"/>
          <w:szCs w:val="24"/>
        </w:rPr>
        <w:t>d</w:t>
      </w:r>
      <w:r w:rsidRPr="006E744D">
        <w:rPr>
          <w:color w:val="000000"/>
          <w:sz w:val="24"/>
          <w:szCs w:val="24"/>
        </w:rPr>
        <w:t xml:space="preserve"> impact of collaborative instructional strategies on student motivation</w:t>
      </w:r>
      <w:r>
        <w:rPr>
          <w:color w:val="000000"/>
          <w:sz w:val="24"/>
          <w:szCs w:val="24"/>
        </w:rPr>
        <w:t xml:space="preserve">. Therefore, this </w:t>
      </w:r>
      <w:r w:rsidRPr="006E744D">
        <w:rPr>
          <w:color w:val="000000"/>
          <w:sz w:val="24"/>
          <w:szCs w:val="24"/>
        </w:rPr>
        <w:t>review provides evidence from both local and international studies to assess the validity of the null hypothesis that collaborative strategies do not significantly affect student motivation. Ultimately, it sets the foundation for understanding how learner-centered approaches may enhance motivation in this context</w:t>
      </w:r>
      <w:r>
        <w:rPr>
          <w:color w:val="000000"/>
          <w:sz w:val="24"/>
          <w:szCs w:val="24"/>
        </w:rPr>
        <w:t xml:space="preserve"> Johnson, et al. (2014) say collaborative learning strategies involve students working in small groups to solve problems, share knowledge, and reflect on their learning. Additionally, peer feedback should be integrated into the learning process, with teachers providing regular oversight and guidance to ensure high-quality work. Research by </w:t>
      </w:r>
      <w:proofErr w:type="spellStart"/>
      <w:r>
        <w:rPr>
          <w:color w:val="000000"/>
          <w:sz w:val="24"/>
          <w:szCs w:val="24"/>
        </w:rPr>
        <w:t>Mumo</w:t>
      </w:r>
      <w:proofErr w:type="spellEnd"/>
      <w:r>
        <w:rPr>
          <w:color w:val="000000"/>
          <w:sz w:val="24"/>
          <w:szCs w:val="24"/>
        </w:rPr>
        <w:t xml:space="preserve">, </w:t>
      </w:r>
      <w:proofErr w:type="spellStart"/>
      <w:r>
        <w:rPr>
          <w:color w:val="000000"/>
          <w:sz w:val="24"/>
          <w:szCs w:val="24"/>
        </w:rPr>
        <w:t>Kadenyi</w:t>
      </w:r>
      <w:proofErr w:type="spellEnd"/>
      <w:r>
        <w:rPr>
          <w:color w:val="000000"/>
          <w:sz w:val="24"/>
          <w:szCs w:val="24"/>
        </w:rPr>
        <w:t xml:space="preserve">, and </w:t>
      </w:r>
      <w:proofErr w:type="spellStart"/>
      <w:r>
        <w:rPr>
          <w:color w:val="000000"/>
          <w:sz w:val="24"/>
          <w:szCs w:val="24"/>
        </w:rPr>
        <w:t>Kiboss</w:t>
      </w:r>
      <w:proofErr w:type="spellEnd"/>
      <w:r>
        <w:rPr>
          <w:color w:val="000000"/>
          <w:sz w:val="24"/>
          <w:szCs w:val="24"/>
        </w:rPr>
        <w:t xml:space="preserve"> (2015) underscores the importance of instructional supervision and peer interactions in enhancing student performance. Collaborative learning promotes deeper engagement, while peer feedback empowers students to take ownership of their learning. Teachers can set up group-based projects, such as research assignments or presentations, where students must work together to share resources, divide tasks, and provide constructive feedback to one another. The teacher's role is to monitor progress, guide discussions, and ensure that all students have access to the necessary resources and learning materials, as highlighted by </w:t>
      </w:r>
      <w:proofErr w:type="spellStart"/>
      <w:r>
        <w:rPr>
          <w:color w:val="000000"/>
          <w:sz w:val="24"/>
          <w:szCs w:val="24"/>
        </w:rPr>
        <w:t>Mumo</w:t>
      </w:r>
      <w:proofErr w:type="spellEnd"/>
      <w:r>
        <w:rPr>
          <w:color w:val="000000"/>
          <w:sz w:val="24"/>
          <w:szCs w:val="24"/>
        </w:rPr>
        <w:t xml:space="preserve"> et al. (2015). Peer teaching, where students teach one another, can deepen understanding and reinforce the construction of knowledge. Teachers can create group tasks where students are required to collaborate on solving a math problem, conducting a science experiment, or interpreting historical events. By sharing ideas, debating, and reflecting on different viewpoints, students deepen their learning. According to Bergmann (2012) found that the flipped classroom inverts traditional teaching by having students first engage with content outside of class, usually through video lectures or reading, and then use class time for collaborative activities, discussions, or problem-solving. This allows students to learn at their own pace and use classroom time for deeper engagement. In a science class, for example, students might watch a video on Newton's laws at home and come to class ready to solve physics problems, conduct experiments, or discuss the laws' real-world applications. Lage, et al. (2000) say teachers can provide scaffolding and facilitate discussions that promote understanding.</w:t>
      </w:r>
    </w:p>
    <w:p w14:paraId="05E53A96" w14:textId="77777777" w:rsidR="00891A7D" w:rsidRDefault="00CE0344">
      <w:pPr>
        <w:tabs>
          <w:tab w:val="left" w:pos="2295"/>
        </w:tabs>
        <w:rPr>
          <w:b/>
          <w:sz w:val="24"/>
          <w:szCs w:val="24"/>
        </w:rPr>
      </w:pPr>
      <w:r>
        <w:rPr>
          <w:b/>
          <w:sz w:val="24"/>
          <w:szCs w:val="24"/>
        </w:rPr>
        <w:t>RESEARCH METHODOLOGY</w:t>
      </w:r>
    </w:p>
    <w:p w14:paraId="54FD8189" w14:textId="083C6D93" w:rsidR="00891A7D" w:rsidRDefault="00CE0344">
      <w:pPr>
        <w:spacing w:before="240" w:after="240"/>
        <w:jc w:val="both"/>
        <w:rPr>
          <w:color w:val="000000"/>
          <w:sz w:val="24"/>
          <w:szCs w:val="24"/>
        </w:rPr>
      </w:pPr>
      <w:r>
        <w:rPr>
          <w:color w:val="000000"/>
          <w:sz w:val="24"/>
          <w:szCs w:val="24"/>
        </w:rPr>
        <w:t xml:space="preserve"> The study </w:t>
      </w:r>
      <w:r w:rsidR="00F41C4B">
        <w:rPr>
          <w:color w:val="000000"/>
          <w:sz w:val="24"/>
          <w:szCs w:val="24"/>
        </w:rPr>
        <w:t xml:space="preserve">which adopted descriptive survey design, </w:t>
      </w:r>
      <w:r>
        <w:rPr>
          <w:color w:val="000000"/>
          <w:sz w:val="24"/>
          <w:szCs w:val="24"/>
        </w:rPr>
        <w:t xml:space="preserve">used mixed method approaches involving both quantitative and qualitative approaches within a given time and place. The design allows for the </w:t>
      </w:r>
      <w:r>
        <w:rPr>
          <w:color w:val="000000"/>
          <w:sz w:val="24"/>
          <w:szCs w:val="24"/>
        </w:rPr>
        <w:t>systematic collection of data from a large population, making it easier to gather information on opinions, behaviors, or characteristics, the findings can be generalized to a larger population and yield quantitative data that can be analyzed statistically,</w:t>
      </w:r>
      <w:r>
        <w:rPr>
          <w:color w:val="000000"/>
          <w:sz w:val="24"/>
          <w:szCs w:val="24"/>
        </w:rPr>
        <w:t xml:space="preserve"> allowing researchers to identify trends, patterns, and relationships which is critical in informing decision-making and policy development. The study targeted 22 public Junior schools in Garissa Township Sub- County. There are 22 Head teachers, 122 teache</w:t>
      </w:r>
      <w:r>
        <w:rPr>
          <w:color w:val="000000"/>
          <w:sz w:val="24"/>
          <w:szCs w:val="24"/>
        </w:rPr>
        <w:t>rs and 3924 students of grade 8 and 9 in the Junior schools in Garissa Township Sub- County.</w:t>
      </w:r>
    </w:p>
    <w:p w14:paraId="1C5F59E3" w14:textId="77777777" w:rsidR="00891A7D" w:rsidRDefault="00CE0344">
      <w:pPr>
        <w:jc w:val="both"/>
        <w:rPr>
          <w:sz w:val="24"/>
          <w:szCs w:val="24"/>
        </w:rPr>
      </w:pPr>
      <w:r>
        <w:rPr>
          <w:color w:val="000000"/>
          <w:sz w:val="24"/>
          <w:szCs w:val="24"/>
        </w:rPr>
        <w:lastRenderedPageBreak/>
        <w:t>The sample size of the study was obtained by use of 30% of the target population. Mugenda and Mugenda (2003) maintained that 10-30% of the population can be used t</w:t>
      </w:r>
      <w:r>
        <w:rPr>
          <w:color w:val="000000"/>
          <w:sz w:val="24"/>
          <w:szCs w:val="24"/>
        </w:rPr>
        <w:t xml:space="preserve">o obtain a sample size for the study. This study adopted the largest 30% so as to get a larger sample for head teachers and teachers. Thus, sample size for the study consisted of 7 head teachers and 37 teachers. For the students, 10% was adopted to select </w:t>
      </w:r>
      <w:r>
        <w:rPr>
          <w:color w:val="000000"/>
          <w:sz w:val="24"/>
          <w:szCs w:val="24"/>
        </w:rPr>
        <w:t>233 students.</w:t>
      </w:r>
      <w:r>
        <w:rPr>
          <w:sz w:val="24"/>
          <w:szCs w:val="24"/>
        </w:rPr>
        <w:t xml:space="preserve"> Quantitative data was analyzed descriptively using mean and standard deviation and inferentially using Pearson’s Product Moment Correlation Analysis with the help of Statistical Packages for Social Science (SPSS Version 27) and presented usin</w:t>
      </w:r>
      <w:r>
        <w:rPr>
          <w:sz w:val="24"/>
          <w:szCs w:val="24"/>
        </w:rPr>
        <w:t>g frequency tables and charts. Qualitative data was analyzed verbatim.</w:t>
      </w:r>
    </w:p>
    <w:p w14:paraId="11080946" w14:textId="77777777" w:rsidR="00891A7D" w:rsidRDefault="00891A7D">
      <w:pPr>
        <w:jc w:val="both"/>
        <w:rPr>
          <w:b/>
          <w:sz w:val="24"/>
          <w:szCs w:val="24"/>
        </w:rPr>
      </w:pPr>
    </w:p>
    <w:p w14:paraId="7C58718E" w14:textId="77777777" w:rsidR="00891A7D" w:rsidRDefault="00CE0344">
      <w:pPr>
        <w:jc w:val="both"/>
        <w:rPr>
          <w:b/>
          <w:sz w:val="24"/>
          <w:szCs w:val="24"/>
        </w:rPr>
      </w:pPr>
      <w:r>
        <w:rPr>
          <w:b/>
          <w:sz w:val="24"/>
          <w:szCs w:val="24"/>
        </w:rPr>
        <w:t>RESEARCH FINDINGS AND DISCUSSION</w:t>
      </w:r>
    </w:p>
    <w:p w14:paraId="68095E74" w14:textId="77777777" w:rsidR="00891A7D" w:rsidRDefault="00891A7D">
      <w:pPr>
        <w:jc w:val="both"/>
        <w:rPr>
          <w:b/>
          <w:sz w:val="24"/>
          <w:szCs w:val="24"/>
        </w:rPr>
      </w:pPr>
    </w:p>
    <w:p w14:paraId="4A796A5F" w14:textId="3339313D" w:rsidR="00891A7D" w:rsidRDefault="00CE0344">
      <w:pPr>
        <w:jc w:val="both"/>
        <w:rPr>
          <w:color w:val="000000"/>
          <w:sz w:val="24"/>
          <w:szCs w:val="24"/>
        </w:rPr>
      </w:pPr>
      <w:bookmarkStart w:id="2" w:name="_cw17cceu8ujn" w:colFirst="0" w:colLast="0"/>
      <w:bookmarkEnd w:id="2"/>
      <w:r>
        <w:rPr>
          <w:color w:val="000000"/>
          <w:sz w:val="24"/>
          <w:szCs w:val="24"/>
        </w:rPr>
        <w:t xml:space="preserve">The researcher </w:t>
      </w:r>
      <w:r w:rsidR="009C4154">
        <w:rPr>
          <w:color w:val="000000"/>
          <w:sz w:val="24"/>
          <w:szCs w:val="24"/>
        </w:rPr>
        <w:t xml:space="preserve">administered </w:t>
      </w:r>
      <w:r>
        <w:rPr>
          <w:color w:val="000000"/>
          <w:sz w:val="24"/>
          <w:szCs w:val="24"/>
        </w:rPr>
        <w:t xml:space="preserve">37 questionnaires to the teachers and 233 questionnaires to the students of which, 32 and 181 were filled by teachers and </w:t>
      </w:r>
      <w:r>
        <w:rPr>
          <w:color w:val="000000"/>
          <w:sz w:val="24"/>
          <w:szCs w:val="24"/>
        </w:rPr>
        <w:t xml:space="preserve">students respectively. This gives a response rate of 86.49% for teachers and 77.68% for students which was considered good. Mugenda and Mugenda (2013) offers that a response rate of at least 70% is good. </w:t>
      </w:r>
      <w:r>
        <w:rPr>
          <w:sz w:val="24"/>
          <w:szCs w:val="24"/>
        </w:rPr>
        <w:t>This study examined the extent to which collaborativ</w:t>
      </w:r>
      <w:r>
        <w:rPr>
          <w:sz w:val="24"/>
          <w:szCs w:val="24"/>
        </w:rPr>
        <w:t>e instructional strategies are implemented and their influence on student motivation in public junior schools within Garissa Township Sub- County</w:t>
      </w:r>
      <w:r>
        <w:rPr>
          <w:color w:val="000000"/>
          <w:sz w:val="24"/>
          <w:szCs w:val="24"/>
        </w:rPr>
        <w:t xml:space="preserve">. </w:t>
      </w:r>
    </w:p>
    <w:p w14:paraId="2EF29D5F" w14:textId="77777777" w:rsidR="00891A7D" w:rsidRDefault="00891A7D">
      <w:pPr>
        <w:jc w:val="both"/>
        <w:rPr>
          <w:color w:val="000000"/>
          <w:sz w:val="24"/>
          <w:szCs w:val="24"/>
        </w:rPr>
      </w:pPr>
    </w:p>
    <w:p w14:paraId="2C8C1DB4" w14:textId="77777777" w:rsidR="00891A7D" w:rsidRDefault="00CE0344">
      <w:pPr>
        <w:jc w:val="both"/>
        <w:rPr>
          <w:b/>
          <w:color w:val="000000"/>
          <w:sz w:val="24"/>
          <w:szCs w:val="24"/>
        </w:rPr>
      </w:pPr>
      <w:r>
        <w:rPr>
          <w:b/>
          <w:color w:val="000000"/>
          <w:sz w:val="24"/>
          <w:szCs w:val="24"/>
        </w:rPr>
        <w:t>Descriptive statistics</w:t>
      </w:r>
    </w:p>
    <w:p w14:paraId="3B05C82B" w14:textId="77777777" w:rsidR="009C4154" w:rsidRDefault="009C4154" w:rsidP="009C4154">
      <w:pPr>
        <w:jc w:val="both"/>
        <w:rPr>
          <w:b/>
          <w:color w:val="000000"/>
          <w:sz w:val="24"/>
          <w:szCs w:val="24"/>
        </w:rPr>
      </w:pPr>
    </w:p>
    <w:p w14:paraId="703ED871" w14:textId="3B967C65" w:rsidR="009C4154" w:rsidRPr="009C4154" w:rsidRDefault="009C4154" w:rsidP="009C4154">
      <w:pPr>
        <w:pStyle w:val="Caption"/>
        <w:rPr>
          <w:i w:val="0"/>
          <w:iCs w:val="0"/>
          <w:color w:val="auto"/>
          <w:sz w:val="24"/>
          <w:szCs w:val="24"/>
        </w:rPr>
      </w:pPr>
      <w:r w:rsidRPr="009C4154">
        <w:rPr>
          <w:i w:val="0"/>
          <w:iCs w:val="0"/>
          <w:color w:val="auto"/>
          <w:sz w:val="24"/>
          <w:szCs w:val="24"/>
        </w:rPr>
        <w:t xml:space="preserve">Table </w:t>
      </w:r>
      <w:r w:rsidRPr="009C4154">
        <w:rPr>
          <w:i w:val="0"/>
          <w:iCs w:val="0"/>
          <w:color w:val="auto"/>
          <w:sz w:val="24"/>
          <w:szCs w:val="24"/>
        </w:rPr>
        <w:fldChar w:fldCharType="begin"/>
      </w:r>
      <w:r w:rsidRPr="009C4154">
        <w:rPr>
          <w:i w:val="0"/>
          <w:iCs w:val="0"/>
          <w:color w:val="auto"/>
          <w:sz w:val="24"/>
          <w:szCs w:val="24"/>
        </w:rPr>
        <w:instrText xml:space="preserve"> SEQ Table \* ARABIC </w:instrText>
      </w:r>
      <w:r w:rsidRPr="009C4154">
        <w:rPr>
          <w:i w:val="0"/>
          <w:iCs w:val="0"/>
          <w:color w:val="auto"/>
          <w:sz w:val="24"/>
          <w:szCs w:val="24"/>
        </w:rPr>
        <w:fldChar w:fldCharType="separate"/>
      </w:r>
      <w:r w:rsidRPr="009C4154">
        <w:rPr>
          <w:i w:val="0"/>
          <w:iCs w:val="0"/>
          <w:noProof/>
          <w:color w:val="auto"/>
          <w:sz w:val="24"/>
          <w:szCs w:val="24"/>
        </w:rPr>
        <w:t>1</w:t>
      </w:r>
      <w:r w:rsidRPr="009C4154">
        <w:rPr>
          <w:i w:val="0"/>
          <w:iCs w:val="0"/>
          <w:color w:val="auto"/>
          <w:sz w:val="24"/>
          <w:szCs w:val="24"/>
        </w:rPr>
        <w:fldChar w:fldCharType="end"/>
      </w:r>
      <w:r w:rsidRPr="009C4154">
        <w:rPr>
          <w:i w:val="0"/>
          <w:iCs w:val="0"/>
          <w:color w:val="auto"/>
          <w:sz w:val="24"/>
          <w:szCs w:val="24"/>
        </w:rPr>
        <w:t>:Students Satisfaction with the Use of Collaborative Instructional Strategy</w:t>
      </w:r>
    </w:p>
    <w:tbl>
      <w:tblPr>
        <w:tblStyle w:val="a1"/>
        <w:tblW w:w="9356" w:type="dxa"/>
        <w:tblInd w:w="0" w:type="dxa"/>
        <w:tblLayout w:type="fixed"/>
        <w:tblLook w:val="0000" w:firstRow="0" w:lastRow="0" w:firstColumn="0" w:lastColumn="0" w:noHBand="0" w:noVBand="0"/>
      </w:tblPr>
      <w:tblGrid>
        <w:gridCol w:w="736"/>
        <w:gridCol w:w="1816"/>
        <w:gridCol w:w="1417"/>
        <w:gridCol w:w="1276"/>
        <w:gridCol w:w="1701"/>
        <w:gridCol w:w="2410"/>
      </w:tblGrid>
      <w:tr w:rsidR="009C4154" w14:paraId="15B01565" w14:textId="77777777" w:rsidTr="00142F85">
        <w:trPr>
          <w:cantSplit/>
        </w:trPr>
        <w:tc>
          <w:tcPr>
            <w:tcW w:w="9356" w:type="dxa"/>
            <w:gridSpan w:val="6"/>
            <w:tcBorders>
              <w:top w:val="nil"/>
              <w:left w:val="nil"/>
              <w:bottom w:val="nil"/>
              <w:right w:val="nil"/>
            </w:tcBorders>
            <w:shd w:val="clear" w:color="auto" w:fill="FFFFFF"/>
            <w:vAlign w:val="center"/>
          </w:tcPr>
          <w:p w14:paraId="36026A2D" w14:textId="77777777" w:rsidR="009C4154" w:rsidRDefault="009C4154" w:rsidP="00142F85">
            <w:pPr>
              <w:widowControl/>
              <w:pBdr>
                <w:top w:val="nil"/>
                <w:left w:val="nil"/>
                <w:bottom w:val="nil"/>
                <w:right w:val="nil"/>
                <w:between w:val="nil"/>
              </w:pBdr>
              <w:jc w:val="both"/>
              <w:rPr>
                <w:b/>
                <w:color w:val="000000"/>
                <w:sz w:val="24"/>
                <w:szCs w:val="24"/>
              </w:rPr>
            </w:pPr>
          </w:p>
        </w:tc>
      </w:tr>
      <w:tr w:rsidR="009C4154" w14:paraId="750C8D0B" w14:textId="77777777" w:rsidTr="00142F85">
        <w:trPr>
          <w:cantSplit/>
        </w:trPr>
        <w:tc>
          <w:tcPr>
            <w:tcW w:w="2552" w:type="dxa"/>
            <w:gridSpan w:val="2"/>
            <w:tcBorders>
              <w:top w:val="nil"/>
              <w:left w:val="nil"/>
              <w:bottom w:val="single" w:sz="8" w:space="0" w:color="152935"/>
              <w:right w:val="nil"/>
            </w:tcBorders>
            <w:shd w:val="clear" w:color="auto" w:fill="FFFFFF"/>
            <w:vAlign w:val="bottom"/>
          </w:tcPr>
          <w:p w14:paraId="1F317D63" w14:textId="77777777" w:rsidR="009C4154" w:rsidRDefault="009C4154" w:rsidP="00142F85">
            <w:pPr>
              <w:widowControl/>
              <w:pBdr>
                <w:top w:val="nil"/>
                <w:left w:val="nil"/>
                <w:bottom w:val="nil"/>
                <w:right w:val="nil"/>
                <w:between w:val="nil"/>
              </w:pBdr>
              <w:jc w:val="both"/>
              <w:rPr>
                <w:color w:val="000000"/>
                <w:sz w:val="24"/>
                <w:szCs w:val="24"/>
              </w:rPr>
            </w:pPr>
          </w:p>
        </w:tc>
        <w:tc>
          <w:tcPr>
            <w:tcW w:w="1417" w:type="dxa"/>
            <w:tcBorders>
              <w:top w:val="nil"/>
              <w:left w:val="nil"/>
              <w:bottom w:val="single" w:sz="8" w:space="0" w:color="152935"/>
              <w:right w:val="single" w:sz="8" w:space="0" w:color="E0E0E0"/>
            </w:tcBorders>
            <w:shd w:val="clear" w:color="auto" w:fill="FFFFFF"/>
            <w:vAlign w:val="bottom"/>
          </w:tcPr>
          <w:p w14:paraId="48A4138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Frequency</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98F318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Percent</w:t>
            </w:r>
          </w:p>
        </w:tc>
        <w:tc>
          <w:tcPr>
            <w:tcW w:w="1701" w:type="dxa"/>
            <w:tcBorders>
              <w:top w:val="nil"/>
              <w:left w:val="single" w:sz="8" w:space="0" w:color="E0E0E0"/>
              <w:bottom w:val="single" w:sz="8" w:space="0" w:color="152935"/>
              <w:right w:val="single" w:sz="8" w:space="0" w:color="E0E0E0"/>
            </w:tcBorders>
            <w:shd w:val="clear" w:color="auto" w:fill="FFFFFF"/>
            <w:vAlign w:val="bottom"/>
          </w:tcPr>
          <w:p w14:paraId="656D284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Valid Percent</w:t>
            </w:r>
          </w:p>
        </w:tc>
        <w:tc>
          <w:tcPr>
            <w:tcW w:w="2410" w:type="dxa"/>
            <w:tcBorders>
              <w:top w:val="nil"/>
              <w:left w:val="single" w:sz="8" w:space="0" w:color="E0E0E0"/>
              <w:bottom w:val="single" w:sz="8" w:space="0" w:color="152935"/>
              <w:right w:val="nil"/>
            </w:tcBorders>
            <w:shd w:val="clear" w:color="auto" w:fill="FFFFFF"/>
            <w:vAlign w:val="bottom"/>
          </w:tcPr>
          <w:p w14:paraId="27AEB96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Cumulative Percent</w:t>
            </w:r>
          </w:p>
        </w:tc>
      </w:tr>
      <w:tr w:rsidR="009C4154" w14:paraId="6415FE3A" w14:textId="77777777" w:rsidTr="00142F85">
        <w:trPr>
          <w:cantSplit/>
        </w:trPr>
        <w:tc>
          <w:tcPr>
            <w:tcW w:w="736" w:type="dxa"/>
            <w:vMerge w:val="restart"/>
            <w:tcBorders>
              <w:top w:val="single" w:sz="8" w:space="0" w:color="152935"/>
              <w:left w:val="nil"/>
              <w:bottom w:val="single" w:sz="8" w:space="0" w:color="152935"/>
              <w:right w:val="nil"/>
            </w:tcBorders>
            <w:shd w:val="clear" w:color="auto" w:fill="E0E0E0"/>
          </w:tcPr>
          <w:p w14:paraId="7D8BE843"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Valid</w:t>
            </w:r>
          </w:p>
        </w:tc>
        <w:tc>
          <w:tcPr>
            <w:tcW w:w="1816" w:type="dxa"/>
            <w:tcBorders>
              <w:top w:val="single" w:sz="8" w:space="0" w:color="152935"/>
              <w:left w:val="nil"/>
              <w:bottom w:val="single" w:sz="8" w:space="0" w:color="AEAEAE"/>
              <w:right w:val="nil"/>
            </w:tcBorders>
            <w:shd w:val="clear" w:color="auto" w:fill="E0E0E0"/>
          </w:tcPr>
          <w:p w14:paraId="7B5A498C"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Very Low</w:t>
            </w:r>
          </w:p>
        </w:tc>
        <w:tc>
          <w:tcPr>
            <w:tcW w:w="1417" w:type="dxa"/>
            <w:tcBorders>
              <w:top w:val="single" w:sz="8" w:space="0" w:color="152935"/>
              <w:left w:val="nil"/>
              <w:bottom w:val="single" w:sz="8" w:space="0" w:color="AEAEAE"/>
              <w:right w:val="single" w:sz="8" w:space="0" w:color="E0E0E0"/>
            </w:tcBorders>
            <w:shd w:val="clear" w:color="auto" w:fill="F9F9FB"/>
          </w:tcPr>
          <w:p w14:paraId="51C47FC3"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3</w:t>
            </w:r>
          </w:p>
        </w:tc>
        <w:tc>
          <w:tcPr>
            <w:tcW w:w="1276" w:type="dxa"/>
            <w:tcBorders>
              <w:top w:val="single" w:sz="8" w:space="0" w:color="152935"/>
              <w:left w:val="single" w:sz="8" w:space="0" w:color="E0E0E0"/>
              <w:bottom w:val="single" w:sz="8" w:space="0" w:color="AEAEAE"/>
              <w:right w:val="single" w:sz="8" w:space="0" w:color="E0E0E0"/>
            </w:tcBorders>
            <w:shd w:val="clear" w:color="auto" w:fill="F9F9FB"/>
          </w:tcPr>
          <w:p w14:paraId="7A663813"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1.7</w:t>
            </w:r>
          </w:p>
        </w:tc>
        <w:tc>
          <w:tcPr>
            <w:tcW w:w="1701" w:type="dxa"/>
            <w:tcBorders>
              <w:top w:val="single" w:sz="8" w:space="0" w:color="152935"/>
              <w:left w:val="single" w:sz="8" w:space="0" w:color="E0E0E0"/>
              <w:bottom w:val="single" w:sz="8" w:space="0" w:color="AEAEAE"/>
              <w:right w:val="single" w:sz="8" w:space="0" w:color="E0E0E0"/>
            </w:tcBorders>
            <w:shd w:val="clear" w:color="auto" w:fill="F9F9FB"/>
          </w:tcPr>
          <w:p w14:paraId="3E8221B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1.7</w:t>
            </w:r>
          </w:p>
        </w:tc>
        <w:tc>
          <w:tcPr>
            <w:tcW w:w="2410" w:type="dxa"/>
            <w:tcBorders>
              <w:top w:val="single" w:sz="8" w:space="0" w:color="152935"/>
              <w:left w:val="single" w:sz="8" w:space="0" w:color="E0E0E0"/>
              <w:bottom w:val="single" w:sz="8" w:space="0" w:color="AEAEAE"/>
              <w:right w:val="single" w:sz="4" w:space="0" w:color="000000"/>
            </w:tcBorders>
            <w:shd w:val="clear" w:color="auto" w:fill="F9F9FB"/>
          </w:tcPr>
          <w:p w14:paraId="2155652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1.7</w:t>
            </w:r>
          </w:p>
        </w:tc>
      </w:tr>
      <w:tr w:rsidR="009C4154" w14:paraId="7144B532"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3AC6E358"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7B0C6C80"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Low</w:t>
            </w:r>
          </w:p>
        </w:tc>
        <w:tc>
          <w:tcPr>
            <w:tcW w:w="1417" w:type="dxa"/>
            <w:tcBorders>
              <w:top w:val="single" w:sz="8" w:space="0" w:color="AEAEAE"/>
              <w:left w:val="nil"/>
              <w:bottom w:val="single" w:sz="8" w:space="0" w:color="AEAEAE"/>
              <w:right w:val="single" w:sz="8" w:space="0" w:color="E0E0E0"/>
            </w:tcBorders>
            <w:shd w:val="clear" w:color="auto" w:fill="F9F9FB"/>
          </w:tcPr>
          <w:p w14:paraId="26AB59EC"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11</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16A56A1C"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6.1</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62E47090"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6.1</w:t>
            </w:r>
          </w:p>
        </w:tc>
        <w:tc>
          <w:tcPr>
            <w:tcW w:w="2410" w:type="dxa"/>
            <w:tcBorders>
              <w:top w:val="single" w:sz="8" w:space="0" w:color="AEAEAE"/>
              <w:left w:val="single" w:sz="8" w:space="0" w:color="E0E0E0"/>
              <w:bottom w:val="single" w:sz="8" w:space="0" w:color="AEAEAE"/>
              <w:right w:val="nil"/>
            </w:tcBorders>
            <w:shd w:val="clear" w:color="auto" w:fill="F9F9FB"/>
          </w:tcPr>
          <w:p w14:paraId="70BF2D96"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7.8</w:t>
            </w:r>
          </w:p>
        </w:tc>
      </w:tr>
      <w:tr w:rsidR="009C4154" w14:paraId="3604A795"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73E839F8"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2F04D43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Moderate</w:t>
            </w:r>
          </w:p>
        </w:tc>
        <w:tc>
          <w:tcPr>
            <w:tcW w:w="1417" w:type="dxa"/>
            <w:tcBorders>
              <w:top w:val="single" w:sz="8" w:space="0" w:color="AEAEAE"/>
              <w:left w:val="nil"/>
              <w:bottom w:val="single" w:sz="8" w:space="0" w:color="AEAEAE"/>
              <w:right w:val="single" w:sz="8" w:space="0" w:color="E0E0E0"/>
            </w:tcBorders>
            <w:shd w:val="clear" w:color="auto" w:fill="F9F9FB"/>
          </w:tcPr>
          <w:p w14:paraId="674DCB7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14</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2E84A39A"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7.7</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318503F8"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7.7</w:t>
            </w:r>
          </w:p>
        </w:tc>
        <w:tc>
          <w:tcPr>
            <w:tcW w:w="2410" w:type="dxa"/>
            <w:tcBorders>
              <w:top w:val="single" w:sz="8" w:space="0" w:color="AEAEAE"/>
              <w:left w:val="single" w:sz="8" w:space="0" w:color="E0E0E0"/>
              <w:bottom w:val="single" w:sz="8" w:space="0" w:color="AEAEAE"/>
              <w:right w:val="nil"/>
            </w:tcBorders>
            <w:shd w:val="clear" w:color="auto" w:fill="F9F9FB"/>
          </w:tcPr>
          <w:p w14:paraId="56F5FD56"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15.5</w:t>
            </w:r>
          </w:p>
        </w:tc>
      </w:tr>
      <w:tr w:rsidR="009C4154" w14:paraId="02ECA1F7"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6B9DC2B6"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1E43BA2E"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High</w:t>
            </w:r>
          </w:p>
        </w:tc>
        <w:tc>
          <w:tcPr>
            <w:tcW w:w="1417" w:type="dxa"/>
            <w:tcBorders>
              <w:top w:val="single" w:sz="8" w:space="0" w:color="AEAEAE"/>
              <w:left w:val="nil"/>
              <w:bottom w:val="single" w:sz="8" w:space="0" w:color="AEAEAE"/>
              <w:right w:val="single" w:sz="8" w:space="0" w:color="E0E0E0"/>
            </w:tcBorders>
            <w:shd w:val="clear" w:color="auto" w:fill="F9F9FB"/>
          </w:tcPr>
          <w:p w14:paraId="274A2624"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19</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62A60C17"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10.5</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172AC678"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10.5</w:t>
            </w:r>
          </w:p>
        </w:tc>
        <w:tc>
          <w:tcPr>
            <w:tcW w:w="2410" w:type="dxa"/>
            <w:tcBorders>
              <w:top w:val="single" w:sz="8" w:space="0" w:color="AEAEAE"/>
              <w:left w:val="single" w:sz="8" w:space="0" w:color="E0E0E0"/>
              <w:bottom w:val="single" w:sz="8" w:space="0" w:color="AEAEAE"/>
              <w:right w:val="nil"/>
            </w:tcBorders>
            <w:shd w:val="clear" w:color="auto" w:fill="F9F9FB"/>
          </w:tcPr>
          <w:p w14:paraId="5F0CA396"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26.0</w:t>
            </w:r>
          </w:p>
        </w:tc>
      </w:tr>
      <w:tr w:rsidR="009C4154" w14:paraId="60836BA3"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4B0E267E"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78E79E97"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Very High</w:t>
            </w:r>
          </w:p>
        </w:tc>
        <w:tc>
          <w:tcPr>
            <w:tcW w:w="1417" w:type="dxa"/>
            <w:tcBorders>
              <w:top w:val="single" w:sz="8" w:space="0" w:color="AEAEAE"/>
              <w:left w:val="nil"/>
              <w:bottom w:val="single" w:sz="8" w:space="0" w:color="AEAEAE"/>
              <w:right w:val="single" w:sz="8" w:space="0" w:color="E0E0E0"/>
            </w:tcBorders>
            <w:shd w:val="clear" w:color="auto" w:fill="F9F9FB"/>
          </w:tcPr>
          <w:p w14:paraId="68BC107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134</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11D1CBE7"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74.0</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388828B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74.0</w:t>
            </w:r>
          </w:p>
        </w:tc>
        <w:tc>
          <w:tcPr>
            <w:tcW w:w="2410" w:type="dxa"/>
            <w:tcBorders>
              <w:top w:val="single" w:sz="8" w:space="0" w:color="AEAEAE"/>
              <w:left w:val="single" w:sz="8" w:space="0" w:color="E0E0E0"/>
              <w:bottom w:val="single" w:sz="8" w:space="0" w:color="AEAEAE"/>
              <w:right w:val="nil"/>
            </w:tcBorders>
            <w:shd w:val="clear" w:color="auto" w:fill="F9F9FB"/>
          </w:tcPr>
          <w:p w14:paraId="5A8FFA5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100.0</w:t>
            </w:r>
          </w:p>
        </w:tc>
      </w:tr>
      <w:tr w:rsidR="009C4154" w14:paraId="156BF2E4"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2CC54779"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152935"/>
              <w:right w:val="nil"/>
            </w:tcBorders>
            <w:shd w:val="clear" w:color="auto" w:fill="E0E0E0"/>
          </w:tcPr>
          <w:p w14:paraId="2753BF1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Total</w:t>
            </w:r>
          </w:p>
        </w:tc>
        <w:tc>
          <w:tcPr>
            <w:tcW w:w="1417" w:type="dxa"/>
            <w:tcBorders>
              <w:top w:val="single" w:sz="8" w:space="0" w:color="AEAEAE"/>
              <w:left w:val="nil"/>
              <w:bottom w:val="single" w:sz="8" w:space="0" w:color="152935"/>
              <w:right w:val="single" w:sz="8" w:space="0" w:color="E0E0E0"/>
            </w:tcBorders>
            <w:shd w:val="clear" w:color="auto" w:fill="F9F9FB"/>
          </w:tcPr>
          <w:p w14:paraId="52D63F1A"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181</w:t>
            </w:r>
          </w:p>
        </w:tc>
        <w:tc>
          <w:tcPr>
            <w:tcW w:w="1276" w:type="dxa"/>
            <w:tcBorders>
              <w:top w:val="single" w:sz="8" w:space="0" w:color="AEAEAE"/>
              <w:left w:val="single" w:sz="8" w:space="0" w:color="E0E0E0"/>
              <w:bottom w:val="single" w:sz="8" w:space="0" w:color="152935"/>
              <w:right w:val="single" w:sz="8" w:space="0" w:color="E0E0E0"/>
            </w:tcBorders>
            <w:shd w:val="clear" w:color="auto" w:fill="F9F9FB"/>
          </w:tcPr>
          <w:p w14:paraId="003FA450"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100.0</w:t>
            </w:r>
          </w:p>
        </w:tc>
        <w:tc>
          <w:tcPr>
            <w:tcW w:w="1701" w:type="dxa"/>
            <w:tcBorders>
              <w:top w:val="single" w:sz="8" w:space="0" w:color="AEAEAE"/>
              <w:left w:val="single" w:sz="8" w:space="0" w:color="E0E0E0"/>
              <w:bottom w:val="single" w:sz="8" w:space="0" w:color="152935"/>
              <w:right w:val="single" w:sz="8" w:space="0" w:color="E0E0E0"/>
            </w:tcBorders>
            <w:shd w:val="clear" w:color="auto" w:fill="F9F9FB"/>
          </w:tcPr>
          <w:p w14:paraId="248F38B4"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100.0</w:t>
            </w:r>
          </w:p>
        </w:tc>
        <w:tc>
          <w:tcPr>
            <w:tcW w:w="2410" w:type="dxa"/>
            <w:tcBorders>
              <w:top w:val="single" w:sz="8" w:space="0" w:color="AEAEAE"/>
              <w:left w:val="single" w:sz="8" w:space="0" w:color="E0E0E0"/>
              <w:bottom w:val="single" w:sz="8" w:space="0" w:color="152935"/>
              <w:right w:val="nil"/>
            </w:tcBorders>
            <w:shd w:val="clear" w:color="auto" w:fill="F9F9FB"/>
            <w:vAlign w:val="center"/>
          </w:tcPr>
          <w:p w14:paraId="257F083E" w14:textId="77777777" w:rsidR="009C4154" w:rsidRDefault="009C4154" w:rsidP="00142F85">
            <w:pPr>
              <w:widowControl/>
              <w:pBdr>
                <w:top w:val="nil"/>
                <w:left w:val="nil"/>
                <w:bottom w:val="nil"/>
                <w:right w:val="nil"/>
                <w:between w:val="nil"/>
              </w:pBdr>
              <w:jc w:val="both"/>
              <w:rPr>
                <w:color w:val="000000"/>
                <w:sz w:val="24"/>
                <w:szCs w:val="24"/>
              </w:rPr>
            </w:pPr>
          </w:p>
        </w:tc>
      </w:tr>
    </w:tbl>
    <w:p w14:paraId="6951C96D" w14:textId="77777777" w:rsidR="009C4154" w:rsidRDefault="009C4154" w:rsidP="009C4154">
      <w:pPr>
        <w:widowControl/>
        <w:pBdr>
          <w:top w:val="nil"/>
          <w:left w:val="nil"/>
          <w:bottom w:val="nil"/>
          <w:right w:val="nil"/>
          <w:between w:val="nil"/>
        </w:pBdr>
        <w:jc w:val="both"/>
        <w:rPr>
          <w:color w:val="000000"/>
          <w:sz w:val="24"/>
          <w:szCs w:val="24"/>
        </w:rPr>
      </w:pPr>
    </w:p>
    <w:p w14:paraId="01A94812" w14:textId="77777777" w:rsidR="009C4154" w:rsidRDefault="009C4154" w:rsidP="009C4154">
      <w:pPr>
        <w:widowControl/>
        <w:pBdr>
          <w:top w:val="nil"/>
          <w:left w:val="nil"/>
          <w:bottom w:val="nil"/>
          <w:right w:val="nil"/>
          <w:between w:val="nil"/>
        </w:pBdr>
        <w:spacing w:after="240"/>
        <w:jc w:val="both"/>
        <w:rPr>
          <w:color w:val="000000"/>
          <w:sz w:val="24"/>
          <w:szCs w:val="24"/>
        </w:rPr>
      </w:pPr>
      <w:r>
        <w:rPr>
          <w:color w:val="000000"/>
          <w:sz w:val="24"/>
          <w:szCs w:val="24"/>
        </w:rPr>
        <w:t>According to the data, results indicate a strong positive reception toward collaborative instruction. A significant majority (74.0%) of the learners reported being very highly satisfied, while an additional 10.5% expressed high satisfaction. This means that nearly 85% of the respondents had a favorable view of the collaborative strategies used by their teachers. On the other hand, 7.7% of students indicated a moderate level of satisfaction, and a small minority of 6.1% low and 1.7% very low reported limited satisfaction. These figures suggest that while most students appreciate collaborative learning, a few may face challenges such as unequal participation in groups, discomfort with peer interaction, or unclear group roles.</w:t>
      </w:r>
    </w:p>
    <w:p w14:paraId="6F1782F1" w14:textId="608F1CDA" w:rsidR="00891A7D" w:rsidRDefault="00CE0344">
      <w:pPr>
        <w:jc w:val="both"/>
        <w:rPr>
          <w:color w:val="000000"/>
          <w:sz w:val="24"/>
          <w:szCs w:val="24"/>
        </w:rPr>
      </w:pPr>
      <w:r>
        <w:rPr>
          <w:color w:val="000000"/>
          <w:sz w:val="24"/>
          <w:szCs w:val="24"/>
        </w:rPr>
        <w:t>Descriptive statistics on the comp</w:t>
      </w:r>
      <w:r>
        <w:rPr>
          <w:color w:val="000000"/>
          <w:sz w:val="24"/>
          <w:szCs w:val="24"/>
        </w:rPr>
        <w:t xml:space="preserve">onents of </w:t>
      </w:r>
      <w:r>
        <w:rPr>
          <w:sz w:val="24"/>
          <w:szCs w:val="24"/>
        </w:rPr>
        <w:t>collaborative</w:t>
      </w:r>
      <w:r>
        <w:rPr>
          <w:color w:val="000000"/>
          <w:sz w:val="24"/>
          <w:szCs w:val="24"/>
        </w:rPr>
        <w:t xml:space="preserve"> instructional strategy</w:t>
      </w:r>
      <w:r>
        <w:rPr>
          <w:sz w:val="24"/>
          <w:szCs w:val="24"/>
        </w:rPr>
        <w:t xml:space="preserve"> reflect fundamental aspects of collaboration, including engagement in group activities, perceived benefits of teamwork, student leadership within groups, and comfort in sharing ideas. The descriptive statistic</w:t>
      </w:r>
      <w:r>
        <w:rPr>
          <w:sz w:val="24"/>
          <w:szCs w:val="24"/>
        </w:rPr>
        <w:t xml:space="preserve">s for this construct are presented in the Table </w:t>
      </w:r>
      <w:r w:rsidR="009C4154">
        <w:rPr>
          <w:sz w:val="24"/>
          <w:szCs w:val="24"/>
        </w:rPr>
        <w:t>2</w:t>
      </w:r>
      <w:r>
        <w:rPr>
          <w:sz w:val="24"/>
          <w:szCs w:val="24"/>
        </w:rPr>
        <w:t>.</w:t>
      </w:r>
    </w:p>
    <w:p w14:paraId="55C49B35" w14:textId="77777777" w:rsidR="00891A7D" w:rsidRDefault="00891A7D">
      <w:pPr>
        <w:rPr>
          <w:sz w:val="24"/>
          <w:szCs w:val="24"/>
        </w:rPr>
      </w:pPr>
      <w:bookmarkStart w:id="3" w:name="_hybargymoizg" w:colFirst="0" w:colLast="0"/>
      <w:bookmarkEnd w:id="3"/>
    </w:p>
    <w:p w14:paraId="2984684A" w14:textId="67C12638" w:rsidR="00891A7D" w:rsidRPr="009C4154" w:rsidRDefault="009C4154" w:rsidP="009C4154">
      <w:pPr>
        <w:pStyle w:val="Caption"/>
        <w:rPr>
          <w:b/>
          <w:bCs/>
          <w:i w:val="0"/>
          <w:iCs w:val="0"/>
          <w:color w:val="auto"/>
          <w:sz w:val="24"/>
          <w:szCs w:val="24"/>
        </w:rPr>
      </w:pPr>
      <w:r w:rsidRPr="009C4154">
        <w:rPr>
          <w:b/>
          <w:bCs/>
          <w:i w:val="0"/>
          <w:iCs w:val="0"/>
          <w:color w:val="auto"/>
          <w:sz w:val="24"/>
          <w:szCs w:val="24"/>
        </w:rPr>
        <w:t xml:space="preserve">Table </w:t>
      </w:r>
      <w:r w:rsidRPr="009C4154">
        <w:rPr>
          <w:b/>
          <w:bCs/>
          <w:i w:val="0"/>
          <w:iCs w:val="0"/>
          <w:color w:val="auto"/>
          <w:sz w:val="24"/>
          <w:szCs w:val="24"/>
        </w:rPr>
        <w:fldChar w:fldCharType="begin"/>
      </w:r>
      <w:r w:rsidRPr="009C4154">
        <w:rPr>
          <w:b/>
          <w:bCs/>
          <w:i w:val="0"/>
          <w:iCs w:val="0"/>
          <w:color w:val="auto"/>
          <w:sz w:val="24"/>
          <w:szCs w:val="24"/>
        </w:rPr>
        <w:instrText xml:space="preserve"> SEQ Table \* ARABIC </w:instrText>
      </w:r>
      <w:r w:rsidRPr="009C4154">
        <w:rPr>
          <w:b/>
          <w:bCs/>
          <w:i w:val="0"/>
          <w:iCs w:val="0"/>
          <w:color w:val="auto"/>
          <w:sz w:val="24"/>
          <w:szCs w:val="24"/>
        </w:rPr>
        <w:fldChar w:fldCharType="separate"/>
      </w:r>
      <w:r>
        <w:rPr>
          <w:b/>
          <w:bCs/>
          <w:i w:val="0"/>
          <w:iCs w:val="0"/>
          <w:noProof/>
          <w:color w:val="auto"/>
          <w:sz w:val="24"/>
          <w:szCs w:val="24"/>
        </w:rPr>
        <w:t>2</w:t>
      </w:r>
      <w:r w:rsidRPr="009C4154">
        <w:rPr>
          <w:b/>
          <w:bCs/>
          <w:i w:val="0"/>
          <w:iCs w:val="0"/>
          <w:color w:val="auto"/>
          <w:sz w:val="24"/>
          <w:szCs w:val="24"/>
        </w:rPr>
        <w:fldChar w:fldCharType="end"/>
      </w:r>
      <w:r w:rsidRPr="009C4154">
        <w:rPr>
          <w:b/>
          <w:bCs/>
          <w:i w:val="0"/>
          <w:iCs w:val="0"/>
          <w:color w:val="auto"/>
          <w:sz w:val="24"/>
          <w:szCs w:val="24"/>
        </w:rPr>
        <w:t>: Collaborative Instructional Strategy</w:t>
      </w:r>
    </w:p>
    <w:p w14:paraId="57A1B3ED" w14:textId="77777777" w:rsidR="00891A7D" w:rsidRDefault="00891A7D">
      <w:pPr>
        <w:rPr>
          <w:i/>
          <w:sz w:val="24"/>
          <w:szCs w:val="24"/>
        </w:rPr>
      </w:pPr>
    </w:p>
    <w:tbl>
      <w:tblPr>
        <w:tblStyle w:val="a"/>
        <w:tblW w:w="9356" w:type="dxa"/>
        <w:tblInd w:w="0" w:type="dxa"/>
        <w:tblLayout w:type="fixed"/>
        <w:tblLook w:val="0000" w:firstRow="0" w:lastRow="0" w:firstColumn="0" w:lastColumn="0" w:noHBand="0" w:noVBand="0"/>
      </w:tblPr>
      <w:tblGrid>
        <w:gridCol w:w="5103"/>
        <w:gridCol w:w="426"/>
        <w:gridCol w:w="567"/>
        <w:gridCol w:w="708"/>
        <w:gridCol w:w="851"/>
        <w:gridCol w:w="1701"/>
      </w:tblGrid>
      <w:tr w:rsidR="00891A7D" w14:paraId="669BB220" w14:textId="77777777">
        <w:trPr>
          <w:cantSplit/>
        </w:trPr>
        <w:tc>
          <w:tcPr>
            <w:tcW w:w="9356" w:type="dxa"/>
            <w:gridSpan w:val="6"/>
            <w:tcBorders>
              <w:top w:val="nil"/>
              <w:left w:val="nil"/>
              <w:bottom w:val="single" w:sz="4" w:space="0" w:color="000000"/>
              <w:right w:val="nil"/>
            </w:tcBorders>
            <w:shd w:val="clear" w:color="auto" w:fill="FFFFFF"/>
            <w:vAlign w:val="center"/>
          </w:tcPr>
          <w:p w14:paraId="71806B27" w14:textId="77777777" w:rsidR="00891A7D" w:rsidRDefault="00891A7D">
            <w:pPr>
              <w:rPr>
                <w:sz w:val="24"/>
                <w:szCs w:val="24"/>
              </w:rPr>
            </w:pPr>
          </w:p>
        </w:tc>
      </w:tr>
      <w:tr w:rsidR="00891A7D" w14:paraId="2D9800BD" w14:textId="77777777">
        <w:trPr>
          <w:cantSplit/>
        </w:trPr>
        <w:tc>
          <w:tcPr>
            <w:tcW w:w="5103" w:type="dxa"/>
            <w:tcBorders>
              <w:top w:val="single" w:sz="4" w:space="0" w:color="000000"/>
              <w:left w:val="nil"/>
              <w:bottom w:val="single" w:sz="4" w:space="0" w:color="000000"/>
            </w:tcBorders>
            <w:shd w:val="clear" w:color="auto" w:fill="FFFFFF"/>
            <w:vAlign w:val="bottom"/>
          </w:tcPr>
          <w:p w14:paraId="7E0D524F" w14:textId="77777777" w:rsidR="00891A7D" w:rsidRDefault="00891A7D">
            <w:pPr>
              <w:rPr>
                <w:sz w:val="24"/>
                <w:szCs w:val="24"/>
              </w:rPr>
            </w:pPr>
          </w:p>
        </w:tc>
        <w:tc>
          <w:tcPr>
            <w:tcW w:w="426" w:type="dxa"/>
            <w:tcBorders>
              <w:top w:val="single" w:sz="4" w:space="0" w:color="000000"/>
              <w:bottom w:val="single" w:sz="4" w:space="0" w:color="000000"/>
            </w:tcBorders>
            <w:shd w:val="clear" w:color="auto" w:fill="FFFFFF"/>
            <w:vAlign w:val="bottom"/>
          </w:tcPr>
          <w:p w14:paraId="601B94FC" w14:textId="77777777" w:rsidR="00891A7D" w:rsidRDefault="00CE0344">
            <w:pPr>
              <w:rPr>
                <w:sz w:val="24"/>
                <w:szCs w:val="24"/>
              </w:rPr>
            </w:pPr>
            <w:r>
              <w:rPr>
                <w:sz w:val="24"/>
                <w:szCs w:val="24"/>
              </w:rPr>
              <w:t>N</w:t>
            </w:r>
          </w:p>
        </w:tc>
        <w:tc>
          <w:tcPr>
            <w:tcW w:w="567" w:type="dxa"/>
            <w:tcBorders>
              <w:top w:val="single" w:sz="4" w:space="0" w:color="000000"/>
              <w:bottom w:val="single" w:sz="4" w:space="0" w:color="000000"/>
            </w:tcBorders>
            <w:shd w:val="clear" w:color="auto" w:fill="FFFFFF"/>
            <w:vAlign w:val="bottom"/>
          </w:tcPr>
          <w:p w14:paraId="1D2F8428" w14:textId="77777777" w:rsidR="00891A7D" w:rsidRDefault="00CE0344">
            <w:pPr>
              <w:rPr>
                <w:sz w:val="24"/>
                <w:szCs w:val="24"/>
              </w:rPr>
            </w:pPr>
            <w:r>
              <w:rPr>
                <w:sz w:val="24"/>
                <w:szCs w:val="24"/>
              </w:rPr>
              <w:t>Minimum</w:t>
            </w:r>
          </w:p>
        </w:tc>
        <w:tc>
          <w:tcPr>
            <w:tcW w:w="708" w:type="dxa"/>
            <w:tcBorders>
              <w:top w:val="single" w:sz="4" w:space="0" w:color="000000"/>
              <w:bottom w:val="single" w:sz="4" w:space="0" w:color="000000"/>
            </w:tcBorders>
            <w:shd w:val="clear" w:color="auto" w:fill="FFFFFF"/>
            <w:vAlign w:val="bottom"/>
          </w:tcPr>
          <w:p w14:paraId="42EDA8A1" w14:textId="77777777" w:rsidR="00891A7D" w:rsidRDefault="00CE0344">
            <w:pPr>
              <w:rPr>
                <w:sz w:val="24"/>
                <w:szCs w:val="24"/>
              </w:rPr>
            </w:pPr>
            <w:r>
              <w:rPr>
                <w:sz w:val="24"/>
                <w:szCs w:val="24"/>
              </w:rPr>
              <w:t>Maximum</w:t>
            </w:r>
          </w:p>
        </w:tc>
        <w:tc>
          <w:tcPr>
            <w:tcW w:w="851" w:type="dxa"/>
            <w:tcBorders>
              <w:top w:val="single" w:sz="4" w:space="0" w:color="000000"/>
              <w:bottom w:val="single" w:sz="4" w:space="0" w:color="000000"/>
            </w:tcBorders>
            <w:shd w:val="clear" w:color="auto" w:fill="FFFFFF"/>
            <w:vAlign w:val="bottom"/>
          </w:tcPr>
          <w:p w14:paraId="326B07E0" w14:textId="77777777" w:rsidR="00891A7D" w:rsidRDefault="00CE0344">
            <w:pPr>
              <w:rPr>
                <w:sz w:val="24"/>
                <w:szCs w:val="24"/>
              </w:rPr>
            </w:pPr>
            <w:r>
              <w:rPr>
                <w:sz w:val="24"/>
                <w:szCs w:val="24"/>
              </w:rPr>
              <w:t>Mean</w:t>
            </w:r>
          </w:p>
        </w:tc>
        <w:tc>
          <w:tcPr>
            <w:tcW w:w="1701" w:type="dxa"/>
            <w:tcBorders>
              <w:top w:val="single" w:sz="4" w:space="0" w:color="000000"/>
              <w:bottom w:val="single" w:sz="4" w:space="0" w:color="000000"/>
              <w:right w:val="nil"/>
            </w:tcBorders>
            <w:shd w:val="clear" w:color="auto" w:fill="FFFFFF"/>
            <w:vAlign w:val="bottom"/>
          </w:tcPr>
          <w:p w14:paraId="4F19D89E" w14:textId="77777777" w:rsidR="00891A7D" w:rsidRDefault="00CE0344">
            <w:pPr>
              <w:rPr>
                <w:sz w:val="24"/>
                <w:szCs w:val="24"/>
              </w:rPr>
            </w:pPr>
            <w:r>
              <w:rPr>
                <w:sz w:val="24"/>
                <w:szCs w:val="24"/>
              </w:rPr>
              <w:t>Std. Deviation</w:t>
            </w:r>
          </w:p>
        </w:tc>
      </w:tr>
      <w:tr w:rsidR="00891A7D" w14:paraId="2E2BDCC4" w14:textId="77777777">
        <w:trPr>
          <w:cantSplit/>
        </w:trPr>
        <w:tc>
          <w:tcPr>
            <w:tcW w:w="5103" w:type="dxa"/>
            <w:tcBorders>
              <w:top w:val="single" w:sz="4" w:space="0" w:color="000000"/>
              <w:left w:val="nil"/>
            </w:tcBorders>
            <w:shd w:val="clear" w:color="auto" w:fill="E0E0E0"/>
          </w:tcPr>
          <w:p w14:paraId="3B61163F" w14:textId="77777777" w:rsidR="00891A7D" w:rsidRDefault="00CE0344">
            <w:pPr>
              <w:jc w:val="both"/>
              <w:rPr>
                <w:sz w:val="24"/>
                <w:szCs w:val="24"/>
              </w:rPr>
            </w:pPr>
            <w:r>
              <w:rPr>
                <w:color w:val="000000"/>
                <w:sz w:val="24"/>
                <w:szCs w:val="24"/>
              </w:rPr>
              <w:t>Learners often engage in group activities or discussions to learn new topics</w:t>
            </w:r>
          </w:p>
        </w:tc>
        <w:tc>
          <w:tcPr>
            <w:tcW w:w="426" w:type="dxa"/>
            <w:tcBorders>
              <w:top w:val="single" w:sz="4" w:space="0" w:color="000000"/>
            </w:tcBorders>
            <w:shd w:val="clear" w:color="auto" w:fill="F9F9FB"/>
          </w:tcPr>
          <w:p w14:paraId="169F4296" w14:textId="77777777" w:rsidR="00891A7D" w:rsidRDefault="00CE0344">
            <w:pPr>
              <w:rPr>
                <w:sz w:val="24"/>
                <w:szCs w:val="24"/>
              </w:rPr>
            </w:pPr>
            <w:r>
              <w:rPr>
                <w:sz w:val="24"/>
                <w:szCs w:val="24"/>
              </w:rPr>
              <w:t>32</w:t>
            </w:r>
          </w:p>
        </w:tc>
        <w:tc>
          <w:tcPr>
            <w:tcW w:w="567" w:type="dxa"/>
            <w:tcBorders>
              <w:top w:val="single" w:sz="4" w:space="0" w:color="000000"/>
            </w:tcBorders>
            <w:shd w:val="clear" w:color="auto" w:fill="F9F9FB"/>
          </w:tcPr>
          <w:p w14:paraId="76CA23D8" w14:textId="77777777" w:rsidR="00891A7D" w:rsidRDefault="00CE0344">
            <w:pPr>
              <w:rPr>
                <w:sz w:val="24"/>
                <w:szCs w:val="24"/>
              </w:rPr>
            </w:pPr>
            <w:r>
              <w:rPr>
                <w:sz w:val="24"/>
                <w:szCs w:val="24"/>
              </w:rPr>
              <w:t>1.00</w:t>
            </w:r>
          </w:p>
        </w:tc>
        <w:tc>
          <w:tcPr>
            <w:tcW w:w="708" w:type="dxa"/>
            <w:tcBorders>
              <w:top w:val="single" w:sz="4" w:space="0" w:color="000000"/>
            </w:tcBorders>
            <w:shd w:val="clear" w:color="auto" w:fill="F9F9FB"/>
          </w:tcPr>
          <w:p w14:paraId="43CE0DE1" w14:textId="77777777" w:rsidR="00891A7D" w:rsidRDefault="00CE0344">
            <w:pPr>
              <w:rPr>
                <w:sz w:val="24"/>
                <w:szCs w:val="24"/>
              </w:rPr>
            </w:pPr>
            <w:r>
              <w:rPr>
                <w:sz w:val="24"/>
                <w:szCs w:val="24"/>
              </w:rPr>
              <w:t>4.00</w:t>
            </w:r>
          </w:p>
        </w:tc>
        <w:tc>
          <w:tcPr>
            <w:tcW w:w="851" w:type="dxa"/>
            <w:tcBorders>
              <w:top w:val="single" w:sz="4" w:space="0" w:color="000000"/>
            </w:tcBorders>
            <w:shd w:val="clear" w:color="auto" w:fill="F9F9FB"/>
          </w:tcPr>
          <w:p w14:paraId="52F746AE" w14:textId="77777777" w:rsidR="00891A7D" w:rsidRDefault="00CE0344">
            <w:pPr>
              <w:rPr>
                <w:sz w:val="24"/>
                <w:szCs w:val="24"/>
              </w:rPr>
            </w:pPr>
            <w:r>
              <w:rPr>
                <w:sz w:val="24"/>
                <w:szCs w:val="24"/>
              </w:rPr>
              <w:t>2.4063</w:t>
            </w:r>
          </w:p>
        </w:tc>
        <w:tc>
          <w:tcPr>
            <w:tcW w:w="1701" w:type="dxa"/>
            <w:tcBorders>
              <w:top w:val="single" w:sz="4" w:space="0" w:color="000000"/>
              <w:right w:val="nil"/>
            </w:tcBorders>
            <w:shd w:val="clear" w:color="auto" w:fill="F9F9FB"/>
          </w:tcPr>
          <w:p w14:paraId="735F6829" w14:textId="77777777" w:rsidR="00891A7D" w:rsidRDefault="00CE0344">
            <w:pPr>
              <w:rPr>
                <w:sz w:val="24"/>
                <w:szCs w:val="24"/>
              </w:rPr>
            </w:pPr>
            <w:r>
              <w:rPr>
                <w:sz w:val="24"/>
                <w:szCs w:val="24"/>
              </w:rPr>
              <w:t>.71208</w:t>
            </w:r>
          </w:p>
        </w:tc>
      </w:tr>
      <w:tr w:rsidR="00891A7D" w14:paraId="523D2694" w14:textId="77777777">
        <w:trPr>
          <w:cantSplit/>
        </w:trPr>
        <w:tc>
          <w:tcPr>
            <w:tcW w:w="5103" w:type="dxa"/>
            <w:tcBorders>
              <w:left w:val="nil"/>
            </w:tcBorders>
            <w:shd w:val="clear" w:color="auto" w:fill="E0E0E0"/>
          </w:tcPr>
          <w:p w14:paraId="63C10605" w14:textId="77777777" w:rsidR="00891A7D" w:rsidRDefault="00CE0344">
            <w:pPr>
              <w:jc w:val="both"/>
              <w:rPr>
                <w:sz w:val="24"/>
                <w:szCs w:val="24"/>
              </w:rPr>
            </w:pPr>
            <w:r>
              <w:rPr>
                <w:color w:val="000000"/>
                <w:sz w:val="24"/>
                <w:szCs w:val="24"/>
              </w:rPr>
              <w:t>Learners feel that working with others enhances their understanding of a topic</w:t>
            </w:r>
          </w:p>
        </w:tc>
        <w:tc>
          <w:tcPr>
            <w:tcW w:w="426" w:type="dxa"/>
            <w:shd w:val="clear" w:color="auto" w:fill="F9F9FB"/>
          </w:tcPr>
          <w:p w14:paraId="7F10DE35" w14:textId="77777777" w:rsidR="00891A7D" w:rsidRDefault="00CE0344">
            <w:pPr>
              <w:rPr>
                <w:sz w:val="24"/>
                <w:szCs w:val="24"/>
              </w:rPr>
            </w:pPr>
            <w:r>
              <w:rPr>
                <w:sz w:val="24"/>
                <w:szCs w:val="24"/>
              </w:rPr>
              <w:t>32</w:t>
            </w:r>
          </w:p>
        </w:tc>
        <w:tc>
          <w:tcPr>
            <w:tcW w:w="567" w:type="dxa"/>
            <w:shd w:val="clear" w:color="auto" w:fill="F9F9FB"/>
          </w:tcPr>
          <w:p w14:paraId="452982C7" w14:textId="77777777" w:rsidR="00891A7D" w:rsidRDefault="00CE0344">
            <w:pPr>
              <w:rPr>
                <w:sz w:val="24"/>
                <w:szCs w:val="24"/>
              </w:rPr>
            </w:pPr>
            <w:r>
              <w:rPr>
                <w:sz w:val="24"/>
                <w:szCs w:val="24"/>
              </w:rPr>
              <w:t>1.00</w:t>
            </w:r>
          </w:p>
        </w:tc>
        <w:tc>
          <w:tcPr>
            <w:tcW w:w="708" w:type="dxa"/>
            <w:shd w:val="clear" w:color="auto" w:fill="F9F9FB"/>
          </w:tcPr>
          <w:p w14:paraId="648AD8F1" w14:textId="77777777" w:rsidR="00891A7D" w:rsidRDefault="00CE0344">
            <w:pPr>
              <w:rPr>
                <w:sz w:val="24"/>
                <w:szCs w:val="24"/>
              </w:rPr>
            </w:pPr>
            <w:r>
              <w:rPr>
                <w:sz w:val="24"/>
                <w:szCs w:val="24"/>
              </w:rPr>
              <w:t>4.00</w:t>
            </w:r>
          </w:p>
        </w:tc>
        <w:tc>
          <w:tcPr>
            <w:tcW w:w="851" w:type="dxa"/>
            <w:shd w:val="clear" w:color="auto" w:fill="F9F9FB"/>
          </w:tcPr>
          <w:p w14:paraId="3DB18EC9" w14:textId="77777777" w:rsidR="00891A7D" w:rsidRDefault="00CE0344">
            <w:pPr>
              <w:rPr>
                <w:sz w:val="24"/>
                <w:szCs w:val="24"/>
              </w:rPr>
            </w:pPr>
            <w:r>
              <w:rPr>
                <w:sz w:val="24"/>
                <w:szCs w:val="24"/>
              </w:rPr>
              <w:t>2.3438</w:t>
            </w:r>
          </w:p>
        </w:tc>
        <w:tc>
          <w:tcPr>
            <w:tcW w:w="1701" w:type="dxa"/>
            <w:shd w:val="clear" w:color="auto" w:fill="F9F9FB"/>
          </w:tcPr>
          <w:p w14:paraId="5FBF8AD0" w14:textId="77777777" w:rsidR="00891A7D" w:rsidRDefault="00CE0344">
            <w:pPr>
              <w:rPr>
                <w:sz w:val="24"/>
                <w:szCs w:val="24"/>
              </w:rPr>
            </w:pPr>
            <w:r>
              <w:rPr>
                <w:sz w:val="24"/>
                <w:szCs w:val="24"/>
              </w:rPr>
              <w:t>.82733</w:t>
            </w:r>
          </w:p>
        </w:tc>
      </w:tr>
      <w:tr w:rsidR="00891A7D" w14:paraId="70F0C3B3" w14:textId="77777777">
        <w:trPr>
          <w:cantSplit/>
        </w:trPr>
        <w:tc>
          <w:tcPr>
            <w:tcW w:w="5103" w:type="dxa"/>
            <w:tcBorders>
              <w:left w:val="nil"/>
            </w:tcBorders>
            <w:shd w:val="clear" w:color="auto" w:fill="E0E0E0"/>
          </w:tcPr>
          <w:p w14:paraId="0EFDCD84" w14:textId="77777777" w:rsidR="00891A7D" w:rsidRDefault="00CE0344">
            <w:pPr>
              <w:jc w:val="both"/>
              <w:rPr>
                <w:sz w:val="24"/>
                <w:szCs w:val="24"/>
              </w:rPr>
            </w:pPr>
            <w:r>
              <w:rPr>
                <w:color w:val="000000"/>
                <w:sz w:val="24"/>
                <w:szCs w:val="24"/>
              </w:rPr>
              <w:t>In collaborative settings, learners take on leadership roles and do not prefer to follow others</w:t>
            </w:r>
          </w:p>
        </w:tc>
        <w:tc>
          <w:tcPr>
            <w:tcW w:w="426" w:type="dxa"/>
            <w:shd w:val="clear" w:color="auto" w:fill="F9F9FB"/>
          </w:tcPr>
          <w:p w14:paraId="39C1FAF3" w14:textId="77777777" w:rsidR="00891A7D" w:rsidRDefault="00CE0344">
            <w:pPr>
              <w:rPr>
                <w:sz w:val="24"/>
                <w:szCs w:val="24"/>
              </w:rPr>
            </w:pPr>
            <w:r>
              <w:rPr>
                <w:sz w:val="24"/>
                <w:szCs w:val="24"/>
              </w:rPr>
              <w:t>32</w:t>
            </w:r>
          </w:p>
        </w:tc>
        <w:tc>
          <w:tcPr>
            <w:tcW w:w="567" w:type="dxa"/>
            <w:shd w:val="clear" w:color="auto" w:fill="F9F9FB"/>
          </w:tcPr>
          <w:p w14:paraId="61C50661" w14:textId="77777777" w:rsidR="00891A7D" w:rsidRDefault="00CE0344">
            <w:pPr>
              <w:rPr>
                <w:sz w:val="24"/>
                <w:szCs w:val="24"/>
              </w:rPr>
            </w:pPr>
            <w:r>
              <w:rPr>
                <w:sz w:val="24"/>
                <w:szCs w:val="24"/>
              </w:rPr>
              <w:t>1.00</w:t>
            </w:r>
          </w:p>
        </w:tc>
        <w:tc>
          <w:tcPr>
            <w:tcW w:w="708" w:type="dxa"/>
            <w:shd w:val="clear" w:color="auto" w:fill="F9F9FB"/>
          </w:tcPr>
          <w:p w14:paraId="5E92A9BA" w14:textId="77777777" w:rsidR="00891A7D" w:rsidRDefault="00CE0344">
            <w:pPr>
              <w:rPr>
                <w:sz w:val="24"/>
                <w:szCs w:val="24"/>
              </w:rPr>
            </w:pPr>
            <w:r>
              <w:rPr>
                <w:sz w:val="24"/>
                <w:szCs w:val="24"/>
              </w:rPr>
              <w:t>4.00</w:t>
            </w:r>
          </w:p>
        </w:tc>
        <w:tc>
          <w:tcPr>
            <w:tcW w:w="851" w:type="dxa"/>
            <w:shd w:val="clear" w:color="auto" w:fill="F9F9FB"/>
          </w:tcPr>
          <w:p w14:paraId="3B863364" w14:textId="77777777" w:rsidR="00891A7D" w:rsidRDefault="00CE0344">
            <w:pPr>
              <w:rPr>
                <w:sz w:val="24"/>
                <w:szCs w:val="24"/>
              </w:rPr>
            </w:pPr>
            <w:r>
              <w:rPr>
                <w:sz w:val="24"/>
                <w:szCs w:val="24"/>
              </w:rPr>
              <w:t>2.6563</w:t>
            </w:r>
          </w:p>
        </w:tc>
        <w:tc>
          <w:tcPr>
            <w:tcW w:w="1701" w:type="dxa"/>
            <w:tcBorders>
              <w:right w:val="nil"/>
            </w:tcBorders>
            <w:shd w:val="clear" w:color="auto" w:fill="F9F9FB"/>
          </w:tcPr>
          <w:p w14:paraId="266E4F9B" w14:textId="77777777" w:rsidR="00891A7D" w:rsidRDefault="00CE0344">
            <w:pPr>
              <w:rPr>
                <w:sz w:val="24"/>
                <w:szCs w:val="24"/>
              </w:rPr>
            </w:pPr>
            <w:r>
              <w:rPr>
                <w:sz w:val="24"/>
                <w:szCs w:val="24"/>
              </w:rPr>
              <w:t>.86544</w:t>
            </w:r>
          </w:p>
        </w:tc>
      </w:tr>
      <w:tr w:rsidR="00891A7D" w14:paraId="059A94F4" w14:textId="77777777">
        <w:trPr>
          <w:cantSplit/>
        </w:trPr>
        <w:tc>
          <w:tcPr>
            <w:tcW w:w="5103" w:type="dxa"/>
            <w:tcBorders>
              <w:left w:val="nil"/>
            </w:tcBorders>
            <w:shd w:val="clear" w:color="auto" w:fill="E0E0E0"/>
          </w:tcPr>
          <w:p w14:paraId="5F90946D" w14:textId="77777777" w:rsidR="00891A7D" w:rsidRDefault="00CE0344">
            <w:pPr>
              <w:jc w:val="both"/>
              <w:rPr>
                <w:sz w:val="24"/>
                <w:szCs w:val="24"/>
              </w:rPr>
            </w:pPr>
            <w:r>
              <w:rPr>
                <w:color w:val="000000"/>
                <w:sz w:val="24"/>
                <w:szCs w:val="24"/>
              </w:rPr>
              <w:t xml:space="preserve">Learners </w:t>
            </w:r>
            <w:r>
              <w:rPr>
                <w:color w:val="000000"/>
                <w:sz w:val="24"/>
                <w:szCs w:val="24"/>
              </w:rPr>
              <w:t>are comfortable in sharing ideas and debating with peers in a group learning environment</w:t>
            </w:r>
          </w:p>
        </w:tc>
        <w:tc>
          <w:tcPr>
            <w:tcW w:w="426" w:type="dxa"/>
            <w:shd w:val="clear" w:color="auto" w:fill="F9F9FB"/>
          </w:tcPr>
          <w:p w14:paraId="489AF0BD" w14:textId="77777777" w:rsidR="00891A7D" w:rsidRDefault="00CE0344">
            <w:pPr>
              <w:rPr>
                <w:sz w:val="24"/>
                <w:szCs w:val="24"/>
              </w:rPr>
            </w:pPr>
            <w:r>
              <w:rPr>
                <w:sz w:val="24"/>
                <w:szCs w:val="24"/>
              </w:rPr>
              <w:t>32</w:t>
            </w:r>
          </w:p>
        </w:tc>
        <w:tc>
          <w:tcPr>
            <w:tcW w:w="567" w:type="dxa"/>
            <w:shd w:val="clear" w:color="auto" w:fill="F9F9FB"/>
          </w:tcPr>
          <w:p w14:paraId="7B126603" w14:textId="77777777" w:rsidR="00891A7D" w:rsidRDefault="00CE0344">
            <w:pPr>
              <w:rPr>
                <w:sz w:val="24"/>
                <w:szCs w:val="24"/>
              </w:rPr>
            </w:pPr>
            <w:r>
              <w:rPr>
                <w:sz w:val="24"/>
                <w:szCs w:val="24"/>
              </w:rPr>
              <w:t>1.00</w:t>
            </w:r>
          </w:p>
        </w:tc>
        <w:tc>
          <w:tcPr>
            <w:tcW w:w="708" w:type="dxa"/>
            <w:shd w:val="clear" w:color="auto" w:fill="F9F9FB"/>
          </w:tcPr>
          <w:p w14:paraId="0BE07BC0" w14:textId="77777777" w:rsidR="00891A7D" w:rsidRDefault="00CE0344">
            <w:pPr>
              <w:rPr>
                <w:sz w:val="24"/>
                <w:szCs w:val="24"/>
              </w:rPr>
            </w:pPr>
            <w:r>
              <w:rPr>
                <w:sz w:val="24"/>
                <w:szCs w:val="24"/>
              </w:rPr>
              <w:t>3.00</w:t>
            </w:r>
          </w:p>
        </w:tc>
        <w:tc>
          <w:tcPr>
            <w:tcW w:w="851" w:type="dxa"/>
            <w:shd w:val="clear" w:color="auto" w:fill="F9F9FB"/>
          </w:tcPr>
          <w:p w14:paraId="3DF83590" w14:textId="77777777" w:rsidR="00891A7D" w:rsidRDefault="00CE0344">
            <w:pPr>
              <w:rPr>
                <w:sz w:val="24"/>
                <w:szCs w:val="24"/>
              </w:rPr>
            </w:pPr>
            <w:r>
              <w:rPr>
                <w:sz w:val="24"/>
                <w:szCs w:val="24"/>
              </w:rPr>
              <w:t>2.4062</w:t>
            </w:r>
          </w:p>
        </w:tc>
        <w:tc>
          <w:tcPr>
            <w:tcW w:w="1701" w:type="dxa"/>
            <w:tcBorders>
              <w:right w:val="nil"/>
            </w:tcBorders>
            <w:shd w:val="clear" w:color="auto" w:fill="F9F9FB"/>
          </w:tcPr>
          <w:p w14:paraId="762BB3B8" w14:textId="77777777" w:rsidR="00891A7D" w:rsidRDefault="00CE0344">
            <w:pPr>
              <w:rPr>
                <w:sz w:val="24"/>
                <w:szCs w:val="24"/>
              </w:rPr>
            </w:pPr>
            <w:r>
              <w:rPr>
                <w:sz w:val="24"/>
                <w:szCs w:val="24"/>
              </w:rPr>
              <w:t>.55992</w:t>
            </w:r>
          </w:p>
        </w:tc>
      </w:tr>
      <w:tr w:rsidR="00891A7D" w14:paraId="021355C7" w14:textId="77777777">
        <w:trPr>
          <w:cantSplit/>
        </w:trPr>
        <w:tc>
          <w:tcPr>
            <w:tcW w:w="5103" w:type="dxa"/>
            <w:tcBorders>
              <w:left w:val="nil"/>
              <w:bottom w:val="single" w:sz="4" w:space="0" w:color="000000"/>
            </w:tcBorders>
            <w:shd w:val="clear" w:color="auto" w:fill="E0E0E0"/>
          </w:tcPr>
          <w:p w14:paraId="165118E7" w14:textId="77777777" w:rsidR="00891A7D" w:rsidRDefault="00CE0344">
            <w:pPr>
              <w:rPr>
                <w:sz w:val="24"/>
                <w:szCs w:val="24"/>
              </w:rPr>
            </w:pPr>
            <w:r>
              <w:rPr>
                <w:sz w:val="24"/>
                <w:szCs w:val="24"/>
              </w:rPr>
              <w:t>Valid N (listwise)</w:t>
            </w:r>
          </w:p>
        </w:tc>
        <w:tc>
          <w:tcPr>
            <w:tcW w:w="426" w:type="dxa"/>
            <w:tcBorders>
              <w:bottom w:val="single" w:sz="4" w:space="0" w:color="000000"/>
            </w:tcBorders>
            <w:shd w:val="clear" w:color="auto" w:fill="F9F9FB"/>
          </w:tcPr>
          <w:p w14:paraId="40351B9A" w14:textId="77777777" w:rsidR="00891A7D" w:rsidRDefault="00CE0344">
            <w:pPr>
              <w:rPr>
                <w:sz w:val="24"/>
                <w:szCs w:val="24"/>
              </w:rPr>
            </w:pPr>
            <w:r>
              <w:rPr>
                <w:sz w:val="24"/>
                <w:szCs w:val="24"/>
              </w:rPr>
              <w:t>32</w:t>
            </w:r>
          </w:p>
        </w:tc>
        <w:tc>
          <w:tcPr>
            <w:tcW w:w="567" w:type="dxa"/>
            <w:tcBorders>
              <w:bottom w:val="single" w:sz="4" w:space="0" w:color="000000"/>
            </w:tcBorders>
            <w:shd w:val="clear" w:color="auto" w:fill="F9F9FB"/>
            <w:vAlign w:val="center"/>
          </w:tcPr>
          <w:p w14:paraId="5070B9F0" w14:textId="77777777" w:rsidR="00891A7D" w:rsidRDefault="00891A7D">
            <w:pPr>
              <w:rPr>
                <w:sz w:val="24"/>
                <w:szCs w:val="24"/>
              </w:rPr>
            </w:pPr>
          </w:p>
        </w:tc>
        <w:tc>
          <w:tcPr>
            <w:tcW w:w="708" w:type="dxa"/>
            <w:tcBorders>
              <w:bottom w:val="single" w:sz="4" w:space="0" w:color="000000"/>
            </w:tcBorders>
            <w:shd w:val="clear" w:color="auto" w:fill="F9F9FB"/>
            <w:vAlign w:val="center"/>
          </w:tcPr>
          <w:p w14:paraId="0F9A019C" w14:textId="77777777" w:rsidR="00891A7D" w:rsidRDefault="00891A7D">
            <w:pPr>
              <w:rPr>
                <w:sz w:val="24"/>
                <w:szCs w:val="24"/>
              </w:rPr>
            </w:pPr>
          </w:p>
        </w:tc>
        <w:tc>
          <w:tcPr>
            <w:tcW w:w="851" w:type="dxa"/>
            <w:tcBorders>
              <w:bottom w:val="single" w:sz="4" w:space="0" w:color="000000"/>
            </w:tcBorders>
            <w:shd w:val="clear" w:color="auto" w:fill="F9F9FB"/>
            <w:vAlign w:val="center"/>
          </w:tcPr>
          <w:p w14:paraId="223C73D9" w14:textId="77777777" w:rsidR="00891A7D" w:rsidRDefault="00891A7D">
            <w:pPr>
              <w:rPr>
                <w:sz w:val="24"/>
                <w:szCs w:val="24"/>
              </w:rPr>
            </w:pPr>
          </w:p>
        </w:tc>
        <w:tc>
          <w:tcPr>
            <w:tcW w:w="1701" w:type="dxa"/>
            <w:tcBorders>
              <w:bottom w:val="single" w:sz="4" w:space="0" w:color="000000"/>
              <w:right w:val="nil"/>
            </w:tcBorders>
            <w:shd w:val="clear" w:color="auto" w:fill="F9F9FB"/>
            <w:vAlign w:val="center"/>
          </w:tcPr>
          <w:p w14:paraId="04350BD3" w14:textId="77777777" w:rsidR="00891A7D" w:rsidRDefault="00891A7D">
            <w:pPr>
              <w:rPr>
                <w:sz w:val="24"/>
                <w:szCs w:val="24"/>
              </w:rPr>
            </w:pPr>
          </w:p>
        </w:tc>
      </w:tr>
    </w:tbl>
    <w:p w14:paraId="3ACE68A4" w14:textId="77777777" w:rsidR="00891A7D" w:rsidRDefault="00891A7D">
      <w:pPr>
        <w:rPr>
          <w:sz w:val="24"/>
          <w:szCs w:val="24"/>
        </w:rPr>
      </w:pPr>
    </w:p>
    <w:p w14:paraId="1B914203" w14:textId="77777777" w:rsidR="00891A7D" w:rsidRDefault="00891A7D">
      <w:pPr>
        <w:rPr>
          <w:sz w:val="24"/>
          <w:szCs w:val="24"/>
        </w:rPr>
      </w:pPr>
    </w:p>
    <w:p w14:paraId="2E9E1CD2" w14:textId="77777777" w:rsidR="00891A7D" w:rsidRDefault="00CE0344">
      <w:pPr>
        <w:spacing w:after="240"/>
        <w:jc w:val="both"/>
        <w:rPr>
          <w:sz w:val="24"/>
          <w:szCs w:val="24"/>
        </w:rPr>
      </w:pPr>
      <w:r>
        <w:rPr>
          <w:sz w:val="24"/>
          <w:szCs w:val="24"/>
        </w:rPr>
        <w:t xml:space="preserve">The results provide insight into how learners perceive various dimensions of collaborative instruction. The </w:t>
      </w:r>
      <w:r>
        <w:rPr>
          <w:sz w:val="24"/>
          <w:szCs w:val="24"/>
        </w:rPr>
        <w:t>statement that learners often engage in group activities or discussions to learn new topics had a mean score of 2.41 (SD = 0.71). This suggests that while some collaborative learning does occur, it may not be consistently practiced or emphasized in all cla</w:t>
      </w:r>
      <w:r>
        <w:rPr>
          <w:sz w:val="24"/>
          <w:szCs w:val="24"/>
        </w:rPr>
        <w:t>ssrooms. The item that learners feel that working with others enhances their understanding of a topic received a mean of 2.34 (SD = 0.83). This relatively low average indicates that many students are either neutral or not fully convinced about the effectiv</w:t>
      </w:r>
      <w:r>
        <w:rPr>
          <w:sz w:val="24"/>
          <w:szCs w:val="24"/>
        </w:rPr>
        <w:t>eness of group work in deepening their understanding.</w:t>
      </w:r>
    </w:p>
    <w:p w14:paraId="02C472D1" w14:textId="77777777" w:rsidR="00891A7D" w:rsidRDefault="00CE0344">
      <w:pPr>
        <w:jc w:val="both"/>
        <w:rPr>
          <w:sz w:val="24"/>
          <w:szCs w:val="24"/>
        </w:rPr>
      </w:pPr>
      <w:r>
        <w:rPr>
          <w:sz w:val="24"/>
          <w:szCs w:val="24"/>
        </w:rPr>
        <w:t>In terms of student autonomy, the statement that in collaborative settings, learners take on leadership roles and do not prefer to follow others had a mean score of 2.66 (SD = 0.87), the highest among t</w:t>
      </w:r>
      <w:r>
        <w:rPr>
          <w:sz w:val="24"/>
          <w:szCs w:val="24"/>
        </w:rPr>
        <w:t>he four items. This suggests that some students show initiative and leadership within group settings, though variation is notable. Finally, the statement that learners are comfortable in sharing ideas and debating with peers in a group learning environment</w:t>
      </w:r>
      <w:r>
        <w:rPr>
          <w:sz w:val="24"/>
          <w:szCs w:val="24"/>
        </w:rPr>
        <w:t xml:space="preserve"> scored a mean of 2.41 (SD = 0.56), indicating moderate levels with peer interaction and communication. Overall, the results reflect a moderate level of implementation of collaborative instructional strategies among students. While there is evidence that s</w:t>
      </w:r>
      <w:r>
        <w:rPr>
          <w:sz w:val="24"/>
          <w:szCs w:val="24"/>
        </w:rPr>
        <w:t xml:space="preserve">tudents do engage in group-based learning, the mean scores suggest room for improvement in fostering stronger collaboration, building confidence in peer engagement, and emphasizing the academic value of teamwork. </w:t>
      </w:r>
    </w:p>
    <w:p w14:paraId="45757D30" w14:textId="77777777" w:rsidR="00891A7D" w:rsidRDefault="00891A7D">
      <w:pPr>
        <w:jc w:val="both"/>
        <w:rPr>
          <w:sz w:val="24"/>
          <w:szCs w:val="24"/>
        </w:rPr>
      </w:pPr>
    </w:p>
    <w:p w14:paraId="47507C4C" w14:textId="77777777" w:rsidR="00891A7D" w:rsidRDefault="00CE0344">
      <w:pPr>
        <w:pStyle w:val="Heading2"/>
        <w:ind w:left="720" w:hanging="720"/>
        <w:jc w:val="both"/>
        <w:rPr>
          <w:rFonts w:ascii="Times New Roman" w:eastAsia="Times New Roman" w:hAnsi="Times New Roman" w:cs="Times New Roman"/>
          <w:b/>
          <w:color w:val="000000"/>
          <w:sz w:val="24"/>
          <w:szCs w:val="24"/>
        </w:rPr>
      </w:pPr>
      <w:bookmarkStart w:id="4" w:name="_3oe41arp3jyu" w:colFirst="0" w:colLast="0"/>
      <w:bookmarkEnd w:id="4"/>
      <w:r>
        <w:rPr>
          <w:rFonts w:ascii="Times New Roman" w:eastAsia="Times New Roman" w:hAnsi="Times New Roman" w:cs="Times New Roman"/>
          <w:b/>
          <w:color w:val="000000"/>
          <w:sz w:val="24"/>
          <w:szCs w:val="24"/>
        </w:rPr>
        <w:t>Correlation Analysis</w:t>
      </w:r>
    </w:p>
    <w:p w14:paraId="75BD42A1" w14:textId="77777777" w:rsidR="00891A7D" w:rsidRDefault="00CE0344">
      <w:pPr>
        <w:spacing w:before="280" w:after="280"/>
        <w:jc w:val="both"/>
        <w:rPr>
          <w:color w:val="000000"/>
          <w:sz w:val="24"/>
          <w:szCs w:val="24"/>
        </w:rPr>
      </w:pPr>
      <w:r>
        <w:rPr>
          <w:color w:val="000000"/>
          <w:sz w:val="24"/>
          <w:szCs w:val="24"/>
        </w:rPr>
        <w:t>The study tested the</w:t>
      </w:r>
      <w:r>
        <w:rPr>
          <w:color w:val="000000"/>
          <w:sz w:val="24"/>
          <w:szCs w:val="24"/>
        </w:rPr>
        <w:t xml:space="preserve"> null hypothesis that there is no significant relationship between collaborative instructional strategy and students’ motivation in public Junior schools using correlation analysis, the test being conducted through SPSS software at 95% confidence level. Th</w:t>
      </w:r>
      <w:r>
        <w:rPr>
          <w:color w:val="000000"/>
          <w:sz w:val="24"/>
          <w:szCs w:val="24"/>
        </w:rPr>
        <w:t>e decision criteria were that a p value &gt;0.05 would be an indicator of evidence in support of the null hypothesis and would thus lead to acceptance of null hypothesis whereas p value &lt;0.05 would be an indicator of lack of evidence in support of the null hy</w:t>
      </w:r>
      <w:r>
        <w:rPr>
          <w:color w:val="000000"/>
          <w:sz w:val="24"/>
          <w:szCs w:val="24"/>
        </w:rPr>
        <w:t xml:space="preserve">pothesis and would thus lead to non- acceptance of null hypothesis. </w:t>
      </w:r>
    </w:p>
    <w:p w14:paraId="78B1FE37" w14:textId="755FED9A" w:rsidR="00891A7D" w:rsidRPr="009C4154" w:rsidRDefault="009C4154" w:rsidP="009C4154">
      <w:pPr>
        <w:pStyle w:val="Caption"/>
        <w:rPr>
          <w:b/>
          <w:bCs/>
          <w:i w:val="0"/>
          <w:iCs w:val="0"/>
          <w:color w:val="auto"/>
          <w:sz w:val="24"/>
          <w:szCs w:val="24"/>
        </w:rPr>
      </w:pPr>
      <w:bookmarkStart w:id="5" w:name="_r8sfsxf42v2i" w:colFirst="0" w:colLast="0"/>
      <w:bookmarkEnd w:id="5"/>
      <w:r w:rsidRPr="009C4154">
        <w:rPr>
          <w:b/>
          <w:bCs/>
          <w:i w:val="0"/>
          <w:iCs w:val="0"/>
          <w:color w:val="auto"/>
          <w:sz w:val="24"/>
          <w:szCs w:val="24"/>
        </w:rPr>
        <w:t xml:space="preserve">Table </w:t>
      </w:r>
      <w:r w:rsidRPr="009C4154">
        <w:rPr>
          <w:b/>
          <w:bCs/>
          <w:i w:val="0"/>
          <w:iCs w:val="0"/>
          <w:color w:val="auto"/>
          <w:sz w:val="24"/>
          <w:szCs w:val="24"/>
        </w:rPr>
        <w:fldChar w:fldCharType="begin"/>
      </w:r>
      <w:r w:rsidRPr="009C4154">
        <w:rPr>
          <w:b/>
          <w:bCs/>
          <w:i w:val="0"/>
          <w:iCs w:val="0"/>
          <w:color w:val="auto"/>
          <w:sz w:val="24"/>
          <w:szCs w:val="24"/>
        </w:rPr>
        <w:instrText xml:space="preserve"> SEQ Table \* ARABIC </w:instrText>
      </w:r>
      <w:r w:rsidRPr="009C4154">
        <w:rPr>
          <w:b/>
          <w:bCs/>
          <w:i w:val="0"/>
          <w:iCs w:val="0"/>
          <w:color w:val="auto"/>
          <w:sz w:val="24"/>
          <w:szCs w:val="24"/>
        </w:rPr>
        <w:fldChar w:fldCharType="separate"/>
      </w:r>
      <w:r>
        <w:rPr>
          <w:b/>
          <w:bCs/>
          <w:i w:val="0"/>
          <w:iCs w:val="0"/>
          <w:noProof/>
          <w:color w:val="auto"/>
          <w:sz w:val="24"/>
          <w:szCs w:val="24"/>
        </w:rPr>
        <w:t>3</w:t>
      </w:r>
      <w:r w:rsidRPr="009C4154">
        <w:rPr>
          <w:b/>
          <w:bCs/>
          <w:i w:val="0"/>
          <w:iCs w:val="0"/>
          <w:color w:val="auto"/>
          <w:sz w:val="24"/>
          <w:szCs w:val="24"/>
        </w:rPr>
        <w:fldChar w:fldCharType="end"/>
      </w:r>
      <w:r w:rsidRPr="009C4154">
        <w:rPr>
          <w:b/>
          <w:bCs/>
          <w:i w:val="0"/>
          <w:iCs w:val="0"/>
          <w:color w:val="auto"/>
          <w:sz w:val="24"/>
          <w:szCs w:val="24"/>
        </w:rPr>
        <w:t>: Correlation Results on Collaborative Instructional Strategy and Students Motivation Correlation Analysis</w:t>
      </w:r>
    </w:p>
    <w:tbl>
      <w:tblPr>
        <w:tblStyle w:val="a0"/>
        <w:tblW w:w="9072" w:type="dxa"/>
        <w:tblInd w:w="0" w:type="dxa"/>
        <w:tblLayout w:type="fixed"/>
        <w:tblLook w:val="0000" w:firstRow="0" w:lastRow="0" w:firstColumn="0" w:lastColumn="0" w:noHBand="0" w:noVBand="0"/>
      </w:tblPr>
      <w:tblGrid>
        <w:gridCol w:w="1584"/>
        <w:gridCol w:w="3519"/>
        <w:gridCol w:w="1418"/>
        <w:gridCol w:w="2551"/>
      </w:tblGrid>
      <w:tr w:rsidR="00891A7D" w14:paraId="45ECE057" w14:textId="77777777">
        <w:trPr>
          <w:cantSplit/>
        </w:trPr>
        <w:tc>
          <w:tcPr>
            <w:tcW w:w="9072" w:type="dxa"/>
            <w:gridSpan w:val="4"/>
            <w:tcBorders>
              <w:top w:val="nil"/>
              <w:left w:val="nil"/>
              <w:bottom w:val="single" w:sz="4" w:space="0" w:color="000000"/>
              <w:right w:val="nil"/>
            </w:tcBorders>
            <w:shd w:val="clear" w:color="auto" w:fill="FFFFFF"/>
            <w:vAlign w:val="center"/>
          </w:tcPr>
          <w:p w14:paraId="5F727B31" w14:textId="77777777" w:rsidR="00891A7D" w:rsidRDefault="00891A7D">
            <w:pPr>
              <w:rPr>
                <w:sz w:val="24"/>
                <w:szCs w:val="24"/>
              </w:rPr>
            </w:pPr>
          </w:p>
        </w:tc>
      </w:tr>
      <w:tr w:rsidR="00891A7D" w14:paraId="3116531D" w14:textId="77777777">
        <w:trPr>
          <w:cantSplit/>
        </w:trPr>
        <w:tc>
          <w:tcPr>
            <w:tcW w:w="5103" w:type="dxa"/>
            <w:gridSpan w:val="2"/>
            <w:tcBorders>
              <w:top w:val="single" w:sz="4" w:space="0" w:color="000000"/>
              <w:left w:val="nil"/>
              <w:bottom w:val="single" w:sz="4" w:space="0" w:color="000000"/>
            </w:tcBorders>
            <w:shd w:val="clear" w:color="auto" w:fill="FFFFFF"/>
            <w:vAlign w:val="bottom"/>
          </w:tcPr>
          <w:p w14:paraId="2B6745C5" w14:textId="77777777" w:rsidR="00891A7D" w:rsidRDefault="00891A7D">
            <w:pPr>
              <w:rPr>
                <w:sz w:val="24"/>
                <w:szCs w:val="24"/>
              </w:rPr>
            </w:pPr>
          </w:p>
        </w:tc>
        <w:tc>
          <w:tcPr>
            <w:tcW w:w="1418" w:type="dxa"/>
            <w:tcBorders>
              <w:top w:val="single" w:sz="4" w:space="0" w:color="000000"/>
              <w:bottom w:val="single" w:sz="4" w:space="0" w:color="000000"/>
            </w:tcBorders>
            <w:shd w:val="clear" w:color="auto" w:fill="FFFFFF"/>
            <w:vAlign w:val="bottom"/>
          </w:tcPr>
          <w:p w14:paraId="33EC5A14" w14:textId="77777777" w:rsidR="00891A7D" w:rsidRDefault="00CE0344">
            <w:pPr>
              <w:rPr>
                <w:sz w:val="24"/>
                <w:szCs w:val="24"/>
              </w:rPr>
            </w:pPr>
            <w:r>
              <w:rPr>
                <w:sz w:val="24"/>
                <w:szCs w:val="24"/>
              </w:rPr>
              <w:t>Collaboration</w:t>
            </w:r>
            <w:r>
              <w:rPr>
                <w:color w:val="000000"/>
                <w:sz w:val="24"/>
                <w:szCs w:val="24"/>
              </w:rPr>
              <w:t xml:space="preserve"> Instructional Strategy</w:t>
            </w:r>
          </w:p>
        </w:tc>
        <w:tc>
          <w:tcPr>
            <w:tcW w:w="2551" w:type="dxa"/>
            <w:tcBorders>
              <w:top w:val="single" w:sz="4" w:space="0" w:color="000000"/>
              <w:bottom w:val="single" w:sz="4" w:space="0" w:color="000000"/>
              <w:right w:val="nil"/>
            </w:tcBorders>
            <w:shd w:val="clear" w:color="auto" w:fill="FFFFFF"/>
            <w:vAlign w:val="bottom"/>
          </w:tcPr>
          <w:p w14:paraId="0D487DFF" w14:textId="77777777" w:rsidR="00891A7D" w:rsidRDefault="00CE0344">
            <w:pPr>
              <w:rPr>
                <w:sz w:val="24"/>
                <w:szCs w:val="24"/>
              </w:rPr>
            </w:pPr>
            <w:r>
              <w:rPr>
                <w:sz w:val="24"/>
                <w:szCs w:val="24"/>
              </w:rPr>
              <w:t xml:space="preserve">Student </w:t>
            </w:r>
            <w:r>
              <w:rPr>
                <w:sz w:val="24"/>
                <w:szCs w:val="24"/>
              </w:rPr>
              <w:t>Motivation</w:t>
            </w:r>
          </w:p>
        </w:tc>
      </w:tr>
      <w:tr w:rsidR="00891A7D" w14:paraId="0EC632DB" w14:textId="77777777">
        <w:trPr>
          <w:cantSplit/>
        </w:trPr>
        <w:tc>
          <w:tcPr>
            <w:tcW w:w="1584" w:type="dxa"/>
            <w:vMerge w:val="restart"/>
            <w:tcBorders>
              <w:top w:val="single" w:sz="4" w:space="0" w:color="000000"/>
              <w:left w:val="nil"/>
              <w:bottom w:val="nil"/>
              <w:right w:val="nil"/>
            </w:tcBorders>
            <w:shd w:val="clear" w:color="auto" w:fill="E0E0E0"/>
          </w:tcPr>
          <w:p w14:paraId="407F5135" w14:textId="77777777" w:rsidR="00891A7D" w:rsidRDefault="00CE0344">
            <w:pPr>
              <w:rPr>
                <w:sz w:val="24"/>
                <w:szCs w:val="24"/>
              </w:rPr>
            </w:pPr>
            <w:r>
              <w:rPr>
                <w:sz w:val="24"/>
                <w:szCs w:val="24"/>
              </w:rPr>
              <w:t>Collaborative</w:t>
            </w:r>
            <w:r>
              <w:rPr>
                <w:color w:val="000000"/>
                <w:sz w:val="24"/>
                <w:szCs w:val="24"/>
              </w:rPr>
              <w:t xml:space="preserve"> Instructional Strategy</w:t>
            </w:r>
          </w:p>
        </w:tc>
        <w:tc>
          <w:tcPr>
            <w:tcW w:w="3519" w:type="dxa"/>
            <w:tcBorders>
              <w:top w:val="single" w:sz="4" w:space="0" w:color="000000"/>
              <w:left w:val="nil"/>
            </w:tcBorders>
            <w:shd w:val="clear" w:color="auto" w:fill="E0E0E0"/>
          </w:tcPr>
          <w:p w14:paraId="6F5B37A4" w14:textId="77777777" w:rsidR="00891A7D" w:rsidRDefault="00CE0344">
            <w:pPr>
              <w:rPr>
                <w:sz w:val="24"/>
                <w:szCs w:val="24"/>
              </w:rPr>
            </w:pPr>
            <w:r>
              <w:rPr>
                <w:sz w:val="24"/>
                <w:szCs w:val="24"/>
              </w:rPr>
              <w:t>Pearson Correlation</w:t>
            </w:r>
          </w:p>
        </w:tc>
        <w:tc>
          <w:tcPr>
            <w:tcW w:w="1418" w:type="dxa"/>
            <w:tcBorders>
              <w:top w:val="single" w:sz="4" w:space="0" w:color="000000"/>
            </w:tcBorders>
            <w:shd w:val="clear" w:color="auto" w:fill="F9F9FB"/>
          </w:tcPr>
          <w:p w14:paraId="1972832B" w14:textId="77777777" w:rsidR="00891A7D" w:rsidRDefault="00CE0344">
            <w:pPr>
              <w:rPr>
                <w:sz w:val="24"/>
                <w:szCs w:val="24"/>
              </w:rPr>
            </w:pPr>
            <w:r>
              <w:rPr>
                <w:sz w:val="24"/>
                <w:szCs w:val="24"/>
              </w:rPr>
              <w:t>1</w:t>
            </w:r>
          </w:p>
        </w:tc>
        <w:tc>
          <w:tcPr>
            <w:tcW w:w="2551" w:type="dxa"/>
            <w:tcBorders>
              <w:top w:val="single" w:sz="4" w:space="0" w:color="000000"/>
              <w:right w:val="nil"/>
            </w:tcBorders>
            <w:shd w:val="clear" w:color="auto" w:fill="F9F9FB"/>
          </w:tcPr>
          <w:p w14:paraId="591ED45F" w14:textId="77777777" w:rsidR="00891A7D" w:rsidRDefault="00CE0344">
            <w:pPr>
              <w:rPr>
                <w:sz w:val="24"/>
                <w:szCs w:val="24"/>
              </w:rPr>
            </w:pPr>
            <w:r>
              <w:rPr>
                <w:sz w:val="24"/>
                <w:szCs w:val="24"/>
              </w:rPr>
              <w:t>.675</w:t>
            </w:r>
            <w:r>
              <w:rPr>
                <w:sz w:val="24"/>
                <w:szCs w:val="24"/>
                <w:vertAlign w:val="superscript"/>
              </w:rPr>
              <w:t>**</w:t>
            </w:r>
          </w:p>
        </w:tc>
      </w:tr>
      <w:tr w:rsidR="00891A7D" w14:paraId="43EAC89A" w14:textId="77777777">
        <w:trPr>
          <w:cantSplit/>
        </w:trPr>
        <w:tc>
          <w:tcPr>
            <w:tcW w:w="1584" w:type="dxa"/>
            <w:vMerge/>
            <w:tcBorders>
              <w:top w:val="single" w:sz="4" w:space="0" w:color="000000"/>
              <w:left w:val="nil"/>
              <w:bottom w:val="nil"/>
              <w:right w:val="nil"/>
            </w:tcBorders>
            <w:shd w:val="clear" w:color="auto" w:fill="E0E0E0"/>
          </w:tcPr>
          <w:p w14:paraId="6499B613"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tcBorders>
            <w:shd w:val="clear" w:color="auto" w:fill="E0E0E0"/>
          </w:tcPr>
          <w:p w14:paraId="77EAF1C8" w14:textId="77777777" w:rsidR="00891A7D" w:rsidRDefault="00CE0344">
            <w:pPr>
              <w:rPr>
                <w:sz w:val="24"/>
                <w:szCs w:val="24"/>
              </w:rPr>
            </w:pPr>
            <w:r>
              <w:rPr>
                <w:sz w:val="24"/>
                <w:szCs w:val="24"/>
              </w:rPr>
              <w:t>Sig. (2-tailed)</w:t>
            </w:r>
          </w:p>
        </w:tc>
        <w:tc>
          <w:tcPr>
            <w:tcW w:w="1418" w:type="dxa"/>
            <w:shd w:val="clear" w:color="auto" w:fill="F9F9FB"/>
            <w:vAlign w:val="center"/>
          </w:tcPr>
          <w:p w14:paraId="0B4A81AB" w14:textId="77777777" w:rsidR="00891A7D" w:rsidRDefault="00891A7D">
            <w:pPr>
              <w:rPr>
                <w:sz w:val="24"/>
                <w:szCs w:val="24"/>
              </w:rPr>
            </w:pPr>
          </w:p>
        </w:tc>
        <w:tc>
          <w:tcPr>
            <w:tcW w:w="2551" w:type="dxa"/>
            <w:shd w:val="clear" w:color="auto" w:fill="F9F9FB"/>
          </w:tcPr>
          <w:p w14:paraId="445D21E9" w14:textId="77777777" w:rsidR="00891A7D" w:rsidRDefault="00CE0344">
            <w:pPr>
              <w:rPr>
                <w:sz w:val="24"/>
                <w:szCs w:val="24"/>
              </w:rPr>
            </w:pPr>
            <w:r>
              <w:rPr>
                <w:sz w:val="24"/>
                <w:szCs w:val="24"/>
              </w:rPr>
              <w:t>.000</w:t>
            </w:r>
          </w:p>
        </w:tc>
      </w:tr>
      <w:tr w:rsidR="00891A7D" w14:paraId="0002F8EB" w14:textId="77777777">
        <w:trPr>
          <w:cantSplit/>
        </w:trPr>
        <w:tc>
          <w:tcPr>
            <w:tcW w:w="1584" w:type="dxa"/>
            <w:vMerge/>
            <w:tcBorders>
              <w:top w:val="single" w:sz="4" w:space="0" w:color="000000"/>
              <w:left w:val="nil"/>
              <w:bottom w:val="nil"/>
              <w:right w:val="nil"/>
            </w:tcBorders>
            <w:shd w:val="clear" w:color="auto" w:fill="E0E0E0"/>
          </w:tcPr>
          <w:p w14:paraId="211E976F"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bottom w:val="nil"/>
            </w:tcBorders>
            <w:shd w:val="clear" w:color="auto" w:fill="E0E0E0"/>
          </w:tcPr>
          <w:p w14:paraId="2DA44ED9" w14:textId="77777777" w:rsidR="00891A7D" w:rsidRDefault="00CE0344">
            <w:pPr>
              <w:rPr>
                <w:sz w:val="24"/>
                <w:szCs w:val="24"/>
              </w:rPr>
            </w:pPr>
            <w:r>
              <w:rPr>
                <w:sz w:val="24"/>
                <w:szCs w:val="24"/>
              </w:rPr>
              <w:t>N</w:t>
            </w:r>
          </w:p>
        </w:tc>
        <w:tc>
          <w:tcPr>
            <w:tcW w:w="1418" w:type="dxa"/>
            <w:tcBorders>
              <w:bottom w:val="nil"/>
            </w:tcBorders>
            <w:shd w:val="clear" w:color="auto" w:fill="F9F9FB"/>
          </w:tcPr>
          <w:p w14:paraId="1371A64A" w14:textId="77777777" w:rsidR="00891A7D" w:rsidRDefault="00CE0344">
            <w:pPr>
              <w:rPr>
                <w:sz w:val="24"/>
                <w:szCs w:val="24"/>
              </w:rPr>
            </w:pPr>
            <w:r>
              <w:rPr>
                <w:sz w:val="24"/>
                <w:szCs w:val="24"/>
              </w:rPr>
              <w:t>32</w:t>
            </w:r>
          </w:p>
        </w:tc>
        <w:tc>
          <w:tcPr>
            <w:tcW w:w="2551" w:type="dxa"/>
            <w:tcBorders>
              <w:bottom w:val="nil"/>
              <w:right w:val="nil"/>
            </w:tcBorders>
            <w:shd w:val="clear" w:color="auto" w:fill="F9F9FB"/>
          </w:tcPr>
          <w:p w14:paraId="0A0514FE" w14:textId="77777777" w:rsidR="00891A7D" w:rsidRDefault="00CE0344">
            <w:pPr>
              <w:rPr>
                <w:sz w:val="24"/>
                <w:szCs w:val="24"/>
              </w:rPr>
            </w:pPr>
            <w:r>
              <w:rPr>
                <w:sz w:val="24"/>
                <w:szCs w:val="24"/>
              </w:rPr>
              <w:t>32</w:t>
            </w:r>
          </w:p>
        </w:tc>
      </w:tr>
      <w:tr w:rsidR="00891A7D" w14:paraId="26CB245C" w14:textId="77777777">
        <w:trPr>
          <w:cantSplit/>
        </w:trPr>
        <w:tc>
          <w:tcPr>
            <w:tcW w:w="1584" w:type="dxa"/>
            <w:vMerge w:val="restart"/>
            <w:tcBorders>
              <w:top w:val="single" w:sz="8" w:space="0" w:color="AEAEAE"/>
              <w:left w:val="nil"/>
              <w:bottom w:val="single" w:sz="8" w:space="0" w:color="152935"/>
              <w:right w:val="nil"/>
            </w:tcBorders>
            <w:shd w:val="clear" w:color="auto" w:fill="E0E0E0"/>
          </w:tcPr>
          <w:p w14:paraId="0D13FC08" w14:textId="77777777" w:rsidR="00891A7D" w:rsidRDefault="00CE0344">
            <w:pPr>
              <w:rPr>
                <w:sz w:val="24"/>
                <w:szCs w:val="24"/>
              </w:rPr>
            </w:pPr>
            <w:r>
              <w:rPr>
                <w:sz w:val="24"/>
                <w:szCs w:val="24"/>
              </w:rPr>
              <w:t>Student Motivation</w:t>
            </w:r>
          </w:p>
        </w:tc>
        <w:tc>
          <w:tcPr>
            <w:tcW w:w="3519" w:type="dxa"/>
            <w:tcBorders>
              <w:left w:val="nil"/>
            </w:tcBorders>
            <w:shd w:val="clear" w:color="auto" w:fill="E0E0E0"/>
          </w:tcPr>
          <w:p w14:paraId="52B87C46" w14:textId="77777777" w:rsidR="00891A7D" w:rsidRDefault="00CE0344">
            <w:pPr>
              <w:rPr>
                <w:sz w:val="24"/>
                <w:szCs w:val="24"/>
              </w:rPr>
            </w:pPr>
            <w:r>
              <w:rPr>
                <w:sz w:val="24"/>
                <w:szCs w:val="24"/>
              </w:rPr>
              <w:t>Pearson Correlation</w:t>
            </w:r>
          </w:p>
        </w:tc>
        <w:tc>
          <w:tcPr>
            <w:tcW w:w="1418" w:type="dxa"/>
            <w:shd w:val="clear" w:color="auto" w:fill="F9F9FB"/>
          </w:tcPr>
          <w:p w14:paraId="0A84680A" w14:textId="77777777" w:rsidR="00891A7D" w:rsidRDefault="00CE0344">
            <w:pPr>
              <w:rPr>
                <w:sz w:val="24"/>
                <w:szCs w:val="24"/>
              </w:rPr>
            </w:pPr>
            <w:r>
              <w:rPr>
                <w:sz w:val="24"/>
                <w:szCs w:val="24"/>
              </w:rPr>
              <w:t>.675</w:t>
            </w:r>
            <w:r>
              <w:rPr>
                <w:sz w:val="24"/>
                <w:szCs w:val="24"/>
                <w:vertAlign w:val="superscript"/>
              </w:rPr>
              <w:t>**</w:t>
            </w:r>
          </w:p>
        </w:tc>
        <w:tc>
          <w:tcPr>
            <w:tcW w:w="2551" w:type="dxa"/>
            <w:tcBorders>
              <w:right w:val="nil"/>
            </w:tcBorders>
            <w:shd w:val="clear" w:color="auto" w:fill="F9F9FB"/>
          </w:tcPr>
          <w:p w14:paraId="14980381" w14:textId="77777777" w:rsidR="00891A7D" w:rsidRDefault="00CE0344">
            <w:pPr>
              <w:rPr>
                <w:sz w:val="24"/>
                <w:szCs w:val="24"/>
              </w:rPr>
            </w:pPr>
            <w:r>
              <w:rPr>
                <w:sz w:val="24"/>
                <w:szCs w:val="24"/>
              </w:rPr>
              <w:t>1</w:t>
            </w:r>
          </w:p>
        </w:tc>
      </w:tr>
      <w:tr w:rsidR="00891A7D" w14:paraId="49515F47" w14:textId="77777777">
        <w:trPr>
          <w:cantSplit/>
        </w:trPr>
        <w:tc>
          <w:tcPr>
            <w:tcW w:w="1584" w:type="dxa"/>
            <w:vMerge/>
            <w:tcBorders>
              <w:top w:val="single" w:sz="8" w:space="0" w:color="AEAEAE"/>
              <w:left w:val="nil"/>
              <w:bottom w:val="single" w:sz="8" w:space="0" w:color="152935"/>
              <w:right w:val="nil"/>
            </w:tcBorders>
            <w:shd w:val="clear" w:color="auto" w:fill="E0E0E0"/>
          </w:tcPr>
          <w:p w14:paraId="5A3EB59C"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tcBorders>
            <w:shd w:val="clear" w:color="auto" w:fill="E0E0E0"/>
          </w:tcPr>
          <w:p w14:paraId="32CA19DC" w14:textId="77777777" w:rsidR="00891A7D" w:rsidRDefault="00CE0344">
            <w:pPr>
              <w:rPr>
                <w:sz w:val="24"/>
                <w:szCs w:val="24"/>
              </w:rPr>
            </w:pPr>
            <w:r>
              <w:rPr>
                <w:sz w:val="24"/>
                <w:szCs w:val="24"/>
              </w:rPr>
              <w:t>Sig. (2-tailed)</w:t>
            </w:r>
          </w:p>
        </w:tc>
        <w:tc>
          <w:tcPr>
            <w:tcW w:w="1418" w:type="dxa"/>
            <w:shd w:val="clear" w:color="auto" w:fill="F9F9FB"/>
          </w:tcPr>
          <w:p w14:paraId="0E4ECDE3" w14:textId="77777777" w:rsidR="00891A7D" w:rsidRDefault="00CE0344">
            <w:pPr>
              <w:rPr>
                <w:sz w:val="24"/>
                <w:szCs w:val="24"/>
              </w:rPr>
            </w:pPr>
            <w:r>
              <w:rPr>
                <w:sz w:val="24"/>
                <w:szCs w:val="24"/>
              </w:rPr>
              <w:t>.000</w:t>
            </w:r>
          </w:p>
        </w:tc>
        <w:tc>
          <w:tcPr>
            <w:tcW w:w="2551" w:type="dxa"/>
            <w:tcBorders>
              <w:right w:val="nil"/>
            </w:tcBorders>
            <w:shd w:val="clear" w:color="auto" w:fill="F9F9FB"/>
            <w:vAlign w:val="center"/>
          </w:tcPr>
          <w:p w14:paraId="003D4374" w14:textId="77777777" w:rsidR="00891A7D" w:rsidRDefault="00891A7D">
            <w:pPr>
              <w:rPr>
                <w:sz w:val="24"/>
                <w:szCs w:val="24"/>
              </w:rPr>
            </w:pPr>
          </w:p>
        </w:tc>
      </w:tr>
      <w:tr w:rsidR="00891A7D" w14:paraId="1D0CEC9B" w14:textId="77777777">
        <w:trPr>
          <w:cantSplit/>
        </w:trPr>
        <w:tc>
          <w:tcPr>
            <w:tcW w:w="1584" w:type="dxa"/>
            <w:vMerge/>
            <w:tcBorders>
              <w:top w:val="single" w:sz="8" w:space="0" w:color="AEAEAE"/>
              <w:left w:val="nil"/>
              <w:bottom w:val="single" w:sz="8" w:space="0" w:color="152935"/>
              <w:right w:val="nil"/>
            </w:tcBorders>
            <w:shd w:val="clear" w:color="auto" w:fill="E0E0E0"/>
          </w:tcPr>
          <w:p w14:paraId="51C11217"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bottom w:val="single" w:sz="4" w:space="0" w:color="000000"/>
            </w:tcBorders>
            <w:shd w:val="clear" w:color="auto" w:fill="E0E0E0"/>
          </w:tcPr>
          <w:p w14:paraId="76DFE8C6" w14:textId="77777777" w:rsidR="00891A7D" w:rsidRDefault="00CE0344">
            <w:pPr>
              <w:rPr>
                <w:sz w:val="24"/>
                <w:szCs w:val="24"/>
              </w:rPr>
            </w:pPr>
            <w:r>
              <w:rPr>
                <w:sz w:val="24"/>
                <w:szCs w:val="24"/>
              </w:rPr>
              <w:t>N</w:t>
            </w:r>
          </w:p>
        </w:tc>
        <w:tc>
          <w:tcPr>
            <w:tcW w:w="1418" w:type="dxa"/>
            <w:tcBorders>
              <w:bottom w:val="single" w:sz="4" w:space="0" w:color="000000"/>
            </w:tcBorders>
            <w:shd w:val="clear" w:color="auto" w:fill="F9F9FB"/>
          </w:tcPr>
          <w:p w14:paraId="06F1EDC4" w14:textId="77777777" w:rsidR="00891A7D" w:rsidRDefault="00CE0344">
            <w:pPr>
              <w:rPr>
                <w:sz w:val="24"/>
                <w:szCs w:val="24"/>
              </w:rPr>
            </w:pPr>
            <w:r>
              <w:rPr>
                <w:sz w:val="24"/>
                <w:szCs w:val="24"/>
              </w:rPr>
              <w:t>32</w:t>
            </w:r>
          </w:p>
        </w:tc>
        <w:tc>
          <w:tcPr>
            <w:tcW w:w="2551" w:type="dxa"/>
            <w:tcBorders>
              <w:bottom w:val="single" w:sz="4" w:space="0" w:color="000000"/>
              <w:right w:val="nil"/>
            </w:tcBorders>
            <w:shd w:val="clear" w:color="auto" w:fill="F9F9FB"/>
          </w:tcPr>
          <w:p w14:paraId="0A3B392B" w14:textId="77777777" w:rsidR="00891A7D" w:rsidRDefault="00CE0344">
            <w:pPr>
              <w:rPr>
                <w:sz w:val="24"/>
                <w:szCs w:val="24"/>
              </w:rPr>
            </w:pPr>
            <w:r>
              <w:rPr>
                <w:sz w:val="24"/>
                <w:szCs w:val="24"/>
              </w:rPr>
              <w:t>32</w:t>
            </w:r>
          </w:p>
        </w:tc>
      </w:tr>
      <w:tr w:rsidR="00891A7D" w14:paraId="3D876A7F" w14:textId="77777777">
        <w:trPr>
          <w:cantSplit/>
        </w:trPr>
        <w:tc>
          <w:tcPr>
            <w:tcW w:w="9072" w:type="dxa"/>
            <w:gridSpan w:val="4"/>
            <w:tcBorders>
              <w:top w:val="nil"/>
              <w:left w:val="nil"/>
              <w:bottom w:val="nil"/>
              <w:right w:val="nil"/>
            </w:tcBorders>
            <w:shd w:val="clear" w:color="auto" w:fill="FFFFFF"/>
          </w:tcPr>
          <w:p w14:paraId="13DDC2D0" w14:textId="77777777" w:rsidR="00891A7D" w:rsidRDefault="00CE0344">
            <w:pPr>
              <w:rPr>
                <w:sz w:val="24"/>
                <w:szCs w:val="24"/>
              </w:rPr>
            </w:pPr>
            <w:r>
              <w:rPr>
                <w:sz w:val="24"/>
                <w:szCs w:val="24"/>
              </w:rPr>
              <w:t>**. Correlation is significant at the 0.05 level (2-tailed).</w:t>
            </w:r>
          </w:p>
        </w:tc>
      </w:tr>
    </w:tbl>
    <w:p w14:paraId="0F0D682D" w14:textId="77777777" w:rsidR="00891A7D" w:rsidRDefault="00891A7D">
      <w:pPr>
        <w:rPr>
          <w:sz w:val="24"/>
          <w:szCs w:val="24"/>
        </w:rPr>
      </w:pPr>
    </w:p>
    <w:p w14:paraId="2314C80B" w14:textId="229E1717" w:rsidR="00891A7D" w:rsidRPr="009C4154" w:rsidRDefault="009C4154" w:rsidP="009C4154">
      <w:pPr>
        <w:widowControl/>
        <w:pBdr>
          <w:top w:val="nil"/>
          <w:left w:val="nil"/>
          <w:bottom w:val="nil"/>
          <w:right w:val="nil"/>
          <w:between w:val="nil"/>
        </w:pBdr>
        <w:spacing w:after="240"/>
        <w:jc w:val="both"/>
        <w:rPr>
          <w:color w:val="000000"/>
          <w:sz w:val="24"/>
          <w:szCs w:val="24"/>
        </w:rPr>
      </w:pPr>
      <w:r>
        <w:rPr>
          <w:color w:val="000000"/>
          <w:sz w:val="24"/>
          <w:szCs w:val="24"/>
        </w:rPr>
        <w:t xml:space="preserve">The findings showed that collaborative instructional strategy had a positively strong significant association student motivation in public Junior schools in Garissa Township Sub- County (p&lt;0.01; </w:t>
      </w:r>
      <w:r>
        <w:rPr>
          <w:sz w:val="24"/>
          <w:szCs w:val="24"/>
        </w:rPr>
        <w:t>r = 0.675</w:t>
      </w:r>
      <w:r>
        <w:rPr>
          <w:color w:val="000000"/>
          <w:sz w:val="24"/>
          <w:szCs w:val="24"/>
        </w:rPr>
        <w:t>). In the results, the Pearson correlation coefficient (</w:t>
      </w:r>
      <w:r>
        <w:rPr>
          <w:sz w:val="24"/>
          <w:szCs w:val="24"/>
        </w:rPr>
        <w:t xml:space="preserve">r) of 0.675 was greater than 0.6 to mean strong association. </w:t>
      </w:r>
      <w:r>
        <w:rPr>
          <w:color w:val="000000"/>
          <w:sz w:val="24"/>
          <w:szCs w:val="24"/>
        </w:rPr>
        <w:t>Given that the probability value (p-value) of 0.000 (p&lt;0.01) was less than 0.05, the null hypothesis was rejected to mean that collaborative instructional strategy has a positively strong significant effect on student motivation in public Junior schools in Garissa Township Sub- Count</w:t>
      </w:r>
      <w:r>
        <w:rPr>
          <w:sz w:val="24"/>
          <w:szCs w:val="24"/>
        </w:rPr>
        <w:t>y</w:t>
      </w:r>
      <w:r>
        <w:rPr>
          <w:color w:val="000000"/>
          <w:sz w:val="24"/>
          <w:szCs w:val="24"/>
        </w:rPr>
        <w:t xml:space="preserve"> These findings suggest that students’ motivation tends to increase when collaborative teaching strategies such as engagement in group activities, teamwork, student leadership within groups, and sharing ideas are used.  </w:t>
      </w:r>
      <w:r>
        <w:rPr>
          <w:sz w:val="24"/>
          <w:szCs w:val="24"/>
        </w:rPr>
        <w:t>From students, again all students surveyed confirmed that their teachers employed a collaborative instructional strategy in the classroom. To further understand their experience, students were asked to rate their level of satisfaction with the use of this method. The results are presented below.</w:t>
      </w:r>
    </w:p>
    <w:p w14:paraId="4CB556DA" w14:textId="77777777" w:rsidR="00891A7D" w:rsidRDefault="00CE0344">
      <w:pPr>
        <w:widowControl/>
        <w:pBdr>
          <w:top w:val="nil"/>
          <w:left w:val="nil"/>
          <w:bottom w:val="nil"/>
          <w:right w:val="nil"/>
          <w:between w:val="nil"/>
        </w:pBdr>
        <w:spacing w:after="240"/>
        <w:jc w:val="both"/>
        <w:rPr>
          <w:color w:val="000000"/>
          <w:sz w:val="24"/>
          <w:szCs w:val="24"/>
        </w:rPr>
      </w:pPr>
      <w:bookmarkStart w:id="6" w:name="_692jm98qgdj2" w:colFirst="0" w:colLast="0"/>
      <w:bookmarkEnd w:id="6"/>
      <w:r>
        <w:rPr>
          <w:color w:val="000000"/>
          <w:sz w:val="24"/>
          <w:szCs w:val="24"/>
        </w:rPr>
        <w:t>Overall, the findings show that collaborative instructional strategies are well-received and effective in enhancing student motivation and engagemen</w:t>
      </w:r>
      <w:r>
        <w:rPr>
          <w:color w:val="000000"/>
          <w:sz w:val="24"/>
          <w:szCs w:val="24"/>
        </w:rPr>
        <w:t>t in the classroom. The high levels of satisfaction suggest that when well-implemented, collaborative methods can foster a more interactive and student-centered learning environment. However, the small percentage of less satisfied students indicates a need</w:t>
      </w:r>
      <w:r>
        <w:rPr>
          <w:color w:val="000000"/>
          <w:sz w:val="24"/>
          <w:szCs w:val="24"/>
        </w:rPr>
        <w:t xml:space="preserve"> for continued support and refinement in group management and inclusion strategies to ensure that all learners benefit equally.</w:t>
      </w:r>
    </w:p>
    <w:p w14:paraId="63D1C3DB" w14:textId="77777777" w:rsidR="00891A7D" w:rsidRDefault="00CE0344">
      <w:pPr>
        <w:tabs>
          <w:tab w:val="left" w:pos="720"/>
        </w:tabs>
        <w:jc w:val="both"/>
        <w:rPr>
          <w:sz w:val="24"/>
          <w:szCs w:val="24"/>
        </w:rPr>
      </w:pPr>
      <w:bookmarkStart w:id="7" w:name="_66nuyuodit9i" w:colFirst="0" w:colLast="0"/>
      <w:bookmarkEnd w:id="7"/>
      <w:r>
        <w:rPr>
          <w:sz w:val="24"/>
          <w:szCs w:val="24"/>
        </w:rPr>
        <w:t xml:space="preserve">From the interview schedule, headteachers were asked </w:t>
      </w:r>
      <w:r>
        <w:rPr>
          <w:color w:val="000000"/>
          <w:sz w:val="24"/>
          <w:szCs w:val="24"/>
        </w:rPr>
        <w:t xml:space="preserve">to what extent do teachers utilize innovative teaching methods to motivate </w:t>
      </w:r>
      <w:r>
        <w:rPr>
          <w:color w:val="000000"/>
          <w:sz w:val="24"/>
          <w:szCs w:val="24"/>
        </w:rPr>
        <w:t>students</w:t>
      </w:r>
      <w:r>
        <w:rPr>
          <w:sz w:val="24"/>
          <w:szCs w:val="24"/>
        </w:rPr>
        <w:t xml:space="preserve">. Three headteachers responded that among other </w:t>
      </w:r>
      <w:r>
        <w:rPr>
          <w:color w:val="000000"/>
          <w:sz w:val="24"/>
          <w:szCs w:val="24"/>
        </w:rPr>
        <w:t xml:space="preserve">innovative teaching methods </w:t>
      </w:r>
      <w:r>
        <w:rPr>
          <w:sz w:val="24"/>
          <w:szCs w:val="24"/>
        </w:rPr>
        <w:t>in their schools, teachers are encouraged to use group work and project-based learning. Some are very innovative, assigning leadership roles to students and promoting teamw</w:t>
      </w:r>
      <w:r>
        <w:rPr>
          <w:sz w:val="24"/>
          <w:szCs w:val="24"/>
        </w:rPr>
        <w:t xml:space="preserve">ork, which seems to boost student motivation. Also, according to two headteachers, some teachers use collaborative instruction innovatively such as peer teaching and debate circles to motivate learners. However, others lack adequate training or confidence </w:t>
      </w:r>
      <w:r>
        <w:rPr>
          <w:sz w:val="24"/>
          <w:szCs w:val="24"/>
        </w:rPr>
        <w:t>to fully integrate these methods into their teaching. One headteacher offered that "Teachers encourage students to work in pairs or small groups to solve problems or complete tasks. This has helped weaker learners gain support from peers, which motivates t</w:t>
      </w:r>
      <w:r>
        <w:rPr>
          <w:sz w:val="24"/>
          <w:szCs w:val="24"/>
        </w:rPr>
        <w:t>hem to stay engaged and try harder. It also strengthens social bonds in the classroom." For the other headteacher, the response was that "We’ve noticed that students who are usually quiet tend to participate more when they are part of a group. Teachers use</w:t>
      </w:r>
      <w:r>
        <w:rPr>
          <w:sz w:val="24"/>
          <w:szCs w:val="24"/>
        </w:rPr>
        <w:t xml:space="preserve"> group roles to make sure everyone contributes. This inclusive approach keeps students involved and excited about learning." </w:t>
      </w:r>
    </w:p>
    <w:p w14:paraId="4947B741" w14:textId="6979E882" w:rsidR="00CD1618" w:rsidRPr="000D4116" w:rsidRDefault="007F06B0">
      <w:pPr>
        <w:tabs>
          <w:tab w:val="left" w:pos="720"/>
        </w:tabs>
        <w:jc w:val="both"/>
        <w:rPr>
          <w:b/>
          <w:bCs/>
          <w:sz w:val="24"/>
          <w:szCs w:val="24"/>
        </w:rPr>
      </w:pPr>
      <w:r w:rsidRPr="000D4116">
        <w:rPr>
          <w:b/>
          <w:bCs/>
          <w:sz w:val="24"/>
          <w:szCs w:val="24"/>
        </w:rPr>
        <w:lastRenderedPageBreak/>
        <w:t>DISCUSSION OF FINDINGS</w:t>
      </w:r>
    </w:p>
    <w:p w14:paraId="469F3A51" w14:textId="77777777" w:rsidR="007F06B0" w:rsidRPr="007F06B0" w:rsidRDefault="007F06B0" w:rsidP="007F06B0">
      <w:pPr>
        <w:tabs>
          <w:tab w:val="left" w:pos="720"/>
        </w:tabs>
        <w:jc w:val="both"/>
        <w:rPr>
          <w:sz w:val="24"/>
          <w:szCs w:val="24"/>
        </w:rPr>
      </w:pPr>
      <w:r w:rsidRPr="007F06B0">
        <w:rPr>
          <w:sz w:val="24"/>
          <w:szCs w:val="24"/>
        </w:rPr>
        <w:t>The study established a positive and statistically significant correlation between cooperative instructional strategies and students' motivation in Garissa Township Sub-County public junior schools (r = 0.675, p &lt; 0.01). The Pearson correlation coefficient (r = 0.675) indicates a strong correlation, and the p-value of 0.000 corroborates statistical significance. The null hypothesis was thus rejected, indicating that cooperative instructional strategies significantly influence students' motivation. This finding aligns with Johnson et al.'s (2014) argument that cooperative learning, through which students learn in small groups, work on problems together, share ideas, and reflect together, is effective for building engagement and motivation. The use of peer review and teacher mentoring, as Johnson et al. advocate, finds resonance in the activities as explained by headteachers and students in this study. such as group work, teaching one another, and shared leadership.</w:t>
      </w:r>
    </w:p>
    <w:p w14:paraId="658D22F9" w14:textId="77777777" w:rsidR="007F06B0" w:rsidRPr="007F06B0" w:rsidRDefault="007F06B0" w:rsidP="007F06B0">
      <w:pPr>
        <w:tabs>
          <w:tab w:val="left" w:pos="720"/>
        </w:tabs>
        <w:jc w:val="both"/>
        <w:rPr>
          <w:sz w:val="24"/>
          <w:szCs w:val="24"/>
        </w:rPr>
      </w:pPr>
      <w:r w:rsidRPr="007F06B0">
        <w:rPr>
          <w:sz w:val="24"/>
          <w:szCs w:val="24"/>
        </w:rPr>
        <w:t xml:space="preserve">All the interviewed students acknowledged that their teachers use cooperative strategies on a regular basis. Furthermore, the majority of them were very satisfied, indicating that these kinds of strategies bring about a sense of belonging, involvement, and ownership of learning. These findings are complemented by </w:t>
      </w:r>
      <w:proofErr w:type="spellStart"/>
      <w:r w:rsidRPr="007F06B0">
        <w:rPr>
          <w:sz w:val="24"/>
          <w:szCs w:val="24"/>
        </w:rPr>
        <w:t>Mumo</w:t>
      </w:r>
      <w:proofErr w:type="spellEnd"/>
      <w:r w:rsidRPr="007F06B0">
        <w:rPr>
          <w:sz w:val="24"/>
          <w:szCs w:val="24"/>
        </w:rPr>
        <w:t xml:space="preserve">, </w:t>
      </w:r>
      <w:proofErr w:type="spellStart"/>
      <w:r w:rsidRPr="007F06B0">
        <w:rPr>
          <w:sz w:val="24"/>
          <w:szCs w:val="24"/>
        </w:rPr>
        <w:t>Kadenyi</w:t>
      </w:r>
      <w:proofErr w:type="spellEnd"/>
      <w:r w:rsidRPr="007F06B0">
        <w:rPr>
          <w:sz w:val="24"/>
          <w:szCs w:val="24"/>
        </w:rPr>
        <w:t xml:space="preserve">, and </w:t>
      </w:r>
      <w:proofErr w:type="spellStart"/>
      <w:r w:rsidRPr="007F06B0">
        <w:rPr>
          <w:sz w:val="24"/>
          <w:szCs w:val="24"/>
        </w:rPr>
        <w:t>Kiboss</w:t>
      </w:r>
      <w:proofErr w:type="spellEnd"/>
      <w:r w:rsidRPr="007F06B0">
        <w:rPr>
          <w:sz w:val="24"/>
          <w:szCs w:val="24"/>
        </w:rPr>
        <w:t xml:space="preserve"> (2015), who emphasize that cooperative teaching not only raises academic performance but also interpersonal and social growth. The fewer students in the lower satisfaction speak to the necessity for greater group handling that is more democratic and participatory inclusion methods. This suggests that while collective approaches tend to work overall, their implementation must be carefully planned and facilitated to serve the interests of all learners, especially those most likely to be marginalized or drowned out within groups. Headteacher interviews validated students' experiences. Headteachers indicated that cooperative strategies such as group projects, peer teaching, debating, and assigning leadership roles are being implemented by teachers within their schools. These strategies are noted to promote motivation, particularly for quiet or weaker learners, since they are guided and encouraged by peers. A challenge commonly mentioned, however, is that not all teachers are equally trained or confident in implementing collaborative strategies effectively. This is a critical observation and brings up the need for particular professional development to build teacher capacity in classroom management, differentiation, and group facilitation, which resonates with research conducted by </w:t>
      </w:r>
      <w:proofErr w:type="spellStart"/>
      <w:r w:rsidRPr="007F06B0">
        <w:rPr>
          <w:sz w:val="24"/>
          <w:szCs w:val="24"/>
        </w:rPr>
        <w:t>Mumo</w:t>
      </w:r>
      <w:proofErr w:type="spellEnd"/>
      <w:r w:rsidRPr="007F06B0">
        <w:rPr>
          <w:sz w:val="24"/>
          <w:szCs w:val="24"/>
        </w:rPr>
        <w:t xml:space="preserve"> et al. (2015).</w:t>
      </w:r>
    </w:p>
    <w:p w14:paraId="3BB77E56" w14:textId="72838A5D" w:rsidR="00CD1618" w:rsidRDefault="007F06B0" w:rsidP="007F06B0">
      <w:pPr>
        <w:tabs>
          <w:tab w:val="left" w:pos="720"/>
        </w:tabs>
        <w:jc w:val="both"/>
        <w:rPr>
          <w:sz w:val="24"/>
          <w:szCs w:val="24"/>
        </w:rPr>
      </w:pPr>
      <w:r w:rsidRPr="007F06B0">
        <w:rPr>
          <w:sz w:val="24"/>
          <w:szCs w:val="24"/>
        </w:rPr>
        <w:t xml:space="preserve">Research by Bergmann (2012) and Lage et al. (2000) adds another layer of applicability to collaborative learning by tying it to flipped classroom models, where content transmission occurs outside of class (e.g., through video), and classroom time is reserved for interactive, collaborative learning. While not directly referenced by participants in this study, the model offers a complementary avenue to increased classroom engagement through guided collaborative activities. Moreover, these models suggest that by appropriate scaffolding and facilitation on the part of instructors, learners can engage more meaningfully with material, corroborating the current study's finding that collaboration enhances cognitive along with motivational results. In this manner, the findings strongly support the argument that cooperative learning techniques are effective tools for enhancing student motivation in junior secondary school classrooms. The supportive student reactions, combined with headteacher perceptions and support from prior empirical studies, carry the implication that when properly implemented, collaborative learning can make the classroom environment more active, student-centered, and inclusive. But successful implementation relies on teacher training, ongoing instructional support, and a deliberate focus on group dynamics and inclusivity to ensure that all students benefit equally from it. Future interventions and policies should thus not only be targeted at encouraging the uptake of </w:t>
      </w:r>
      <w:r w:rsidRPr="007F06B0">
        <w:rPr>
          <w:sz w:val="24"/>
          <w:szCs w:val="24"/>
        </w:rPr>
        <w:lastRenderedPageBreak/>
        <w:t>collaborative strategies but also at equipping teachers with the skills and confidence to implement them effectively.</w:t>
      </w:r>
    </w:p>
    <w:p w14:paraId="0153A086" w14:textId="77777777" w:rsidR="00891A7D" w:rsidRDefault="00891A7D">
      <w:pPr>
        <w:pBdr>
          <w:top w:val="nil"/>
          <w:left w:val="nil"/>
          <w:bottom w:val="nil"/>
          <w:right w:val="nil"/>
          <w:between w:val="nil"/>
        </w:pBdr>
        <w:spacing w:before="1"/>
        <w:jc w:val="both"/>
        <w:rPr>
          <w:color w:val="000000"/>
          <w:sz w:val="24"/>
          <w:szCs w:val="24"/>
        </w:rPr>
      </w:pPr>
    </w:p>
    <w:p w14:paraId="0041E0BE" w14:textId="77777777" w:rsidR="00891A7D" w:rsidRDefault="00CE0344">
      <w:pPr>
        <w:pBdr>
          <w:top w:val="nil"/>
          <w:left w:val="nil"/>
          <w:bottom w:val="nil"/>
          <w:right w:val="nil"/>
          <w:between w:val="nil"/>
        </w:pBdr>
        <w:spacing w:before="1"/>
        <w:jc w:val="both"/>
        <w:rPr>
          <w:b/>
          <w:sz w:val="24"/>
          <w:szCs w:val="24"/>
        </w:rPr>
      </w:pPr>
      <w:r>
        <w:rPr>
          <w:b/>
          <w:sz w:val="24"/>
          <w:szCs w:val="24"/>
        </w:rPr>
        <w:t>CONCLUSION</w:t>
      </w:r>
    </w:p>
    <w:p w14:paraId="272CC462" w14:textId="48DECB21" w:rsidR="00891A7D" w:rsidRDefault="000D4116" w:rsidP="000D4116">
      <w:pPr>
        <w:pBdr>
          <w:top w:val="nil"/>
          <w:left w:val="nil"/>
          <w:bottom w:val="nil"/>
          <w:right w:val="nil"/>
          <w:between w:val="nil"/>
        </w:pBdr>
        <w:spacing w:before="1"/>
        <w:jc w:val="both"/>
        <w:rPr>
          <w:sz w:val="24"/>
          <w:szCs w:val="24"/>
        </w:rPr>
      </w:pPr>
      <w:r>
        <w:rPr>
          <w:color w:val="000000"/>
          <w:sz w:val="24"/>
          <w:szCs w:val="24"/>
        </w:rPr>
        <w:t>The study concludes collaborative instructional strategy has a positively strong significant effect on student motivation in public Junior schools in Garissa Township Sub- Count</w:t>
      </w:r>
      <w:r>
        <w:rPr>
          <w:sz w:val="24"/>
          <w:szCs w:val="24"/>
        </w:rPr>
        <w:t xml:space="preserve">y </w:t>
      </w:r>
      <w:r>
        <w:rPr>
          <w:color w:val="000000"/>
          <w:sz w:val="24"/>
          <w:szCs w:val="24"/>
        </w:rPr>
        <w:t xml:space="preserve">(p&lt;0.01; </w:t>
      </w:r>
      <w:r>
        <w:rPr>
          <w:sz w:val="24"/>
          <w:szCs w:val="24"/>
        </w:rPr>
        <w:t>r = 0.675</w:t>
      </w:r>
      <w:r>
        <w:rPr>
          <w:color w:val="000000"/>
          <w:sz w:val="24"/>
          <w:szCs w:val="24"/>
        </w:rPr>
        <w:t>).</w:t>
      </w:r>
      <w:r>
        <w:rPr>
          <w:b/>
          <w:sz w:val="24"/>
          <w:szCs w:val="24"/>
        </w:rPr>
        <w:t xml:space="preserve"> </w:t>
      </w:r>
      <w:r>
        <w:rPr>
          <w:sz w:val="24"/>
          <w:szCs w:val="24"/>
        </w:rPr>
        <w:t>This suggests that when collaborative methods are effectively applied, they contribute positively to students' enthusiasm and engagement in learning. The study revealed that collaborative instructional strategies are moderately implemented in public junior schools within Garissa Township Sub- County.  Survey responses confirmed that collaborative strategies are present in classrooms, with 85% of students viewing them positively. Headteachers further supported these findings, noting the use of innovative group-based techniques such as peer teaching, debate circles, and project-based learning. However, the interviews also highlighted challenges, including insufficient training and a lack of confidence among some teachers in fully implementing collaborative strategies. In conclusion, while collaborative instructional strategies have a measurable and positive influence on student motivation, their implementation in public junior schools within the sub-county remains inconsistent. Strengthening teacher capacity and creating more structured opportunities for student collaboration can significantly enhance motivation and academic outcomes.</w:t>
      </w:r>
    </w:p>
    <w:p w14:paraId="7B76B592" w14:textId="77777777" w:rsidR="00891A7D" w:rsidRDefault="00CE0344">
      <w:pPr>
        <w:jc w:val="both"/>
        <w:rPr>
          <w:sz w:val="24"/>
          <w:szCs w:val="24"/>
        </w:rPr>
      </w:pPr>
      <w:r>
        <w:rPr>
          <w:sz w:val="24"/>
          <w:szCs w:val="24"/>
        </w:rPr>
        <w:t xml:space="preserve">. </w:t>
      </w:r>
    </w:p>
    <w:p w14:paraId="1420974E" w14:textId="77777777" w:rsidR="00891A7D" w:rsidRDefault="00891A7D">
      <w:pPr>
        <w:pBdr>
          <w:top w:val="nil"/>
          <w:left w:val="nil"/>
          <w:bottom w:val="nil"/>
          <w:right w:val="nil"/>
          <w:between w:val="nil"/>
        </w:pBdr>
        <w:spacing w:before="1"/>
        <w:jc w:val="both"/>
        <w:rPr>
          <w:color w:val="000000"/>
          <w:sz w:val="24"/>
          <w:szCs w:val="24"/>
        </w:rPr>
      </w:pPr>
    </w:p>
    <w:p w14:paraId="41594927" w14:textId="77777777" w:rsidR="00891A7D" w:rsidRDefault="00CE0344">
      <w:pPr>
        <w:pBdr>
          <w:top w:val="nil"/>
          <w:left w:val="nil"/>
          <w:bottom w:val="nil"/>
          <w:right w:val="nil"/>
          <w:between w:val="nil"/>
        </w:pBdr>
        <w:spacing w:before="1"/>
        <w:jc w:val="both"/>
        <w:rPr>
          <w:b/>
          <w:sz w:val="24"/>
          <w:szCs w:val="24"/>
        </w:rPr>
      </w:pPr>
      <w:r>
        <w:rPr>
          <w:b/>
          <w:sz w:val="24"/>
          <w:szCs w:val="24"/>
        </w:rPr>
        <w:t>RECOMMENDATIONS</w:t>
      </w:r>
    </w:p>
    <w:p w14:paraId="19583164" w14:textId="77777777" w:rsidR="00891A7D" w:rsidRDefault="00891A7D">
      <w:pPr>
        <w:pBdr>
          <w:top w:val="nil"/>
          <w:left w:val="nil"/>
          <w:bottom w:val="nil"/>
          <w:right w:val="nil"/>
          <w:between w:val="nil"/>
        </w:pBdr>
        <w:spacing w:before="1"/>
        <w:jc w:val="both"/>
        <w:rPr>
          <w:b/>
          <w:sz w:val="24"/>
          <w:szCs w:val="24"/>
        </w:rPr>
      </w:pPr>
    </w:p>
    <w:p w14:paraId="372A5F6F" w14:textId="26239EFC" w:rsidR="00891A7D" w:rsidRPr="000D4116" w:rsidRDefault="00CE0344">
      <w:pPr>
        <w:jc w:val="both"/>
        <w:rPr>
          <w:sz w:val="24"/>
          <w:szCs w:val="24"/>
        </w:rPr>
      </w:pPr>
      <w:r>
        <w:rPr>
          <w:sz w:val="24"/>
          <w:szCs w:val="24"/>
        </w:rPr>
        <w:t>Based on the findings regarding the implementation and impact of collaborative i</w:t>
      </w:r>
      <w:r>
        <w:rPr>
          <w:sz w:val="24"/>
          <w:szCs w:val="24"/>
        </w:rPr>
        <w:t>nstructional strategies on student motivation in public junior schools within Garissa Township Sub-County, the study recommends that the Ministry of Education and school administrators should organize continuous professional development programs focusing o</w:t>
      </w:r>
      <w:r>
        <w:rPr>
          <w:sz w:val="24"/>
          <w:szCs w:val="24"/>
        </w:rPr>
        <w:t xml:space="preserve">n collaborative teaching strategies. Training should cover effective group work facilitation, peer teaching, leadership development, and conflict resolution within teams. Teachers should also be supported to design well-structured collaborative tasks that </w:t>
      </w:r>
      <w:r>
        <w:rPr>
          <w:sz w:val="24"/>
          <w:szCs w:val="24"/>
        </w:rPr>
        <w:t>assign clear roles, promote leadership, and ensure active participation from all students. This can help develop teamwork skills and build learner confidence in peer interactions.</w:t>
      </w:r>
    </w:p>
    <w:p w14:paraId="6F9BECA7" w14:textId="77777777" w:rsidR="00891A7D" w:rsidRDefault="00CE0344">
      <w:pPr>
        <w:jc w:val="both"/>
        <w:rPr>
          <w:b/>
          <w:sz w:val="24"/>
          <w:szCs w:val="24"/>
        </w:rPr>
      </w:pPr>
      <w:r>
        <w:rPr>
          <w:b/>
          <w:sz w:val="24"/>
          <w:szCs w:val="24"/>
        </w:rPr>
        <w:t>REFERENCES</w:t>
      </w:r>
    </w:p>
    <w:p w14:paraId="4BD2BFDF"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Adedeji, S. O., &amp; Olaniyan, O. (2011). Challenges of quality educ</w:t>
      </w:r>
      <w:r>
        <w:rPr>
          <w:color w:val="000000"/>
          <w:sz w:val="24"/>
          <w:szCs w:val="24"/>
        </w:rPr>
        <w:t>ation in sub-Saharan Africa.</w:t>
      </w:r>
      <w:r>
        <w:rPr>
          <w:color w:val="000000"/>
          <w:sz w:val="24"/>
          <w:szCs w:val="24"/>
        </w:rPr>
        <w:tab/>
      </w:r>
      <w:r>
        <w:rPr>
          <w:i/>
          <w:color w:val="000000"/>
          <w:sz w:val="24"/>
          <w:szCs w:val="24"/>
        </w:rPr>
        <w:t>International Journal of Educational Development, 31</w:t>
      </w:r>
      <w:r>
        <w:rPr>
          <w:color w:val="000000"/>
          <w:sz w:val="24"/>
          <w:szCs w:val="24"/>
        </w:rPr>
        <w:t>(5), 516-524.</w:t>
      </w:r>
    </w:p>
    <w:p w14:paraId="6F17BBEE"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African Union. (2016). </w:t>
      </w:r>
      <w:r>
        <w:rPr>
          <w:i/>
          <w:color w:val="000000"/>
          <w:sz w:val="24"/>
          <w:szCs w:val="24"/>
        </w:rPr>
        <w:t>Continental Education Strategy for Africa 2016-2025</w:t>
      </w:r>
      <w:r>
        <w:rPr>
          <w:color w:val="000000"/>
          <w:sz w:val="24"/>
          <w:szCs w:val="24"/>
        </w:rPr>
        <w:t>. African Union.</w:t>
      </w:r>
    </w:p>
    <w:p w14:paraId="7C918534"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Armstrong, T. (2009). </w:t>
      </w:r>
      <w:r>
        <w:rPr>
          <w:i/>
          <w:color w:val="000000"/>
          <w:sz w:val="24"/>
          <w:szCs w:val="24"/>
        </w:rPr>
        <w:t>Multiple Intelligences in the Classroom</w:t>
      </w:r>
      <w:r>
        <w:rPr>
          <w:color w:val="000000"/>
          <w:sz w:val="24"/>
          <w:szCs w:val="24"/>
        </w:rPr>
        <w:t>. ASCD.</w:t>
      </w:r>
    </w:p>
    <w:p w14:paraId="75B023E2"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B</w:t>
      </w:r>
      <w:r>
        <w:rPr>
          <w:color w:val="000000"/>
          <w:sz w:val="24"/>
          <w:szCs w:val="24"/>
        </w:rPr>
        <w:t xml:space="preserve">aker, L. (2005). Metacognition and reading comprehension. In D. Pearson, P. </w:t>
      </w:r>
      <w:proofErr w:type="spellStart"/>
      <w:r>
        <w:rPr>
          <w:color w:val="000000"/>
          <w:sz w:val="24"/>
          <w:szCs w:val="24"/>
        </w:rPr>
        <w:t>Afflerbach</w:t>
      </w:r>
      <w:proofErr w:type="spellEnd"/>
      <w:r>
        <w:rPr>
          <w:color w:val="000000"/>
          <w:sz w:val="24"/>
          <w:szCs w:val="24"/>
        </w:rPr>
        <w:t xml:space="preserve">, &amp; P. </w:t>
      </w:r>
    </w:p>
    <w:p w14:paraId="015D8905"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Bakhshandeh</w:t>
      </w:r>
      <w:proofErr w:type="spellEnd"/>
      <w:r>
        <w:rPr>
          <w:color w:val="000000"/>
          <w:sz w:val="24"/>
          <w:szCs w:val="24"/>
        </w:rPr>
        <w:t xml:space="preserve">, B. M., Hakim, A., </w:t>
      </w:r>
      <w:proofErr w:type="spellStart"/>
      <w:r>
        <w:rPr>
          <w:color w:val="000000"/>
          <w:sz w:val="24"/>
          <w:szCs w:val="24"/>
        </w:rPr>
        <w:t>Azimi</w:t>
      </w:r>
      <w:proofErr w:type="spellEnd"/>
      <w:r>
        <w:rPr>
          <w:color w:val="000000"/>
          <w:sz w:val="24"/>
          <w:szCs w:val="24"/>
        </w:rPr>
        <w:t xml:space="preserve">, N., </w:t>
      </w:r>
      <w:proofErr w:type="spellStart"/>
      <w:r>
        <w:rPr>
          <w:color w:val="000000"/>
          <w:sz w:val="24"/>
          <w:szCs w:val="24"/>
        </w:rPr>
        <w:t>Latifi</w:t>
      </w:r>
      <w:proofErr w:type="spellEnd"/>
      <w:r>
        <w:rPr>
          <w:color w:val="000000"/>
          <w:sz w:val="24"/>
          <w:szCs w:val="24"/>
        </w:rPr>
        <w:t xml:space="preserve">, M., &amp; </w:t>
      </w:r>
      <w:proofErr w:type="spellStart"/>
      <w:r>
        <w:rPr>
          <w:color w:val="000000"/>
          <w:sz w:val="24"/>
          <w:szCs w:val="24"/>
        </w:rPr>
        <w:t>Ghalvandi</w:t>
      </w:r>
      <w:proofErr w:type="spellEnd"/>
      <w:r>
        <w:rPr>
          <w:color w:val="000000"/>
          <w:sz w:val="24"/>
          <w:szCs w:val="24"/>
        </w:rPr>
        <w:t>, H. (2015). Nursing</w:t>
      </w:r>
      <w:r>
        <w:rPr>
          <w:color w:val="000000"/>
          <w:sz w:val="24"/>
          <w:szCs w:val="24"/>
        </w:rPr>
        <w:tab/>
      </w:r>
      <w:proofErr w:type="gramStart"/>
      <w:r>
        <w:rPr>
          <w:color w:val="000000"/>
          <w:sz w:val="24"/>
          <w:szCs w:val="24"/>
        </w:rPr>
        <w:t>students</w:t>
      </w:r>
      <w:proofErr w:type="gramEnd"/>
      <w:r>
        <w:rPr>
          <w:color w:val="000000"/>
          <w:sz w:val="24"/>
          <w:szCs w:val="24"/>
        </w:rPr>
        <w:t xml:space="preserve"> viewpoints about educational motivation and its related factors in </w:t>
      </w:r>
      <w:r>
        <w:rPr>
          <w:color w:val="000000"/>
          <w:sz w:val="24"/>
          <w:szCs w:val="24"/>
        </w:rPr>
        <w:t>Ahvaz</w:t>
      </w:r>
      <w:r>
        <w:rPr>
          <w:color w:val="000000"/>
          <w:sz w:val="24"/>
          <w:szCs w:val="24"/>
        </w:rPr>
        <w:tab/>
      </w:r>
      <w:proofErr w:type="spellStart"/>
      <w:r>
        <w:rPr>
          <w:color w:val="000000"/>
          <w:sz w:val="24"/>
          <w:szCs w:val="24"/>
        </w:rPr>
        <w:t>Jundishapur</w:t>
      </w:r>
      <w:proofErr w:type="spellEnd"/>
      <w:r>
        <w:rPr>
          <w:color w:val="000000"/>
          <w:sz w:val="24"/>
          <w:szCs w:val="24"/>
        </w:rPr>
        <w:t xml:space="preserve"> University of Medical Sciences. </w:t>
      </w:r>
      <w:r>
        <w:rPr>
          <w:i/>
          <w:color w:val="000000"/>
          <w:sz w:val="24"/>
          <w:szCs w:val="24"/>
        </w:rPr>
        <w:t>Research in Medical Education, 7</w:t>
      </w:r>
      <w:r>
        <w:rPr>
          <w:color w:val="000000"/>
          <w:sz w:val="24"/>
          <w:szCs w:val="24"/>
        </w:rPr>
        <w:t>, 35-44.</w:t>
      </w:r>
    </w:p>
    <w:p w14:paraId="7C5E384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Bandura, A. (1997). </w:t>
      </w:r>
      <w:r>
        <w:rPr>
          <w:i/>
          <w:color w:val="000000"/>
          <w:sz w:val="24"/>
          <w:szCs w:val="24"/>
        </w:rPr>
        <w:t>Self-efficacy: The Exercise of Control</w:t>
      </w:r>
      <w:r>
        <w:rPr>
          <w:color w:val="000000"/>
          <w:sz w:val="24"/>
          <w:szCs w:val="24"/>
        </w:rPr>
        <w:t>. Freeman.</w:t>
      </w:r>
    </w:p>
    <w:p w14:paraId="45A266EB"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Beers, S. Z. (2011). </w:t>
      </w:r>
      <w:r>
        <w:rPr>
          <w:i/>
          <w:color w:val="000000"/>
          <w:sz w:val="24"/>
          <w:szCs w:val="24"/>
        </w:rPr>
        <w:t>21st Century Skills: Preparing Students for Their Future</w:t>
      </w:r>
      <w:r>
        <w:rPr>
          <w:color w:val="000000"/>
          <w:sz w:val="24"/>
          <w:szCs w:val="24"/>
        </w:rPr>
        <w:t>. National</w:t>
      </w:r>
      <w:r>
        <w:rPr>
          <w:color w:val="000000"/>
          <w:sz w:val="24"/>
          <w:szCs w:val="24"/>
        </w:rPr>
        <w:tab/>
      </w:r>
      <w:r>
        <w:rPr>
          <w:color w:val="000000"/>
          <w:sz w:val="24"/>
          <w:szCs w:val="24"/>
        </w:rPr>
        <w:t>Academies Press.</w:t>
      </w:r>
    </w:p>
    <w:p w14:paraId="02532A4E"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Bergmann, J., &amp; </w:t>
      </w:r>
      <w:proofErr w:type="spellStart"/>
      <w:r>
        <w:rPr>
          <w:color w:val="000000"/>
          <w:sz w:val="24"/>
          <w:szCs w:val="24"/>
        </w:rPr>
        <w:t>Sams</w:t>
      </w:r>
      <w:proofErr w:type="spellEnd"/>
      <w:r>
        <w:rPr>
          <w:color w:val="000000"/>
          <w:sz w:val="24"/>
          <w:szCs w:val="24"/>
        </w:rPr>
        <w:t xml:space="preserve">, A. (2012). </w:t>
      </w:r>
      <w:r>
        <w:rPr>
          <w:i/>
          <w:color w:val="000000"/>
          <w:sz w:val="24"/>
          <w:szCs w:val="24"/>
        </w:rPr>
        <w:t>Flip Your Classroom: Reach Every Student in Every Class</w:t>
      </w:r>
      <w:r>
        <w:rPr>
          <w:i/>
          <w:color w:val="000000"/>
          <w:sz w:val="24"/>
          <w:szCs w:val="24"/>
        </w:rPr>
        <w:tab/>
        <w:t>Every Day</w:t>
      </w:r>
      <w:r>
        <w:rPr>
          <w:color w:val="000000"/>
          <w:sz w:val="24"/>
          <w:szCs w:val="24"/>
        </w:rPr>
        <w:t>. International Society for Technology in Education.</w:t>
      </w:r>
    </w:p>
    <w:p w14:paraId="4B8A992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lastRenderedPageBreak/>
        <w:t xml:space="preserve">Bill &amp; Melinda Gates Foundation. (2013). </w:t>
      </w:r>
      <w:r>
        <w:rPr>
          <w:i/>
          <w:color w:val="000000"/>
          <w:sz w:val="24"/>
          <w:szCs w:val="24"/>
        </w:rPr>
        <w:t>The Effectiveness of Blended Learning: A Review</w:t>
      </w:r>
      <w:r>
        <w:rPr>
          <w:i/>
          <w:color w:val="000000"/>
          <w:sz w:val="24"/>
          <w:szCs w:val="24"/>
        </w:rPr>
        <w:t xml:space="preserve"> of</w:t>
      </w:r>
      <w:r>
        <w:rPr>
          <w:i/>
          <w:color w:val="000000"/>
          <w:sz w:val="24"/>
          <w:szCs w:val="24"/>
        </w:rPr>
        <w:tab/>
        <w:t>Research</w:t>
      </w:r>
      <w:r>
        <w:rPr>
          <w:color w:val="000000"/>
          <w:sz w:val="24"/>
          <w:szCs w:val="24"/>
        </w:rPr>
        <w:t>. Bill &amp; Melinda Gates Foundation.</w:t>
      </w:r>
    </w:p>
    <w:p w14:paraId="1F222418"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Chen, L. H., Chang, C. Y., &amp; Liu, Y. C. (2019). Enhancing student motivation through</w:t>
      </w:r>
      <w:r>
        <w:rPr>
          <w:color w:val="000000"/>
          <w:sz w:val="24"/>
          <w:szCs w:val="24"/>
        </w:rPr>
        <w:tab/>
        <w:t xml:space="preserve">technology-enhanced learning environments. </w:t>
      </w:r>
      <w:r>
        <w:rPr>
          <w:i/>
          <w:color w:val="000000"/>
          <w:sz w:val="24"/>
          <w:szCs w:val="24"/>
        </w:rPr>
        <w:t>Educational Technology &amp; Society, 22</w:t>
      </w:r>
      <w:r>
        <w:rPr>
          <w:color w:val="000000"/>
          <w:sz w:val="24"/>
          <w:szCs w:val="24"/>
        </w:rPr>
        <w:t>(4),</w:t>
      </w:r>
      <w:r>
        <w:rPr>
          <w:color w:val="000000"/>
          <w:sz w:val="24"/>
          <w:szCs w:val="24"/>
        </w:rPr>
        <w:tab/>
        <w:t>95-106.</w:t>
      </w:r>
    </w:p>
    <w:p w14:paraId="7BCF7CA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Chen, J., Moran, S., &amp; Gardner, </w:t>
      </w:r>
      <w:r>
        <w:rPr>
          <w:color w:val="000000"/>
          <w:sz w:val="24"/>
          <w:szCs w:val="24"/>
        </w:rPr>
        <w:t xml:space="preserve">H. (2009). </w:t>
      </w:r>
      <w:r>
        <w:rPr>
          <w:i/>
          <w:color w:val="000000"/>
          <w:sz w:val="24"/>
          <w:szCs w:val="24"/>
        </w:rPr>
        <w:t>Multiple Intelligences Around the World</w:t>
      </w:r>
      <w:r>
        <w:rPr>
          <w:color w:val="000000"/>
          <w:sz w:val="24"/>
          <w:szCs w:val="24"/>
        </w:rPr>
        <w:t>. Jossey</w:t>
      </w:r>
      <w:r>
        <w:rPr>
          <w:color w:val="000000"/>
          <w:sz w:val="24"/>
          <w:szCs w:val="24"/>
        </w:rPr>
        <w:tab/>
        <w:t>Bass.</w:t>
      </w:r>
    </w:p>
    <w:p w14:paraId="61EE7EB1"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Chege</w:t>
      </w:r>
      <w:proofErr w:type="spellEnd"/>
      <w:r>
        <w:rPr>
          <w:color w:val="000000"/>
          <w:sz w:val="24"/>
          <w:szCs w:val="24"/>
        </w:rPr>
        <w:t xml:space="preserve">, F. W., &amp; </w:t>
      </w:r>
      <w:proofErr w:type="spellStart"/>
      <w:r>
        <w:rPr>
          <w:color w:val="000000"/>
          <w:sz w:val="24"/>
          <w:szCs w:val="24"/>
        </w:rPr>
        <w:t>Wangia</w:t>
      </w:r>
      <w:proofErr w:type="spellEnd"/>
      <w:r>
        <w:rPr>
          <w:color w:val="000000"/>
          <w:sz w:val="24"/>
          <w:szCs w:val="24"/>
        </w:rPr>
        <w:t>, J. (2016). Teacher-student communication: The impact on student</w:t>
      </w:r>
      <w:r>
        <w:rPr>
          <w:color w:val="000000"/>
          <w:sz w:val="24"/>
          <w:szCs w:val="24"/>
        </w:rPr>
        <w:tab/>
        <w:t xml:space="preserve">motivation in secondary schools in Kenya. </w:t>
      </w:r>
      <w:r>
        <w:rPr>
          <w:i/>
          <w:color w:val="000000"/>
          <w:sz w:val="24"/>
          <w:szCs w:val="24"/>
        </w:rPr>
        <w:t>Journal of Educational Research, 10</w:t>
      </w:r>
      <w:r>
        <w:rPr>
          <w:color w:val="000000"/>
          <w:sz w:val="24"/>
          <w:szCs w:val="24"/>
        </w:rPr>
        <w:t>(2), 45</w:t>
      </w:r>
      <w:r>
        <w:rPr>
          <w:color w:val="000000"/>
          <w:sz w:val="24"/>
          <w:szCs w:val="24"/>
        </w:rPr>
        <w:tab/>
        <w:t>56.</w:t>
      </w:r>
    </w:p>
    <w:p w14:paraId="157F2CBD"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Cordingley</w:t>
      </w:r>
      <w:proofErr w:type="spellEnd"/>
      <w:r>
        <w:rPr>
          <w:color w:val="000000"/>
          <w:sz w:val="24"/>
          <w:szCs w:val="24"/>
        </w:rPr>
        <w:t>, P.</w:t>
      </w:r>
      <w:r>
        <w:rPr>
          <w:color w:val="000000"/>
          <w:sz w:val="24"/>
          <w:szCs w:val="24"/>
        </w:rPr>
        <w:t>, Bell, M., Thomason, S., &amp; Firth, A. (2015). The Impact of Collaborative CPD on</w:t>
      </w:r>
      <w:r>
        <w:rPr>
          <w:color w:val="000000"/>
          <w:sz w:val="24"/>
          <w:szCs w:val="24"/>
        </w:rPr>
        <w:tab/>
        <w:t xml:space="preserve">Classroom Teaching and Learning. </w:t>
      </w:r>
      <w:r>
        <w:rPr>
          <w:i/>
          <w:color w:val="000000"/>
          <w:sz w:val="24"/>
          <w:szCs w:val="24"/>
        </w:rPr>
        <w:t>Review of Educational Research, 85</w:t>
      </w:r>
      <w:r>
        <w:rPr>
          <w:color w:val="000000"/>
          <w:sz w:val="24"/>
          <w:szCs w:val="24"/>
        </w:rPr>
        <w:t>(4), 410-442.</w:t>
      </w:r>
    </w:p>
    <w:p w14:paraId="4AE3F95E"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Creţu</w:t>
      </w:r>
      <w:proofErr w:type="spellEnd"/>
      <w:r>
        <w:rPr>
          <w:color w:val="000000"/>
          <w:sz w:val="24"/>
          <w:szCs w:val="24"/>
        </w:rPr>
        <w:t xml:space="preserve">, D. M. (2015). A model for promoting academic motivation. </w:t>
      </w:r>
      <w:r>
        <w:rPr>
          <w:i/>
          <w:color w:val="000000"/>
          <w:sz w:val="24"/>
          <w:szCs w:val="24"/>
        </w:rPr>
        <w:t>Procedia - Social and</w:t>
      </w:r>
      <w:r>
        <w:rPr>
          <w:i/>
          <w:color w:val="000000"/>
          <w:sz w:val="24"/>
          <w:szCs w:val="24"/>
        </w:rPr>
        <w:tab/>
        <w:t>Behavior</w:t>
      </w:r>
      <w:r>
        <w:rPr>
          <w:i/>
          <w:color w:val="000000"/>
          <w:sz w:val="24"/>
          <w:szCs w:val="24"/>
        </w:rPr>
        <w:t>al Sciences, 180</w:t>
      </w:r>
      <w:r>
        <w:rPr>
          <w:color w:val="000000"/>
          <w:sz w:val="24"/>
          <w:szCs w:val="24"/>
        </w:rPr>
        <w:t>, 751-758.</w:t>
      </w:r>
    </w:p>
    <w:p w14:paraId="26E27985"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Creswell, J. W. (2014). </w:t>
      </w:r>
      <w:r>
        <w:rPr>
          <w:i/>
          <w:color w:val="000000"/>
          <w:sz w:val="24"/>
          <w:szCs w:val="24"/>
        </w:rPr>
        <w:t>Research design: Qualitative, quantitative, and mixed methods</w:t>
      </w:r>
      <w:r>
        <w:rPr>
          <w:i/>
          <w:color w:val="000000"/>
          <w:sz w:val="24"/>
          <w:szCs w:val="24"/>
        </w:rPr>
        <w:tab/>
        <w:t>approaches</w:t>
      </w:r>
      <w:r>
        <w:rPr>
          <w:color w:val="000000"/>
          <w:sz w:val="24"/>
          <w:szCs w:val="24"/>
        </w:rPr>
        <w:t xml:space="preserve"> (4th ed.). SAGE Publications.</w:t>
      </w:r>
    </w:p>
    <w:p w14:paraId="595CAC25"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Darling-Hammond, L. (2000). Teacher quality and student achievement: A review of state policy</w:t>
      </w:r>
      <w:r>
        <w:rPr>
          <w:color w:val="000000"/>
          <w:sz w:val="24"/>
          <w:szCs w:val="24"/>
        </w:rPr>
        <w:tab/>
        <w:t>evidence</w:t>
      </w:r>
      <w:r>
        <w:rPr>
          <w:color w:val="000000"/>
          <w:sz w:val="24"/>
          <w:szCs w:val="24"/>
        </w:rPr>
        <w:t xml:space="preserve">. </w:t>
      </w:r>
      <w:r>
        <w:rPr>
          <w:i/>
          <w:color w:val="000000"/>
          <w:sz w:val="24"/>
          <w:szCs w:val="24"/>
        </w:rPr>
        <w:t>Educational Policy Analysis Archives, 8</w:t>
      </w:r>
      <w:r>
        <w:rPr>
          <w:color w:val="000000"/>
          <w:sz w:val="24"/>
          <w:szCs w:val="24"/>
        </w:rPr>
        <w:t xml:space="preserve">(1), 1-44. </w:t>
      </w:r>
    </w:p>
    <w:p w14:paraId="5344F68F"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Darling-Hammond, L., </w:t>
      </w:r>
      <w:proofErr w:type="spellStart"/>
      <w:r>
        <w:rPr>
          <w:color w:val="000000"/>
          <w:sz w:val="24"/>
          <w:szCs w:val="24"/>
        </w:rPr>
        <w:t>Hyler</w:t>
      </w:r>
      <w:proofErr w:type="spellEnd"/>
      <w:r>
        <w:rPr>
          <w:color w:val="000000"/>
          <w:sz w:val="24"/>
          <w:szCs w:val="24"/>
        </w:rPr>
        <w:t xml:space="preserve">, M. E., &amp; Gardner, M. (2017). </w:t>
      </w:r>
      <w:r>
        <w:rPr>
          <w:i/>
          <w:color w:val="000000"/>
          <w:sz w:val="24"/>
          <w:szCs w:val="24"/>
        </w:rPr>
        <w:t>Effective Teacher Professional</w:t>
      </w:r>
      <w:r>
        <w:rPr>
          <w:i/>
          <w:color w:val="000000"/>
          <w:sz w:val="24"/>
          <w:szCs w:val="24"/>
        </w:rPr>
        <w:tab/>
        <w:t>Development</w:t>
      </w:r>
      <w:r>
        <w:rPr>
          <w:color w:val="000000"/>
          <w:sz w:val="24"/>
          <w:szCs w:val="24"/>
        </w:rPr>
        <w:t>. Learning Policy Institute.</w:t>
      </w:r>
    </w:p>
    <w:p w14:paraId="17B3B41A" w14:textId="77777777" w:rsidR="00891A7D" w:rsidRDefault="00CE0344">
      <w:pPr>
        <w:widowControl/>
        <w:pBdr>
          <w:top w:val="nil"/>
          <w:left w:val="nil"/>
          <w:bottom w:val="nil"/>
          <w:right w:val="nil"/>
          <w:between w:val="nil"/>
        </w:pBdr>
        <w:jc w:val="both"/>
        <w:rPr>
          <w:color w:val="000000"/>
          <w:sz w:val="24"/>
          <w:szCs w:val="24"/>
        </w:rPr>
      </w:pPr>
      <w:r w:rsidRPr="009C2587">
        <w:rPr>
          <w:color w:val="000000"/>
          <w:sz w:val="24"/>
          <w:szCs w:val="24"/>
          <w:lang w:val="pl-PL"/>
        </w:rPr>
        <w:t xml:space="preserve">Deci, E. L., &amp; Ryan, R. M. (2000). </w:t>
      </w:r>
      <w:r>
        <w:rPr>
          <w:color w:val="000000"/>
          <w:sz w:val="24"/>
          <w:szCs w:val="24"/>
        </w:rPr>
        <w:t>The "What" and "Why" of Goal Pursuits: H</w:t>
      </w:r>
      <w:r>
        <w:rPr>
          <w:color w:val="000000"/>
          <w:sz w:val="24"/>
          <w:szCs w:val="24"/>
        </w:rPr>
        <w:t>uman Needs and</w:t>
      </w:r>
      <w:r>
        <w:rPr>
          <w:color w:val="000000"/>
          <w:sz w:val="24"/>
          <w:szCs w:val="24"/>
        </w:rPr>
        <w:tab/>
        <w:t xml:space="preserve">the Self-Determination of Behavior. </w:t>
      </w:r>
      <w:r>
        <w:rPr>
          <w:i/>
          <w:color w:val="000000"/>
          <w:sz w:val="24"/>
          <w:szCs w:val="24"/>
        </w:rPr>
        <w:t>Psychological Inquiry, 11</w:t>
      </w:r>
      <w:r>
        <w:rPr>
          <w:color w:val="000000"/>
          <w:sz w:val="24"/>
          <w:szCs w:val="24"/>
        </w:rPr>
        <w:t>(4), 227-268.</w:t>
      </w:r>
    </w:p>
    <w:p w14:paraId="64110F5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De Smet, E., van der </w:t>
      </w:r>
      <w:proofErr w:type="spellStart"/>
      <w:r>
        <w:rPr>
          <w:color w:val="000000"/>
          <w:sz w:val="24"/>
          <w:szCs w:val="24"/>
        </w:rPr>
        <w:t>Meijden</w:t>
      </w:r>
      <w:proofErr w:type="spellEnd"/>
      <w:r>
        <w:rPr>
          <w:color w:val="000000"/>
          <w:sz w:val="24"/>
          <w:szCs w:val="24"/>
        </w:rPr>
        <w:t xml:space="preserve">, A., &amp; </w:t>
      </w:r>
      <w:proofErr w:type="spellStart"/>
      <w:r>
        <w:rPr>
          <w:color w:val="000000"/>
          <w:sz w:val="24"/>
          <w:szCs w:val="24"/>
        </w:rPr>
        <w:t>Voogt</w:t>
      </w:r>
      <w:proofErr w:type="spellEnd"/>
      <w:r>
        <w:rPr>
          <w:color w:val="000000"/>
          <w:sz w:val="24"/>
          <w:szCs w:val="24"/>
        </w:rPr>
        <w:t>, J. (2014). The impact of hands-on materials on</w:t>
      </w:r>
      <w:r>
        <w:rPr>
          <w:color w:val="000000"/>
          <w:sz w:val="24"/>
          <w:szCs w:val="24"/>
        </w:rPr>
        <w:tab/>
        <w:t xml:space="preserve">student engagement in science education. </w:t>
      </w:r>
      <w:r>
        <w:rPr>
          <w:i/>
          <w:color w:val="000000"/>
          <w:sz w:val="24"/>
          <w:szCs w:val="24"/>
        </w:rPr>
        <w:t>International Journal of Science Ed</w:t>
      </w:r>
      <w:r>
        <w:rPr>
          <w:i/>
          <w:color w:val="000000"/>
          <w:sz w:val="24"/>
          <w:szCs w:val="24"/>
        </w:rPr>
        <w:t>ucation,</w:t>
      </w:r>
      <w:r>
        <w:rPr>
          <w:i/>
          <w:color w:val="000000"/>
          <w:sz w:val="24"/>
          <w:szCs w:val="24"/>
        </w:rPr>
        <w:tab/>
        <w:t>36</w:t>
      </w:r>
      <w:r>
        <w:rPr>
          <w:color w:val="000000"/>
          <w:sz w:val="24"/>
          <w:szCs w:val="24"/>
        </w:rPr>
        <w:t>(1), 1-18.</w:t>
      </w:r>
    </w:p>
    <w:p w14:paraId="7D86DB97"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Dewey, J. (1938). </w:t>
      </w:r>
      <w:r>
        <w:rPr>
          <w:i/>
          <w:color w:val="000000"/>
          <w:sz w:val="24"/>
          <w:szCs w:val="24"/>
        </w:rPr>
        <w:t>Experience and education</w:t>
      </w:r>
      <w:r>
        <w:rPr>
          <w:color w:val="000000"/>
          <w:sz w:val="24"/>
          <w:szCs w:val="24"/>
        </w:rPr>
        <w:t>. Macmillan.</w:t>
      </w:r>
    </w:p>
    <w:p w14:paraId="39A31F4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Dooly, M., &amp; </w:t>
      </w:r>
      <w:proofErr w:type="spellStart"/>
      <w:r>
        <w:rPr>
          <w:color w:val="000000"/>
          <w:sz w:val="24"/>
          <w:szCs w:val="24"/>
        </w:rPr>
        <w:t>Masats</w:t>
      </w:r>
      <w:proofErr w:type="spellEnd"/>
      <w:r>
        <w:rPr>
          <w:color w:val="000000"/>
          <w:sz w:val="24"/>
          <w:szCs w:val="24"/>
        </w:rPr>
        <w:t>, D. (2008). The use of synchronous CMC to promote collaborative learning</w:t>
      </w:r>
      <w:r>
        <w:rPr>
          <w:color w:val="000000"/>
          <w:sz w:val="24"/>
          <w:szCs w:val="24"/>
        </w:rPr>
        <w:tab/>
        <w:t xml:space="preserve">in language education. </w:t>
      </w:r>
      <w:proofErr w:type="spellStart"/>
      <w:r>
        <w:rPr>
          <w:i/>
          <w:color w:val="000000"/>
          <w:sz w:val="24"/>
          <w:szCs w:val="24"/>
        </w:rPr>
        <w:t>ReCALL</w:t>
      </w:r>
      <w:proofErr w:type="spellEnd"/>
      <w:r>
        <w:rPr>
          <w:i/>
          <w:color w:val="000000"/>
          <w:sz w:val="24"/>
          <w:szCs w:val="24"/>
        </w:rPr>
        <w:t>, 20</w:t>
      </w:r>
      <w:r>
        <w:rPr>
          <w:color w:val="000000"/>
          <w:sz w:val="24"/>
          <w:szCs w:val="24"/>
        </w:rPr>
        <w:t>(1), 44-58.</w:t>
      </w:r>
    </w:p>
    <w:p w14:paraId="41F39E2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Dweck, C. S. (2006). </w:t>
      </w:r>
      <w:r>
        <w:rPr>
          <w:i/>
          <w:color w:val="000000"/>
          <w:sz w:val="24"/>
          <w:szCs w:val="24"/>
        </w:rPr>
        <w:t>Mindset: The New Psy</w:t>
      </w:r>
      <w:r>
        <w:rPr>
          <w:i/>
          <w:color w:val="000000"/>
          <w:sz w:val="24"/>
          <w:szCs w:val="24"/>
        </w:rPr>
        <w:t>chology of Success</w:t>
      </w:r>
      <w:r>
        <w:rPr>
          <w:color w:val="000000"/>
          <w:sz w:val="24"/>
          <w:szCs w:val="24"/>
        </w:rPr>
        <w:t>. Random House.</w:t>
      </w:r>
    </w:p>
    <w:p w14:paraId="3A079404"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East African Community. (2019). </w:t>
      </w:r>
      <w:r>
        <w:rPr>
          <w:i/>
          <w:color w:val="000000"/>
          <w:sz w:val="24"/>
          <w:szCs w:val="24"/>
        </w:rPr>
        <w:t>East African Community Competency-Based Curriculum</w:t>
      </w:r>
      <w:r>
        <w:rPr>
          <w:i/>
          <w:color w:val="000000"/>
          <w:sz w:val="24"/>
          <w:szCs w:val="24"/>
        </w:rPr>
        <w:tab/>
        <w:t>Framework</w:t>
      </w:r>
      <w:r>
        <w:rPr>
          <w:color w:val="000000"/>
          <w:sz w:val="24"/>
          <w:szCs w:val="24"/>
        </w:rPr>
        <w:t>. EAC.</w:t>
      </w:r>
    </w:p>
    <w:p w14:paraId="4FC6205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Eccles, J. S., &amp; </w:t>
      </w:r>
      <w:proofErr w:type="spellStart"/>
      <w:r>
        <w:rPr>
          <w:color w:val="000000"/>
          <w:sz w:val="24"/>
          <w:szCs w:val="24"/>
        </w:rPr>
        <w:t>Wigfield</w:t>
      </w:r>
      <w:proofErr w:type="spellEnd"/>
      <w:r>
        <w:rPr>
          <w:color w:val="000000"/>
          <w:sz w:val="24"/>
          <w:szCs w:val="24"/>
        </w:rPr>
        <w:t xml:space="preserve">, A. (2002). Motivational Beliefs, Values, and Goals. </w:t>
      </w:r>
      <w:r>
        <w:rPr>
          <w:i/>
          <w:color w:val="000000"/>
          <w:sz w:val="24"/>
          <w:szCs w:val="24"/>
        </w:rPr>
        <w:t>Annual Review of</w:t>
      </w:r>
      <w:r>
        <w:rPr>
          <w:i/>
          <w:color w:val="000000"/>
          <w:sz w:val="24"/>
          <w:szCs w:val="24"/>
        </w:rPr>
        <w:tab/>
        <w:t>Psychology, 53</w:t>
      </w:r>
      <w:r>
        <w:rPr>
          <w:color w:val="000000"/>
          <w:sz w:val="24"/>
          <w:szCs w:val="24"/>
        </w:rPr>
        <w:t>, 109-132.</w:t>
      </w:r>
    </w:p>
    <w:p w14:paraId="7ED4717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Eu</w:t>
      </w:r>
      <w:r>
        <w:rPr>
          <w:color w:val="000000"/>
          <w:sz w:val="24"/>
          <w:szCs w:val="24"/>
        </w:rPr>
        <w:t xml:space="preserve">ropean Commission. (2021). </w:t>
      </w:r>
      <w:r>
        <w:rPr>
          <w:i/>
          <w:color w:val="000000"/>
          <w:sz w:val="24"/>
          <w:szCs w:val="24"/>
        </w:rPr>
        <w:t>Digital Education Action Plan 2021-2027</w:t>
      </w:r>
      <w:r>
        <w:rPr>
          <w:color w:val="000000"/>
          <w:sz w:val="24"/>
          <w:szCs w:val="24"/>
        </w:rPr>
        <w:t>. European</w:t>
      </w:r>
      <w:r>
        <w:rPr>
          <w:color w:val="000000"/>
          <w:sz w:val="24"/>
          <w:szCs w:val="24"/>
        </w:rPr>
        <w:tab/>
        <w:t>Commission.</w:t>
      </w:r>
    </w:p>
    <w:p w14:paraId="3712C338"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Ertmer</w:t>
      </w:r>
      <w:proofErr w:type="spellEnd"/>
      <w:r>
        <w:rPr>
          <w:color w:val="000000"/>
          <w:sz w:val="24"/>
          <w:szCs w:val="24"/>
        </w:rPr>
        <w:t xml:space="preserve">, P. A., &amp; </w:t>
      </w:r>
      <w:proofErr w:type="spellStart"/>
      <w:r>
        <w:rPr>
          <w:color w:val="000000"/>
          <w:sz w:val="24"/>
          <w:szCs w:val="24"/>
        </w:rPr>
        <w:t>Ottenbreit</w:t>
      </w:r>
      <w:proofErr w:type="spellEnd"/>
      <w:r>
        <w:rPr>
          <w:color w:val="000000"/>
          <w:sz w:val="24"/>
          <w:szCs w:val="24"/>
        </w:rPr>
        <w:t>-Leftwich, A. T. (2010). Teacher technology change: How</w:t>
      </w:r>
      <w:r>
        <w:rPr>
          <w:color w:val="000000"/>
          <w:sz w:val="24"/>
          <w:szCs w:val="24"/>
        </w:rPr>
        <w:tab/>
        <w:t xml:space="preserve">knowledge, confidence, beliefs, and culture intersect. </w:t>
      </w:r>
      <w:r>
        <w:rPr>
          <w:i/>
          <w:color w:val="000000"/>
          <w:sz w:val="24"/>
          <w:szCs w:val="24"/>
        </w:rPr>
        <w:t>Journal of Research on Techno</w:t>
      </w:r>
      <w:r>
        <w:rPr>
          <w:i/>
          <w:color w:val="000000"/>
          <w:sz w:val="24"/>
          <w:szCs w:val="24"/>
        </w:rPr>
        <w:t>logy</w:t>
      </w:r>
      <w:r>
        <w:rPr>
          <w:i/>
          <w:color w:val="000000"/>
          <w:sz w:val="24"/>
          <w:szCs w:val="24"/>
        </w:rPr>
        <w:tab/>
        <w:t>in Education, 42</w:t>
      </w:r>
      <w:r>
        <w:rPr>
          <w:color w:val="000000"/>
          <w:sz w:val="24"/>
          <w:szCs w:val="24"/>
        </w:rPr>
        <w:t>(3), 255-284.</w:t>
      </w:r>
    </w:p>
    <w:p w14:paraId="65D80A17"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Fadumo</w:t>
      </w:r>
      <w:proofErr w:type="spellEnd"/>
      <w:r>
        <w:rPr>
          <w:color w:val="000000"/>
          <w:sz w:val="24"/>
          <w:szCs w:val="24"/>
        </w:rPr>
        <w:t>, A. (2015). Teacher Development Programs and Student Motivation in Sub-Saharan</w:t>
      </w:r>
      <w:r>
        <w:rPr>
          <w:color w:val="000000"/>
          <w:sz w:val="24"/>
          <w:szCs w:val="24"/>
        </w:rPr>
        <w:tab/>
        <w:t xml:space="preserve">Africa. </w:t>
      </w:r>
      <w:r>
        <w:rPr>
          <w:i/>
          <w:color w:val="000000"/>
          <w:sz w:val="24"/>
          <w:szCs w:val="24"/>
        </w:rPr>
        <w:t>International Journal of Educational Development, 40</w:t>
      </w:r>
      <w:r>
        <w:rPr>
          <w:color w:val="000000"/>
          <w:sz w:val="24"/>
          <w:szCs w:val="24"/>
        </w:rPr>
        <w:t>, 91-99.</w:t>
      </w:r>
    </w:p>
    <w:p w14:paraId="2C0810E3"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Freeman, S., Eddy, S. L., McDonough, M., Smith, M. K., &amp; </w:t>
      </w:r>
      <w:proofErr w:type="spellStart"/>
      <w:r>
        <w:rPr>
          <w:color w:val="000000"/>
          <w:sz w:val="24"/>
          <w:szCs w:val="24"/>
        </w:rPr>
        <w:t>Wenderoth</w:t>
      </w:r>
      <w:proofErr w:type="spellEnd"/>
      <w:r>
        <w:rPr>
          <w:color w:val="000000"/>
          <w:sz w:val="24"/>
          <w:szCs w:val="24"/>
        </w:rPr>
        <w:t>, M. P. (2014). Active</w:t>
      </w:r>
      <w:r>
        <w:rPr>
          <w:color w:val="000000"/>
          <w:sz w:val="24"/>
          <w:szCs w:val="24"/>
        </w:rPr>
        <w:tab/>
        <w:t>earning increases student performance in science, engineering, and mathematics.</w:t>
      </w:r>
      <w:r>
        <w:rPr>
          <w:color w:val="000000"/>
          <w:sz w:val="24"/>
          <w:szCs w:val="24"/>
        </w:rPr>
        <w:tab/>
      </w:r>
      <w:r>
        <w:rPr>
          <w:i/>
          <w:color w:val="000000"/>
          <w:sz w:val="24"/>
          <w:szCs w:val="24"/>
        </w:rPr>
        <w:t>Proceedings of the National Academy of Sciences, 111</w:t>
      </w:r>
      <w:r>
        <w:rPr>
          <w:color w:val="000000"/>
          <w:sz w:val="24"/>
          <w:szCs w:val="24"/>
        </w:rPr>
        <w:t>(23), 8410-8415.</w:t>
      </w:r>
    </w:p>
    <w:p w14:paraId="4C7CA9F5"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Frenzel</w:t>
      </w:r>
      <w:proofErr w:type="spellEnd"/>
      <w:r>
        <w:rPr>
          <w:color w:val="000000"/>
          <w:sz w:val="24"/>
          <w:szCs w:val="24"/>
        </w:rPr>
        <w:t xml:space="preserve">, A. C., Goetz, T., </w:t>
      </w:r>
      <w:proofErr w:type="spellStart"/>
      <w:r>
        <w:rPr>
          <w:color w:val="000000"/>
          <w:sz w:val="24"/>
          <w:szCs w:val="24"/>
        </w:rPr>
        <w:t>Lüdtke</w:t>
      </w:r>
      <w:proofErr w:type="spellEnd"/>
      <w:r>
        <w:rPr>
          <w:color w:val="000000"/>
          <w:sz w:val="24"/>
          <w:szCs w:val="24"/>
        </w:rPr>
        <w:t xml:space="preserve">, O., &amp; </w:t>
      </w:r>
      <w:proofErr w:type="spellStart"/>
      <w:r>
        <w:rPr>
          <w:color w:val="000000"/>
          <w:sz w:val="24"/>
          <w:szCs w:val="24"/>
        </w:rPr>
        <w:t>Pekrun</w:t>
      </w:r>
      <w:proofErr w:type="spellEnd"/>
      <w:r>
        <w:rPr>
          <w:color w:val="000000"/>
          <w:sz w:val="24"/>
          <w:szCs w:val="24"/>
        </w:rPr>
        <w:t xml:space="preserve">, R. (2009). Emotions in </w:t>
      </w:r>
      <w:r>
        <w:rPr>
          <w:color w:val="000000"/>
          <w:sz w:val="24"/>
          <w:szCs w:val="24"/>
        </w:rPr>
        <w:t>Classroom and Their</w:t>
      </w:r>
      <w:r>
        <w:rPr>
          <w:color w:val="000000"/>
          <w:sz w:val="24"/>
          <w:szCs w:val="24"/>
        </w:rPr>
        <w:tab/>
        <w:t xml:space="preserve">Impact on Students' Learning. </w:t>
      </w:r>
      <w:r>
        <w:rPr>
          <w:i/>
          <w:color w:val="000000"/>
          <w:sz w:val="24"/>
          <w:szCs w:val="24"/>
        </w:rPr>
        <w:t>Educational Psychology Review, 21</w:t>
      </w:r>
      <w:r>
        <w:rPr>
          <w:color w:val="000000"/>
          <w:sz w:val="24"/>
          <w:szCs w:val="24"/>
        </w:rPr>
        <w:t>(3), 181-183.</w:t>
      </w:r>
    </w:p>
    <w:p w14:paraId="6590FF82"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lastRenderedPageBreak/>
        <w:t>Fosnot</w:t>
      </w:r>
      <w:proofErr w:type="spellEnd"/>
      <w:r>
        <w:rPr>
          <w:color w:val="000000"/>
          <w:sz w:val="24"/>
          <w:szCs w:val="24"/>
        </w:rPr>
        <w:t xml:space="preserve">, C. T. (2005). Constructivism: A psychological theory of learning. In C. T. </w:t>
      </w:r>
      <w:proofErr w:type="spellStart"/>
      <w:r>
        <w:rPr>
          <w:color w:val="000000"/>
          <w:sz w:val="24"/>
          <w:szCs w:val="24"/>
        </w:rPr>
        <w:t>Fosnot</w:t>
      </w:r>
      <w:proofErr w:type="spellEnd"/>
      <w:r>
        <w:rPr>
          <w:color w:val="000000"/>
          <w:sz w:val="24"/>
          <w:szCs w:val="24"/>
        </w:rPr>
        <w:t xml:space="preserve"> (Ed.),</w:t>
      </w:r>
      <w:r>
        <w:rPr>
          <w:color w:val="000000"/>
          <w:sz w:val="24"/>
          <w:szCs w:val="24"/>
        </w:rPr>
        <w:tab/>
      </w:r>
      <w:r>
        <w:rPr>
          <w:i/>
          <w:color w:val="000000"/>
          <w:sz w:val="24"/>
          <w:szCs w:val="24"/>
        </w:rPr>
        <w:t>Constructivism: Theory, perspectives, and practice</w:t>
      </w:r>
      <w:r>
        <w:rPr>
          <w:color w:val="000000"/>
          <w:sz w:val="24"/>
          <w:szCs w:val="24"/>
        </w:rPr>
        <w:t xml:space="preserve"> (2nd ed., p</w:t>
      </w:r>
      <w:r>
        <w:rPr>
          <w:color w:val="000000"/>
          <w:sz w:val="24"/>
          <w:szCs w:val="24"/>
        </w:rPr>
        <w:t>p. 8-33). Teachers College</w:t>
      </w:r>
      <w:r>
        <w:rPr>
          <w:color w:val="000000"/>
          <w:sz w:val="24"/>
          <w:szCs w:val="24"/>
        </w:rPr>
        <w:tab/>
        <w:t>Press.</w:t>
      </w:r>
    </w:p>
    <w:p w14:paraId="06A7007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Gardner, H. (1983). </w:t>
      </w:r>
      <w:r>
        <w:rPr>
          <w:i/>
          <w:color w:val="000000"/>
          <w:sz w:val="24"/>
          <w:szCs w:val="24"/>
        </w:rPr>
        <w:t>Frames of Mind: The Theory of Multiple Intelligences</w:t>
      </w:r>
      <w:r>
        <w:rPr>
          <w:color w:val="000000"/>
          <w:sz w:val="24"/>
          <w:szCs w:val="24"/>
        </w:rPr>
        <w:t>. Basic Books.</w:t>
      </w:r>
    </w:p>
    <w:p w14:paraId="4FC9675D"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Gudu</w:t>
      </w:r>
      <w:proofErr w:type="spellEnd"/>
      <w:r>
        <w:rPr>
          <w:color w:val="000000"/>
          <w:sz w:val="24"/>
          <w:szCs w:val="24"/>
        </w:rPr>
        <w:t>, B. O., &amp; Jesse, N. W. (2023). Teaching Methods and Strategies on Learners' Motivation</w:t>
      </w:r>
      <w:r>
        <w:rPr>
          <w:color w:val="000000"/>
          <w:sz w:val="24"/>
          <w:szCs w:val="24"/>
        </w:rPr>
        <w:tab/>
        <w:t>in English Language Lectures in Higher Educ</w:t>
      </w:r>
      <w:r>
        <w:rPr>
          <w:color w:val="000000"/>
          <w:sz w:val="24"/>
          <w:szCs w:val="24"/>
        </w:rPr>
        <w:t xml:space="preserve">ation in Kenya. </w:t>
      </w:r>
      <w:r>
        <w:rPr>
          <w:i/>
          <w:color w:val="000000"/>
          <w:sz w:val="24"/>
          <w:szCs w:val="24"/>
        </w:rPr>
        <w:t>American Journal of</w:t>
      </w:r>
      <w:r>
        <w:rPr>
          <w:i/>
          <w:color w:val="000000"/>
          <w:sz w:val="24"/>
          <w:szCs w:val="24"/>
        </w:rPr>
        <w:tab/>
        <w:t>Education and Practice, 7</w:t>
      </w:r>
      <w:r>
        <w:rPr>
          <w:color w:val="000000"/>
          <w:sz w:val="24"/>
          <w:szCs w:val="24"/>
        </w:rPr>
        <w:t>(1), 36-60.</w:t>
      </w:r>
    </w:p>
    <w:p w14:paraId="7C8F32F9"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Guskey</w:t>
      </w:r>
      <w:proofErr w:type="spellEnd"/>
      <w:r>
        <w:rPr>
          <w:color w:val="000000"/>
          <w:sz w:val="24"/>
          <w:szCs w:val="24"/>
        </w:rPr>
        <w:t xml:space="preserve">, T. R. (2002). Professional Development and Teacher Change. </w:t>
      </w:r>
      <w:r>
        <w:rPr>
          <w:i/>
          <w:color w:val="000000"/>
          <w:sz w:val="24"/>
          <w:szCs w:val="24"/>
        </w:rPr>
        <w:t>Teachers and Teaching:</w:t>
      </w:r>
      <w:r>
        <w:rPr>
          <w:i/>
          <w:color w:val="000000"/>
          <w:sz w:val="24"/>
          <w:szCs w:val="24"/>
        </w:rPr>
        <w:tab/>
        <w:t>Theory and Practice, 8</w:t>
      </w:r>
      <w:r>
        <w:rPr>
          <w:color w:val="000000"/>
          <w:sz w:val="24"/>
          <w:szCs w:val="24"/>
        </w:rPr>
        <w:t>(3), 381-391.</w:t>
      </w:r>
    </w:p>
    <w:p w14:paraId="1CA372A5"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Hattie, J. (2009). </w:t>
      </w:r>
      <w:r>
        <w:rPr>
          <w:i/>
          <w:color w:val="000000"/>
          <w:sz w:val="24"/>
          <w:szCs w:val="24"/>
        </w:rPr>
        <w:t xml:space="preserve">Visible Learning: A Synthesis of Over </w:t>
      </w:r>
      <w:r>
        <w:rPr>
          <w:i/>
          <w:color w:val="000000"/>
          <w:sz w:val="24"/>
          <w:szCs w:val="24"/>
        </w:rPr>
        <w:t>800 Meta-Analyses Relating to</w:t>
      </w:r>
      <w:r>
        <w:rPr>
          <w:i/>
          <w:color w:val="000000"/>
          <w:sz w:val="24"/>
          <w:szCs w:val="24"/>
        </w:rPr>
        <w:tab/>
        <w:t>Achievement</w:t>
      </w:r>
      <w:r>
        <w:rPr>
          <w:color w:val="000000"/>
          <w:sz w:val="24"/>
          <w:szCs w:val="24"/>
        </w:rPr>
        <w:t>. Routledge.</w:t>
      </w:r>
    </w:p>
    <w:p w14:paraId="4571E4E7"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Hattie, J., &amp; Timperley, H. (2007). The power of feedback. </w:t>
      </w:r>
      <w:r>
        <w:rPr>
          <w:i/>
          <w:color w:val="000000"/>
          <w:sz w:val="24"/>
          <w:szCs w:val="24"/>
        </w:rPr>
        <w:t>Review of Educational Research,</w:t>
      </w:r>
      <w:r>
        <w:rPr>
          <w:i/>
          <w:color w:val="000000"/>
          <w:sz w:val="24"/>
          <w:szCs w:val="24"/>
        </w:rPr>
        <w:tab/>
        <w:t>77</w:t>
      </w:r>
      <w:r>
        <w:rPr>
          <w:color w:val="000000"/>
          <w:sz w:val="24"/>
          <w:szCs w:val="24"/>
        </w:rPr>
        <w:t>(1), 81-112.</w:t>
      </w:r>
    </w:p>
    <w:p w14:paraId="3D675E44"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Horn, M. B., &amp; </w:t>
      </w:r>
      <w:proofErr w:type="spellStart"/>
      <w:r>
        <w:rPr>
          <w:color w:val="000000"/>
          <w:sz w:val="24"/>
          <w:szCs w:val="24"/>
        </w:rPr>
        <w:t>Staker</w:t>
      </w:r>
      <w:proofErr w:type="spellEnd"/>
      <w:r>
        <w:rPr>
          <w:color w:val="000000"/>
          <w:sz w:val="24"/>
          <w:szCs w:val="24"/>
        </w:rPr>
        <w:t xml:space="preserve">, H. (2014). </w:t>
      </w:r>
      <w:r>
        <w:rPr>
          <w:i/>
          <w:color w:val="000000"/>
          <w:sz w:val="24"/>
          <w:szCs w:val="24"/>
        </w:rPr>
        <w:t>Blended: Using Disruptive Innovation to Improve Schools</w:t>
      </w:r>
      <w:r>
        <w:rPr>
          <w:color w:val="000000"/>
          <w:sz w:val="24"/>
          <w:szCs w:val="24"/>
        </w:rPr>
        <w:t>.</w:t>
      </w:r>
      <w:r>
        <w:rPr>
          <w:color w:val="000000"/>
          <w:sz w:val="24"/>
          <w:szCs w:val="24"/>
        </w:rPr>
        <w:tab/>
        <w:t>Josse</w:t>
      </w:r>
      <w:r>
        <w:rPr>
          <w:color w:val="000000"/>
          <w:sz w:val="24"/>
          <w:szCs w:val="24"/>
        </w:rPr>
        <w:t>y-Bass.</w:t>
      </w:r>
    </w:p>
    <w:p w14:paraId="41982335"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Ingersoll, R. M. (2001). Teacher turnover, teacher shortages, and the organization of schools.</w:t>
      </w:r>
      <w:r>
        <w:rPr>
          <w:color w:val="000000"/>
          <w:sz w:val="24"/>
          <w:szCs w:val="24"/>
        </w:rPr>
        <w:tab/>
      </w:r>
      <w:r>
        <w:rPr>
          <w:i/>
          <w:color w:val="000000"/>
          <w:sz w:val="24"/>
          <w:szCs w:val="24"/>
        </w:rPr>
        <w:t>American Educational Research Journal, 38</w:t>
      </w:r>
      <w:r>
        <w:rPr>
          <w:color w:val="000000"/>
          <w:sz w:val="24"/>
          <w:szCs w:val="24"/>
        </w:rPr>
        <w:t>(3), 499-534.</w:t>
      </w:r>
    </w:p>
    <w:p w14:paraId="048B6D31"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International Telecommunication Union. (2020). </w:t>
      </w:r>
      <w:r>
        <w:rPr>
          <w:i/>
          <w:color w:val="000000"/>
          <w:sz w:val="24"/>
          <w:szCs w:val="24"/>
        </w:rPr>
        <w:t>Measuring Digital Development: Facts and</w:t>
      </w:r>
      <w:r>
        <w:rPr>
          <w:i/>
          <w:color w:val="000000"/>
          <w:sz w:val="24"/>
          <w:szCs w:val="24"/>
        </w:rPr>
        <w:tab/>
        <w:t>Figures 20</w:t>
      </w:r>
      <w:r>
        <w:rPr>
          <w:i/>
          <w:color w:val="000000"/>
          <w:sz w:val="24"/>
          <w:szCs w:val="24"/>
        </w:rPr>
        <w:t>20</w:t>
      </w:r>
      <w:r>
        <w:rPr>
          <w:color w:val="000000"/>
          <w:sz w:val="24"/>
          <w:szCs w:val="24"/>
        </w:rPr>
        <w:t>. International Telecommunication Union.</w:t>
      </w:r>
    </w:p>
    <w:p w14:paraId="73E8A878"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International Society for Technology in Education. (2020). </w:t>
      </w:r>
      <w:r>
        <w:rPr>
          <w:i/>
          <w:color w:val="000000"/>
          <w:sz w:val="24"/>
          <w:szCs w:val="24"/>
        </w:rPr>
        <w:t>The Future of Learning: A Global</w:t>
      </w:r>
      <w:r>
        <w:rPr>
          <w:i/>
          <w:color w:val="000000"/>
          <w:sz w:val="24"/>
          <w:szCs w:val="24"/>
        </w:rPr>
        <w:tab/>
        <w:t>Perspective</w:t>
      </w:r>
      <w:r>
        <w:rPr>
          <w:color w:val="000000"/>
          <w:sz w:val="24"/>
          <w:szCs w:val="24"/>
        </w:rPr>
        <w:t>. ISTE.</w:t>
      </w:r>
    </w:p>
    <w:p w14:paraId="3F940239"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Jonassen, D. H. (1999). Designing constructivist learning environments. </w:t>
      </w:r>
      <w:r>
        <w:rPr>
          <w:i/>
          <w:color w:val="000000"/>
          <w:sz w:val="24"/>
          <w:szCs w:val="24"/>
        </w:rPr>
        <w:t>Instructional Design</w:t>
      </w:r>
      <w:r>
        <w:rPr>
          <w:i/>
          <w:color w:val="000000"/>
          <w:sz w:val="24"/>
          <w:szCs w:val="24"/>
        </w:rPr>
        <w:tab/>
        <w:t xml:space="preserve">Theories </w:t>
      </w:r>
      <w:r>
        <w:rPr>
          <w:i/>
          <w:color w:val="000000"/>
          <w:sz w:val="24"/>
          <w:szCs w:val="24"/>
        </w:rPr>
        <w:t>and Models: A New Paradigm of Instructional Theory, 2</w:t>
      </w:r>
      <w:r>
        <w:rPr>
          <w:color w:val="000000"/>
          <w:sz w:val="24"/>
          <w:szCs w:val="24"/>
        </w:rPr>
        <w:t>, 215-239.</w:t>
      </w:r>
    </w:p>
    <w:p w14:paraId="2C261DA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Kenya Institute of Curriculum Development. (2020). </w:t>
      </w:r>
      <w:r>
        <w:rPr>
          <w:i/>
          <w:color w:val="000000"/>
          <w:sz w:val="24"/>
          <w:szCs w:val="24"/>
        </w:rPr>
        <w:t>Report on the State of Curriculum</w:t>
      </w:r>
      <w:r>
        <w:rPr>
          <w:i/>
          <w:color w:val="000000"/>
          <w:sz w:val="24"/>
          <w:szCs w:val="24"/>
        </w:rPr>
        <w:tab/>
        <w:t>Implementation in Kenya</w:t>
      </w:r>
      <w:r>
        <w:rPr>
          <w:color w:val="000000"/>
          <w:sz w:val="24"/>
          <w:szCs w:val="24"/>
        </w:rPr>
        <w:t>. KICD.</w:t>
      </w:r>
    </w:p>
    <w:p w14:paraId="4D4C3415"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Kenya Institute of Curriculum Development. (2018). </w:t>
      </w:r>
      <w:r>
        <w:rPr>
          <w:i/>
          <w:color w:val="000000"/>
          <w:sz w:val="24"/>
          <w:szCs w:val="24"/>
        </w:rPr>
        <w:t>Competency-Based Curricul</w:t>
      </w:r>
      <w:r>
        <w:rPr>
          <w:i/>
          <w:color w:val="000000"/>
          <w:sz w:val="24"/>
          <w:szCs w:val="24"/>
        </w:rPr>
        <w:t>um:</w:t>
      </w:r>
      <w:r>
        <w:rPr>
          <w:i/>
          <w:color w:val="000000"/>
          <w:sz w:val="24"/>
          <w:szCs w:val="24"/>
        </w:rPr>
        <w:tab/>
        <w:t>Implementation Strategy</w:t>
      </w:r>
      <w:r>
        <w:rPr>
          <w:color w:val="000000"/>
          <w:sz w:val="24"/>
          <w:szCs w:val="24"/>
        </w:rPr>
        <w:t>. KICD.</w:t>
      </w:r>
    </w:p>
    <w:p w14:paraId="7F76EE1B"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Kenya Ministry of Education. (2020). </w:t>
      </w:r>
      <w:r>
        <w:rPr>
          <w:i/>
          <w:color w:val="000000"/>
          <w:sz w:val="24"/>
          <w:szCs w:val="24"/>
        </w:rPr>
        <w:t>The Status of Teacher Education in Kenya</w:t>
      </w:r>
      <w:r>
        <w:rPr>
          <w:color w:val="000000"/>
          <w:sz w:val="24"/>
          <w:szCs w:val="24"/>
        </w:rPr>
        <w:t>. Ministry of</w:t>
      </w:r>
      <w:r>
        <w:rPr>
          <w:color w:val="000000"/>
          <w:sz w:val="24"/>
          <w:szCs w:val="24"/>
        </w:rPr>
        <w:tab/>
        <w:t>Education.</w:t>
      </w:r>
    </w:p>
    <w:p w14:paraId="109971E8"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Kenya National Commission for UNESCO. (2020). </w:t>
      </w:r>
      <w:r>
        <w:rPr>
          <w:i/>
          <w:color w:val="000000"/>
          <w:sz w:val="24"/>
          <w:szCs w:val="24"/>
        </w:rPr>
        <w:t>Report on the Status of ICT in Education in</w:t>
      </w:r>
      <w:r>
        <w:rPr>
          <w:i/>
          <w:color w:val="000000"/>
          <w:sz w:val="24"/>
          <w:szCs w:val="24"/>
        </w:rPr>
        <w:tab/>
        <w:t>Kenya</w:t>
      </w:r>
      <w:r>
        <w:rPr>
          <w:color w:val="000000"/>
          <w:sz w:val="24"/>
          <w:szCs w:val="24"/>
        </w:rPr>
        <w:t>. KNATCOM.</w:t>
      </w:r>
    </w:p>
    <w:p w14:paraId="69B37A91"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Kenya Nationa</w:t>
      </w:r>
      <w:r>
        <w:rPr>
          <w:color w:val="000000"/>
          <w:sz w:val="24"/>
          <w:szCs w:val="24"/>
        </w:rPr>
        <w:t xml:space="preserve">l Examinations Council. (2021). </w:t>
      </w:r>
      <w:r>
        <w:rPr>
          <w:i/>
          <w:color w:val="000000"/>
          <w:sz w:val="24"/>
          <w:szCs w:val="24"/>
        </w:rPr>
        <w:t>Assessment and Evaluation Framework for the</w:t>
      </w:r>
      <w:r>
        <w:rPr>
          <w:i/>
          <w:color w:val="000000"/>
          <w:sz w:val="24"/>
          <w:szCs w:val="24"/>
        </w:rPr>
        <w:tab/>
        <w:t>Competency-Based Curriculum</w:t>
      </w:r>
      <w:r>
        <w:rPr>
          <w:color w:val="000000"/>
          <w:sz w:val="24"/>
          <w:szCs w:val="24"/>
        </w:rPr>
        <w:t>. KNEC.</w:t>
      </w:r>
    </w:p>
    <w:p w14:paraId="2571E9B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Khalid, S. (2017). Teacher Mentorship and Motivation: A Study of Secondary Schools in Kenya.</w:t>
      </w:r>
      <w:r>
        <w:rPr>
          <w:color w:val="000000"/>
          <w:sz w:val="24"/>
          <w:szCs w:val="24"/>
        </w:rPr>
        <w:tab/>
      </w:r>
      <w:r>
        <w:rPr>
          <w:i/>
          <w:color w:val="000000"/>
          <w:sz w:val="24"/>
          <w:szCs w:val="24"/>
        </w:rPr>
        <w:t>Journal of Educational Psychology, 29</w:t>
      </w:r>
      <w:r>
        <w:rPr>
          <w:color w:val="000000"/>
          <w:sz w:val="24"/>
          <w:szCs w:val="24"/>
        </w:rPr>
        <w:t>(2), 123-137.</w:t>
      </w:r>
    </w:p>
    <w:p w14:paraId="1E20C211"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K</w:t>
      </w:r>
      <w:r>
        <w:rPr>
          <w:color w:val="000000"/>
          <w:sz w:val="24"/>
          <w:szCs w:val="24"/>
        </w:rPr>
        <w:t>ipsang</w:t>
      </w:r>
      <w:proofErr w:type="spellEnd"/>
      <w:r>
        <w:rPr>
          <w:color w:val="000000"/>
          <w:sz w:val="24"/>
          <w:szCs w:val="24"/>
        </w:rPr>
        <w:t>, B. T. (2018). The Role of Teacher Professional Development in Enhancing Student</w:t>
      </w:r>
      <w:r>
        <w:rPr>
          <w:color w:val="000000"/>
          <w:sz w:val="24"/>
          <w:szCs w:val="24"/>
        </w:rPr>
        <w:tab/>
        <w:t xml:space="preserve">Motivation in Kenyan Secondary Schools. </w:t>
      </w:r>
      <w:r>
        <w:rPr>
          <w:i/>
          <w:color w:val="000000"/>
          <w:sz w:val="24"/>
          <w:szCs w:val="24"/>
        </w:rPr>
        <w:t>Journal of Educational Research, 40</w:t>
      </w:r>
      <w:r>
        <w:rPr>
          <w:color w:val="000000"/>
          <w:sz w:val="24"/>
          <w:szCs w:val="24"/>
        </w:rPr>
        <w:t>(4), 45</w:t>
      </w:r>
      <w:r>
        <w:rPr>
          <w:color w:val="000000"/>
          <w:sz w:val="24"/>
          <w:szCs w:val="24"/>
        </w:rPr>
        <w:tab/>
        <w:t>60.</w:t>
      </w:r>
    </w:p>
    <w:p w14:paraId="69C1C7D0"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Larmer</w:t>
      </w:r>
      <w:proofErr w:type="spellEnd"/>
      <w:r>
        <w:rPr>
          <w:color w:val="000000"/>
          <w:sz w:val="24"/>
          <w:szCs w:val="24"/>
        </w:rPr>
        <w:t xml:space="preserve">, J., &amp; </w:t>
      </w:r>
      <w:proofErr w:type="spellStart"/>
      <w:r>
        <w:rPr>
          <w:color w:val="000000"/>
          <w:sz w:val="24"/>
          <w:szCs w:val="24"/>
        </w:rPr>
        <w:t>Mergendoller</w:t>
      </w:r>
      <w:proofErr w:type="spellEnd"/>
      <w:r>
        <w:rPr>
          <w:color w:val="000000"/>
          <w:sz w:val="24"/>
          <w:szCs w:val="24"/>
        </w:rPr>
        <w:t xml:space="preserve">, J. R. (2015). </w:t>
      </w:r>
      <w:r>
        <w:rPr>
          <w:i/>
          <w:color w:val="000000"/>
          <w:sz w:val="24"/>
          <w:szCs w:val="24"/>
        </w:rPr>
        <w:t xml:space="preserve">Setting the standard for project-based </w:t>
      </w:r>
      <w:r>
        <w:rPr>
          <w:i/>
          <w:color w:val="000000"/>
          <w:sz w:val="24"/>
          <w:szCs w:val="24"/>
        </w:rPr>
        <w:t>learning: A</w:t>
      </w:r>
      <w:r>
        <w:rPr>
          <w:i/>
          <w:color w:val="000000"/>
          <w:sz w:val="24"/>
          <w:szCs w:val="24"/>
        </w:rPr>
        <w:tab/>
        <w:t>proven approach to rigor, relevance, and results</w:t>
      </w:r>
      <w:r>
        <w:rPr>
          <w:color w:val="000000"/>
          <w:sz w:val="24"/>
          <w:szCs w:val="24"/>
        </w:rPr>
        <w:t>. ASCD.</w:t>
      </w:r>
    </w:p>
    <w:p w14:paraId="4A1B54E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Mbugua, T. (2017). The role of innovative instructional strategies in enhancing students'</w:t>
      </w:r>
      <w:r>
        <w:rPr>
          <w:color w:val="000000"/>
          <w:sz w:val="24"/>
          <w:szCs w:val="24"/>
        </w:rPr>
        <w:tab/>
        <w:t xml:space="preserve">motivation in Kenyan secondary schools. </w:t>
      </w:r>
      <w:r>
        <w:rPr>
          <w:i/>
          <w:color w:val="000000"/>
          <w:sz w:val="24"/>
          <w:szCs w:val="24"/>
        </w:rPr>
        <w:t>International Journal of Educational Research,</w:t>
      </w:r>
      <w:r>
        <w:rPr>
          <w:i/>
          <w:color w:val="000000"/>
          <w:sz w:val="24"/>
          <w:szCs w:val="24"/>
        </w:rPr>
        <w:tab/>
        <w:t>5</w:t>
      </w:r>
      <w:r>
        <w:rPr>
          <w:color w:val="000000"/>
          <w:sz w:val="24"/>
          <w:szCs w:val="24"/>
        </w:rPr>
        <w:t xml:space="preserve">(2), </w:t>
      </w:r>
      <w:r>
        <w:rPr>
          <w:color w:val="000000"/>
          <w:sz w:val="24"/>
          <w:szCs w:val="24"/>
        </w:rPr>
        <w:t>15-25.</w:t>
      </w:r>
    </w:p>
    <w:p w14:paraId="1594C955"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Meybodi</w:t>
      </w:r>
      <w:proofErr w:type="spellEnd"/>
      <w:r>
        <w:rPr>
          <w:color w:val="000000"/>
          <w:sz w:val="24"/>
          <w:szCs w:val="24"/>
        </w:rPr>
        <w:t xml:space="preserve">, S., </w:t>
      </w:r>
      <w:proofErr w:type="spellStart"/>
      <w:r>
        <w:rPr>
          <w:color w:val="000000"/>
          <w:sz w:val="24"/>
          <w:szCs w:val="24"/>
        </w:rPr>
        <w:t>Mahmodabadi</w:t>
      </w:r>
      <w:proofErr w:type="spellEnd"/>
      <w:r>
        <w:rPr>
          <w:color w:val="000000"/>
          <w:sz w:val="24"/>
          <w:szCs w:val="24"/>
        </w:rPr>
        <w:t xml:space="preserve">, S. S., </w:t>
      </w:r>
      <w:proofErr w:type="spellStart"/>
      <w:r>
        <w:rPr>
          <w:color w:val="000000"/>
          <w:sz w:val="24"/>
          <w:szCs w:val="24"/>
        </w:rPr>
        <w:t>Sharifpour</w:t>
      </w:r>
      <w:proofErr w:type="spellEnd"/>
      <w:r>
        <w:rPr>
          <w:color w:val="000000"/>
          <w:sz w:val="24"/>
          <w:szCs w:val="24"/>
        </w:rPr>
        <w:t xml:space="preserve">, Z., </w:t>
      </w:r>
      <w:proofErr w:type="spellStart"/>
      <w:r>
        <w:rPr>
          <w:color w:val="000000"/>
          <w:sz w:val="24"/>
          <w:szCs w:val="24"/>
        </w:rPr>
        <w:t>Shahbazi</w:t>
      </w:r>
      <w:proofErr w:type="spellEnd"/>
      <w:r>
        <w:rPr>
          <w:color w:val="000000"/>
          <w:sz w:val="24"/>
          <w:szCs w:val="24"/>
        </w:rPr>
        <w:t xml:space="preserve">, H., &amp; </w:t>
      </w:r>
      <w:proofErr w:type="spellStart"/>
      <w:r>
        <w:rPr>
          <w:color w:val="000000"/>
          <w:sz w:val="24"/>
          <w:szCs w:val="24"/>
        </w:rPr>
        <w:t>Mohamadloo</w:t>
      </w:r>
      <w:proofErr w:type="spellEnd"/>
      <w:r>
        <w:rPr>
          <w:color w:val="000000"/>
          <w:sz w:val="24"/>
          <w:szCs w:val="24"/>
        </w:rPr>
        <w:t>, A. (2013). The</w:t>
      </w:r>
      <w:r>
        <w:rPr>
          <w:color w:val="000000"/>
          <w:sz w:val="24"/>
          <w:szCs w:val="24"/>
        </w:rPr>
        <w:tab/>
        <w:t xml:space="preserve">characteristics of effective teaching based on viewpoints of Shahid </w:t>
      </w:r>
      <w:proofErr w:type="spellStart"/>
      <w:r>
        <w:rPr>
          <w:color w:val="000000"/>
          <w:sz w:val="24"/>
          <w:szCs w:val="24"/>
        </w:rPr>
        <w:t>Sadoqi</w:t>
      </w:r>
      <w:proofErr w:type="spellEnd"/>
      <w:r>
        <w:rPr>
          <w:color w:val="000000"/>
          <w:sz w:val="24"/>
          <w:szCs w:val="24"/>
        </w:rPr>
        <w:t xml:space="preserve"> University of</w:t>
      </w:r>
      <w:r>
        <w:rPr>
          <w:color w:val="000000"/>
          <w:sz w:val="24"/>
          <w:szCs w:val="24"/>
        </w:rPr>
        <w:tab/>
        <w:t xml:space="preserve">Medical Sciences. </w:t>
      </w:r>
      <w:r>
        <w:rPr>
          <w:i/>
          <w:color w:val="000000"/>
          <w:sz w:val="24"/>
          <w:szCs w:val="24"/>
        </w:rPr>
        <w:t>Journal of Medical Education Development, 5</w:t>
      </w:r>
      <w:r>
        <w:rPr>
          <w:color w:val="000000"/>
          <w:sz w:val="24"/>
          <w:szCs w:val="24"/>
        </w:rPr>
        <w:t>, 52-62</w:t>
      </w:r>
      <w:r>
        <w:rPr>
          <w:color w:val="000000"/>
          <w:sz w:val="24"/>
          <w:szCs w:val="24"/>
        </w:rPr>
        <w:t>.</w:t>
      </w:r>
    </w:p>
    <w:p w14:paraId="07FC8A30"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lastRenderedPageBreak/>
        <w:t>Mugambi</w:t>
      </w:r>
      <w:proofErr w:type="spellEnd"/>
      <w:r>
        <w:rPr>
          <w:color w:val="000000"/>
          <w:sz w:val="24"/>
          <w:szCs w:val="24"/>
        </w:rPr>
        <w:t>, R. (2020). Challenges faced by teachers in implementing innovative instructional</w:t>
      </w:r>
      <w:r>
        <w:rPr>
          <w:color w:val="000000"/>
          <w:sz w:val="24"/>
          <w:szCs w:val="24"/>
        </w:rPr>
        <w:tab/>
        <w:t xml:space="preserve">strategies in Garissa County, Kenya. </w:t>
      </w:r>
      <w:r>
        <w:rPr>
          <w:i/>
          <w:color w:val="000000"/>
          <w:sz w:val="24"/>
          <w:szCs w:val="24"/>
        </w:rPr>
        <w:t>Journal of Education and Practice, 11</w:t>
      </w:r>
      <w:r>
        <w:rPr>
          <w:color w:val="000000"/>
          <w:sz w:val="24"/>
          <w:szCs w:val="24"/>
        </w:rPr>
        <w:t>(10), 30-39.</w:t>
      </w:r>
    </w:p>
    <w:p w14:paraId="7E4E11C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Mugenda, O. M., &amp; Mugenda, A. G. (2003). </w:t>
      </w:r>
      <w:r>
        <w:rPr>
          <w:i/>
          <w:color w:val="000000"/>
          <w:sz w:val="24"/>
          <w:szCs w:val="24"/>
        </w:rPr>
        <w:t>Research methods: Quantitative and q</w:t>
      </w:r>
      <w:r>
        <w:rPr>
          <w:i/>
          <w:color w:val="000000"/>
          <w:sz w:val="24"/>
          <w:szCs w:val="24"/>
        </w:rPr>
        <w:t>ualitative</w:t>
      </w:r>
      <w:r>
        <w:rPr>
          <w:i/>
          <w:color w:val="000000"/>
          <w:sz w:val="24"/>
          <w:szCs w:val="24"/>
        </w:rPr>
        <w:tab/>
        <w:t>approaches</w:t>
      </w:r>
      <w:r>
        <w:rPr>
          <w:color w:val="000000"/>
          <w:sz w:val="24"/>
          <w:szCs w:val="24"/>
        </w:rPr>
        <w:t>. Acts Press.</w:t>
      </w:r>
    </w:p>
    <w:p w14:paraId="140CDDEE"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Mugo</w:t>
      </w:r>
      <w:proofErr w:type="spellEnd"/>
      <w:r>
        <w:rPr>
          <w:color w:val="000000"/>
          <w:sz w:val="24"/>
          <w:szCs w:val="24"/>
        </w:rPr>
        <w:t>, F. (2021). Language Policy and Educational Practice in Kenya: Challenges and</w:t>
      </w:r>
      <w:r>
        <w:rPr>
          <w:color w:val="000000"/>
          <w:sz w:val="24"/>
          <w:szCs w:val="24"/>
        </w:rPr>
        <w:tab/>
        <w:t xml:space="preserve">Opportunities. </w:t>
      </w:r>
      <w:r>
        <w:rPr>
          <w:i/>
          <w:color w:val="000000"/>
          <w:sz w:val="24"/>
          <w:szCs w:val="24"/>
        </w:rPr>
        <w:t>African Journal of Education and Practice, 6</w:t>
      </w:r>
      <w:r>
        <w:rPr>
          <w:color w:val="000000"/>
          <w:sz w:val="24"/>
          <w:szCs w:val="24"/>
        </w:rPr>
        <w:t>(3), 201-210.</w:t>
      </w:r>
    </w:p>
    <w:p w14:paraId="4CAAB6D2"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Mumo</w:t>
      </w:r>
      <w:proofErr w:type="spellEnd"/>
      <w:r>
        <w:rPr>
          <w:color w:val="000000"/>
          <w:sz w:val="24"/>
          <w:szCs w:val="24"/>
        </w:rPr>
        <w:t xml:space="preserve">, R. M., </w:t>
      </w:r>
      <w:proofErr w:type="spellStart"/>
      <w:r>
        <w:rPr>
          <w:color w:val="000000"/>
          <w:sz w:val="24"/>
          <w:szCs w:val="24"/>
        </w:rPr>
        <w:t>Kadenyi</w:t>
      </w:r>
      <w:proofErr w:type="spellEnd"/>
      <w:r>
        <w:rPr>
          <w:color w:val="000000"/>
          <w:sz w:val="24"/>
          <w:szCs w:val="24"/>
        </w:rPr>
        <w:t xml:space="preserve">, M. M., &amp; </w:t>
      </w:r>
      <w:proofErr w:type="spellStart"/>
      <w:r>
        <w:rPr>
          <w:color w:val="000000"/>
          <w:sz w:val="24"/>
          <w:szCs w:val="24"/>
        </w:rPr>
        <w:t>Kiboss</w:t>
      </w:r>
      <w:proofErr w:type="spellEnd"/>
      <w:r>
        <w:rPr>
          <w:color w:val="000000"/>
          <w:sz w:val="24"/>
          <w:szCs w:val="24"/>
        </w:rPr>
        <w:t xml:space="preserve">, J. K. (2015). </w:t>
      </w:r>
      <w:r>
        <w:rPr>
          <w:color w:val="000000"/>
          <w:sz w:val="24"/>
          <w:szCs w:val="24"/>
        </w:rPr>
        <w:t>Instructional supervisory skills used for</w:t>
      </w:r>
      <w:r>
        <w:rPr>
          <w:color w:val="000000"/>
          <w:sz w:val="24"/>
          <w:szCs w:val="24"/>
        </w:rPr>
        <w:tab/>
        <w:t>academic performance by headteachers in Kenya Certificate of Secondary Education</w:t>
      </w:r>
      <w:r>
        <w:rPr>
          <w:color w:val="000000"/>
          <w:sz w:val="24"/>
          <w:szCs w:val="24"/>
        </w:rPr>
        <w:tab/>
        <w:t xml:space="preserve">(KCSE) in public schools in Machakos County. </w:t>
      </w:r>
      <w:r>
        <w:rPr>
          <w:i/>
          <w:color w:val="000000"/>
          <w:sz w:val="24"/>
          <w:szCs w:val="24"/>
        </w:rPr>
        <w:t>International Journal of Contemporary</w:t>
      </w:r>
      <w:r>
        <w:rPr>
          <w:i/>
          <w:color w:val="000000"/>
          <w:sz w:val="24"/>
          <w:szCs w:val="24"/>
        </w:rPr>
        <w:tab/>
        <w:t>Applied Sciences, 2</w:t>
      </w:r>
      <w:r>
        <w:rPr>
          <w:color w:val="000000"/>
          <w:sz w:val="24"/>
          <w:szCs w:val="24"/>
        </w:rPr>
        <w:t>(12), 181</w:t>
      </w:r>
    </w:p>
    <w:p w14:paraId="4C347B71"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Murdock, T. B., &amp; Kel</w:t>
      </w:r>
      <w:r>
        <w:rPr>
          <w:color w:val="000000"/>
          <w:sz w:val="24"/>
          <w:szCs w:val="24"/>
        </w:rPr>
        <w:t>ler, K. (2017). The role of teacher communication in fostering student</w:t>
      </w:r>
      <w:r>
        <w:rPr>
          <w:color w:val="000000"/>
          <w:sz w:val="24"/>
          <w:szCs w:val="24"/>
        </w:rPr>
        <w:tab/>
        <w:t xml:space="preserve">motivation. </w:t>
      </w:r>
      <w:r>
        <w:rPr>
          <w:i/>
          <w:color w:val="000000"/>
          <w:sz w:val="24"/>
          <w:szCs w:val="24"/>
        </w:rPr>
        <w:t>Educational Psychologist, 52</w:t>
      </w:r>
      <w:r>
        <w:rPr>
          <w:color w:val="000000"/>
          <w:sz w:val="24"/>
          <w:szCs w:val="24"/>
        </w:rPr>
        <w:t>(3), 145-159.</w:t>
      </w:r>
    </w:p>
    <w:p w14:paraId="14708023"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Murithi</w:t>
      </w:r>
      <w:proofErr w:type="spellEnd"/>
      <w:r>
        <w:rPr>
          <w:color w:val="000000"/>
          <w:sz w:val="24"/>
          <w:szCs w:val="24"/>
        </w:rPr>
        <w:t xml:space="preserve">, J., &amp; </w:t>
      </w:r>
      <w:proofErr w:type="spellStart"/>
      <w:r>
        <w:rPr>
          <w:color w:val="000000"/>
          <w:sz w:val="24"/>
          <w:szCs w:val="24"/>
        </w:rPr>
        <w:t>Yoo</w:t>
      </w:r>
      <w:proofErr w:type="spellEnd"/>
      <w:r>
        <w:rPr>
          <w:color w:val="000000"/>
          <w:sz w:val="24"/>
          <w:szCs w:val="24"/>
        </w:rPr>
        <w:t>, J. E. (2021). Teachers’ use of ICT in implementing the competency-based curriculum in Kenyan public primary sch</w:t>
      </w:r>
      <w:r>
        <w:rPr>
          <w:color w:val="000000"/>
          <w:sz w:val="24"/>
          <w:szCs w:val="24"/>
        </w:rPr>
        <w:t xml:space="preserve">ools. </w:t>
      </w:r>
      <w:r>
        <w:rPr>
          <w:i/>
          <w:color w:val="000000"/>
          <w:sz w:val="24"/>
          <w:szCs w:val="24"/>
        </w:rPr>
        <w:t>Innovation and Education</w:t>
      </w:r>
      <w:r>
        <w:rPr>
          <w:color w:val="000000"/>
          <w:sz w:val="24"/>
          <w:szCs w:val="24"/>
        </w:rPr>
        <w:t xml:space="preserve">, </w:t>
      </w:r>
      <w:proofErr w:type="gramStart"/>
      <w:r>
        <w:rPr>
          <w:color w:val="000000"/>
          <w:sz w:val="24"/>
          <w:szCs w:val="24"/>
        </w:rPr>
        <w:t>3,(</w:t>
      </w:r>
      <w:proofErr w:type="gramEnd"/>
      <w:r>
        <w:rPr>
          <w:color w:val="000000"/>
          <w:sz w:val="24"/>
          <w:szCs w:val="24"/>
        </w:rPr>
        <w:t>5)</w:t>
      </w:r>
    </w:p>
    <w:p w14:paraId="3AF06946"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Mwebi</w:t>
      </w:r>
      <w:proofErr w:type="spellEnd"/>
      <w:r>
        <w:rPr>
          <w:color w:val="000000"/>
          <w:sz w:val="24"/>
          <w:szCs w:val="24"/>
        </w:rPr>
        <w:t>, K. (2020). The Impact of CPD on Teacher Competence and Student Motivation in</w:t>
      </w:r>
      <w:r>
        <w:rPr>
          <w:color w:val="000000"/>
          <w:sz w:val="24"/>
          <w:szCs w:val="24"/>
        </w:rPr>
        <w:tab/>
        <w:t xml:space="preserve">Kenya. </w:t>
      </w:r>
      <w:r>
        <w:rPr>
          <w:i/>
          <w:color w:val="000000"/>
          <w:sz w:val="24"/>
          <w:szCs w:val="24"/>
        </w:rPr>
        <w:t>African Journal of Education Studies, 24</w:t>
      </w:r>
      <w:r>
        <w:rPr>
          <w:color w:val="000000"/>
          <w:sz w:val="24"/>
          <w:szCs w:val="24"/>
        </w:rPr>
        <w:t>(3), 23-35.</w:t>
      </w:r>
    </w:p>
    <w:p w14:paraId="340382D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Nairobi University. (2022). Community Challenges and Their Impact on Educat</w:t>
      </w:r>
      <w:r>
        <w:rPr>
          <w:color w:val="000000"/>
          <w:sz w:val="24"/>
          <w:szCs w:val="24"/>
        </w:rPr>
        <w:t>ion in Garissa: A</w:t>
      </w:r>
      <w:r>
        <w:rPr>
          <w:color w:val="000000"/>
          <w:sz w:val="24"/>
          <w:szCs w:val="24"/>
        </w:rPr>
        <w:tab/>
        <w:t xml:space="preserve">Study. </w:t>
      </w:r>
      <w:r>
        <w:rPr>
          <w:i/>
          <w:color w:val="000000"/>
          <w:sz w:val="24"/>
          <w:szCs w:val="24"/>
        </w:rPr>
        <w:t>Journal of Educational Research in Africa, 15</w:t>
      </w:r>
      <w:r>
        <w:rPr>
          <w:color w:val="000000"/>
          <w:sz w:val="24"/>
          <w:szCs w:val="24"/>
        </w:rPr>
        <w:t>(2), 112-128.</w:t>
      </w:r>
    </w:p>
    <w:p w14:paraId="05C0295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Njuguna, W., </w:t>
      </w:r>
      <w:proofErr w:type="spellStart"/>
      <w:r>
        <w:rPr>
          <w:color w:val="000000"/>
          <w:sz w:val="24"/>
          <w:szCs w:val="24"/>
        </w:rPr>
        <w:t>Ngure</w:t>
      </w:r>
      <w:proofErr w:type="spellEnd"/>
      <w:r>
        <w:rPr>
          <w:color w:val="000000"/>
          <w:sz w:val="24"/>
          <w:szCs w:val="24"/>
        </w:rPr>
        <w:t>, P., &amp; Omondi, D. (2019). ICT Integration and Teacher Development in</w:t>
      </w:r>
      <w:r>
        <w:rPr>
          <w:color w:val="000000"/>
          <w:sz w:val="24"/>
          <w:szCs w:val="24"/>
        </w:rPr>
        <w:tab/>
        <w:t xml:space="preserve">Kenya: Opportunities and Challenges. </w:t>
      </w:r>
      <w:r>
        <w:rPr>
          <w:i/>
          <w:color w:val="000000"/>
          <w:sz w:val="24"/>
          <w:szCs w:val="24"/>
        </w:rPr>
        <w:t>Kenya National ICT Policy Review, 1</w:t>
      </w:r>
      <w:r>
        <w:rPr>
          <w:color w:val="000000"/>
          <w:sz w:val="24"/>
          <w:szCs w:val="24"/>
        </w:rPr>
        <w:t>, 1-15.</w:t>
      </w:r>
    </w:p>
    <w:p w14:paraId="37FF766E"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Ochi</w:t>
      </w:r>
      <w:r>
        <w:rPr>
          <w:color w:val="000000"/>
          <w:sz w:val="24"/>
          <w:szCs w:val="24"/>
        </w:rPr>
        <w:t>eng, E. O. (2019). Availability of teaching resources and student motivation in secondary</w:t>
      </w:r>
      <w:r>
        <w:rPr>
          <w:color w:val="000000"/>
          <w:sz w:val="24"/>
          <w:szCs w:val="24"/>
        </w:rPr>
        <w:tab/>
        <w:t xml:space="preserve">schools in Kenya. </w:t>
      </w:r>
      <w:r>
        <w:rPr>
          <w:i/>
          <w:color w:val="000000"/>
          <w:sz w:val="24"/>
          <w:szCs w:val="24"/>
        </w:rPr>
        <w:t>Educational Research Journal, 11</w:t>
      </w:r>
      <w:r>
        <w:rPr>
          <w:color w:val="000000"/>
          <w:sz w:val="24"/>
          <w:szCs w:val="24"/>
        </w:rPr>
        <w:t>(1), 25-34.</w:t>
      </w:r>
    </w:p>
    <w:p w14:paraId="5E6F22C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OECD. (2020). </w:t>
      </w:r>
      <w:r>
        <w:rPr>
          <w:i/>
          <w:color w:val="000000"/>
          <w:sz w:val="24"/>
          <w:szCs w:val="24"/>
        </w:rPr>
        <w:t>Education at a Glance 2020: OECD Indicators</w:t>
      </w:r>
      <w:r>
        <w:rPr>
          <w:color w:val="000000"/>
          <w:sz w:val="24"/>
          <w:szCs w:val="24"/>
        </w:rPr>
        <w:t>. OECD Publishing.</w:t>
      </w:r>
    </w:p>
    <w:p w14:paraId="68968E80"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OECD. (2019). </w:t>
      </w:r>
      <w:r>
        <w:rPr>
          <w:i/>
          <w:color w:val="000000"/>
          <w:sz w:val="24"/>
          <w:szCs w:val="24"/>
        </w:rPr>
        <w:t>Teaching in Fo</w:t>
      </w:r>
      <w:r>
        <w:rPr>
          <w:i/>
          <w:color w:val="000000"/>
          <w:sz w:val="24"/>
          <w:szCs w:val="24"/>
        </w:rPr>
        <w:t>cus: Supporting Teachers' Digital Competence</w:t>
      </w:r>
      <w:r>
        <w:rPr>
          <w:color w:val="000000"/>
          <w:sz w:val="24"/>
          <w:szCs w:val="24"/>
        </w:rPr>
        <w:t>. OECD.</w:t>
      </w:r>
    </w:p>
    <w:p w14:paraId="72E5ACA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OECD. (2018). </w:t>
      </w:r>
      <w:r>
        <w:rPr>
          <w:i/>
          <w:color w:val="000000"/>
          <w:sz w:val="24"/>
          <w:szCs w:val="24"/>
        </w:rPr>
        <w:t>The Future of Education and Skills: Education 2030</w:t>
      </w:r>
      <w:r>
        <w:rPr>
          <w:color w:val="000000"/>
          <w:sz w:val="24"/>
          <w:szCs w:val="24"/>
        </w:rPr>
        <w:t>. OECD Publishing.</w:t>
      </w:r>
    </w:p>
    <w:p w14:paraId="701D4893"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Okebukola</w:t>
      </w:r>
      <w:proofErr w:type="spellEnd"/>
      <w:r>
        <w:rPr>
          <w:color w:val="000000"/>
          <w:sz w:val="24"/>
          <w:szCs w:val="24"/>
        </w:rPr>
        <w:t xml:space="preserve">, P. (2017). Innovative teaching methods in higher education in Africa. </w:t>
      </w:r>
      <w:r>
        <w:rPr>
          <w:i/>
          <w:color w:val="000000"/>
          <w:sz w:val="24"/>
          <w:szCs w:val="24"/>
        </w:rPr>
        <w:t>International</w:t>
      </w:r>
      <w:r>
        <w:rPr>
          <w:i/>
          <w:color w:val="000000"/>
          <w:sz w:val="24"/>
          <w:szCs w:val="24"/>
        </w:rPr>
        <w:tab/>
        <w:t>Journal of Educational Res</w:t>
      </w:r>
      <w:r>
        <w:rPr>
          <w:i/>
          <w:color w:val="000000"/>
          <w:sz w:val="24"/>
          <w:szCs w:val="24"/>
        </w:rPr>
        <w:t>earch, 85</w:t>
      </w:r>
      <w:r>
        <w:rPr>
          <w:color w:val="000000"/>
          <w:sz w:val="24"/>
          <w:szCs w:val="24"/>
        </w:rPr>
        <w:t>, 106-116.</w:t>
      </w:r>
    </w:p>
    <w:p w14:paraId="2E761B60"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Piaget, J. (1973). </w:t>
      </w:r>
      <w:r>
        <w:rPr>
          <w:i/>
          <w:color w:val="000000"/>
          <w:sz w:val="24"/>
          <w:szCs w:val="24"/>
        </w:rPr>
        <w:t>To understand is to invent: The future of education</w:t>
      </w:r>
      <w:r>
        <w:rPr>
          <w:color w:val="000000"/>
          <w:sz w:val="24"/>
          <w:szCs w:val="24"/>
        </w:rPr>
        <w:t>. Viking Press.</w:t>
      </w:r>
    </w:p>
    <w:p w14:paraId="040501F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Republic of Kenya. (2018). </w:t>
      </w:r>
      <w:r>
        <w:rPr>
          <w:i/>
          <w:color w:val="000000"/>
          <w:sz w:val="24"/>
          <w:szCs w:val="24"/>
        </w:rPr>
        <w:t xml:space="preserve">Education Sector Support </w:t>
      </w:r>
      <w:proofErr w:type="spellStart"/>
      <w:r>
        <w:rPr>
          <w:i/>
          <w:color w:val="000000"/>
          <w:sz w:val="24"/>
          <w:szCs w:val="24"/>
        </w:rPr>
        <w:t>Programme</w:t>
      </w:r>
      <w:proofErr w:type="spellEnd"/>
      <w:r>
        <w:rPr>
          <w:i/>
          <w:color w:val="000000"/>
          <w:sz w:val="24"/>
          <w:szCs w:val="24"/>
        </w:rPr>
        <w:t xml:space="preserve"> 2018-2022</w:t>
      </w:r>
      <w:r>
        <w:rPr>
          <w:color w:val="000000"/>
          <w:sz w:val="24"/>
          <w:szCs w:val="24"/>
        </w:rPr>
        <w:t>. Ministry of</w:t>
      </w:r>
      <w:r>
        <w:rPr>
          <w:color w:val="000000"/>
          <w:sz w:val="24"/>
          <w:szCs w:val="24"/>
        </w:rPr>
        <w:tab/>
        <w:t>Education.</w:t>
      </w:r>
    </w:p>
    <w:p w14:paraId="4F298DF7"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Ryan, R. M., &amp; Deci, E. L. (2000). Self-Determination </w:t>
      </w:r>
      <w:r>
        <w:rPr>
          <w:color w:val="000000"/>
          <w:sz w:val="24"/>
          <w:szCs w:val="24"/>
        </w:rPr>
        <w:t>Theory and the Facilitation of Intrinsic</w:t>
      </w:r>
      <w:r>
        <w:rPr>
          <w:color w:val="000000"/>
          <w:sz w:val="24"/>
          <w:szCs w:val="24"/>
        </w:rPr>
        <w:tab/>
        <w:t xml:space="preserve">Motivation, Social Development, and Well-Being. </w:t>
      </w:r>
      <w:r>
        <w:rPr>
          <w:i/>
          <w:color w:val="000000"/>
          <w:sz w:val="24"/>
          <w:szCs w:val="24"/>
        </w:rPr>
        <w:t>American Psychologist, 55</w:t>
      </w:r>
      <w:r>
        <w:rPr>
          <w:color w:val="000000"/>
          <w:sz w:val="24"/>
          <w:szCs w:val="24"/>
        </w:rPr>
        <w:t>(1), 68-78.</w:t>
      </w:r>
    </w:p>
    <w:p w14:paraId="083814C6"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Saunders, M.N.K., Lewis, P. and Thornhill, A. (2019) Research Methods for Business Students.</w:t>
      </w:r>
      <w:r>
        <w:rPr>
          <w:color w:val="000000"/>
          <w:sz w:val="24"/>
          <w:szCs w:val="24"/>
        </w:rPr>
        <w:tab/>
        <w:t>8</w:t>
      </w:r>
      <w:r>
        <w:rPr>
          <w:color w:val="000000"/>
          <w:sz w:val="24"/>
          <w:szCs w:val="24"/>
          <w:vertAlign w:val="superscript"/>
        </w:rPr>
        <w:t>th</w:t>
      </w:r>
      <w:r>
        <w:rPr>
          <w:color w:val="000000"/>
          <w:sz w:val="24"/>
          <w:szCs w:val="24"/>
        </w:rPr>
        <w:t xml:space="preserve"> Edition, Pearson, New York.</w:t>
      </w:r>
    </w:p>
    <w:p w14:paraId="6A81B3D0"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Saver</w:t>
      </w:r>
      <w:r>
        <w:rPr>
          <w:color w:val="000000"/>
          <w:sz w:val="24"/>
          <w:szCs w:val="24"/>
        </w:rPr>
        <w:t>y</w:t>
      </w:r>
      <w:proofErr w:type="spellEnd"/>
      <w:r>
        <w:rPr>
          <w:color w:val="000000"/>
          <w:sz w:val="24"/>
          <w:szCs w:val="24"/>
        </w:rPr>
        <w:t>, J. R. (2006). Overview of problem-based learning: Definitions and distinctions.</w:t>
      </w:r>
      <w:r>
        <w:rPr>
          <w:color w:val="000000"/>
          <w:sz w:val="24"/>
          <w:szCs w:val="24"/>
        </w:rPr>
        <w:tab/>
      </w:r>
      <w:r>
        <w:rPr>
          <w:i/>
          <w:color w:val="000000"/>
          <w:sz w:val="24"/>
          <w:szCs w:val="24"/>
        </w:rPr>
        <w:t>Interdisciplinary Journal of Problem-based Learning, 1</w:t>
      </w:r>
      <w:r>
        <w:rPr>
          <w:color w:val="000000"/>
          <w:sz w:val="24"/>
          <w:szCs w:val="24"/>
        </w:rPr>
        <w:t>(1), 9-20.</w:t>
      </w:r>
    </w:p>
    <w:p w14:paraId="0CDC2222"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Schinke, R. J., &amp; Gilchrist, L. (1993). </w:t>
      </w:r>
      <w:r>
        <w:rPr>
          <w:i/>
          <w:color w:val="000000"/>
          <w:sz w:val="24"/>
          <w:szCs w:val="24"/>
        </w:rPr>
        <w:t>Research methods in psychology: A handbook</w:t>
      </w:r>
      <w:r>
        <w:rPr>
          <w:color w:val="000000"/>
          <w:sz w:val="24"/>
          <w:szCs w:val="24"/>
        </w:rPr>
        <w:t>. Harcourt</w:t>
      </w:r>
      <w:r>
        <w:rPr>
          <w:color w:val="000000"/>
          <w:sz w:val="24"/>
          <w:szCs w:val="24"/>
        </w:rPr>
        <w:tab/>
        <w:t>Brace.</w:t>
      </w:r>
    </w:p>
    <w:p w14:paraId="74163795"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Schunk, </w:t>
      </w:r>
      <w:r>
        <w:rPr>
          <w:color w:val="000000"/>
          <w:sz w:val="24"/>
          <w:szCs w:val="24"/>
        </w:rPr>
        <w:t>D. H., &amp; DiBenedetto, M. K. (2020). Motivation and Social Cognitive Theory: An</w:t>
      </w:r>
      <w:r>
        <w:rPr>
          <w:color w:val="000000"/>
          <w:sz w:val="24"/>
          <w:szCs w:val="24"/>
        </w:rPr>
        <w:tab/>
        <w:t xml:space="preserve">Introduction and Overview. </w:t>
      </w:r>
      <w:r>
        <w:rPr>
          <w:i/>
          <w:color w:val="000000"/>
          <w:sz w:val="24"/>
          <w:szCs w:val="24"/>
        </w:rPr>
        <w:t>Educational Psychologist, 55</w:t>
      </w:r>
      <w:r>
        <w:rPr>
          <w:color w:val="000000"/>
          <w:sz w:val="24"/>
          <w:szCs w:val="24"/>
        </w:rPr>
        <w:t>(2), 1-8.</w:t>
      </w:r>
    </w:p>
    <w:p w14:paraId="135F490A"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Sernau</w:t>
      </w:r>
      <w:proofErr w:type="spellEnd"/>
      <w:r>
        <w:rPr>
          <w:color w:val="000000"/>
          <w:sz w:val="24"/>
          <w:szCs w:val="24"/>
        </w:rPr>
        <w:t xml:space="preserve">, S., </w:t>
      </w:r>
      <w:proofErr w:type="spellStart"/>
      <w:r>
        <w:rPr>
          <w:color w:val="000000"/>
          <w:sz w:val="24"/>
          <w:szCs w:val="24"/>
        </w:rPr>
        <w:t>Kinyanjui</w:t>
      </w:r>
      <w:proofErr w:type="spellEnd"/>
      <w:r>
        <w:rPr>
          <w:color w:val="000000"/>
          <w:sz w:val="24"/>
          <w:szCs w:val="24"/>
        </w:rPr>
        <w:t xml:space="preserve">, M., &amp; Kamau, M. (2019). </w:t>
      </w:r>
      <w:r>
        <w:rPr>
          <w:i/>
          <w:color w:val="000000"/>
          <w:sz w:val="24"/>
          <w:szCs w:val="24"/>
        </w:rPr>
        <w:t>Mobile Learning in Kenya: A Case Study of M</w:t>
      </w:r>
      <w:r>
        <w:rPr>
          <w:i/>
          <w:color w:val="000000"/>
          <w:sz w:val="24"/>
          <w:szCs w:val="24"/>
        </w:rPr>
        <w:tab/>
      </w:r>
      <w:proofErr w:type="spellStart"/>
      <w:r>
        <w:rPr>
          <w:i/>
          <w:color w:val="000000"/>
          <w:sz w:val="24"/>
          <w:szCs w:val="24"/>
        </w:rPr>
        <w:t>Shule</w:t>
      </w:r>
      <w:proofErr w:type="spellEnd"/>
      <w:r>
        <w:rPr>
          <w:color w:val="000000"/>
          <w:sz w:val="24"/>
          <w:szCs w:val="24"/>
        </w:rPr>
        <w:t>. UNESCO.</w:t>
      </w:r>
    </w:p>
    <w:p w14:paraId="4981CC7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Shulma</w:t>
      </w:r>
      <w:r>
        <w:rPr>
          <w:color w:val="000000"/>
          <w:sz w:val="24"/>
          <w:szCs w:val="24"/>
        </w:rPr>
        <w:t xml:space="preserve">n, L. S. (1986). Those who understand: Knowledge growth in teaching. </w:t>
      </w:r>
      <w:r>
        <w:rPr>
          <w:i/>
          <w:color w:val="000000"/>
          <w:sz w:val="24"/>
          <w:szCs w:val="24"/>
        </w:rPr>
        <w:t>Educational</w:t>
      </w:r>
      <w:r>
        <w:rPr>
          <w:i/>
          <w:color w:val="000000"/>
          <w:sz w:val="24"/>
          <w:szCs w:val="24"/>
        </w:rPr>
        <w:tab/>
        <w:t>Researcher, 15</w:t>
      </w:r>
      <w:r>
        <w:rPr>
          <w:color w:val="000000"/>
          <w:sz w:val="24"/>
          <w:szCs w:val="24"/>
        </w:rPr>
        <w:t>(2), 4-14.</w:t>
      </w:r>
    </w:p>
    <w:p w14:paraId="138EB8AC"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Sifuna</w:t>
      </w:r>
      <w:proofErr w:type="spellEnd"/>
      <w:r>
        <w:rPr>
          <w:color w:val="000000"/>
          <w:sz w:val="24"/>
          <w:szCs w:val="24"/>
        </w:rPr>
        <w:t>, D. N. (2017). The Role of Teachers in the Implementation of Culturally Relevant</w:t>
      </w:r>
      <w:r>
        <w:rPr>
          <w:color w:val="000000"/>
          <w:sz w:val="24"/>
          <w:szCs w:val="24"/>
        </w:rPr>
        <w:tab/>
        <w:t xml:space="preserve">Pedagogy in Kenya. </w:t>
      </w:r>
      <w:r>
        <w:rPr>
          <w:i/>
          <w:color w:val="000000"/>
          <w:sz w:val="24"/>
          <w:szCs w:val="24"/>
        </w:rPr>
        <w:t>International Journal of Educational Resear</w:t>
      </w:r>
      <w:r>
        <w:rPr>
          <w:i/>
          <w:color w:val="000000"/>
          <w:sz w:val="24"/>
          <w:szCs w:val="24"/>
        </w:rPr>
        <w:t>ch, 9</w:t>
      </w:r>
      <w:r>
        <w:rPr>
          <w:color w:val="000000"/>
          <w:sz w:val="24"/>
          <w:szCs w:val="24"/>
        </w:rPr>
        <w:t>(1), 45-58.</w:t>
      </w:r>
    </w:p>
    <w:p w14:paraId="654F491E"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lastRenderedPageBreak/>
        <w:t xml:space="preserve">Stover, J. B., </w:t>
      </w:r>
      <w:proofErr w:type="spellStart"/>
      <w:r>
        <w:rPr>
          <w:color w:val="000000"/>
          <w:sz w:val="24"/>
          <w:szCs w:val="24"/>
        </w:rPr>
        <w:t>Iglesia</w:t>
      </w:r>
      <w:proofErr w:type="spellEnd"/>
      <w:r>
        <w:rPr>
          <w:color w:val="000000"/>
          <w:sz w:val="24"/>
          <w:szCs w:val="24"/>
        </w:rPr>
        <w:t xml:space="preserve">, G., </w:t>
      </w:r>
      <w:proofErr w:type="spellStart"/>
      <w:r>
        <w:rPr>
          <w:color w:val="000000"/>
          <w:sz w:val="24"/>
          <w:szCs w:val="24"/>
        </w:rPr>
        <w:t>Boubeta</w:t>
      </w:r>
      <w:proofErr w:type="spellEnd"/>
      <w:r>
        <w:rPr>
          <w:color w:val="000000"/>
          <w:sz w:val="24"/>
          <w:szCs w:val="24"/>
        </w:rPr>
        <w:t xml:space="preserve">, A. R., &amp; </w:t>
      </w:r>
      <w:proofErr w:type="spellStart"/>
      <w:r>
        <w:rPr>
          <w:color w:val="000000"/>
          <w:sz w:val="24"/>
          <w:szCs w:val="24"/>
        </w:rPr>
        <w:t>Liporace</w:t>
      </w:r>
      <w:proofErr w:type="spellEnd"/>
      <w:r>
        <w:rPr>
          <w:color w:val="000000"/>
          <w:sz w:val="24"/>
          <w:szCs w:val="24"/>
        </w:rPr>
        <w:t>, M. F. (2012). Academic motivation scale:</w:t>
      </w:r>
      <w:r>
        <w:rPr>
          <w:color w:val="000000"/>
          <w:sz w:val="24"/>
          <w:szCs w:val="24"/>
        </w:rPr>
        <w:tab/>
        <w:t xml:space="preserve">Adaptation and psychometric analyses for high school and college students. </w:t>
      </w:r>
      <w:r>
        <w:rPr>
          <w:i/>
          <w:color w:val="000000"/>
          <w:sz w:val="24"/>
          <w:szCs w:val="24"/>
        </w:rPr>
        <w:t>Psychology</w:t>
      </w:r>
      <w:r>
        <w:rPr>
          <w:i/>
          <w:color w:val="000000"/>
          <w:sz w:val="24"/>
          <w:szCs w:val="24"/>
        </w:rPr>
        <w:tab/>
        <w:t>Research and Behavior Management, 5</w:t>
      </w:r>
      <w:r>
        <w:rPr>
          <w:color w:val="000000"/>
          <w:sz w:val="24"/>
          <w:szCs w:val="24"/>
        </w:rPr>
        <w:t>, 71-83.</w:t>
      </w:r>
    </w:p>
    <w:p w14:paraId="2DB4EB4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Thomas, J. W</w:t>
      </w:r>
      <w:r>
        <w:rPr>
          <w:color w:val="000000"/>
          <w:sz w:val="24"/>
          <w:szCs w:val="24"/>
        </w:rPr>
        <w:t xml:space="preserve">. (2000). </w:t>
      </w:r>
      <w:r>
        <w:rPr>
          <w:i/>
          <w:color w:val="000000"/>
          <w:sz w:val="24"/>
          <w:szCs w:val="24"/>
        </w:rPr>
        <w:t>A Review of Research on Project-Based Learning</w:t>
      </w:r>
      <w:r>
        <w:rPr>
          <w:color w:val="000000"/>
          <w:sz w:val="24"/>
          <w:szCs w:val="24"/>
        </w:rPr>
        <w:t>. Buck Institute for</w:t>
      </w:r>
      <w:r>
        <w:rPr>
          <w:color w:val="000000"/>
          <w:sz w:val="24"/>
          <w:szCs w:val="24"/>
        </w:rPr>
        <w:tab/>
        <w:t>Education.</w:t>
      </w:r>
    </w:p>
    <w:p w14:paraId="10B3B5E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UNESCO. (2020). </w:t>
      </w:r>
      <w:r>
        <w:rPr>
          <w:i/>
          <w:color w:val="000000"/>
          <w:sz w:val="24"/>
          <w:szCs w:val="24"/>
        </w:rPr>
        <w:t>Global Education Monitoring Report 2020: Inclusion and Education</w:t>
      </w:r>
      <w:r>
        <w:rPr>
          <w:color w:val="000000"/>
          <w:sz w:val="24"/>
          <w:szCs w:val="24"/>
        </w:rPr>
        <w:t>.</w:t>
      </w:r>
      <w:r>
        <w:rPr>
          <w:color w:val="000000"/>
          <w:sz w:val="24"/>
          <w:szCs w:val="24"/>
        </w:rPr>
        <w:tab/>
        <w:t>UNESCO.</w:t>
      </w:r>
    </w:p>
    <w:p w14:paraId="59570D7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UNESCO. (2019). </w:t>
      </w:r>
      <w:r>
        <w:rPr>
          <w:i/>
          <w:color w:val="000000"/>
          <w:sz w:val="24"/>
          <w:szCs w:val="24"/>
        </w:rPr>
        <w:t>ICT for Education in Africa: Bridging the Digital Divide</w:t>
      </w:r>
      <w:r>
        <w:rPr>
          <w:color w:val="000000"/>
          <w:sz w:val="24"/>
          <w:szCs w:val="24"/>
        </w:rPr>
        <w:t xml:space="preserve">. </w:t>
      </w:r>
      <w:r>
        <w:rPr>
          <w:color w:val="000000"/>
          <w:sz w:val="24"/>
          <w:szCs w:val="24"/>
        </w:rPr>
        <w:t>UNESCO Regional</w:t>
      </w:r>
      <w:r>
        <w:rPr>
          <w:color w:val="000000"/>
          <w:sz w:val="24"/>
          <w:szCs w:val="24"/>
        </w:rPr>
        <w:tab/>
        <w:t>Office for Education in Africa.</w:t>
      </w:r>
    </w:p>
    <w:p w14:paraId="7BACECFD"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UNESCO. (2015a). </w:t>
      </w:r>
      <w:r>
        <w:rPr>
          <w:i/>
          <w:color w:val="000000"/>
          <w:sz w:val="24"/>
          <w:szCs w:val="24"/>
        </w:rPr>
        <w:t>Education for Sustainable Development Goals: Learning Objectives</w:t>
      </w:r>
      <w:r>
        <w:rPr>
          <w:color w:val="000000"/>
          <w:sz w:val="24"/>
          <w:szCs w:val="24"/>
        </w:rPr>
        <w:t>.</w:t>
      </w:r>
      <w:r>
        <w:rPr>
          <w:color w:val="000000"/>
          <w:sz w:val="24"/>
          <w:szCs w:val="24"/>
        </w:rPr>
        <w:tab/>
        <w:t>UNESCO.</w:t>
      </w:r>
    </w:p>
    <w:p w14:paraId="340CA6CA"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UNESCO. (2015b). </w:t>
      </w:r>
      <w:r>
        <w:rPr>
          <w:i/>
          <w:color w:val="000000"/>
          <w:sz w:val="24"/>
          <w:szCs w:val="24"/>
        </w:rPr>
        <w:t>The 2015 Global Education Monitoring Report: Education for All 2015</w:t>
      </w:r>
      <w:r>
        <w:rPr>
          <w:color w:val="000000"/>
          <w:sz w:val="24"/>
          <w:szCs w:val="24"/>
        </w:rPr>
        <w:t>.</w:t>
      </w:r>
      <w:r>
        <w:rPr>
          <w:color w:val="000000"/>
          <w:sz w:val="24"/>
          <w:szCs w:val="24"/>
        </w:rPr>
        <w:tab/>
        <w:t>UNESCO.</w:t>
      </w:r>
    </w:p>
    <w:p w14:paraId="6467570B"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UNICEF. (2020). </w:t>
      </w:r>
      <w:r>
        <w:rPr>
          <w:i/>
          <w:color w:val="000000"/>
          <w:sz w:val="24"/>
          <w:szCs w:val="24"/>
        </w:rPr>
        <w:t>Engagin</w:t>
      </w:r>
      <w:r>
        <w:rPr>
          <w:i/>
          <w:color w:val="000000"/>
          <w:sz w:val="24"/>
          <w:szCs w:val="24"/>
        </w:rPr>
        <w:t>g Families in Education: A Guide for Teachers</w:t>
      </w:r>
      <w:r>
        <w:rPr>
          <w:color w:val="000000"/>
          <w:sz w:val="24"/>
          <w:szCs w:val="24"/>
        </w:rPr>
        <w:t>. UNICEF.</w:t>
      </w:r>
    </w:p>
    <w:p w14:paraId="6B831BA8"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 xml:space="preserve">Vygotsky, L. S. (1978). </w:t>
      </w:r>
      <w:r>
        <w:rPr>
          <w:i/>
          <w:color w:val="000000"/>
          <w:sz w:val="24"/>
          <w:szCs w:val="24"/>
        </w:rPr>
        <w:t>Mind in society: The development of higher psychological processes</w:t>
      </w:r>
      <w:r>
        <w:rPr>
          <w:color w:val="000000"/>
          <w:sz w:val="24"/>
          <w:szCs w:val="24"/>
        </w:rPr>
        <w:t>.</w:t>
      </w:r>
      <w:r>
        <w:rPr>
          <w:color w:val="000000"/>
          <w:sz w:val="24"/>
          <w:szCs w:val="24"/>
        </w:rPr>
        <w:tab/>
        <w:t>Harvard University Press.</w:t>
      </w:r>
    </w:p>
    <w:p w14:paraId="1FC8F3FE"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Wango</w:t>
      </w:r>
      <w:proofErr w:type="spellEnd"/>
      <w:r>
        <w:rPr>
          <w:color w:val="000000"/>
          <w:sz w:val="24"/>
          <w:szCs w:val="24"/>
        </w:rPr>
        <w:t xml:space="preserve">, G., &amp; Mungai, N. (2007). Teacher preparedness and the implementation of the </w:t>
      </w:r>
      <w:r>
        <w:rPr>
          <w:color w:val="000000"/>
          <w:sz w:val="24"/>
          <w:szCs w:val="24"/>
        </w:rPr>
        <w:t>8-4-4</w:t>
      </w:r>
      <w:r>
        <w:rPr>
          <w:color w:val="000000"/>
          <w:sz w:val="24"/>
          <w:szCs w:val="24"/>
        </w:rPr>
        <w:tab/>
        <w:t xml:space="preserve">curriculum in Kenya. </w:t>
      </w:r>
      <w:r>
        <w:rPr>
          <w:i/>
          <w:color w:val="000000"/>
          <w:sz w:val="24"/>
          <w:szCs w:val="24"/>
        </w:rPr>
        <w:t>Journal of International Education Research, 3</w:t>
      </w:r>
      <w:r>
        <w:rPr>
          <w:color w:val="000000"/>
          <w:sz w:val="24"/>
          <w:szCs w:val="24"/>
        </w:rPr>
        <w:t>(4), 67-76.</w:t>
      </w:r>
    </w:p>
    <w:p w14:paraId="7B4529C4"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Warfa</w:t>
      </w:r>
      <w:proofErr w:type="spellEnd"/>
      <w:r>
        <w:rPr>
          <w:color w:val="000000"/>
          <w:sz w:val="24"/>
          <w:szCs w:val="24"/>
        </w:rPr>
        <w:t xml:space="preserve">, A. O., </w:t>
      </w:r>
      <w:proofErr w:type="spellStart"/>
      <w:r>
        <w:rPr>
          <w:color w:val="000000"/>
          <w:sz w:val="24"/>
          <w:szCs w:val="24"/>
        </w:rPr>
        <w:t>Mwangangi</w:t>
      </w:r>
      <w:proofErr w:type="spellEnd"/>
      <w:r>
        <w:rPr>
          <w:color w:val="000000"/>
          <w:sz w:val="24"/>
          <w:szCs w:val="24"/>
        </w:rPr>
        <w:t xml:space="preserve">, I., &amp; </w:t>
      </w:r>
      <w:proofErr w:type="spellStart"/>
      <w:r>
        <w:rPr>
          <w:color w:val="000000"/>
          <w:sz w:val="24"/>
          <w:szCs w:val="24"/>
        </w:rPr>
        <w:t>Mumo</w:t>
      </w:r>
      <w:proofErr w:type="spellEnd"/>
      <w:r>
        <w:rPr>
          <w:color w:val="000000"/>
          <w:sz w:val="24"/>
          <w:szCs w:val="24"/>
        </w:rPr>
        <w:t>, R. M. (2023). An evaluation of curriculum supervision as</w:t>
      </w:r>
      <w:r>
        <w:rPr>
          <w:color w:val="000000"/>
          <w:sz w:val="24"/>
          <w:szCs w:val="24"/>
        </w:rPr>
        <w:tab/>
        <w:t xml:space="preserve">a means of attaining academic excellence in public secondary schools in </w:t>
      </w:r>
      <w:proofErr w:type="spellStart"/>
      <w:r>
        <w:rPr>
          <w:color w:val="000000"/>
          <w:sz w:val="24"/>
          <w:szCs w:val="24"/>
        </w:rPr>
        <w:t>Matun</w:t>
      </w:r>
      <w:r>
        <w:rPr>
          <w:color w:val="000000"/>
          <w:sz w:val="24"/>
          <w:szCs w:val="24"/>
        </w:rPr>
        <w:t>gulu</w:t>
      </w:r>
      <w:proofErr w:type="spellEnd"/>
      <w:r>
        <w:rPr>
          <w:color w:val="000000"/>
          <w:sz w:val="24"/>
          <w:szCs w:val="24"/>
        </w:rPr>
        <w:t xml:space="preserve"> Sub</w:t>
      </w:r>
      <w:r>
        <w:rPr>
          <w:color w:val="000000"/>
          <w:sz w:val="24"/>
          <w:szCs w:val="24"/>
        </w:rPr>
        <w:tab/>
        <w:t xml:space="preserve">County, Machakos County, Kenya. </w:t>
      </w:r>
      <w:r>
        <w:rPr>
          <w:i/>
          <w:color w:val="000000"/>
          <w:sz w:val="24"/>
          <w:szCs w:val="24"/>
        </w:rPr>
        <w:t>Journal of Popular Education in Africa, 7</w:t>
      </w:r>
      <w:r>
        <w:rPr>
          <w:color w:val="000000"/>
          <w:sz w:val="24"/>
          <w:szCs w:val="24"/>
        </w:rPr>
        <w:t>(3), 53–65.</w:t>
      </w:r>
    </w:p>
    <w:p w14:paraId="276043E2"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Wentzel, K. R. (2010). Students' Relationships with Teachers as Motivational Contexts. In</w:t>
      </w:r>
      <w:r>
        <w:rPr>
          <w:color w:val="000000"/>
          <w:sz w:val="24"/>
          <w:szCs w:val="24"/>
        </w:rPr>
        <w:tab/>
      </w:r>
      <w:r>
        <w:rPr>
          <w:i/>
          <w:color w:val="000000"/>
          <w:sz w:val="24"/>
          <w:szCs w:val="24"/>
        </w:rPr>
        <w:t>Handbook of Motivation at School</w:t>
      </w:r>
      <w:r>
        <w:rPr>
          <w:color w:val="000000"/>
          <w:sz w:val="24"/>
          <w:szCs w:val="24"/>
        </w:rPr>
        <w:t xml:space="preserve"> (pp. 301-322).</w:t>
      </w:r>
    </w:p>
    <w:p w14:paraId="3318FC5C" w14:textId="77777777" w:rsidR="00891A7D" w:rsidRDefault="00CE0344">
      <w:pPr>
        <w:widowControl/>
        <w:pBdr>
          <w:top w:val="nil"/>
          <w:left w:val="nil"/>
          <w:bottom w:val="nil"/>
          <w:right w:val="nil"/>
          <w:between w:val="nil"/>
        </w:pBdr>
        <w:jc w:val="both"/>
        <w:rPr>
          <w:color w:val="000000"/>
          <w:sz w:val="24"/>
          <w:szCs w:val="24"/>
        </w:rPr>
      </w:pPr>
      <w:r>
        <w:rPr>
          <w:color w:val="000000"/>
          <w:sz w:val="24"/>
          <w:szCs w:val="24"/>
        </w:rPr>
        <w:t>World Economic Forum. (2</w:t>
      </w:r>
      <w:r>
        <w:rPr>
          <w:color w:val="000000"/>
          <w:sz w:val="24"/>
          <w:szCs w:val="24"/>
        </w:rPr>
        <w:t xml:space="preserve">020). </w:t>
      </w:r>
      <w:r>
        <w:rPr>
          <w:i/>
          <w:color w:val="000000"/>
          <w:sz w:val="24"/>
          <w:szCs w:val="24"/>
        </w:rPr>
        <w:t>The Impact of Technology on Education: A Mixed Report</w:t>
      </w:r>
      <w:r>
        <w:rPr>
          <w:color w:val="000000"/>
          <w:sz w:val="24"/>
          <w:szCs w:val="24"/>
        </w:rPr>
        <w:t>.</w:t>
      </w:r>
      <w:r>
        <w:rPr>
          <w:color w:val="000000"/>
          <w:sz w:val="24"/>
          <w:szCs w:val="24"/>
        </w:rPr>
        <w:tab/>
        <w:t>World Economic Forum.</w:t>
      </w:r>
    </w:p>
    <w:p w14:paraId="6096254B" w14:textId="77777777" w:rsidR="00891A7D" w:rsidRDefault="00CE0344">
      <w:pPr>
        <w:widowControl/>
        <w:pBdr>
          <w:top w:val="nil"/>
          <w:left w:val="nil"/>
          <w:bottom w:val="nil"/>
          <w:right w:val="nil"/>
          <w:between w:val="nil"/>
        </w:pBdr>
        <w:jc w:val="both"/>
        <w:rPr>
          <w:color w:val="000000"/>
          <w:sz w:val="24"/>
          <w:szCs w:val="24"/>
        </w:rPr>
      </w:pPr>
      <w:proofErr w:type="spellStart"/>
      <w:r>
        <w:rPr>
          <w:color w:val="000000"/>
          <w:sz w:val="24"/>
          <w:szCs w:val="24"/>
        </w:rPr>
        <w:t>Yaghobi</w:t>
      </w:r>
      <w:proofErr w:type="spellEnd"/>
      <w:r>
        <w:rPr>
          <w:color w:val="000000"/>
          <w:sz w:val="24"/>
          <w:szCs w:val="24"/>
        </w:rPr>
        <w:t>, Y., &amp; Moghaddam, F. (2012). Characteristics of effective teaching from the</w:t>
      </w:r>
      <w:r>
        <w:rPr>
          <w:color w:val="000000"/>
          <w:sz w:val="24"/>
          <w:szCs w:val="24"/>
        </w:rPr>
        <w:tab/>
        <w:t xml:space="preserve">perspective of nursing, midwifery and paramedical students of </w:t>
      </w:r>
      <w:proofErr w:type="spellStart"/>
      <w:r>
        <w:rPr>
          <w:color w:val="000000"/>
          <w:sz w:val="24"/>
          <w:szCs w:val="24"/>
        </w:rPr>
        <w:t>langerood</w:t>
      </w:r>
      <w:proofErr w:type="spellEnd"/>
      <w:r>
        <w:rPr>
          <w:color w:val="000000"/>
          <w:sz w:val="24"/>
          <w:szCs w:val="24"/>
        </w:rPr>
        <w:t xml:space="preserve"> faculty.</w:t>
      </w:r>
      <w:r>
        <w:rPr>
          <w:color w:val="000000"/>
          <w:sz w:val="24"/>
          <w:szCs w:val="24"/>
        </w:rPr>
        <w:tab/>
      </w:r>
      <w:r>
        <w:rPr>
          <w:i/>
          <w:color w:val="000000"/>
          <w:sz w:val="24"/>
          <w:szCs w:val="24"/>
        </w:rPr>
        <w:t>Research</w:t>
      </w:r>
      <w:r>
        <w:rPr>
          <w:i/>
          <w:color w:val="000000"/>
          <w:sz w:val="24"/>
          <w:szCs w:val="24"/>
        </w:rPr>
        <w:t xml:space="preserve"> in Medical Education, 4</w:t>
      </w:r>
      <w:r>
        <w:rPr>
          <w:color w:val="000000"/>
          <w:sz w:val="24"/>
          <w:szCs w:val="24"/>
        </w:rPr>
        <w:t>, 34-40.</w:t>
      </w:r>
    </w:p>
    <w:p w14:paraId="7B21A035" w14:textId="77777777" w:rsidR="00891A7D" w:rsidRDefault="00891A7D">
      <w:pPr>
        <w:pBdr>
          <w:top w:val="nil"/>
          <w:left w:val="nil"/>
          <w:bottom w:val="nil"/>
          <w:right w:val="nil"/>
          <w:between w:val="nil"/>
        </w:pBdr>
        <w:ind w:hanging="720"/>
        <w:jc w:val="both"/>
        <w:rPr>
          <w:color w:val="000000"/>
          <w:sz w:val="24"/>
          <w:szCs w:val="24"/>
        </w:rPr>
      </w:pPr>
    </w:p>
    <w:sectPr w:rsidR="00891A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AFFC5" w14:textId="77777777" w:rsidR="00CE0344" w:rsidRDefault="00CE0344">
      <w:r>
        <w:separator/>
      </w:r>
    </w:p>
  </w:endnote>
  <w:endnote w:type="continuationSeparator" w:id="0">
    <w:p w14:paraId="5BA284F2" w14:textId="77777777" w:rsidR="00CE0344" w:rsidRDefault="00CE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70CE" w14:textId="77777777" w:rsidR="00714FC6" w:rsidRDefault="0071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7225" w14:textId="77777777" w:rsidR="00891A7D" w:rsidRDefault="00CE034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A0EE8">
      <w:rPr>
        <w:noProof/>
        <w:color w:val="000000"/>
      </w:rPr>
      <w:t>1</w:t>
    </w:r>
    <w:r>
      <w:rPr>
        <w:color w:val="000000"/>
      </w:rPr>
      <w:fldChar w:fldCharType="end"/>
    </w:r>
  </w:p>
  <w:p w14:paraId="7807E289" w14:textId="77777777" w:rsidR="00891A7D" w:rsidRDefault="00891A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72C6" w14:textId="77777777" w:rsidR="00714FC6" w:rsidRDefault="0071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EBCFA" w14:textId="77777777" w:rsidR="00CE0344" w:rsidRDefault="00CE0344">
      <w:r>
        <w:separator/>
      </w:r>
    </w:p>
  </w:footnote>
  <w:footnote w:type="continuationSeparator" w:id="0">
    <w:p w14:paraId="3B20255B" w14:textId="77777777" w:rsidR="00CE0344" w:rsidRDefault="00CE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E62D" w14:textId="6F38DE63" w:rsidR="00714FC6" w:rsidRDefault="00714FC6">
    <w:pPr>
      <w:pStyle w:val="Header"/>
    </w:pPr>
    <w:r>
      <w:rPr>
        <w:noProof/>
      </w:rPr>
      <w:pict w14:anchorId="122D4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42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D751" w14:textId="446005F0" w:rsidR="00714FC6" w:rsidRDefault="00714FC6">
    <w:pPr>
      <w:pStyle w:val="Header"/>
    </w:pPr>
    <w:r>
      <w:rPr>
        <w:noProof/>
      </w:rPr>
      <w:pict w14:anchorId="6EDD8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42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03EF" w14:textId="4E04EEA6" w:rsidR="00714FC6" w:rsidRDefault="00714FC6">
    <w:pPr>
      <w:pStyle w:val="Header"/>
    </w:pPr>
    <w:r>
      <w:rPr>
        <w:noProof/>
      </w:rPr>
      <w:pict w14:anchorId="594F3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42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7D"/>
    <w:rsid w:val="00041807"/>
    <w:rsid w:val="000D4116"/>
    <w:rsid w:val="001D5A82"/>
    <w:rsid w:val="002F55AE"/>
    <w:rsid w:val="004F7C19"/>
    <w:rsid w:val="00640955"/>
    <w:rsid w:val="006E744D"/>
    <w:rsid w:val="00714FC6"/>
    <w:rsid w:val="007351C7"/>
    <w:rsid w:val="00795AD7"/>
    <w:rsid w:val="007F06B0"/>
    <w:rsid w:val="00891A7D"/>
    <w:rsid w:val="00900725"/>
    <w:rsid w:val="00903376"/>
    <w:rsid w:val="0091342D"/>
    <w:rsid w:val="009C2587"/>
    <w:rsid w:val="009C4154"/>
    <w:rsid w:val="00AE01F3"/>
    <w:rsid w:val="00B30640"/>
    <w:rsid w:val="00C95A5B"/>
    <w:rsid w:val="00CD1618"/>
    <w:rsid w:val="00CE0344"/>
    <w:rsid w:val="00EA0EE8"/>
    <w:rsid w:val="00ED48B3"/>
    <w:rsid w:val="00F41C4B"/>
    <w:rsid w:val="00FA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D92034"/>
  <w15:docId w15:val="{50F48A32-3662-4251-9E95-DE00E452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Caption">
    <w:name w:val="caption"/>
    <w:basedOn w:val="Normal"/>
    <w:next w:val="Normal"/>
    <w:uiPriority w:val="35"/>
    <w:unhideWhenUsed/>
    <w:qFormat/>
    <w:rsid w:val="009C4154"/>
    <w:pPr>
      <w:spacing w:after="200"/>
    </w:pPr>
    <w:rPr>
      <w:i/>
      <w:iCs/>
      <w:color w:val="1F497D" w:themeColor="text2"/>
      <w:sz w:val="18"/>
      <w:szCs w:val="18"/>
    </w:rPr>
  </w:style>
  <w:style w:type="character" w:styleId="Hyperlink">
    <w:name w:val="Hyperlink"/>
    <w:basedOn w:val="DefaultParagraphFont"/>
    <w:uiPriority w:val="99"/>
    <w:unhideWhenUsed/>
    <w:rsid w:val="004F7C19"/>
    <w:rPr>
      <w:color w:val="0000FF" w:themeColor="hyperlink"/>
      <w:u w:val="single"/>
    </w:rPr>
  </w:style>
  <w:style w:type="character" w:styleId="UnresolvedMention">
    <w:name w:val="Unresolved Mention"/>
    <w:basedOn w:val="DefaultParagraphFont"/>
    <w:uiPriority w:val="99"/>
    <w:semiHidden/>
    <w:unhideWhenUsed/>
    <w:rsid w:val="004F7C19"/>
    <w:rPr>
      <w:color w:val="605E5C"/>
      <w:shd w:val="clear" w:color="auto" w:fill="E1DFDD"/>
    </w:rPr>
  </w:style>
  <w:style w:type="paragraph" w:styleId="Header">
    <w:name w:val="header"/>
    <w:basedOn w:val="Normal"/>
    <w:link w:val="HeaderChar"/>
    <w:uiPriority w:val="99"/>
    <w:unhideWhenUsed/>
    <w:rsid w:val="00714FC6"/>
    <w:pPr>
      <w:tabs>
        <w:tab w:val="center" w:pos="4680"/>
        <w:tab w:val="right" w:pos="9360"/>
      </w:tabs>
    </w:pPr>
  </w:style>
  <w:style w:type="character" w:customStyle="1" w:styleId="HeaderChar">
    <w:name w:val="Header Char"/>
    <w:basedOn w:val="DefaultParagraphFont"/>
    <w:link w:val="Header"/>
    <w:uiPriority w:val="99"/>
    <w:rsid w:val="00714FC6"/>
  </w:style>
  <w:style w:type="paragraph" w:styleId="Footer">
    <w:name w:val="footer"/>
    <w:basedOn w:val="Normal"/>
    <w:link w:val="FooterChar"/>
    <w:uiPriority w:val="99"/>
    <w:unhideWhenUsed/>
    <w:rsid w:val="00714FC6"/>
    <w:pPr>
      <w:tabs>
        <w:tab w:val="center" w:pos="4680"/>
        <w:tab w:val="right" w:pos="9360"/>
      </w:tabs>
    </w:pPr>
  </w:style>
  <w:style w:type="character" w:customStyle="1" w:styleId="FooterChar">
    <w:name w:val="Footer Char"/>
    <w:basedOn w:val="DefaultParagraphFont"/>
    <w:link w:val="Footer"/>
    <w:uiPriority w:val="99"/>
    <w:rsid w:val="0071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309A8-A33D-4049-827D-1D2B8B5D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6248</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1084</cp:lastModifiedBy>
  <cp:revision>13</cp:revision>
  <dcterms:created xsi:type="dcterms:W3CDTF">2025-08-20T04:16:00Z</dcterms:created>
  <dcterms:modified xsi:type="dcterms:W3CDTF">2025-08-20T11:56:00Z</dcterms:modified>
</cp:coreProperties>
</file>