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77549" w14:textId="77777777" w:rsidR="00CC6024" w:rsidRDefault="00CC6024" w:rsidP="005C4326">
      <w:pPr>
        <w:spacing w:line="240" w:lineRule="auto"/>
        <w:jc w:val="right"/>
        <w:outlineLvl w:val="0"/>
        <w:rPr>
          <w:rFonts w:ascii="Times New Roman" w:hAnsi="Times New Roman" w:cs="Times New Roman"/>
          <w:b/>
          <w:bCs/>
          <w:sz w:val="32"/>
          <w:szCs w:val="32"/>
        </w:rPr>
      </w:pPr>
      <w:bookmarkStart w:id="0" w:name="_GoBack"/>
      <w:bookmarkEnd w:id="0"/>
      <w:r w:rsidRPr="00CC6024">
        <w:rPr>
          <w:rFonts w:ascii="Times New Roman" w:hAnsi="Times New Roman" w:cs="Times New Roman"/>
          <w:b/>
          <w:bCs/>
          <w:sz w:val="32"/>
          <w:szCs w:val="32"/>
        </w:rPr>
        <w:t xml:space="preserve">Original Research Article </w:t>
      </w:r>
    </w:p>
    <w:p w14:paraId="16C244C6" w14:textId="77777777" w:rsidR="00CC6024" w:rsidRDefault="00CC6024" w:rsidP="005C4326">
      <w:pPr>
        <w:spacing w:line="240" w:lineRule="auto"/>
        <w:jc w:val="right"/>
        <w:outlineLvl w:val="0"/>
        <w:rPr>
          <w:rFonts w:ascii="Times New Roman" w:hAnsi="Times New Roman" w:cs="Times New Roman"/>
          <w:b/>
          <w:bCs/>
          <w:sz w:val="32"/>
          <w:szCs w:val="32"/>
        </w:rPr>
      </w:pPr>
    </w:p>
    <w:p w14:paraId="329416E8" w14:textId="64AB32A1" w:rsidR="005C4326" w:rsidRDefault="005C4326" w:rsidP="005C4326">
      <w:pPr>
        <w:spacing w:line="240" w:lineRule="auto"/>
        <w:jc w:val="right"/>
        <w:outlineLvl w:val="0"/>
        <w:rPr>
          <w:rFonts w:ascii="Times New Roman" w:hAnsi="Times New Roman" w:cs="Times New Roman"/>
          <w:b/>
          <w:bCs/>
          <w:sz w:val="32"/>
          <w:szCs w:val="32"/>
        </w:rPr>
      </w:pPr>
      <w:r w:rsidRPr="005C4326">
        <w:rPr>
          <w:rFonts w:ascii="Times New Roman" w:hAnsi="Times New Roman" w:cs="Times New Roman"/>
          <w:b/>
          <w:bCs/>
          <w:sz w:val="32"/>
          <w:szCs w:val="32"/>
        </w:rPr>
        <w:t xml:space="preserve">Effects of Differentiated Instruction Strategies and Higher-Order Thinking Skills on Learning Outcomes of Junior High School Students in Kabila District, Bone </w:t>
      </w:r>
      <w:proofErr w:type="spellStart"/>
      <w:r w:rsidRPr="005C4326">
        <w:rPr>
          <w:rFonts w:ascii="Times New Roman" w:hAnsi="Times New Roman" w:cs="Times New Roman"/>
          <w:b/>
          <w:bCs/>
          <w:sz w:val="32"/>
          <w:szCs w:val="32"/>
        </w:rPr>
        <w:t>Bolango</w:t>
      </w:r>
      <w:proofErr w:type="spellEnd"/>
      <w:r w:rsidRPr="005C4326">
        <w:rPr>
          <w:rFonts w:ascii="Times New Roman" w:hAnsi="Times New Roman" w:cs="Times New Roman"/>
          <w:b/>
          <w:bCs/>
          <w:sz w:val="32"/>
          <w:szCs w:val="32"/>
        </w:rPr>
        <w:t xml:space="preserve"> Regency, Indonesia</w:t>
      </w:r>
    </w:p>
    <w:p w14:paraId="3ADE6D13" w14:textId="77777777" w:rsidR="00A67AE3" w:rsidRPr="005C4326" w:rsidRDefault="00A67AE3" w:rsidP="005C4326">
      <w:pPr>
        <w:spacing w:line="240" w:lineRule="auto"/>
        <w:jc w:val="right"/>
        <w:outlineLvl w:val="0"/>
        <w:rPr>
          <w:rFonts w:ascii="Times New Roman" w:eastAsia="Times New Roman" w:hAnsi="Times New Roman" w:cs="Times New Roman"/>
          <w:b/>
          <w:bCs/>
          <w:color w:val="0E101A"/>
          <w:kern w:val="36"/>
          <w:sz w:val="32"/>
          <w:szCs w:val="32"/>
        </w:rPr>
      </w:pPr>
    </w:p>
    <w:p w14:paraId="5D015CB7" w14:textId="763F9EE4" w:rsidR="001B08E9" w:rsidRPr="00DF5556" w:rsidRDefault="001B08E9" w:rsidP="00CF6150">
      <w:pPr>
        <w:spacing w:line="240" w:lineRule="auto"/>
        <w:jc w:val="center"/>
        <w:outlineLvl w:val="0"/>
        <w:rPr>
          <w:rFonts w:ascii="Times New Roman" w:eastAsia="Times New Roman" w:hAnsi="Times New Roman" w:cs="Times New Roman"/>
          <w:b/>
          <w:color w:val="0E101A"/>
          <w:kern w:val="36"/>
          <w:sz w:val="24"/>
          <w:szCs w:val="24"/>
        </w:rPr>
      </w:pPr>
      <w:r w:rsidRPr="001B08E9">
        <w:rPr>
          <w:rFonts w:ascii="Times New Roman" w:eastAsia="Times New Roman" w:hAnsi="Times New Roman" w:cs="Times New Roman"/>
          <w:b/>
          <w:color w:val="0E101A"/>
          <w:kern w:val="36"/>
          <w:sz w:val="24"/>
          <w:szCs w:val="24"/>
        </w:rPr>
        <w:t>Abstract</w:t>
      </w:r>
    </w:p>
    <w:p w14:paraId="1F18BA15" w14:textId="6C8DF2A2" w:rsidR="001B08E9" w:rsidRPr="00DF5556" w:rsidRDefault="001B08E9" w:rsidP="00CF6150">
      <w:pPr>
        <w:spacing w:line="240" w:lineRule="auto"/>
        <w:jc w:val="both"/>
        <w:rPr>
          <w:rFonts w:ascii="Times New Roman" w:eastAsia="Times New Roman" w:hAnsi="Times New Roman" w:cs="Times New Roman"/>
          <w:color w:val="0E101A"/>
          <w:sz w:val="24"/>
          <w:szCs w:val="24"/>
        </w:rPr>
      </w:pPr>
      <w:r w:rsidRPr="001B08E9">
        <w:rPr>
          <w:rFonts w:ascii="Times New Roman" w:eastAsia="Times New Roman" w:hAnsi="Times New Roman" w:cs="Times New Roman"/>
          <w:color w:val="0E101A"/>
          <w:sz w:val="24"/>
          <w:szCs w:val="24"/>
        </w:rPr>
        <w:t xml:space="preserve">This study aims to (1) </w:t>
      </w:r>
      <w:r w:rsidR="005C4326" w:rsidRPr="001B08E9">
        <w:rPr>
          <w:rFonts w:ascii="Times New Roman" w:eastAsia="Times New Roman" w:hAnsi="Times New Roman" w:cs="Times New Roman"/>
          <w:color w:val="0E101A"/>
          <w:sz w:val="24"/>
          <w:szCs w:val="24"/>
        </w:rPr>
        <w:t>analyses</w:t>
      </w:r>
      <w:r w:rsidRPr="001B08E9">
        <w:rPr>
          <w:rFonts w:ascii="Times New Roman" w:eastAsia="Times New Roman" w:hAnsi="Times New Roman" w:cs="Times New Roman"/>
          <w:color w:val="0E101A"/>
          <w:sz w:val="24"/>
          <w:szCs w:val="24"/>
        </w:rPr>
        <w:t xml:space="preserve"> the differences in Social Science learning outcomes before and after the implementation of differentiated learning, and (2) evaluate the effect of higher-order thinking skills (HOTS) on students' academic </w:t>
      </w:r>
      <w:r w:rsidR="005C4326" w:rsidRPr="001B08E9">
        <w:rPr>
          <w:rFonts w:ascii="Times New Roman" w:eastAsia="Times New Roman" w:hAnsi="Times New Roman" w:cs="Times New Roman"/>
          <w:color w:val="0E101A"/>
          <w:sz w:val="24"/>
          <w:szCs w:val="24"/>
        </w:rPr>
        <w:t>achievement.</w:t>
      </w:r>
      <w:r w:rsidRPr="001B08E9">
        <w:rPr>
          <w:rFonts w:ascii="Times New Roman" w:eastAsia="Times New Roman" w:hAnsi="Times New Roman" w:cs="Times New Roman"/>
          <w:color w:val="0E101A"/>
          <w:sz w:val="24"/>
          <w:szCs w:val="24"/>
        </w:rPr>
        <w:t xml:space="preserve"> The research employed a quasi-experimental design with a pretest-posttest control group model, </w:t>
      </w:r>
      <w:r w:rsidR="005C4326" w:rsidRPr="001B08E9">
        <w:rPr>
          <w:rFonts w:ascii="Times New Roman" w:eastAsia="Times New Roman" w:hAnsi="Times New Roman" w:cs="Times New Roman"/>
          <w:color w:val="0E101A"/>
          <w:sz w:val="24"/>
          <w:szCs w:val="24"/>
        </w:rPr>
        <w:t>utilizing</w:t>
      </w:r>
      <w:r w:rsidRPr="001B08E9">
        <w:rPr>
          <w:rFonts w:ascii="Times New Roman" w:eastAsia="Times New Roman" w:hAnsi="Times New Roman" w:cs="Times New Roman"/>
          <w:color w:val="0E101A"/>
          <w:sz w:val="24"/>
          <w:szCs w:val="24"/>
        </w:rPr>
        <w:t xml:space="preserve"> students from three junior high schools as the sample. The research instruments included HOTS-based learning achievement tests and observation sheets on the implementation of differentiated instruction. Data analysis was conducted using paired t-tests to measure mean score differences and analysis of covariance (ANCOVA) to examine the effect of HOTS on learning outcomes after treatment. The results indicate that the implementation of differentiated instruction significantly improved social studies learning outcomes compared to the conventional method (p &lt; 0.05), with greater improvements in the group of students with high HOTS levels. The interaction between differentiated instruction and HOTS contributed positively to engagement, motivation, and academic achievement. These findings reinforce the evidence that adapting learning materials, processes, and products to individual student profiles can </w:t>
      </w:r>
      <w:r w:rsidR="005C4326" w:rsidRPr="001B08E9">
        <w:rPr>
          <w:rFonts w:ascii="Times New Roman" w:eastAsia="Times New Roman" w:hAnsi="Times New Roman" w:cs="Times New Roman"/>
          <w:color w:val="0E101A"/>
          <w:sz w:val="24"/>
          <w:szCs w:val="24"/>
        </w:rPr>
        <w:t>optimize</w:t>
      </w:r>
      <w:r w:rsidRPr="001B08E9">
        <w:rPr>
          <w:rFonts w:ascii="Times New Roman" w:eastAsia="Times New Roman" w:hAnsi="Times New Roman" w:cs="Times New Roman"/>
          <w:color w:val="0E101A"/>
          <w:sz w:val="24"/>
          <w:szCs w:val="24"/>
        </w:rPr>
        <w:t xml:space="preserve"> 21st-century competencies. In conclusion, differentiated learning integrated with HOTS development is efficacious in improving social studies learning outcomes at the junior high school level. The contribution of this study lies in enriching adaptive learning models that consider the diversity of students' cognitive abilities as a strategy for improving education quality.</w:t>
      </w:r>
    </w:p>
    <w:p w14:paraId="12A77FA3" w14:textId="77777777" w:rsidR="001B08E9" w:rsidRPr="001B08E9" w:rsidRDefault="001B08E9" w:rsidP="00CF6150">
      <w:pPr>
        <w:spacing w:line="240" w:lineRule="auto"/>
        <w:jc w:val="both"/>
        <w:rPr>
          <w:rFonts w:ascii="Times New Roman" w:eastAsia="Times New Roman" w:hAnsi="Times New Roman" w:cs="Times New Roman"/>
          <w:color w:val="0E101A"/>
          <w:sz w:val="24"/>
          <w:szCs w:val="24"/>
        </w:rPr>
      </w:pPr>
      <w:r w:rsidRPr="001B08E9">
        <w:rPr>
          <w:rFonts w:ascii="Times New Roman" w:eastAsia="Times New Roman" w:hAnsi="Times New Roman" w:cs="Times New Roman"/>
          <w:i/>
          <w:color w:val="0E101A"/>
          <w:sz w:val="24"/>
          <w:szCs w:val="24"/>
        </w:rPr>
        <w:t>Keywords:</w:t>
      </w:r>
      <w:r w:rsidRPr="001B08E9">
        <w:rPr>
          <w:rFonts w:ascii="Times New Roman" w:eastAsia="Times New Roman" w:hAnsi="Times New Roman" w:cs="Times New Roman"/>
          <w:color w:val="0E101A"/>
          <w:sz w:val="24"/>
          <w:szCs w:val="24"/>
        </w:rPr>
        <w:t xml:space="preserve"> Differentiated Instruction, HOTS, Learning Outcomes, Social Studies, Junior High School</w:t>
      </w:r>
    </w:p>
    <w:p w14:paraId="3ED8590C" w14:textId="77777777" w:rsidR="00024240" w:rsidRPr="00DF5556" w:rsidRDefault="00024240" w:rsidP="00CF6150">
      <w:pPr>
        <w:jc w:val="both"/>
        <w:rPr>
          <w:rFonts w:ascii="Times New Roman" w:hAnsi="Times New Roman" w:cs="Times New Roman"/>
          <w:sz w:val="24"/>
          <w:szCs w:val="24"/>
        </w:rPr>
      </w:pPr>
    </w:p>
    <w:p w14:paraId="0CDCEA1E" w14:textId="77777777" w:rsidR="001B08E9" w:rsidRPr="00DF5556" w:rsidRDefault="001B08E9" w:rsidP="00CF6150">
      <w:pPr>
        <w:pStyle w:val="NormalWeb"/>
        <w:spacing w:before="0" w:beforeAutospacing="0" w:after="200" w:afterAutospacing="0"/>
        <w:jc w:val="both"/>
        <w:rPr>
          <w:b/>
          <w:color w:val="0E101A"/>
        </w:rPr>
      </w:pPr>
      <w:r w:rsidRPr="00DF5556">
        <w:rPr>
          <w:b/>
          <w:color w:val="0E101A"/>
        </w:rPr>
        <w:t>INTRODUCTION</w:t>
      </w:r>
    </w:p>
    <w:p w14:paraId="120E42B0" w14:textId="77777777" w:rsidR="001B08E9" w:rsidRPr="00DF5556" w:rsidRDefault="001B08E9" w:rsidP="00CF6150">
      <w:pPr>
        <w:pStyle w:val="NormalWeb"/>
        <w:spacing w:before="0" w:beforeAutospacing="0" w:after="200" w:afterAutospacing="0"/>
        <w:jc w:val="both"/>
        <w:rPr>
          <w:color w:val="0E101A"/>
        </w:rPr>
      </w:pPr>
      <w:r w:rsidRPr="00DF5556">
        <w:rPr>
          <w:color w:val="0E101A"/>
        </w:rPr>
        <w:t xml:space="preserve">High-quality education is </w:t>
      </w:r>
      <w:proofErr w:type="spellStart"/>
      <w:r w:rsidRPr="00DF5556">
        <w:rPr>
          <w:color w:val="0E101A"/>
        </w:rPr>
        <w:t>characterised</w:t>
      </w:r>
      <w:proofErr w:type="spellEnd"/>
      <w:r w:rsidRPr="00DF5556">
        <w:rPr>
          <w:color w:val="0E101A"/>
        </w:rPr>
        <w:t xml:space="preserve"> by the ability of students to </w:t>
      </w:r>
      <w:proofErr w:type="spellStart"/>
      <w:r w:rsidRPr="00DF5556">
        <w:rPr>
          <w:color w:val="0E101A"/>
        </w:rPr>
        <w:t>internalise</w:t>
      </w:r>
      <w:proofErr w:type="spellEnd"/>
      <w:r w:rsidRPr="00DF5556">
        <w:rPr>
          <w:color w:val="0E101A"/>
        </w:rPr>
        <w:t>, understand, and apply knowledge in various contexts of life. Learning outcomes serve as the primary indicator of the success of the educational process, encompassing cognitive, affective, and psychomotor dimensions (</w:t>
      </w:r>
      <w:proofErr w:type="spellStart"/>
      <w:r w:rsidRPr="00DF5556">
        <w:rPr>
          <w:color w:val="0E101A"/>
        </w:rPr>
        <w:t>Agusti</w:t>
      </w:r>
      <w:proofErr w:type="spellEnd"/>
      <w:r w:rsidRPr="00DF5556">
        <w:rPr>
          <w:color w:val="0E101A"/>
        </w:rPr>
        <w:t>, 2022). These indicators not only reflect the achievement of basic competencies and learning objectives but also serve as a benchmark for evaluating the effectiveness of methods, strategies, and the learning environment (Ismail, 2024). At the junior high school level, particularly in social studies, the demand for mastery of concepts, critical thinking skills, and analytical abilities makes the quality of learning outcomes a fundamental aspect in achieving educational goals (</w:t>
      </w:r>
      <w:proofErr w:type="spellStart"/>
      <w:r w:rsidRPr="00DF5556">
        <w:rPr>
          <w:color w:val="0E101A"/>
        </w:rPr>
        <w:t>Azril</w:t>
      </w:r>
      <w:proofErr w:type="spellEnd"/>
      <w:r w:rsidRPr="00DF5556">
        <w:rPr>
          <w:color w:val="0E101A"/>
        </w:rPr>
        <w:t>, 2023).</w:t>
      </w:r>
    </w:p>
    <w:p w14:paraId="48211FD8" w14:textId="77777777" w:rsidR="001B08E9" w:rsidRPr="00DF5556" w:rsidRDefault="001B08E9" w:rsidP="00CF6150">
      <w:pPr>
        <w:pStyle w:val="NormalWeb"/>
        <w:spacing w:before="0" w:beforeAutospacing="0" w:after="200" w:afterAutospacing="0"/>
        <w:jc w:val="both"/>
        <w:rPr>
          <w:color w:val="0E101A"/>
        </w:rPr>
      </w:pPr>
      <w:r w:rsidRPr="00DF5556">
        <w:rPr>
          <w:color w:val="0E101A"/>
        </w:rPr>
        <w:lastRenderedPageBreak/>
        <w:t>The learning outcomes of junior high school students in Kabila District show that the situation is not yet optimal. Mid-semester assessment (PTS) and end-semester assessment (PAS) data for the 2024–2025 academic year at three junior high schools in the area show average scores ranging from 65 to 69, below the Knowledge Proficiency Criteria (KKTP) of 75. These low achievements indicate obstacles in the learning strategies used. Initial observations reveal the dominance of conventional methods such as one-way lectures and note-taking, which do not accommodate variations in students' abilities, interests, and learning styles.</w:t>
      </w:r>
    </w:p>
    <w:p w14:paraId="39CF8D5E"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This concept adapts learning to students' readiness, interests, and cognitive profiles by varying content, process, products, and learning environments (</w:t>
      </w:r>
      <w:proofErr w:type="spellStart"/>
      <w:r w:rsidRPr="00DF5556">
        <w:rPr>
          <w:color w:val="0E101A"/>
        </w:rPr>
        <w:t>Zubaidah</w:t>
      </w:r>
      <w:proofErr w:type="spellEnd"/>
      <w:r w:rsidRPr="00DF5556">
        <w:rPr>
          <w:color w:val="0E101A"/>
        </w:rPr>
        <w:t xml:space="preserve"> et al., 2018). Research by </w:t>
      </w:r>
      <w:proofErr w:type="spellStart"/>
      <w:r w:rsidRPr="00DF5556">
        <w:rPr>
          <w:color w:val="0E101A"/>
        </w:rPr>
        <w:t>Bilantua</w:t>
      </w:r>
      <w:proofErr w:type="spellEnd"/>
      <w:r w:rsidRPr="00DF5556">
        <w:rPr>
          <w:color w:val="0E101A"/>
        </w:rPr>
        <w:t xml:space="preserve">, </w:t>
      </w:r>
      <w:proofErr w:type="spellStart"/>
      <w:r w:rsidRPr="00DF5556">
        <w:rPr>
          <w:color w:val="0E101A"/>
        </w:rPr>
        <w:t>Panigoro</w:t>
      </w:r>
      <w:proofErr w:type="spellEnd"/>
      <w:r w:rsidRPr="00DF5556">
        <w:rPr>
          <w:color w:val="0E101A"/>
        </w:rPr>
        <w:t xml:space="preserve">, and </w:t>
      </w:r>
      <w:proofErr w:type="spellStart"/>
      <w:r w:rsidRPr="00DF5556">
        <w:rPr>
          <w:color w:val="0E101A"/>
        </w:rPr>
        <w:t>Bahsoan</w:t>
      </w:r>
      <w:proofErr w:type="spellEnd"/>
      <w:r w:rsidRPr="00DF5556">
        <w:rPr>
          <w:color w:val="0E101A"/>
        </w:rPr>
        <w:t xml:space="preserve"> (2024) shows the significant contribution of this strategy to improving social studies learning outcomes, with a determination value of 96%. These findings are supported by </w:t>
      </w:r>
      <w:proofErr w:type="spellStart"/>
      <w:r w:rsidRPr="00DF5556">
        <w:rPr>
          <w:color w:val="0E101A"/>
        </w:rPr>
        <w:t>Muhlisah</w:t>
      </w:r>
      <w:proofErr w:type="spellEnd"/>
      <w:r w:rsidRPr="00DF5556">
        <w:rPr>
          <w:color w:val="0E101A"/>
        </w:rPr>
        <w:t xml:space="preserve"> et al. (2023), who reported improvements in critical and creative thinking skills following the implementation of differentiated learning, with MANOVA analysis confirming a significant impact on cognitive development.</w:t>
      </w:r>
    </w:p>
    <w:p w14:paraId="6A6F1834" w14:textId="79AEEE63" w:rsidR="001B08E9" w:rsidRPr="00DF5556" w:rsidRDefault="001B08E9" w:rsidP="00CF6150">
      <w:pPr>
        <w:pStyle w:val="NormalWeb"/>
        <w:spacing w:before="0" w:beforeAutospacing="0" w:after="200" w:afterAutospacing="0"/>
        <w:jc w:val="both"/>
        <w:rPr>
          <w:color w:val="0E101A"/>
        </w:rPr>
      </w:pPr>
      <w:r w:rsidRPr="00DF5556">
        <w:rPr>
          <w:color w:val="0E101A"/>
        </w:rPr>
        <w:t xml:space="preserve">Differentiated instruction within the framework of 21st-century competencies aligns with the development of Higher Order Thinking Skills (HOTS), which include analytical, evaluative, and creative abilities (Barratt, 2014). Tomlinson (2001) and </w:t>
      </w:r>
      <w:proofErr w:type="spellStart"/>
      <w:r w:rsidRPr="00DF5556">
        <w:rPr>
          <w:color w:val="0E101A"/>
        </w:rPr>
        <w:t>Subban</w:t>
      </w:r>
      <w:proofErr w:type="spellEnd"/>
      <w:r w:rsidRPr="00DF5556">
        <w:rPr>
          <w:color w:val="0E101A"/>
        </w:rPr>
        <w:t xml:space="preserve"> (2006) </w:t>
      </w:r>
      <w:r w:rsidR="005C4326" w:rsidRPr="00DF5556">
        <w:rPr>
          <w:color w:val="0E101A"/>
        </w:rPr>
        <w:t>emphasize</w:t>
      </w:r>
      <w:r w:rsidRPr="00DF5556">
        <w:rPr>
          <w:color w:val="0E101A"/>
        </w:rPr>
        <w:t xml:space="preserve"> the effectiveness of this strategy in accommodating differences in HOTS levels, both through enrichment of materials for high-ability students and through structural support for students with low HOTS. Tomlinson (2017), </w:t>
      </w:r>
      <w:proofErr w:type="spellStart"/>
      <w:r w:rsidRPr="00DF5556">
        <w:rPr>
          <w:color w:val="0E101A"/>
        </w:rPr>
        <w:t>Coubergs</w:t>
      </w:r>
      <w:proofErr w:type="spellEnd"/>
      <w:r w:rsidRPr="00DF5556">
        <w:rPr>
          <w:color w:val="0E101A"/>
        </w:rPr>
        <w:t xml:space="preserve"> et al. (2017), and </w:t>
      </w:r>
      <w:proofErr w:type="spellStart"/>
      <w:r w:rsidRPr="00DF5556">
        <w:rPr>
          <w:color w:val="0E101A"/>
        </w:rPr>
        <w:t>Pozas</w:t>
      </w:r>
      <w:proofErr w:type="spellEnd"/>
      <w:r w:rsidRPr="00DF5556">
        <w:rPr>
          <w:color w:val="0E101A"/>
        </w:rPr>
        <w:t xml:space="preserve"> &amp; </w:t>
      </w:r>
      <w:proofErr w:type="spellStart"/>
      <w:r w:rsidRPr="00DF5556">
        <w:rPr>
          <w:color w:val="0E101A"/>
        </w:rPr>
        <w:t>Letzel</w:t>
      </w:r>
      <w:proofErr w:type="spellEnd"/>
      <w:r w:rsidRPr="00DF5556">
        <w:rPr>
          <w:color w:val="0E101A"/>
        </w:rPr>
        <w:t xml:space="preserve"> (2021) report the effectiveness of differentiation in enhancing motivation, engagement, and academic achievement in diverse classrooms.</w:t>
      </w:r>
    </w:p>
    <w:p w14:paraId="4300608D" w14:textId="77777777" w:rsidR="001B08E9" w:rsidRPr="00DF5556" w:rsidRDefault="001B08E9" w:rsidP="00CF6150">
      <w:pPr>
        <w:pStyle w:val="NormalWeb"/>
        <w:spacing w:before="0" w:beforeAutospacing="0" w:after="200" w:afterAutospacing="0"/>
        <w:jc w:val="both"/>
        <w:rPr>
          <w:color w:val="0E101A"/>
        </w:rPr>
      </w:pPr>
      <w:r w:rsidRPr="00DF5556">
        <w:rPr>
          <w:color w:val="0E101A"/>
        </w:rPr>
        <w:t>Studies integrating differentiated instruction and HOTS within a single analytical framework are still scarce in the context of junior high schools in Indonesia. Most research examines the effects of both variables separately on learning outcomes, leaving unanswered the empirical question of whether students' HOTS levels influence the effectiveness of differentiated instruction, as well as how the interaction between these two variables affects social studies learning outcomes.</w:t>
      </w:r>
    </w:p>
    <w:p w14:paraId="0084DD04" w14:textId="56C6AD98"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contributes new insights by examining the interactive relationship between differentiated instruction and higher-order thinking skills (HOTS) in social studies learning at the junior high school level. This focus offers a more comprehensive perspective on adaptive instructional design, considering student diversity while </w:t>
      </w:r>
      <w:r w:rsidR="005C4326" w:rsidRPr="00DF5556">
        <w:rPr>
          <w:color w:val="0E101A"/>
        </w:rPr>
        <w:t>optimizing</w:t>
      </w:r>
      <w:r w:rsidRPr="00DF5556">
        <w:rPr>
          <w:color w:val="0E101A"/>
        </w:rPr>
        <w:t xml:space="preserve"> the development of 21st-century competencies.</w:t>
      </w:r>
    </w:p>
    <w:p w14:paraId="041F8320" w14:textId="6403906A"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aims to identify differences in learning outcomes before and after the implementation of differentiated learning, and to </w:t>
      </w:r>
      <w:r w:rsidR="005C4326" w:rsidRPr="00DF5556">
        <w:rPr>
          <w:color w:val="0E101A"/>
        </w:rPr>
        <w:t>analyses</w:t>
      </w:r>
      <w:r w:rsidRPr="00DF5556">
        <w:rPr>
          <w:color w:val="0E101A"/>
        </w:rPr>
        <w:t xml:space="preserve"> the influence of HOTS on learning outcomes.</w:t>
      </w:r>
    </w:p>
    <w:p w14:paraId="47F61D98" w14:textId="77777777" w:rsidR="001B08E9" w:rsidRPr="00DF5556" w:rsidRDefault="001B08E9" w:rsidP="00CF6150">
      <w:pPr>
        <w:pStyle w:val="NormalWeb"/>
        <w:spacing w:before="0" w:beforeAutospacing="0" w:after="200" w:afterAutospacing="0"/>
        <w:jc w:val="both"/>
        <w:rPr>
          <w:color w:val="0E101A"/>
        </w:rPr>
      </w:pPr>
    </w:p>
    <w:p w14:paraId="47DA33B0" w14:textId="77777777" w:rsidR="001B08E9" w:rsidRPr="00DF5556" w:rsidRDefault="001B08E9" w:rsidP="00CF6150">
      <w:pPr>
        <w:pStyle w:val="NormalWeb"/>
        <w:spacing w:before="0" w:beforeAutospacing="0" w:after="200" w:afterAutospacing="0"/>
        <w:jc w:val="both"/>
        <w:rPr>
          <w:rStyle w:val="Strong"/>
          <w:color w:val="0E101A"/>
        </w:rPr>
      </w:pPr>
      <w:r w:rsidRPr="00DF5556">
        <w:rPr>
          <w:rStyle w:val="Strong"/>
          <w:color w:val="0E101A"/>
        </w:rPr>
        <w:t>METHODOLOGY</w:t>
      </w:r>
    </w:p>
    <w:p w14:paraId="18FDB28B" w14:textId="77777777" w:rsidR="001B08E9" w:rsidRPr="00DF5556" w:rsidRDefault="001B08E9" w:rsidP="00CF6150">
      <w:pPr>
        <w:pStyle w:val="NormalWeb"/>
        <w:spacing w:before="0" w:beforeAutospacing="0" w:after="200" w:afterAutospacing="0"/>
        <w:jc w:val="both"/>
        <w:rPr>
          <w:color w:val="0E101A"/>
        </w:rPr>
      </w:pPr>
      <w:r w:rsidRPr="00DF5556">
        <w:rPr>
          <w:color w:val="0E101A"/>
        </w:rPr>
        <w:t>3.1 Research Design</w:t>
      </w:r>
    </w:p>
    <w:p w14:paraId="57B73C89" w14:textId="77777777"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employed a quantitative approach, </w:t>
      </w:r>
      <w:proofErr w:type="spellStart"/>
      <w:r w:rsidRPr="00DF5556">
        <w:rPr>
          <w:color w:val="0E101A"/>
        </w:rPr>
        <w:t>utilising</w:t>
      </w:r>
      <w:proofErr w:type="spellEnd"/>
      <w:r w:rsidRPr="00DF5556">
        <w:rPr>
          <w:color w:val="0E101A"/>
        </w:rPr>
        <w:t xml:space="preserve"> a quasi-experimental method with a One-Group Pretest-Posttest design. This approach was employed because it enables the measurement of the treatment's effect on the dependent variable, even without a control group (Creswell, 2012; </w:t>
      </w:r>
      <w:proofErr w:type="spellStart"/>
      <w:r w:rsidRPr="00DF5556">
        <w:rPr>
          <w:color w:val="0E101A"/>
        </w:rPr>
        <w:lastRenderedPageBreak/>
        <w:t>Sugiyono</w:t>
      </w:r>
      <w:proofErr w:type="spellEnd"/>
      <w:r w:rsidRPr="00DF5556">
        <w:rPr>
          <w:color w:val="0E101A"/>
        </w:rPr>
        <w:t>, 2014). Pretest scores were obtained from daily tests before the intervention, while posttests were conducted after the implementation of differentiated learning strategies.</w:t>
      </w:r>
    </w:p>
    <w:p w14:paraId="2B9A3CE5" w14:textId="77777777" w:rsidR="001B08E9" w:rsidRPr="00DF5556" w:rsidRDefault="001B08E9" w:rsidP="00CF6150">
      <w:pPr>
        <w:pStyle w:val="NormalWeb"/>
        <w:spacing w:before="0" w:beforeAutospacing="0" w:after="200" w:afterAutospacing="0"/>
        <w:jc w:val="both"/>
        <w:rPr>
          <w:color w:val="0E101A"/>
        </w:rPr>
      </w:pPr>
    </w:p>
    <w:p w14:paraId="571EF0F6" w14:textId="77777777" w:rsidR="001B08E9" w:rsidRPr="00DF5556" w:rsidRDefault="001B08E9" w:rsidP="00CF6150">
      <w:pPr>
        <w:pStyle w:val="NormalWeb"/>
        <w:spacing w:before="0" w:beforeAutospacing="0" w:after="200" w:afterAutospacing="0"/>
        <w:jc w:val="both"/>
        <w:rPr>
          <w:color w:val="0E101A"/>
        </w:rPr>
      </w:pPr>
      <w:r w:rsidRPr="00DF5556">
        <w:rPr>
          <w:color w:val="0E101A"/>
        </w:rPr>
        <w:t>3.2 Research Location and Time</w:t>
      </w:r>
    </w:p>
    <w:p w14:paraId="590EEA0D"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research was conducted from March to June 2025 in three junior high schools in Kabila District: SMP 1, SMP 2, and SMP 3 Kabila. The locations were selected based on the similarity of student characteristics and the curriculum implemented.</w:t>
      </w:r>
    </w:p>
    <w:p w14:paraId="2C35E903" w14:textId="77777777" w:rsidR="001B08E9" w:rsidRPr="00DF5556" w:rsidRDefault="001B08E9" w:rsidP="00CF6150">
      <w:pPr>
        <w:pStyle w:val="NormalWeb"/>
        <w:spacing w:before="0" w:beforeAutospacing="0" w:after="200" w:afterAutospacing="0"/>
        <w:jc w:val="both"/>
        <w:rPr>
          <w:color w:val="0E101A"/>
        </w:rPr>
      </w:pPr>
    </w:p>
    <w:p w14:paraId="2B38EE55" w14:textId="77777777" w:rsidR="001B08E9" w:rsidRPr="00DF5556" w:rsidRDefault="001B08E9" w:rsidP="00CF6150">
      <w:pPr>
        <w:pStyle w:val="NormalWeb"/>
        <w:spacing w:before="0" w:beforeAutospacing="0" w:after="200" w:afterAutospacing="0"/>
        <w:jc w:val="both"/>
        <w:rPr>
          <w:color w:val="0E101A"/>
        </w:rPr>
      </w:pPr>
      <w:r w:rsidRPr="00DF5556">
        <w:rPr>
          <w:color w:val="0E101A"/>
        </w:rPr>
        <w:t>3.3 Population and Sample</w:t>
      </w:r>
    </w:p>
    <w:p w14:paraId="421C0F57" w14:textId="77777777" w:rsidR="001B08E9" w:rsidRPr="00DF5556" w:rsidRDefault="001B08E9" w:rsidP="00CF6150">
      <w:pPr>
        <w:pStyle w:val="NormalWeb"/>
        <w:spacing w:before="0" w:beforeAutospacing="0" w:after="200" w:afterAutospacing="0"/>
        <w:jc w:val="both"/>
        <w:rPr>
          <w:color w:val="0E101A"/>
        </w:rPr>
      </w:pPr>
      <w:r w:rsidRPr="00DF5556">
        <w:rPr>
          <w:color w:val="0E101A"/>
        </w:rPr>
        <w:t xml:space="preserve">The research population consisted of all seventh-grade students from the three schools, </w:t>
      </w:r>
      <w:proofErr w:type="spellStart"/>
      <w:r w:rsidRPr="00DF5556">
        <w:rPr>
          <w:color w:val="0E101A"/>
        </w:rPr>
        <w:t>totalling</w:t>
      </w:r>
      <w:proofErr w:type="spellEnd"/>
      <w:r w:rsidRPr="00DF5556">
        <w:rPr>
          <w:color w:val="0E101A"/>
        </w:rPr>
        <w:t xml:space="preserve"> 316 students. The sample consisted of 70 students selected using purposive sampling, </w:t>
      </w:r>
      <w:proofErr w:type="gramStart"/>
      <w:r w:rsidRPr="00DF5556">
        <w:rPr>
          <w:color w:val="0E101A"/>
        </w:rPr>
        <w:t>taking into account</w:t>
      </w:r>
      <w:proofErr w:type="gramEnd"/>
      <w:r w:rsidRPr="00DF5556">
        <w:rPr>
          <w:color w:val="0E101A"/>
        </w:rPr>
        <w:t xml:space="preserve"> the suitability of their characteristics and curriculum (</w:t>
      </w:r>
      <w:proofErr w:type="spellStart"/>
      <w:r w:rsidRPr="00DF5556">
        <w:rPr>
          <w:color w:val="0E101A"/>
        </w:rPr>
        <w:t>Sugiyono</w:t>
      </w:r>
      <w:proofErr w:type="spellEnd"/>
      <w:r w:rsidRPr="00DF5556">
        <w:rPr>
          <w:color w:val="0E101A"/>
        </w:rPr>
        <w:t>, 2019).</w:t>
      </w:r>
    </w:p>
    <w:p w14:paraId="49855BFD" w14:textId="77777777" w:rsidR="001B08E9" w:rsidRPr="00DF5556" w:rsidRDefault="001B08E9" w:rsidP="00CF6150">
      <w:pPr>
        <w:pStyle w:val="NormalWeb"/>
        <w:spacing w:before="0" w:beforeAutospacing="0" w:after="200" w:afterAutospacing="0"/>
        <w:jc w:val="both"/>
        <w:rPr>
          <w:color w:val="0E101A"/>
        </w:rPr>
      </w:pPr>
      <w:r w:rsidRPr="00DF5556">
        <w:rPr>
          <w:color w:val="0E101A"/>
        </w:rPr>
        <w:t>3.4 Instruments and Data Collection Techniques</w:t>
      </w:r>
    </w:p>
    <w:p w14:paraId="1C26DB85" w14:textId="77777777" w:rsidR="001B08E9" w:rsidRPr="00DF5556" w:rsidRDefault="001B08E9" w:rsidP="00CF6150">
      <w:pPr>
        <w:pStyle w:val="NormalWeb"/>
        <w:spacing w:before="0" w:beforeAutospacing="0" w:after="200" w:afterAutospacing="0"/>
        <w:jc w:val="both"/>
        <w:rPr>
          <w:color w:val="0E101A"/>
        </w:rPr>
      </w:pPr>
      <w:r w:rsidRPr="00DF5556">
        <w:rPr>
          <w:color w:val="0E101A"/>
        </w:rPr>
        <w:t>Data were collected using HOTS integrated learning outcome tests, which covered levels C1–C5 in the revised Bloom taxonomy, as well as administrative documentation from the schools.</w:t>
      </w:r>
    </w:p>
    <w:p w14:paraId="19C0324B"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tests were developed based on fundamental competency indicators and validated by experts. Scores were used to classify students into high (≥75) and low (≤75) HOTS categories (Satriani et al., 2022).</w:t>
      </w:r>
    </w:p>
    <w:p w14:paraId="7D562AD4" w14:textId="77777777" w:rsidR="001B08E9" w:rsidRPr="00DF5556" w:rsidRDefault="001B08E9" w:rsidP="00CF6150">
      <w:pPr>
        <w:pStyle w:val="NormalWeb"/>
        <w:spacing w:before="0" w:beforeAutospacing="0" w:after="200" w:afterAutospacing="0"/>
        <w:jc w:val="both"/>
        <w:rPr>
          <w:color w:val="0E101A"/>
        </w:rPr>
      </w:pPr>
      <w:r w:rsidRPr="00DF5556">
        <w:rPr>
          <w:color w:val="0E101A"/>
        </w:rPr>
        <w:t>3.5 Research Procedure</w:t>
      </w:r>
    </w:p>
    <w:p w14:paraId="6DB60112"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research was conducted in three stages: Planning, Development and validation of instruments, and sample determination. Implementation: Administration of pretest, differentiated learning strategy intervention, and posttest. Reporting: Data processing and analysis, and report writing.</w:t>
      </w:r>
    </w:p>
    <w:p w14:paraId="7A540BB1" w14:textId="77777777" w:rsidR="001B08E9" w:rsidRPr="00DF5556" w:rsidRDefault="001B08E9" w:rsidP="00CF6150">
      <w:pPr>
        <w:pStyle w:val="NormalWeb"/>
        <w:spacing w:before="0" w:beforeAutospacing="0" w:after="200" w:afterAutospacing="0"/>
        <w:jc w:val="both"/>
        <w:rPr>
          <w:color w:val="0E101A"/>
        </w:rPr>
      </w:pPr>
      <w:r w:rsidRPr="00DF5556">
        <w:rPr>
          <w:color w:val="0E101A"/>
        </w:rPr>
        <w:t xml:space="preserve">3.6 Data Analysis </w:t>
      </w:r>
    </w:p>
    <w:p w14:paraId="055184C2" w14:textId="77777777" w:rsidR="001B08E9" w:rsidRPr="00DF5556" w:rsidRDefault="001B08E9" w:rsidP="00CF6150">
      <w:pPr>
        <w:pStyle w:val="NormalWeb"/>
        <w:spacing w:before="0" w:beforeAutospacing="0" w:after="200" w:afterAutospacing="0"/>
        <w:jc w:val="both"/>
        <w:rPr>
          <w:color w:val="0E101A"/>
        </w:rPr>
      </w:pPr>
      <w:r w:rsidRPr="00DF5556">
        <w:rPr>
          <w:color w:val="0E101A"/>
        </w:rPr>
        <w:t>Techniques Data analysis was conducted using SPSS version 29, employing: Validity test (Pearson Product Moment) and reliability (Cronbach's Alpha) (</w:t>
      </w:r>
      <w:proofErr w:type="spellStart"/>
      <w:r w:rsidRPr="00DF5556">
        <w:rPr>
          <w:color w:val="0E101A"/>
        </w:rPr>
        <w:t>Azwar</w:t>
      </w:r>
      <w:proofErr w:type="spellEnd"/>
      <w:r w:rsidRPr="00DF5556">
        <w:rPr>
          <w:color w:val="0E101A"/>
        </w:rPr>
        <w:t xml:space="preserve">, 2012; </w:t>
      </w:r>
      <w:proofErr w:type="spellStart"/>
      <w:r w:rsidRPr="00DF5556">
        <w:rPr>
          <w:color w:val="0E101A"/>
        </w:rPr>
        <w:t>Sugiyono</w:t>
      </w:r>
      <w:proofErr w:type="spellEnd"/>
      <w:r w:rsidRPr="00DF5556">
        <w:rPr>
          <w:color w:val="0E101A"/>
        </w:rPr>
        <w:t>, 2017), Normality test (Shapiro-Wilk) and homogeneity (</w:t>
      </w:r>
      <w:proofErr w:type="spellStart"/>
      <w:r w:rsidRPr="00DF5556">
        <w:rPr>
          <w:color w:val="0E101A"/>
        </w:rPr>
        <w:t>Levene's</w:t>
      </w:r>
      <w:proofErr w:type="spellEnd"/>
      <w:r w:rsidRPr="00DF5556">
        <w:rPr>
          <w:color w:val="0E101A"/>
        </w:rPr>
        <w:t xml:space="preserve"> Test), Paired Sample t-Test to determine differences between pretest and posttest results, Independent Sample t-Test to test differences based on HOTS categories, Multiple Linear Regression to measure the influence of HOTS on learning outcomes (</w:t>
      </w:r>
      <w:proofErr w:type="spellStart"/>
      <w:r w:rsidRPr="00DF5556">
        <w:rPr>
          <w:color w:val="0E101A"/>
        </w:rPr>
        <w:t>Sugiyono</w:t>
      </w:r>
      <w:proofErr w:type="spellEnd"/>
      <w:r w:rsidRPr="00DF5556">
        <w:rPr>
          <w:color w:val="0E101A"/>
        </w:rPr>
        <w:t>, 2016), and F-test and determination coefficient (R²) to assess the simultaneous influence of independent variables (</w:t>
      </w:r>
      <w:proofErr w:type="spellStart"/>
      <w:r w:rsidRPr="00DF5556">
        <w:rPr>
          <w:color w:val="0E101A"/>
        </w:rPr>
        <w:t>Ghozali</w:t>
      </w:r>
      <w:proofErr w:type="spellEnd"/>
      <w:r w:rsidRPr="00DF5556">
        <w:rPr>
          <w:color w:val="0E101A"/>
        </w:rPr>
        <w:t>, 2018).</w:t>
      </w:r>
    </w:p>
    <w:p w14:paraId="235EB8E8" w14:textId="77777777" w:rsidR="001B08E9" w:rsidRPr="00DF5556" w:rsidRDefault="001B08E9" w:rsidP="00CF6150">
      <w:pPr>
        <w:jc w:val="both"/>
        <w:rPr>
          <w:rFonts w:ascii="Times New Roman" w:hAnsi="Times New Roman" w:cs="Times New Roman"/>
          <w:sz w:val="24"/>
          <w:szCs w:val="24"/>
        </w:rPr>
      </w:pPr>
    </w:p>
    <w:p w14:paraId="03E85921"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RESULTS AND DISCUSSION</w:t>
      </w:r>
    </w:p>
    <w:p w14:paraId="03AFE6FD"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1. Number of Respondents Based on HOTS Strategies and Categories</w:t>
      </w:r>
    </w:p>
    <w:tbl>
      <w:tblPr>
        <w:tblW w:w="0" w:type="auto"/>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1450"/>
        <w:gridCol w:w="3589"/>
        <w:gridCol w:w="2516"/>
        <w:gridCol w:w="763"/>
      </w:tblGrid>
      <w:tr w:rsidR="00AE5C2A" w:rsidRPr="0063364F" w14:paraId="6F3C457F" w14:textId="77777777" w:rsidTr="00CB4BFD">
        <w:tc>
          <w:tcPr>
            <w:tcW w:w="0" w:type="auto"/>
            <w:tcBorders>
              <w:top w:val="single" w:sz="4" w:space="0" w:color="7F7F7F" w:themeColor="text1" w:themeTint="80"/>
              <w:bottom w:val="single" w:sz="4" w:space="0" w:color="7F7F7F" w:themeColor="text1" w:themeTint="80"/>
            </w:tcBorders>
            <w:hideMark/>
          </w:tcPr>
          <w:p w14:paraId="0E3D1A88"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lastRenderedPageBreak/>
              <w:t>Category</w:t>
            </w:r>
          </w:p>
        </w:tc>
        <w:tc>
          <w:tcPr>
            <w:tcW w:w="0" w:type="auto"/>
            <w:tcBorders>
              <w:top w:val="single" w:sz="4" w:space="0" w:color="7F7F7F" w:themeColor="text1" w:themeTint="80"/>
              <w:bottom w:val="single" w:sz="4" w:space="0" w:color="7F7F7F" w:themeColor="text1" w:themeTint="80"/>
            </w:tcBorders>
            <w:hideMark/>
          </w:tcPr>
          <w:p w14:paraId="592F83BC"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Differentiated Learning Strategy</w:t>
            </w:r>
          </w:p>
        </w:tc>
        <w:tc>
          <w:tcPr>
            <w:tcW w:w="0" w:type="auto"/>
            <w:tcBorders>
              <w:top w:val="single" w:sz="4" w:space="0" w:color="7F7F7F" w:themeColor="text1" w:themeTint="80"/>
              <w:bottom w:val="single" w:sz="4" w:space="0" w:color="7F7F7F" w:themeColor="text1" w:themeTint="80"/>
            </w:tcBorders>
            <w:hideMark/>
          </w:tcPr>
          <w:p w14:paraId="0EDDA335"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Conventional Strategy</w:t>
            </w:r>
          </w:p>
        </w:tc>
        <w:tc>
          <w:tcPr>
            <w:tcW w:w="0" w:type="auto"/>
            <w:tcBorders>
              <w:top w:val="single" w:sz="4" w:space="0" w:color="7F7F7F" w:themeColor="text1" w:themeTint="80"/>
              <w:bottom w:val="single" w:sz="4" w:space="0" w:color="7F7F7F" w:themeColor="text1" w:themeTint="80"/>
            </w:tcBorders>
            <w:hideMark/>
          </w:tcPr>
          <w:p w14:paraId="67CAEEE9"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Total</w:t>
            </w:r>
          </w:p>
        </w:tc>
      </w:tr>
      <w:tr w:rsidR="00AE5C2A" w:rsidRPr="0063364F" w14:paraId="53A44F24" w14:textId="77777777" w:rsidTr="00CB4BFD">
        <w:tc>
          <w:tcPr>
            <w:tcW w:w="0" w:type="auto"/>
            <w:tcBorders>
              <w:top w:val="single" w:sz="4" w:space="0" w:color="7F7F7F" w:themeColor="text1" w:themeTint="80"/>
            </w:tcBorders>
            <w:hideMark/>
          </w:tcPr>
          <w:p w14:paraId="764305B4"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High HOTS</w:t>
            </w:r>
          </w:p>
        </w:tc>
        <w:tc>
          <w:tcPr>
            <w:tcW w:w="0" w:type="auto"/>
            <w:tcBorders>
              <w:top w:val="single" w:sz="4" w:space="0" w:color="7F7F7F" w:themeColor="text1" w:themeTint="80"/>
            </w:tcBorders>
            <w:hideMark/>
          </w:tcPr>
          <w:p w14:paraId="043ED23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top w:val="single" w:sz="4" w:space="0" w:color="7F7F7F" w:themeColor="text1" w:themeTint="80"/>
            </w:tcBorders>
            <w:hideMark/>
          </w:tcPr>
          <w:p w14:paraId="79142DC5"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top w:val="single" w:sz="4" w:space="0" w:color="7F7F7F" w:themeColor="text1" w:themeTint="80"/>
            </w:tcBorders>
            <w:hideMark/>
          </w:tcPr>
          <w:p w14:paraId="162CE6F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70</w:t>
            </w:r>
          </w:p>
        </w:tc>
      </w:tr>
      <w:tr w:rsidR="00AE5C2A" w:rsidRPr="0063364F" w14:paraId="6B63AA51" w14:textId="77777777" w:rsidTr="00CB4BFD">
        <w:tc>
          <w:tcPr>
            <w:tcW w:w="0" w:type="auto"/>
            <w:tcBorders>
              <w:bottom w:val="single" w:sz="4" w:space="0" w:color="7F7F7F" w:themeColor="text1" w:themeTint="80"/>
            </w:tcBorders>
            <w:hideMark/>
          </w:tcPr>
          <w:p w14:paraId="617CFCA1"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Low HOTS</w:t>
            </w:r>
          </w:p>
        </w:tc>
        <w:tc>
          <w:tcPr>
            <w:tcW w:w="0" w:type="auto"/>
            <w:tcBorders>
              <w:bottom w:val="single" w:sz="4" w:space="0" w:color="7F7F7F" w:themeColor="text1" w:themeTint="80"/>
            </w:tcBorders>
            <w:hideMark/>
          </w:tcPr>
          <w:p w14:paraId="12F4A38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bottom w:val="single" w:sz="4" w:space="0" w:color="7F7F7F" w:themeColor="text1" w:themeTint="80"/>
            </w:tcBorders>
            <w:hideMark/>
          </w:tcPr>
          <w:p w14:paraId="4E3323C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 (50%)</w:t>
            </w:r>
          </w:p>
        </w:tc>
        <w:tc>
          <w:tcPr>
            <w:tcW w:w="0" w:type="auto"/>
            <w:tcBorders>
              <w:bottom w:val="single" w:sz="4" w:space="0" w:color="7F7F7F" w:themeColor="text1" w:themeTint="80"/>
            </w:tcBorders>
            <w:hideMark/>
          </w:tcPr>
          <w:p w14:paraId="1AEF5A3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70</w:t>
            </w:r>
          </w:p>
        </w:tc>
      </w:tr>
      <w:tr w:rsidR="00AE5C2A" w:rsidRPr="0063364F" w14:paraId="2B3084AF" w14:textId="77777777" w:rsidTr="00CB4BFD">
        <w:tc>
          <w:tcPr>
            <w:tcW w:w="0" w:type="auto"/>
            <w:tcBorders>
              <w:top w:val="single" w:sz="4" w:space="0" w:color="7F7F7F" w:themeColor="text1" w:themeTint="80"/>
              <w:bottom w:val="single" w:sz="4" w:space="0" w:color="7F7F7F" w:themeColor="text1" w:themeTint="80"/>
            </w:tcBorders>
            <w:hideMark/>
          </w:tcPr>
          <w:p w14:paraId="6989DF2F"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Total</w:t>
            </w:r>
          </w:p>
        </w:tc>
        <w:tc>
          <w:tcPr>
            <w:tcW w:w="0" w:type="auto"/>
            <w:tcBorders>
              <w:top w:val="single" w:sz="4" w:space="0" w:color="7F7F7F" w:themeColor="text1" w:themeTint="80"/>
              <w:bottom w:val="single" w:sz="4" w:space="0" w:color="7F7F7F" w:themeColor="text1" w:themeTint="80"/>
            </w:tcBorders>
            <w:hideMark/>
          </w:tcPr>
          <w:p w14:paraId="6943EE5B"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70</w:t>
            </w:r>
          </w:p>
        </w:tc>
        <w:tc>
          <w:tcPr>
            <w:tcW w:w="0" w:type="auto"/>
            <w:tcBorders>
              <w:top w:val="single" w:sz="4" w:space="0" w:color="7F7F7F" w:themeColor="text1" w:themeTint="80"/>
              <w:bottom w:val="single" w:sz="4" w:space="0" w:color="7F7F7F" w:themeColor="text1" w:themeTint="80"/>
            </w:tcBorders>
            <w:hideMark/>
          </w:tcPr>
          <w:p w14:paraId="6E1C028E"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70</w:t>
            </w:r>
          </w:p>
        </w:tc>
        <w:tc>
          <w:tcPr>
            <w:tcW w:w="0" w:type="auto"/>
            <w:tcBorders>
              <w:top w:val="single" w:sz="4" w:space="0" w:color="7F7F7F" w:themeColor="text1" w:themeTint="80"/>
              <w:bottom w:val="single" w:sz="4" w:space="0" w:color="7F7F7F" w:themeColor="text1" w:themeTint="80"/>
            </w:tcBorders>
            <w:hideMark/>
          </w:tcPr>
          <w:p w14:paraId="439AF833"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140</w:t>
            </w:r>
          </w:p>
        </w:tc>
      </w:tr>
    </w:tbl>
    <w:p w14:paraId="7F5F0456"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Description:</w:t>
      </w:r>
      <w:r w:rsidRPr="00DF5556">
        <w:rPr>
          <w:rFonts w:ascii="Times New Roman" w:hAnsi="Times New Roman" w:cs="Times New Roman"/>
          <w:sz w:val="24"/>
          <w:szCs w:val="24"/>
        </w:rPr>
        <w:t xml:space="preserve"> The data shows that the distribution of students is balanced between differentiated and conventional learning groups, each consisting of 35 students with high and low HOTS.</w:t>
      </w:r>
    </w:p>
    <w:p w14:paraId="7B36647B"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2. Distribution of Student Abilities Based on HOTS Categories</w:t>
      </w:r>
    </w:p>
    <w:tbl>
      <w:tblPr>
        <w:tblW w:w="0" w:type="auto"/>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1890"/>
        <w:gridCol w:w="1963"/>
        <w:gridCol w:w="4316"/>
      </w:tblGrid>
      <w:tr w:rsidR="00AE5C2A" w:rsidRPr="0063364F" w14:paraId="5F088CF0" w14:textId="77777777" w:rsidTr="00CB4BFD">
        <w:tc>
          <w:tcPr>
            <w:tcW w:w="0" w:type="auto"/>
            <w:hideMark/>
          </w:tcPr>
          <w:p w14:paraId="70B9ABA8"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HOTS Category</w:t>
            </w:r>
          </w:p>
        </w:tc>
        <w:tc>
          <w:tcPr>
            <w:tcW w:w="0" w:type="auto"/>
            <w:hideMark/>
          </w:tcPr>
          <w:p w14:paraId="1DFB384E"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Score Range (%)</w:t>
            </w:r>
          </w:p>
        </w:tc>
        <w:tc>
          <w:tcPr>
            <w:tcW w:w="0" w:type="auto"/>
            <w:hideMark/>
          </w:tcPr>
          <w:p w14:paraId="49ABCDF2"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Description</w:t>
            </w:r>
          </w:p>
        </w:tc>
      </w:tr>
      <w:tr w:rsidR="00AE5C2A" w:rsidRPr="0063364F" w14:paraId="1750D3EE" w14:textId="77777777" w:rsidTr="00CB4BFD">
        <w:tc>
          <w:tcPr>
            <w:tcW w:w="0" w:type="auto"/>
            <w:hideMark/>
          </w:tcPr>
          <w:p w14:paraId="6613ACBA"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High</w:t>
            </w:r>
          </w:p>
        </w:tc>
        <w:tc>
          <w:tcPr>
            <w:tcW w:w="0" w:type="auto"/>
            <w:hideMark/>
          </w:tcPr>
          <w:p w14:paraId="1BD637BC"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&amp;gt;75</w:t>
            </w:r>
          </w:p>
        </w:tc>
        <w:tc>
          <w:tcPr>
            <w:tcW w:w="0" w:type="auto"/>
            <w:hideMark/>
          </w:tcPr>
          <w:p w14:paraId="0424EAD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 xml:space="preserve">Able to </w:t>
            </w:r>
            <w:proofErr w:type="spellStart"/>
            <w:r w:rsidRPr="0063364F">
              <w:rPr>
                <w:rFonts w:ascii="Times New Roman" w:hAnsi="Times New Roman" w:cs="Times New Roman"/>
                <w:color w:val="000000" w:themeColor="text1"/>
                <w:sz w:val="24"/>
                <w:szCs w:val="24"/>
                <w:lang w:val="en-ID"/>
              </w:rPr>
              <w:t>analyze</w:t>
            </w:r>
            <w:proofErr w:type="spellEnd"/>
            <w:r w:rsidRPr="0063364F">
              <w:rPr>
                <w:rFonts w:ascii="Times New Roman" w:hAnsi="Times New Roman" w:cs="Times New Roman"/>
                <w:color w:val="000000" w:themeColor="text1"/>
                <w:sz w:val="24"/>
                <w:szCs w:val="24"/>
                <w:lang w:val="en-ID"/>
              </w:rPr>
              <w:t>, evaluate, and create well</w:t>
            </w:r>
          </w:p>
        </w:tc>
      </w:tr>
      <w:tr w:rsidR="00AE5C2A" w:rsidRPr="0063364F" w14:paraId="4233D44A" w14:textId="77777777" w:rsidTr="00CB4BFD">
        <w:tc>
          <w:tcPr>
            <w:tcW w:w="0" w:type="auto"/>
            <w:hideMark/>
          </w:tcPr>
          <w:p w14:paraId="12DF04F1"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Low</w:t>
            </w:r>
          </w:p>
        </w:tc>
        <w:tc>
          <w:tcPr>
            <w:tcW w:w="0" w:type="auto"/>
            <w:hideMark/>
          </w:tcPr>
          <w:p w14:paraId="10CD3CD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≤75</w:t>
            </w:r>
          </w:p>
        </w:tc>
        <w:tc>
          <w:tcPr>
            <w:tcW w:w="0" w:type="auto"/>
            <w:hideMark/>
          </w:tcPr>
          <w:p w14:paraId="2CA49D5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Still has difficulty in higher-order thinking</w:t>
            </w:r>
          </w:p>
        </w:tc>
      </w:tr>
    </w:tbl>
    <w:p w14:paraId="5963E6A2"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Note:</w:t>
      </w:r>
      <w:r w:rsidRPr="00DF5556">
        <w:rPr>
          <w:rFonts w:ascii="Times New Roman" w:hAnsi="Times New Roman" w:cs="Times New Roman"/>
          <w:sz w:val="24"/>
          <w:szCs w:val="24"/>
        </w:rPr>
        <w:t xml:space="preserve"> These categories were used as the basis for grouping respondents in the statistical analysis of learning outcomes.</w:t>
      </w:r>
    </w:p>
    <w:p w14:paraId="6893C731"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3. Results of Paired Sample t-Test</w:t>
      </w:r>
    </w:p>
    <w:tbl>
      <w:tblPr>
        <w:tblW w:w="0" w:type="auto"/>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3499"/>
        <w:gridCol w:w="1686"/>
        <w:gridCol w:w="1802"/>
        <w:gridCol w:w="1319"/>
        <w:gridCol w:w="1270"/>
      </w:tblGrid>
      <w:tr w:rsidR="00AE5C2A" w:rsidRPr="0063364F" w14:paraId="65A55A09" w14:textId="77777777" w:rsidTr="00CB4BFD">
        <w:tc>
          <w:tcPr>
            <w:tcW w:w="0" w:type="auto"/>
            <w:hideMark/>
          </w:tcPr>
          <w:p w14:paraId="084D83B0"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Measurement Pairs</w:t>
            </w:r>
          </w:p>
        </w:tc>
        <w:tc>
          <w:tcPr>
            <w:tcW w:w="0" w:type="auto"/>
            <w:hideMark/>
          </w:tcPr>
          <w:p w14:paraId="20C1A518"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Mean Difference</w:t>
            </w:r>
          </w:p>
        </w:tc>
        <w:tc>
          <w:tcPr>
            <w:tcW w:w="0" w:type="auto"/>
            <w:hideMark/>
          </w:tcPr>
          <w:p w14:paraId="3FE75F5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Calculated t-value</w:t>
            </w:r>
          </w:p>
        </w:tc>
        <w:tc>
          <w:tcPr>
            <w:tcW w:w="0" w:type="auto"/>
            <w:hideMark/>
          </w:tcPr>
          <w:p w14:paraId="2A423DD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Sig. (2-tailed)</w:t>
            </w:r>
          </w:p>
        </w:tc>
        <w:tc>
          <w:tcPr>
            <w:tcW w:w="0" w:type="auto"/>
            <w:hideMark/>
          </w:tcPr>
          <w:p w14:paraId="4A4C2146"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Notes</w:t>
            </w:r>
          </w:p>
        </w:tc>
      </w:tr>
      <w:tr w:rsidR="00AE5C2A" w:rsidRPr="0063364F" w14:paraId="36871EE1" w14:textId="77777777" w:rsidTr="00CB4BFD">
        <w:tc>
          <w:tcPr>
            <w:tcW w:w="0" w:type="auto"/>
            <w:hideMark/>
          </w:tcPr>
          <w:p w14:paraId="137C02C8" w14:textId="77777777" w:rsidR="00AE5C2A" w:rsidRPr="0063364F" w:rsidRDefault="00AE5C2A" w:rsidP="00CB4BFD">
            <w:pPr>
              <w:jc w:val="both"/>
              <w:rPr>
                <w:rFonts w:ascii="Times New Roman" w:hAnsi="Times New Roman" w:cs="Times New Roman"/>
                <w:b/>
                <w:bCs/>
                <w:color w:val="000000" w:themeColor="text1"/>
                <w:sz w:val="24"/>
                <w:szCs w:val="24"/>
                <w:lang w:val="en-ID"/>
              </w:rPr>
            </w:pPr>
            <w:proofErr w:type="spellStart"/>
            <w:r w:rsidRPr="0063364F">
              <w:rPr>
                <w:rFonts w:ascii="Times New Roman" w:hAnsi="Times New Roman" w:cs="Times New Roman"/>
                <w:b/>
                <w:bCs/>
                <w:color w:val="000000" w:themeColor="text1"/>
                <w:sz w:val="24"/>
                <w:szCs w:val="24"/>
                <w:lang w:val="en-ID"/>
              </w:rPr>
              <w:t>Pretest</w:t>
            </w:r>
            <w:proofErr w:type="spellEnd"/>
            <w:r w:rsidRPr="0063364F">
              <w:rPr>
                <w:rFonts w:ascii="Times New Roman" w:hAnsi="Times New Roman" w:cs="Times New Roman"/>
                <w:b/>
                <w:bCs/>
                <w:color w:val="000000" w:themeColor="text1"/>
                <w:sz w:val="24"/>
                <w:szCs w:val="24"/>
                <w:lang w:val="en-ID"/>
              </w:rPr>
              <w:t xml:space="preserve"> – </w:t>
            </w:r>
            <w:proofErr w:type="spellStart"/>
            <w:r w:rsidRPr="0063364F">
              <w:rPr>
                <w:rFonts w:ascii="Times New Roman" w:hAnsi="Times New Roman" w:cs="Times New Roman"/>
                <w:b/>
                <w:bCs/>
                <w:color w:val="000000" w:themeColor="text1"/>
                <w:sz w:val="24"/>
                <w:szCs w:val="24"/>
                <w:lang w:val="en-ID"/>
              </w:rPr>
              <w:t>Posttest</w:t>
            </w:r>
            <w:proofErr w:type="spellEnd"/>
            <w:r w:rsidRPr="0063364F">
              <w:rPr>
                <w:rFonts w:ascii="Times New Roman" w:hAnsi="Times New Roman" w:cs="Times New Roman"/>
                <w:b/>
                <w:bCs/>
                <w:color w:val="000000" w:themeColor="text1"/>
                <w:sz w:val="24"/>
                <w:szCs w:val="24"/>
                <w:lang w:val="en-ID"/>
              </w:rPr>
              <w:t xml:space="preserve"> (Differentiated Strategy)</w:t>
            </w:r>
          </w:p>
        </w:tc>
        <w:tc>
          <w:tcPr>
            <w:tcW w:w="0" w:type="auto"/>
            <w:hideMark/>
          </w:tcPr>
          <w:p w14:paraId="178381A2"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-14.255</w:t>
            </w:r>
          </w:p>
        </w:tc>
        <w:tc>
          <w:tcPr>
            <w:tcW w:w="0" w:type="auto"/>
            <w:hideMark/>
          </w:tcPr>
          <w:p w14:paraId="2B10E890"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-17.444</w:t>
            </w:r>
          </w:p>
        </w:tc>
        <w:tc>
          <w:tcPr>
            <w:tcW w:w="0" w:type="auto"/>
            <w:hideMark/>
          </w:tcPr>
          <w:p w14:paraId="42B6A571"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w:t>
            </w:r>
          </w:p>
        </w:tc>
        <w:tc>
          <w:tcPr>
            <w:tcW w:w="0" w:type="auto"/>
            <w:hideMark/>
          </w:tcPr>
          <w:p w14:paraId="73F5C4A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Significant</w:t>
            </w:r>
          </w:p>
        </w:tc>
      </w:tr>
    </w:tbl>
    <w:p w14:paraId="78B86524"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Note:</w:t>
      </w:r>
      <w:r w:rsidRPr="00DF5556">
        <w:rPr>
          <w:rFonts w:ascii="Times New Roman" w:hAnsi="Times New Roman" w:cs="Times New Roman"/>
          <w:sz w:val="24"/>
          <w:szCs w:val="24"/>
        </w:rPr>
        <w:t xml:space="preserve"> A significant difference was observed between the pretest and posttest results following the implementation of differentiated learning strategies.</w:t>
      </w:r>
    </w:p>
    <w:p w14:paraId="550D1A40"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4. Results of the Simple Linear Regression Test of HOTS on Learning Outcomes</w:t>
      </w:r>
    </w:p>
    <w:tbl>
      <w:tblPr>
        <w:tblW w:w="0" w:type="auto"/>
        <w:tblLook w:val="04A0" w:firstRow="1" w:lastRow="0" w:firstColumn="1" w:lastColumn="0" w:noHBand="0" w:noVBand="1"/>
      </w:tblPr>
      <w:tblGrid>
        <w:gridCol w:w="2305"/>
        <w:gridCol w:w="1336"/>
        <w:gridCol w:w="756"/>
        <w:gridCol w:w="5179"/>
      </w:tblGrid>
      <w:tr w:rsidR="00AE5C2A" w:rsidRPr="0063364F" w14:paraId="20F24FB4" w14:textId="77777777" w:rsidTr="00CB4BFD">
        <w:tc>
          <w:tcPr>
            <w:tcW w:w="0" w:type="auto"/>
            <w:tcBorders>
              <w:top w:val="single" w:sz="4" w:space="0" w:color="7F7F7F" w:themeColor="text1" w:themeTint="80"/>
              <w:left w:val="nil"/>
              <w:bottom w:val="single" w:sz="4" w:space="0" w:color="7F7F7F" w:themeColor="text1" w:themeTint="80"/>
              <w:right w:val="nil"/>
            </w:tcBorders>
            <w:hideMark/>
          </w:tcPr>
          <w:p w14:paraId="72B4F2F9"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Model</w:t>
            </w:r>
          </w:p>
        </w:tc>
        <w:tc>
          <w:tcPr>
            <w:tcW w:w="0" w:type="auto"/>
            <w:tcBorders>
              <w:top w:val="single" w:sz="4" w:space="0" w:color="7F7F7F" w:themeColor="text1" w:themeTint="80"/>
              <w:left w:val="nil"/>
              <w:bottom w:val="single" w:sz="4" w:space="0" w:color="7F7F7F" w:themeColor="text1" w:themeTint="80"/>
              <w:right w:val="nil"/>
            </w:tcBorders>
            <w:hideMark/>
          </w:tcPr>
          <w:p w14:paraId="22DA1F9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Coefficient</w:t>
            </w:r>
          </w:p>
        </w:tc>
        <w:tc>
          <w:tcPr>
            <w:tcW w:w="0" w:type="auto"/>
            <w:tcBorders>
              <w:top w:val="single" w:sz="4" w:space="0" w:color="7F7F7F" w:themeColor="text1" w:themeTint="80"/>
              <w:left w:val="nil"/>
              <w:bottom w:val="single" w:sz="4" w:space="0" w:color="7F7F7F" w:themeColor="text1" w:themeTint="80"/>
              <w:right w:val="nil"/>
            </w:tcBorders>
            <w:hideMark/>
          </w:tcPr>
          <w:p w14:paraId="24FB85C1"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Sig</w:t>
            </w:r>
          </w:p>
        </w:tc>
        <w:tc>
          <w:tcPr>
            <w:tcW w:w="0" w:type="auto"/>
            <w:tcBorders>
              <w:top w:val="single" w:sz="4" w:space="0" w:color="7F7F7F" w:themeColor="text1" w:themeTint="80"/>
              <w:left w:val="nil"/>
              <w:bottom w:val="single" w:sz="4" w:space="0" w:color="7F7F7F" w:themeColor="text1" w:themeTint="80"/>
              <w:right w:val="nil"/>
            </w:tcBorders>
            <w:hideMark/>
          </w:tcPr>
          <w:p w14:paraId="60470E09"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Interpret</w:t>
            </w:r>
          </w:p>
        </w:tc>
      </w:tr>
      <w:tr w:rsidR="00AE5C2A" w:rsidRPr="0063364F" w14:paraId="7B8933C4" w14:textId="77777777" w:rsidTr="00CB4BFD">
        <w:tc>
          <w:tcPr>
            <w:tcW w:w="0" w:type="auto"/>
            <w:tcBorders>
              <w:top w:val="single" w:sz="4" w:space="0" w:color="7F7F7F" w:themeColor="text1" w:themeTint="80"/>
              <w:left w:val="nil"/>
              <w:right w:val="nil"/>
            </w:tcBorders>
            <w:hideMark/>
          </w:tcPr>
          <w:p w14:paraId="0AE87D77"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Constant</w:t>
            </w:r>
          </w:p>
        </w:tc>
        <w:tc>
          <w:tcPr>
            <w:tcW w:w="0" w:type="auto"/>
            <w:tcBorders>
              <w:top w:val="single" w:sz="4" w:space="0" w:color="7F7F7F" w:themeColor="text1" w:themeTint="80"/>
              <w:left w:val="nil"/>
              <w:right w:val="nil"/>
            </w:tcBorders>
            <w:hideMark/>
          </w:tcPr>
          <w:p w14:paraId="1422063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64.123</w:t>
            </w:r>
          </w:p>
        </w:tc>
        <w:tc>
          <w:tcPr>
            <w:tcW w:w="0" w:type="auto"/>
            <w:tcBorders>
              <w:top w:val="single" w:sz="4" w:space="0" w:color="7F7F7F" w:themeColor="text1" w:themeTint="80"/>
              <w:left w:val="nil"/>
              <w:right w:val="nil"/>
            </w:tcBorders>
            <w:hideMark/>
          </w:tcPr>
          <w:p w14:paraId="78561AF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0.000</w:t>
            </w:r>
          </w:p>
        </w:tc>
        <w:tc>
          <w:tcPr>
            <w:tcW w:w="0" w:type="auto"/>
            <w:tcBorders>
              <w:top w:val="single" w:sz="4" w:space="0" w:color="7F7F7F" w:themeColor="text1" w:themeTint="80"/>
              <w:left w:val="nil"/>
              <w:right w:val="nil"/>
            </w:tcBorders>
            <w:hideMark/>
          </w:tcPr>
          <w:p w14:paraId="1A564B08"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Learning outcome value when HOTS = 0</w:t>
            </w:r>
          </w:p>
        </w:tc>
      </w:tr>
      <w:tr w:rsidR="00AE5C2A" w:rsidRPr="0063364F" w14:paraId="0A15B6C5" w14:textId="77777777" w:rsidTr="00CB4BFD">
        <w:tc>
          <w:tcPr>
            <w:tcW w:w="0" w:type="auto"/>
            <w:tcBorders>
              <w:top w:val="nil"/>
              <w:left w:val="nil"/>
              <w:bottom w:val="single" w:sz="4" w:space="0" w:color="7F7F7F" w:themeColor="text1" w:themeTint="80"/>
              <w:right w:val="nil"/>
            </w:tcBorders>
            <w:hideMark/>
          </w:tcPr>
          <w:p w14:paraId="5993D971"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HOTS → Learning Outcome</w:t>
            </w:r>
          </w:p>
        </w:tc>
        <w:tc>
          <w:tcPr>
            <w:tcW w:w="0" w:type="auto"/>
            <w:tcBorders>
              <w:top w:val="nil"/>
              <w:left w:val="nil"/>
              <w:bottom w:val="single" w:sz="4" w:space="0" w:color="7F7F7F" w:themeColor="text1" w:themeTint="80"/>
              <w:right w:val="nil"/>
            </w:tcBorders>
            <w:hideMark/>
          </w:tcPr>
          <w:p w14:paraId="1809ABD4"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4.58</w:t>
            </w:r>
          </w:p>
        </w:tc>
        <w:tc>
          <w:tcPr>
            <w:tcW w:w="0" w:type="auto"/>
            <w:tcBorders>
              <w:top w:val="nil"/>
              <w:left w:val="nil"/>
              <w:bottom w:val="single" w:sz="4" w:space="0" w:color="7F7F7F" w:themeColor="text1" w:themeTint="80"/>
              <w:right w:val="nil"/>
            </w:tcBorders>
            <w:hideMark/>
          </w:tcPr>
          <w:p w14:paraId="4611AD72"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0.001</w:t>
            </w:r>
          </w:p>
        </w:tc>
        <w:tc>
          <w:tcPr>
            <w:tcW w:w="0" w:type="auto"/>
            <w:tcBorders>
              <w:top w:val="nil"/>
              <w:left w:val="nil"/>
              <w:bottom w:val="single" w:sz="4" w:space="0" w:color="7F7F7F" w:themeColor="text1" w:themeTint="80"/>
              <w:right w:val="nil"/>
            </w:tcBorders>
            <w:hideMark/>
          </w:tcPr>
          <w:p w14:paraId="2F37C88E"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 xml:space="preserve">Each increase in HOTS score by </w:t>
            </w:r>
            <w:proofErr w:type="gramStart"/>
            <w:r w:rsidRPr="0063364F">
              <w:rPr>
                <w:rFonts w:ascii="Times New Roman" w:hAnsi="Times New Roman" w:cs="Times New Roman"/>
                <w:color w:val="000000" w:themeColor="text1"/>
                <w:sz w:val="24"/>
                <w:szCs w:val="24"/>
                <w:lang w:val="en-ID"/>
              </w:rPr>
              <w:t>1 point</w:t>
            </w:r>
            <w:proofErr w:type="gramEnd"/>
            <w:r w:rsidRPr="0063364F">
              <w:rPr>
                <w:rFonts w:ascii="Times New Roman" w:hAnsi="Times New Roman" w:cs="Times New Roman"/>
                <w:color w:val="000000" w:themeColor="text1"/>
                <w:sz w:val="24"/>
                <w:szCs w:val="24"/>
                <w:lang w:val="en-ID"/>
              </w:rPr>
              <w:t xml:space="preserve"> increases learning outcomes by 4.58 points</w:t>
            </w:r>
          </w:p>
        </w:tc>
      </w:tr>
    </w:tbl>
    <w:p w14:paraId="7E116C78" w14:textId="77777777" w:rsidR="00DF5556" w:rsidRPr="00DF5556" w:rsidRDefault="00DF5556" w:rsidP="00AE5C2A">
      <w:pPr>
        <w:spacing w:after="0"/>
        <w:jc w:val="both"/>
        <w:rPr>
          <w:rFonts w:ascii="Times New Roman" w:hAnsi="Times New Roman" w:cs="Times New Roman"/>
          <w:sz w:val="24"/>
          <w:szCs w:val="24"/>
        </w:rPr>
      </w:pPr>
      <w:r w:rsidRPr="00DF5556">
        <w:rPr>
          <w:rFonts w:ascii="Times New Roman" w:hAnsi="Times New Roman" w:cs="Times New Roman"/>
          <w:sz w:val="24"/>
          <w:szCs w:val="24"/>
        </w:rPr>
        <w:t xml:space="preserve">Regression Equation: Y=64.123+4.580X+eY = 64.123 + 4.580X + </w:t>
      </w:r>
      <w:proofErr w:type="spellStart"/>
      <w:r w:rsidRPr="00DF5556">
        <w:rPr>
          <w:rFonts w:ascii="Times New Roman" w:hAnsi="Times New Roman" w:cs="Times New Roman"/>
          <w:sz w:val="24"/>
          <w:szCs w:val="24"/>
        </w:rPr>
        <w:t>eY</w:t>
      </w:r>
      <w:proofErr w:type="spellEnd"/>
      <w:r w:rsidRPr="00DF5556">
        <w:rPr>
          <w:rFonts w:ascii="Times New Roman" w:hAnsi="Times New Roman" w:cs="Times New Roman"/>
          <w:sz w:val="24"/>
          <w:szCs w:val="24"/>
        </w:rPr>
        <w:t>=64.123+4.580X+e</w:t>
      </w:r>
    </w:p>
    <w:p w14:paraId="7D7B2DAD"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(Y = Learning Outcomes, X = HOTS)</w:t>
      </w:r>
    </w:p>
    <w:p w14:paraId="7994503D"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The research findings conclusively demonstrate that differentiated instruction significantly contributes to improving student learning outcomes, particularly in the context of social studies in junior high schools across Kabila Subdistrict. This improvement is consistently reflected in higher posttest scores compared to pretest scores, both among students with high Higher Order Thinking Skills (HOTS) and those with low HOTS. As an illustration, students at SMP 1 Kabila with high HOTS scores saw their scores increase from 63 to 82, while those with low HOTS scores improved from 57 to 75. A similar pattern was observed at SMP 2 and SMP 3, where </w:t>
      </w:r>
      <w:r w:rsidRPr="00DF5556">
        <w:rPr>
          <w:color w:val="0E101A"/>
        </w:rPr>
        <w:lastRenderedPageBreak/>
        <w:t>differentiated learning groups consistently achieved better post-test results than conventional groups, demonstrating the overall effectiveness of this approach.</w:t>
      </w:r>
    </w:p>
    <w:p w14:paraId="49D720E1"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Furthermore, differentiated learning strategies proved to be most optimal for students with high HOTS. This was reinforced by the greater difference in learning outcome improvement scores compared to the low HOTS group. These findings support the views of Tomlinson (2001) and </w:t>
      </w:r>
      <w:proofErr w:type="spellStart"/>
      <w:r w:rsidRPr="00DF5556">
        <w:rPr>
          <w:color w:val="0E101A"/>
        </w:rPr>
        <w:t>Subban</w:t>
      </w:r>
      <w:proofErr w:type="spellEnd"/>
      <w:r w:rsidRPr="00DF5556">
        <w:rPr>
          <w:color w:val="0E101A"/>
        </w:rPr>
        <w:t xml:space="preserve"> (2006) that students with higher-order thinking skills are better able to respond to challenging, flexible, and learning-style-appropriate instruction. They tend to process material analytically and create new meaning through critical evaluation and creative processes. In other words, differentiated learning provides space for students to </w:t>
      </w:r>
      <w:proofErr w:type="spellStart"/>
      <w:r w:rsidRPr="00DF5556">
        <w:rPr>
          <w:color w:val="0E101A"/>
        </w:rPr>
        <w:t>maximise</w:t>
      </w:r>
      <w:proofErr w:type="spellEnd"/>
      <w:r w:rsidRPr="00DF5556">
        <w:rPr>
          <w:color w:val="0E101A"/>
        </w:rPr>
        <w:t xml:space="preserve"> their cognitive potential through structured and contextual intellectual challenges.</w:t>
      </w:r>
    </w:p>
    <w:p w14:paraId="5D154728" w14:textId="77777777" w:rsidR="00DF5556" w:rsidRPr="00DF5556" w:rsidRDefault="00DF5556" w:rsidP="00CF6150">
      <w:pPr>
        <w:pStyle w:val="NormalWeb"/>
        <w:spacing w:before="0" w:beforeAutospacing="0" w:after="200" w:afterAutospacing="0"/>
        <w:jc w:val="both"/>
        <w:rPr>
          <w:color w:val="0E101A"/>
        </w:rPr>
      </w:pPr>
      <w:r w:rsidRPr="00DF5556">
        <w:rPr>
          <w:color w:val="0E101A"/>
        </w:rPr>
        <w:t>However, students with low HOTS also showed significant improvement. This indicates that differentiated learning is not only beneficial for cognitively gifted students but also accommodates the needs of students with limitations in higher-order thinking. Providing tailored materials, methods, and evaluations has proven to be an effective support, enabling this group to continue showing substantial progress in learning outcomes.</w:t>
      </w:r>
    </w:p>
    <w:p w14:paraId="1457A732"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Thus, differentiated learning serves as an inclusive and adaptive approach, in line with the principle of equity in education. Statistically, the influence of HOTS strategies and skills on learning outcomes was confirmed through an F-test showing a significance value of &lt; 0.001. These findings confirm that there is a significant simultaneous influence between learning strategies and HOTS levels on students' academic achievement.</w:t>
      </w:r>
    </w:p>
    <w:p w14:paraId="01B5DE98"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Therefore, the implementation of this strategy needs to be carried out systematically, starting from diagnostic assessment to map students' HOTS levels, to the development of targeted learning content, processes, and products. Brookhart (2010) states that analysis, evaluation, and creation are core elements of meaningful learning, so learning that integrates HOTS with differentiated strategies will create transformative learning experiences.</w:t>
      </w:r>
    </w:p>
    <w:p w14:paraId="39290DE3"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This finding aligns with Vygotsky's social constructivist approach, where students' cognitive development heavily depends on the interaction between internal conditions (HOTS abilities) and external conditions (adaptive teaching strategies). The Zone of Proximal Development (ZPD) develops optimally when learning strategies support students' thinking capacities (</w:t>
      </w:r>
      <w:proofErr w:type="spellStart"/>
      <w:r w:rsidRPr="00DF5556">
        <w:rPr>
          <w:color w:val="0E101A"/>
        </w:rPr>
        <w:t>Lumbantobing</w:t>
      </w:r>
      <w:proofErr w:type="spellEnd"/>
      <w:r w:rsidRPr="00DF5556">
        <w:rPr>
          <w:color w:val="0E101A"/>
        </w:rPr>
        <w:t xml:space="preserve"> et al., 2024). A differentiated approach combined with HOTS reinforcement opens up space for active and contextual meaning construction, enabling each student to obtain an optimal learning experience in line with their cognitive profile (Sharma, 2020).</w:t>
      </w:r>
    </w:p>
    <w:p w14:paraId="77069ECC"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Thus, this strategy not only </w:t>
      </w:r>
      <w:proofErr w:type="spellStart"/>
      <w:r w:rsidRPr="00DF5556">
        <w:rPr>
          <w:color w:val="0E101A"/>
        </w:rPr>
        <w:t>recognises</w:t>
      </w:r>
      <w:proofErr w:type="spellEnd"/>
      <w:r w:rsidRPr="00DF5556">
        <w:rPr>
          <w:color w:val="0E101A"/>
        </w:rPr>
        <w:t xml:space="preserve"> individual differences in the learning process but also encourages the improvement of HOTS, which is the foundation for deep and meaningful learning (Chun &amp; Abdullah, 2019). These results are in line with the findings of </w:t>
      </w:r>
      <w:proofErr w:type="spellStart"/>
      <w:r w:rsidRPr="00DF5556">
        <w:rPr>
          <w:color w:val="0E101A"/>
        </w:rPr>
        <w:t>Bilantua</w:t>
      </w:r>
      <w:proofErr w:type="spellEnd"/>
      <w:r w:rsidRPr="00DF5556">
        <w:rPr>
          <w:color w:val="0E101A"/>
        </w:rPr>
        <w:t xml:space="preserve"> et al. (2024), which show that differentiated learning has a positive impact on learning outcomes, albeit at a moderate intensity.</w:t>
      </w:r>
    </w:p>
    <w:p w14:paraId="5406E714"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Meanwhile, </w:t>
      </w:r>
      <w:proofErr w:type="spellStart"/>
      <w:r w:rsidRPr="00DF5556">
        <w:rPr>
          <w:color w:val="0E101A"/>
        </w:rPr>
        <w:t>Alfian</w:t>
      </w:r>
      <w:proofErr w:type="spellEnd"/>
      <w:r w:rsidRPr="00DF5556">
        <w:rPr>
          <w:color w:val="0E101A"/>
        </w:rPr>
        <w:t xml:space="preserve"> (2023) found that differentiated learning significantly improved HOTS skills and academic achievement. Beyond the social studies context, research by Khan and Rana (2021) in Pakistan showed that HOTS-based learning models improved scientific reasoning skills, indicating that the HOTS-based approach has cross-disciplinary validity. From a practical </w:t>
      </w:r>
      <w:r w:rsidRPr="00DF5556">
        <w:rPr>
          <w:color w:val="0E101A"/>
        </w:rPr>
        <w:lastRenderedPageBreak/>
        <w:t>perspective, teachers need to design HOTS-based differentiation strategies in a planned and data-driven manner, through structured initial assessments. Project-based learning models, problem-solving approaches, and reflective discussions have proven effective in developing higher-order thinking skills (</w:t>
      </w:r>
      <w:proofErr w:type="spellStart"/>
      <w:r w:rsidRPr="00DF5556">
        <w:rPr>
          <w:color w:val="0E101A"/>
        </w:rPr>
        <w:t>Kurniasih</w:t>
      </w:r>
      <w:proofErr w:type="spellEnd"/>
      <w:r w:rsidRPr="00DF5556">
        <w:rPr>
          <w:color w:val="0E101A"/>
        </w:rPr>
        <w:t xml:space="preserve"> et al., 2020). This reinforces that HOTS is not just an advanced cognitive skill, but a foundation for building 21st-century learning.</w:t>
      </w:r>
    </w:p>
    <w:p w14:paraId="27DBC48E" w14:textId="77777777" w:rsidR="00DF5556" w:rsidRDefault="00DF5556" w:rsidP="00CF6150">
      <w:pPr>
        <w:pStyle w:val="NormalWeb"/>
        <w:spacing w:before="0" w:beforeAutospacing="0" w:after="200" w:afterAutospacing="0"/>
        <w:jc w:val="both"/>
        <w:rPr>
          <w:color w:val="0E101A"/>
        </w:rPr>
      </w:pPr>
      <w:r w:rsidRPr="00DF5556">
        <w:rPr>
          <w:color w:val="0E101A"/>
        </w:rPr>
        <w:t xml:space="preserve">For policymakers, these research results provide a scientific basis for integrating differentiated learning strategies and HOTS development into teacher training and curriculum policy, particularly in the implementation of the Merdeka Curriculum. This curriculum </w:t>
      </w:r>
      <w:proofErr w:type="spellStart"/>
      <w:r w:rsidRPr="00DF5556">
        <w:rPr>
          <w:color w:val="0E101A"/>
        </w:rPr>
        <w:t>emphasises</w:t>
      </w:r>
      <w:proofErr w:type="spellEnd"/>
      <w:r w:rsidRPr="00DF5556">
        <w:rPr>
          <w:color w:val="0E101A"/>
        </w:rPr>
        <w:t xml:space="preserve"> learning that liberates students through differentiation based on individual needs, potential, and learning styles. Therefore, differentiated learning strategies integrated with HOTS reinforcement are not only a pedagogical choice but also a transformative strategy in </w:t>
      </w:r>
      <w:proofErr w:type="spellStart"/>
      <w:r w:rsidRPr="00DF5556">
        <w:rPr>
          <w:color w:val="0E101A"/>
        </w:rPr>
        <w:t>realising</w:t>
      </w:r>
      <w:proofErr w:type="spellEnd"/>
      <w:r w:rsidRPr="00DF5556">
        <w:rPr>
          <w:color w:val="0E101A"/>
        </w:rPr>
        <w:t xml:space="preserve"> education that is inclusive, adaptive, and meaningful both academically and socially.</w:t>
      </w:r>
    </w:p>
    <w:p w14:paraId="351050B5" w14:textId="77777777" w:rsidR="00DF5556" w:rsidRPr="00DF5556" w:rsidRDefault="00DF5556" w:rsidP="00CF6150">
      <w:pPr>
        <w:pStyle w:val="NormalWeb"/>
        <w:spacing w:before="0" w:beforeAutospacing="0" w:after="200" w:afterAutospacing="0"/>
        <w:jc w:val="both"/>
        <w:rPr>
          <w:color w:val="0E101A"/>
        </w:rPr>
      </w:pPr>
    </w:p>
    <w:p w14:paraId="4DF4F06B" w14:textId="77777777" w:rsidR="00DF5556" w:rsidRPr="00DF5556" w:rsidRDefault="00DF5556" w:rsidP="00CF6150">
      <w:pPr>
        <w:pStyle w:val="NormalWeb"/>
        <w:spacing w:before="0" w:beforeAutospacing="0" w:after="200" w:afterAutospacing="0"/>
        <w:jc w:val="both"/>
        <w:rPr>
          <w:color w:val="0E101A"/>
        </w:rPr>
      </w:pPr>
      <w:r w:rsidRPr="00DF5556">
        <w:rPr>
          <w:rStyle w:val="Strong"/>
          <w:color w:val="0E101A"/>
        </w:rPr>
        <w:t>CONCLUSION</w:t>
      </w:r>
    </w:p>
    <w:p w14:paraId="48B80958"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The application of differentiated learning has been proven to significantly improve junior high school students' social studies learning outcomes, especially when </w:t>
      </w:r>
      <w:proofErr w:type="spellStart"/>
      <w:r w:rsidRPr="00DF5556">
        <w:rPr>
          <w:color w:val="0E101A"/>
        </w:rPr>
        <w:t>synergised</w:t>
      </w:r>
      <w:proofErr w:type="spellEnd"/>
      <w:r w:rsidRPr="00DF5556">
        <w:rPr>
          <w:color w:val="0E101A"/>
        </w:rPr>
        <w:t xml:space="preserve"> with the strengthening of higher-order thinking skills (HOTS). This strategy is able to overcome the weaknesses of conventional approaches that have dominated the learning process and significantly improve the academic achievement of students who were previously below the standard of mastery.</w:t>
      </w:r>
    </w:p>
    <w:p w14:paraId="574B51F4"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This study makes an important contribution to the field of education by presenting an analytical framework that combines differentiated learning and HOTS. The novelty of this study lies in its attempt to address the scientific gap regarding the interaction between learning differentiation and HOTS levels in the context of secondary education.</w:t>
      </w:r>
    </w:p>
    <w:p w14:paraId="7F93E770" w14:textId="3AFC248C" w:rsidR="00DF5556" w:rsidRPr="00DF5556" w:rsidRDefault="00DF5556" w:rsidP="00CF6150">
      <w:pPr>
        <w:pStyle w:val="NormalWeb"/>
        <w:spacing w:before="0" w:beforeAutospacing="0" w:after="200" w:afterAutospacing="0"/>
        <w:jc w:val="both"/>
        <w:rPr>
          <w:color w:val="0E101A"/>
        </w:rPr>
      </w:pPr>
      <w:r w:rsidRPr="00DF5556">
        <w:rPr>
          <w:color w:val="0E101A"/>
        </w:rPr>
        <w:t xml:space="preserve">Practically, the results of this study recommend that teachers, school principals, and policymakers immediately implement differentiated learning as the primary approach in social studies education. Curricula and teacher training should be directed toward equipping educators with the ability to </w:t>
      </w:r>
      <w:r w:rsidR="005C4326" w:rsidRPr="00DF5556">
        <w:rPr>
          <w:color w:val="0E101A"/>
        </w:rPr>
        <w:t>analyses</w:t>
      </w:r>
      <w:r w:rsidRPr="00DF5556">
        <w:rPr>
          <w:color w:val="0E101A"/>
        </w:rPr>
        <w:t xml:space="preserve"> student profiles and design responsive, HOTS-based learning strategies.</w:t>
      </w:r>
    </w:p>
    <w:p w14:paraId="68229FCF" w14:textId="77777777" w:rsidR="00DF5556" w:rsidRDefault="00DF5556" w:rsidP="00CF6150">
      <w:pPr>
        <w:pStyle w:val="NormalWeb"/>
        <w:spacing w:before="0" w:beforeAutospacing="0" w:after="200" w:afterAutospacing="0"/>
        <w:jc w:val="both"/>
        <w:rPr>
          <w:color w:val="0E101A"/>
        </w:rPr>
      </w:pPr>
      <w:r w:rsidRPr="00DF5556">
        <w:rPr>
          <w:color w:val="0E101A"/>
        </w:rPr>
        <w:t>Moving forward, further research should explore the affective, social, and motivational dimensions of differentiated learning. Additionally, the development of more accurate and contextually appropriate HOTS diagnostic instruments will be a crucial foundation for creating a truly adaptive, inclusive, and transformative learning system.</w:t>
      </w:r>
    </w:p>
    <w:p w14:paraId="1359A63D" w14:textId="77777777" w:rsidR="00C84603" w:rsidRPr="00DF5556" w:rsidRDefault="00C84603" w:rsidP="00CF6150">
      <w:pPr>
        <w:pStyle w:val="NormalWeb"/>
        <w:spacing w:before="0" w:beforeAutospacing="0" w:after="200" w:afterAutospacing="0"/>
        <w:jc w:val="both"/>
        <w:rPr>
          <w:color w:val="0E101A"/>
        </w:rPr>
      </w:pPr>
    </w:p>
    <w:p w14:paraId="714B240F" w14:textId="77777777" w:rsidR="001B08E9" w:rsidRDefault="00C84603" w:rsidP="00DF5556">
      <w:pPr>
        <w:jc w:val="both"/>
        <w:rPr>
          <w:rFonts w:ascii="Times New Roman" w:hAnsi="Times New Roman" w:cs="Times New Roman"/>
          <w:b/>
          <w:sz w:val="24"/>
          <w:szCs w:val="24"/>
        </w:rPr>
      </w:pPr>
      <w:r w:rsidRPr="00C84603">
        <w:rPr>
          <w:rFonts w:ascii="Times New Roman" w:hAnsi="Times New Roman" w:cs="Times New Roman"/>
          <w:b/>
          <w:sz w:val="24"/>
          <w:szCs w:val="24"/>
        </w:rPr>
        <w:t>Reference</w:t>
      </w:r>
    </w:p>
    <w:p w14:paraId="6AB3529A"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Agusti</w:t>
      </w:r>
      <w:proofErr w:type="spellEnd"/>
      <w:r w:rsidRPr="00C84603">
        <w:rPr>
          <w:rFonts w:ascii="Times New Roman" w:hAnsi="Times New Roman" w:cs="Times New Roman"/>
          <w:sz w:val="24"/>
          <w:szCs w:val="24"/>
        </w:rPr>
        <w:t xml:space="preserve">, F. (2022). </w:t>
      </w:r>
      <w:r w:rsidRPr="00C84603">
        <w:rPr>
          <w:rFonts w:ascii="Times New Roman" w:hAnsi="Times New Roman" w:cs="Times New Roman"/>
          <w:bCs/>
          <w:sz w:val="24"/>
          <w:szCs w:val="24"/>
        </w:rPr>
        <w:t>Evaluation of Student Learning Outcomes</w:t>
      </w:r>
      <w:r w:rsidRPr="00C84603">
        <w:rPr>
          <w:rFonts w:ascii="Times New Roman" w:hAnsi="Times New Roman" w:cs="Times New Roman"/>
          <w:sz w:val="24"/>
          <w:szCs w:val="24"/>
        </w:rPr>
        <w:t xml:space="preserve">. Jakarta: </w:t>
      </w:r>
      <w:proofErr w:type="spellStart"/>
      <w:r w:rsidRPr="00C84603">
        <w:rPr>
          <w:rFonts w:ascii="Times New Roman" w:hAnsi="Times New Roman" w:cs="Times New Roman"/>
          <w:sz w:val="24"/>
          <w:szCs w:val="24"/>
        </w:rPr>
        <w:t>Rajawali</w:t>
      </w:r>
      <w:proofErr w:type="spellEnd"/>
      <w:r w:rsidRPr="00C84603">
        <w:rPr>
          <w:rFonts w:ascii="Times New Roman" w:hAnsi="Times New Roman" w:cs="Times New Roman"/>
          <w:sz w:val="24"/>
          <w:szCs w:val="24"/>
        </w:rPr>
        <w:t xml:space="preserve"> Pers.</w:t>
      </w:r>
    </w:p>
    <w:p w14:paraId="7C74C139"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Alfian</w:t>
      </w:r>
      <w:proofErr w:type="spellEnd"/>
      <w:r w:rsidRPr="00C84603">
        <w:rPr>
          <w:rFonts w:ascii="Times New Roman" w:hAnsi="Times New Roman" w:cs="Times New Roman"/>
          <w:sz w:val="24"/>
          <w:szCs w:val="24"/>
        </w:rPr>
        <w:t xml:space="preserve">, M. (2023). </w:t>
      </w:r>
      <w:r w:rsidRPr="00C84603">
        <w:rPr>
          <w:rFonts w:ascii="Times New Roman" w:hAnsi="Times New Roman" w:cs="Times New Roman"/>
          <w:bCs/>
          <w:sz w:val="24"/>
          <w:szCs w:val="24"/>
        </w:rPr>
        <w:t>Differentiated Learning and the Improvement of HOTS Skills and Academic Achievement</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Journal of Education and Learning</w:t>
      </w:r>
      <w:r w:rsidRPr="00C84603">
        <w:rPr>
          <w:rFonts w:ascii="Times New Roman" w:hAnsi="Times New Roman" w:cs="Times New Roman"/>
          <w:sz w:val="24"/>
          <w:szCs w:val="24"/>
        </w:rPr>
        <w:t>, 13(2), 25-39.</w:t>
      </w:r>
    </w:p>
    <w:p w14:paraId="26259B66"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lastRenderedPageBreak/>
        <w:t>Azril</w:t>
      </w:r>
      <w:proofErr w:type="spellEnd"/>
      <w:r w:rsidRPr="00C84603">
        <w:rPr>
          <w:rFonts w:ascii="Times New Roman" w:hAnsi="Times New Roman" w:cs="Times New Roman"/>
          <w:sz w:val="24"/>
          <w:szCs w:val="24"/>
        </w:rPr>
        <w:t xml:space="preserve">, M., </w:t>
      </w:r>
      <w:proofErr w:type="spellStart"/>
      <w:r w:rsidRPr="00C84603">
        <w:rPr>
          <w:rFonts w:ascii="Times New Roman" w:hAnsi="Times New Roman" w:cs="Times New Roman"/>
          <w:sz w:val="24"/>
          <w:szCs w:val="24"/>
        </w:rPr>
        <w:t>Nasuha</w:t>
      </w:r>
      <w:proofErr w:type="spellEnd"/>
      <w:r w:rsidRPr="00C84603">
        <w:rPr>
          <w:rFonts w:ascii="Times New Roman" w:hAnsi="Times New Roman" w:cs="Times New Roman"/>
          <w:sz w:val="24"/>
          <w:szCs w:val="24"/>
        </w:rPr>
        <w:t xml:space="preserve">, S. N., &amp; </w:t>
      </w:r>
      <w:proofErr w:type="spellStart"/>
      <w:r w:rsidRPr="00C84603">
        <w:rPr>
          <w:rFonts w:ascii="Times New Roman" w:hAnsi="Times New Roman" w:cs="Times New Roman"/>
          <w:sz w:val="24"/>
          <w:szCs w:val="24"/>
        </w:rPr>
        <w:t>Setiawan</w:t>
      </w:r>
      <w:proofErr w:type="spellEnd"/>
      <w:r w:rsidRPr="00C84603">
        <w:rPr>
          <w:rFonts w:ascii="Times New Roman" w:hAnsi="Times New Roman" w:cs="Times New Roman"/>
          <w:sz w:val="24"/>
          <w:szCs w:val="24"/>
        </w:rPr>
        <w:t xml:space="preserve">, B. (2023). </w:t>
      </w:r>
      <w:r w:rsidRPr="00C84603">
        <w:rPr>
          <w:rFonts w:ascii="Times New Roman" w:hAnsi="Times New Roman" w:cs="Times New Roman"/>
          <w:bCs/>
          <w:sz w:val="24"/>
          <w:szCs w:val="24"/>
        </w:rPr>
        <w:t>Improvement of Social Studies Learning Outcomes by Understanding and Addressing the Problems of Learning Methods</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Journal of Education and Social Science</w:t>
      </w:r>
      <w:r w:rsidRPr="00C84603">
        <w:rPr>
          <w:rFonts w:ascii="Times New Roman" w:hAnsi="Times New Roman" w:cs="Times New Roman"/>
          <w:sz w:val="24"/>
          <w:szCs w:val="24"/>
        </w:rPr>
        <w:t xml:space="preserve">, 2(1), 225–235. </w:t>
      </w:r>
      <w:hyperlink r:id="rId7" w:tgtFrame="_new" w:history="1">
        <w:r w:rsidRPr="00C84603">
          <w:rPr>
            <w:rStyle w:val="Hyperlink"/>
            <w:rFonts w:ascii="Times New Roman" w:hAnsi="Times New Roman" w:cs="Times New Roman"/>
            <w:sz w:val="24"/>
            <w:szCs w:val="24"/>
          </w:rPr>
          <w:t>https://doi.org/10.54066/jupendis.v2i1.1207</w:t>
        </w:r>
      </w:hyperlink>
    </w:p>
    <w:p w14:paraId="0BC75CEB"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Azwar</w:t>
      </w:r>
      <w:proofErr w:type="spellEnd"/>
      <w:r w:rsidRPr="00C84603">
        <w:rPr>
          <w:rFonts w:ascii="Times New Roman" w:hAnsi="Times New Roman" w:cs="Times New Roman"/>
          <w:sz w:val="24"/>
          <w:szCs w:val="24"/>
        </w:rPr>
        <w:t xml:space="preserve">, S. (2012). </w:t>
      </w:r>
      <w:r w:rsidRPr="00C84603">
        <w:rPr>
          <w:rFonts w:ascii="Times New Roman" w:hAnsi="Times New Roman" w:cs="Times New Roman"/>
          <w:bCs/>
          <w:sz w:val="24"/>
          <w:szCs w:val="24"/>
        </w:rPr>
        <w:t>Reliability and Validity</w:t>
      </w:r>
      <w:r w:rsidRPr="00C84603">
        <w:rPr>
          <w:rFonts w:ascii="Times New Roman" w:hAnsi="Times New Roman" w:cs="Times New Roman"/>
          <w:sz w:val="24"/>
          <w:szCs w:val="24"/>
        </w:rPr>
        <w:t xml:space="preserve"> (4th ed.). </w:t>
      </w:r>
      <w:proofErr w:type="spellStart"/>
      <w:r w:rsidRPr="00C84603">
        <w:rPr>
          <w:rFonts w:ascii="Times New Roman" w:hAnsi="Times New Roman" w:cs="Times New Roman"/>
          <w:sz w:val="24"/>
          <w:szCs w:val="24"/>
        </w:rPr>
        <w:t>Pustaka</w:t>
      </w:r>
      <w:proofErr w:type="spellEnd"/>
      <w:r w:rsidRPr="00C84603">
        <w:rPr>
          <w:rFonts w:ascii="Times New Roman" w:hAnsi="Times New Roman" w:cs="Times New Roman"/>
          <w:sz w:val="24"/>
          <w:szCs w:val="24"/>
        </w:rPr>
        <w:t xml:space="preserve"> </w:t>
      </w:r>
      <w:proofErr w:type="spellStart"/>
      <w:r w:rsidRPr="00C84603">
        <w:rPr>
          <w:rFonts w:ascii="Times New Roman" w:hAnsi="Times New Roman" w:cs="Times New Roman"/>
          <w:sz w:val="24"/>
          <w:szCs w:val="24"/>
        </w:rPr>
        <w:t>Pelajar</w:t>
      </w:r>
      <w:proofErr w:type="spellEnd"/>
      <w:r w:rsidRPr="00C84603">
        <w:rPr>
          <w:rFonts w:ascii="Times New Roman" w:hAnsi="Times New Roman" w:cs="Times New Roman"/>
          <w:sz w:val="24"/>
          <w:szCs w:val="24"/>
        </w:rPr>
        <w:t>.</w:t>
      </w:r>
      <w:r w:rsidRPr="00C84603">
        <w:rPr>
          <w:rFonts w:ascii="Times New Roman" w:hAnsi="Times New Roman" w:cs="Times New Roman"/>
          <w:sz w:val="24"/>
          <w:szCs w:val="24"/>
        </w:rPr>
        <w:br/>
        <w:t xml:space="preserve">Barratt, M. (2014). </w:t>
      </w:r>
      <w:r w:rsidRPr="00C84603">
        <w:rPr>
          <w:rFonts w:ascii="Times New Roman" w:hAnsi="Times New Roman" w:cs="Times New Roman"/>
          <w:bCs/>
          <w:sz w:val="24"/>
          <w:szCs w:val="24"/>
        </w:rPr>
        <w:t>Higher Order Thinking Skills: Definition, Teaching Strategies, and Assessment</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Journal of Education and Learning</w:t>
      </w:r>
      <w:r w:rsidRPr="00C84603">
        <w:rPr>
          <w:rFonts w:ascii="Times New Roman" w:hAnsi="Times New Roman" w:cs="Times New Roman"/>
          <w:sz w:val="24"/>
          <w:szCs w:val="24"/>
        </w:rPr>
        <w:t xml:space="preserve">, 3(2), 1–12. </w:t>
      </w:r>
      <w:hyperlink r:id="rId8" w:tgtFrame="_new" w:history="1">
        <w:r w:rsidRPr="00C84603">
          <w:rPr>
            <w:rStyle w:val="Hyperlink"/>
            <w:rFonts w:ascii="Times New Roman" w:hAnsi="Times New Roman" w:cs="Times New Roman"/>
            <w:sz w:val="24"/>
            <w:szCs w:val="24"/>
          </w:rPr>
          <w:t>https://doi.org/10.5539/jel.v3n2p1</w:t>
        </w:r>
      </w:hyperlink>
    </w:p>
    <w:p w14:paraId="7A445412"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Bilantua</w:t>
      </w:r>
      <w:proofErr w:type="spellEnd"/>
      <w:r w:rsidRPr="00C84603">
        <w:rPr>
          <w:rFonts w:ascii="Times New Roman" w:hAnsi="Times New Roman" w:cs="Times New Roman"/>
          <w:sz w:val="24"/>
          <w:szCs w:val="24"/>
        </w:rPr>
        <w:t xml:space="preserve">, M., </w:t>
      </w:r>
      <w:proofErr w:type="spellStart"/>
      <w:r w:rsidRPr="00C84603">
        <w:rPr>
          <w:rFonts w:ascii="Times New Roman" w:hAnsi="Times New Roman" w:cs="Times New Roman"/>
          <w:sz w:val="24"/>
          <w:szCs w:val="24"/>
        </w:rPr>
        <w:t>Panigoro</w:t>
      </w:r>
      <w:proofErr w:type="spellEnd"/>
      <w:r w:rsidRPr="00C84603">
        <w:rPr>
          <w:rFonts w:ascii="Times New Roman" w:hAnsi="Times New Roman" w:cs="Times New Roman"/>
          <w:sz w:val="24"/>
          <w:szCs w:val="24"/>
        </w:rPr>
        <w:t xml:space="preserve">, I., &amp; </w:t>
      </w:r>
      <w:proofErr w:type="spellStart"/>
      <w:r w:rsidRPr="00C84603">
        <w:rPr>
          <w:rFonts w:ascii="Times New Roman" w:hAnsi="Times New Roman" w:cs="Times New Roman"/>
          <w:sz w:val="24"/>
          <w:szCs w:val="24"/>
        </w:rPr>
        <w:t>Bahsoan</w:t>
      </w:r>
      <w:proofErr w:type="spellEnd"/>
      <w:r w:rsidRPr="00C84603">
        <w:rPr>
          <w:rFonts w:ascii="Times New Roman" w:hAnsi="Times New Roman" w:cs="Times New Roman"/>
          <w:sz w:val="24"/>
          <w:szCs w:val="24"/>
        </w:rPr>
        <w:t xml:space="preserve">, R. (2024). </w:t>
      </w:r>
      <w:r w:rsidRPr="00C84603">
        <w:rPr>
          <w:rFonts w:ascii="Times New Roman" w:hAnsi="Times New Roman" w:cs="Times New Roman"/>
          <w:bCs/>
          <w:sz w:val="24"/>
          <w:szCs w:val="24"/>
        </w:rPr>
        <w:t>The Effect of Differentiated Learning on Social Studies Learning Outcomes in Junior High Schools</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Journal of Education and Learning</w:t>
      </w:r>
      <w:r w:rsidRPr="00C84603">
        <w:rPr>
          <w:rFonts w:ascii="Times New Roman" w:hAnsi="Times New Roman" w:cs="Times New Roman"/>
          <w:sz w:val="24"/>
          <w:szCs w:val="24"/>
        </w:rPr>
        <w:t xml:space="preserve">, 12(1), 45–56. </w:t>
      </w:r>
      <w:hyperlink r:id="rId9" w:tgtFrame="_new" w:history="1">
        <w:r w:rsidRPr="00C84603">
          <w:rPr>
            <w:rStyle w:val="Hyperlink"/>
            <w:rFonts w:ascii="Times New Roman" w:hAnsi="Times New Roman" w:cs="Times New Roman"/>
            <w:sz w:val="24"/>
            <w:szCs w:val="24"/>
          </w:rPr>
          <w:t>https://doi.org/10.xxxx/jpp.v12i1.xxxx</w:t>
        </w:r>
      </w:hyperlink>
    </w:p>
    <w:p w14:paraId="2A5A394A" w14:textId="77777777" w:rsidR="00C84603" w:rsidRDefault="00C84603" w:rsidP="00C70E59">
      <w:pPr>
        <w:ind w:left="567" w:hanging="567"/>
        <w:jc w:val="both"/>
        <w:rPr>
          <w:rFonts w:ascii="Times New Roman" w:hAnsi="Times New Roman" w:cs="Times New Roman"/>
          <w:sz w:val="24"/>
          <w:szCs w:val="24"/>
        </w:rPr>
      </w:pPr>
      <w:r w:rsidRPr="00C84603">
        <w:rPr>
          <w:rFonts w:ascii="Times New Roman" w:hAnsi="Times New Roman" w:cs="Times New Roman"/>
          <w:sz w:val="24"/>
          <w:szCs w:val="24"/>
        </w:rPr>
        <w:t xml:space="preserve">Brookhart, S. M. (2010). </w:t>
      </w:r>
      <w:r w:rsidRPr="00C84603">
        <w:rPr>
          <w:rFonts w:ascii="Times New Roman" w:hAnsi="Times New Roman" w:cs="Times New Roman"/>
          <w:bCs/>
          <w:sz w:val="24"/>
          <w:szCs w:val="24"/>
        </w:rPr>
        <w:t>How to Assess Higher-Order Thinking Skills in Your Classroom</w:t>
      </w:r>
      <w:r w:rsidRPr="00C84603">
        <w:rPr>
          <w:rFonts w:ascii="Times New Roman" w:hAnsi="Times New Roman" w:cs="Times New Roman"/>
          <w:sz w:val="24"/>
          <w:szCs w:val="24"/>
        </w:rPr>
        <w:t>. ASCD.</w:t>
      </w:r>
    </w:p>
    <w:p w14:paraId="6254A45F"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Coubergs</w:t>
      </w:r>
      <w:proofErr w:type="spellEnd"/>
      <w:r w:rsidRPr="00C84603">
        <w:rPr>
          <w:rFonts w:ascii="Times New Roman" w:hAnsi="Times New Roman" w:cs="Times New Roman"/>
          <w:sz w:val="24"/>
          <w:szCs w:val="24"/>
        </w:rPr>
        <w:t xml:space="preserve">, C., </w:t>
      </w:r>
      <w:proofErr w:type="spellStart"/>
      <w:r w:rsidRPr="00C84603">
        <w:rPr>
          <w:rFonts w:ascii="Times New Roman" w:hAnsi="Times New Roman" w:cs="Times New Roman"/>
          <w:sz w:val="24"/>
          <w:szCs w:val="24"/>
        </w:rPr>
        <w:t>Struyven</w:t>
      </w:r>
      <w:proofErr w:type="spellEnd"/>
      <w:r w:rsidRPr="00C84603">
        <w:rPr>
          <w:rFonts w:ascii="Times New Roman" w:hAnsi="Times New Roman" w:cs="Times New Roman"/>
          <w:sz w:val="24"/>
          <w:szCs w:val="24"/>
        </w:rPr>
        <w:t xml:space="preserve">, K., </w:t>
      </w:r>
      <w:proofErr w:type="spellStart"/>
      <w:r w:rsidRPr="00C84603">
        <w:rPr>
          <w:rFonts w:ascii="Times New Roman" w:hAnsi="Times New Roman" w:cs="Times New Roman"/>
          <w:sz w:val="24"/>
          <w:szCs w:val="24"/>
        </w:rPr>
        <w:t>Vanthournout</w:t>
      </w:r>
      <w:proofErr w:type="spellEnd"/>
      <w:r w:rsidRPr="00C84603">
        <w:rPr>
          <w:rFonts w:ascii="Times New Roman" w:hAnsi="Times New Roman" w:cs="Times New Roman"/>
          <w:sz w:val="24"/>
          <w:szCs w:val="24"/>
        </w:rPr>
        <w:t xml:space="preserve">, G., &amp; Engels, N. (2017). </w:t>
      </w:r>
      <w:r w:rsidRPr="00C84603">
        <w:rPr>
          <w:rFonts w:ascii="Times New Roman" w:hAnsi="Times New Roman" w:cs="Times New Roman"/>
          <w:bCs/>
          <w:sz w:val="24"/>
          <w:szCs w:val="24"/>
        </w:rPr>
        <w:t>Measuring Teachers' Perceptions about Differentiated Instruction: The DI-Quest Instrument and Model</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Studies in Educational Evaluation</w:t>
      </w:r>
      <w:r w:rsidRPr="00C84603">
        <w:rPr>
          <w:rFonts w:ascii="Times New Roman" w:hAnsi="Times New Roman" w:cs="Times New Roman"/>
          <w:sz w:val="24"/>
          <w:szCs w:val="24"/>
        </w:rPr>
        <w:t xml:space="preserve">, 53, 41–54. </w:t>
      </w:r>
      <w:hyperlink r:id="rId10" w:tgtFrame="_new" w:history="1">
        <w:r w:rsidRPr="00C84603">
          <w:rPr>
            <w:rStyle w:val="Hyperlink"/>
            <w:rFonts w:ascii="Times New Roman" w:hAnsi="Times New Roman" w:cs="Times New Roman"/>
            <w:sz w:val="24"/>
            <w:szCs w:val="24"/>
          </w:rPr>
          <w:t>https://doi.org/10.1016/j.stueduc.2017.02.004</w:t>
        </w:r>
      </w:hyperlink>
    </w:p>
    <w:p w14:paraId="6432BE34" w14:textId="77777777" w:rsidR="00C84603" w:rsidRDefault="00C84603" w:rsidP="00C70E59">
      <w:pPr>
        <w:ind w:left="567" w:hanging="567"/>
        <w:jc w:val="both"/>
        <w:rPr>
          <w:rFonts w:ascii="Times New Roman" w:hAnsi="Times New Roman" w:cs="Times New Roman"/>
          <w:sz w:val="24"/>
          <w:szCs w:val="24"/>
        </w:rPr>
      </w:pPr>
      <w:r w:rsidRPr="00C84603">
        <w:rPr>
          <w:rFonts w:ascii="Times New Roman" w:hAnsi="Times New Roman" w:cs="Times New Roman"/>
          <w:sz w:val="24"/>
          <w:szCs w:val="24"/>
        </w:rPr>
        <w:t xml:space="preserve">Creswell, J. W. (2012). </w:t>
      </w:r>
      <w:r w:rsidRPr="00C84603">
        <w:rPr>
          <w:rFonts w:ascii="Times New Roman" w:hAnsi="Times New Roman" w:cs="Times New Roman"/>
          <w:bCs/>
          <w:sz w:val="24"/>
          <w:szCs w:val="24"/>
        </w:rPr>
        <w:t>Educational Research: Planning, Conducting, and Evaluating Quantitative and Qualitative Research</w:t>
      </w:r>
      <w:r w:rsidRPr="00C84603">
        <w:rPr>
          <w:rFonts w:ascii="Times New Roman" w:hAnsi="Times New Roman" w:cs="Times New Roman"/>
          <w:sz w:val="24"/>
          <w:szCs w:val="24"/>
        </w:rPr>
        <w:t xml:space="preserve"> (4th ed.). Pearson.</w:t>
      </w:r>
    </w:p>
    <w:p w14:paraId="09B7CE19" w14:textId="77777777" w:rsidR="00C84603" w:rsidRDefault="00C84603" w:rsidP="00C70E59">
      <w:pPr>
        <w:ind w:left="567" w:hanging="567"/>
        <w:jc w:val="both"/>
        <w:rPr>
          <w:rFonts w:ascii="Times New Roman" w:hAnsi="Times New Roman" w:cs="Times New Roman"/>
          <w:sz w:val="24"/>
          <w:szCs w:val="24"/>
        </w:rPr>
      </w:pPr>
      <w:r w:rsidRPr="00C84603">
        <w:rPr>
          <w:rFonts w:ascii="Times New Roman" w:hAnsi="Times New Roman" w:cs="Times New Roman"/>
          <w:sz w:val="24"/>
          <w:szCs w:val="24"/>
        </w:rPr>
        <w:t xml:space="preserve">Chun, Τ. C. and Abdullah, M. N. L. Y. (2019). </w:t>
      </w:r>
      <w:r w:rsidRPr="00C84603">
        <w:rPr>
          <w:rFonts w:ascii="Times New Roman" w:hAnsi="Times New Roman" w:cs="Times New Roman"/>
          <w:bCs/>
          <w:sz w:val="24"/>
          <w:szCs w:val="24"/>
        </w:rPr>
        <w:t>The Teaching of Higher Order Thinking Skills (HOTS) in Malaysian Schools: Policy and Practices</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Malaysian Online Journal of Educational Management</w:t>
      </w:r>
      <w:r w:rsidRPr="00C84603">
        <w:rPr>
          <w:rFonts w:ascii="Times New Roman" w:hAnsi="Times New Roman" w:cs="Times New Roman"/>
          <w:sz w:val="24"/>
          <w:szCs w:val="24"/>
        </w:rPr>
        <w:t xml:space="preserve">, 7(3), 1-18. </w:t>
      </w:r>
      <w:hyperlink r:id="rId11" w:tgtFrame="_new" w:history="1">
        <w:r w:rsidRPr="00C84603">
          <w:rPr>
            <w:rStyle w:val="Hyperlink"/>
            <w:rFonts w:ascii="Times New Roman" w:hAnsi="Times New Roman" w:cs="Times New Roman"/>
            <w:sz w:val="24"/>
            <w:szCs w:val="24"/>
          </w:rPr>
          <w:t>https://doi.org/10.22452/mojem.vol7no3.1</w:t>
        </w:r>
      </w:hyperlink>
    </w:p>
    <w:p w14:paraId="6B6A5C90"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Ghozali</w:t>
      </w:r>
      <w:proofErr w:type="spellEnd"/>
      <w:r w:rsidRPr="00C84603">
        <w:rPr>
          <w:rFonts w:ascii="Times New Roman" w:hAnsi="Times New Roman" w:cs="Times New Roman"/>
          <w:sz w:val="24"/>
          <w:szCs w:val="24"/>
        </w:rPr>
        <w:t xml:space="preserve">, I. (2018). </w:t>
      </w:r>
      <w:r w:rsidRPr="00C84603">
        <w:rPr>
          <w:rFonts w:ascii="Times New Roman" w:hAnsi="Times New Roman" w:cs="Times New Roman"/>
          <w:bCs/>
          <w:sz w:val="24"/>
          <w:szCs w:val="24"/>
        </w:rPr>
        <w:t>Multivariate Analysis Application Using IBM SPSS 25</w:t>
      </w:r>
      <w:r w:rsidRPr="00C84603">
        <w:rPr>
          <w:rFonts w:ascii="Times New Roman" w:hAnsi="Times New Roman" w:cs="Times New Roman"/>
          <w:sz w:val="24"/>
          <w:szCs w:val="24"/>
        </w:rPr>
        <w:t xml:space="preserve">. </w:t>
      </w:r>
      <w:proofErr w:type="spellStart"/>
      <w:r w:rsidRPr="00C84603">
        <w:rPr>
          <w:rFonts w:ascii="Times New Roman" w:hAnsi="Times New Roman" w:cs="Times New Roman"/>
          <w:sz w:val="24"/>
          <w:szCs w:val="24"/>
        </w:rPr>
        <w:t>Universitas</w:t>
      </w:r>
      <w:proofErr w:type="spellEnd"/>
      <w:r w:rsidRPr="00C84603">
        <w:rPr>
          <w:rFonts w:ascii="Times New Roman" w:hAnsi="Times New Roman" w:cs="Times New Roman"/>
          <w:sz w:val="24"/>
          <w:szCs w:val="24"/>
        </w:rPr>
        <w:t xml:space="preserve"> </w:t>
      </w:r>
      <w:proofErr w:type="spellStart"/>
      <w:r w:rsidRPr="00C84603">
        <w:rPr>
          <w:rFonts w:ascii="Times New Roman" w:hAnsi="Times New Roman" w:cs="Times New Roman"/>
          <w:sz w:val="24"/>
          <w:szCs w:val="24"/>
        </w:rPr>
        <w:t>Diponegoro</w:t>
      </w:r>
      <w:proofErr w:type="spellEnd"/>
      <w:r w:rsidRPr="00C84603">
        <w:rPr>
          <w:rFonts w:ascii="Times New Roman" w:hAnsi="Times New Roman" w:cs="Times New Roman"/>
          <w:sz w:val="24"/>
          <w:szCs w:val="24"/>
        </w:rPr>
        <w:t xml:space="preserve"> Press.</w:t>
      </w:r>
    </w:p>
    <w:p w14:paraId="6A6DE517" w14:textId="77777777" w:rsidR="00C84603" w:rsidRDefault="00C84603" w:rsidP="00C70E59">
      <w:pPr>
        <w:ind w:left="567" w:hanging="567"/>
        <w:jc w:val="both"/>
        <w:rPr>
          <w:rFonts w:ascii="Times New Roman" w:hAnsi="Times New Roman" w:cs="Times New Roman"/>
          <w:sz w:val="24"/>
          <w:szCs w:val="24"/>
        </w:rPr>
      </w:pPr>
      <w:r w:rsidRPr="00C84603">
        <w:rPr>
          <w:rFonts w:ascii="Times New Roman" w:hAnsi="Times New Roman" w:cs="Times New Roman"/>
          <w:sz w:val="24"/>
          <w:szCs w:val="24"/>
        </w:rPr>
        <w:t xml:space="preserve">Ismail, M. (2024). </w:t>
      </w:r>
      <w:r w:rsidRPr="00C84603">
        <w:rPr>
          <w:rFonts w:ascii="Times New Roman" w:hAnsi="Times New Roman" w:cs="Times New Roman"/>
          <w:bCs/>
          <w:sz w:val="24"/>
          <w:szCs w:val="24"/>
        </w:rPr>
        <w:t>Learning Evaluation in Secondary Schools</w:t>
      </w:r>
      <w:r w:rsidRPr="00C84603">
        <w:rPr>
          <w:rFonts w:ascii="Times New Roman" w:hAnsi="Times New Roman" w:cs="Times New Roman"/>
          <w:sz w:val="24"/>
          <w:szCs w:val="24"/>
        </w:rPr>
        <w:t xml:space="preserve">. Bandung: </w:t>
      </w:r>
      <w:proofErr w:type="spellStart"/>
      <w:r w:rsidRPr="00C84603">
        <w:rPr>
          <w:rFonts w:ascii="Times New Roman" w:hAnsi="Times New Roman" w:cs="Times New Roman"/>
          <w:sz w:val="24"/>
          <w:szCs w:val="24"/>
        </w:rPr>
        <w:t>Alfabeta</w:t>
      </w:r>
      <w:proofErr w:type="spellEnd"/>
      <w:r w:rsidRPr="00C84603">
        <w:rPr>
          <w:rFonts w:ascii="Times New Roman" w:hAnsi="Times New Roman" w:cs="Times New Roman"/>
          <w:sz w:val="24"/>
          <w:szCs w:val="24"/>
        </w:rPr>
        <w:t>.</w:t>
      </w:r>
    </w:p>
    <w:p w14:paraId="14FA8909" w14:textId="77777777" w:rsidR="00C84603" w:rsidRDefault="00C84603" w:rsidP="00C70E59">
      <w:pPr>
        <w:ind w:left="567" w:hanging="567"/>
        <w:jc w:val="both"/>
        <w:rPr>
          <w:rFonts w:ascii="Times New Roman" w:hAnsi="Times New Roman" w:cs="Times New Roman"/>
          <w:sz w:val="24"/>
          <w:szCs w:val="24"/>
        </w:rPr>
      </w:pPr>
      <w:r w:rsidRPr="00C84603">
        <w:rPr>
          <w:rFonts w:ascii="Times New Roman" w:hAnsi="Times New Roman" w:cs="Times New Roman"/>
          <w:sz w:val="24"/>
          <w:szCs w:val="24"/>
        </w:rPr>
        <w:t xml:space="preserve">Khan, R., &amp; Rana, M. (2021). </w:t>
      </w:r>
      <w:r w:rsidRPr="00C84603">
        <w:rPr>
          <w:rFonts w:ascii="Times New Roman" w:hAnsi="Times New Roman" w:cs="Times New Roman"/>
          <w:bCs/>
          <w:sz w:val="24"/>
          <w:szCs w:val="24"/>
        </w:rPr>
        <w:t>HOTS-Based Learning Models and Their Impact on Scientific Reasoning Skills in Pakistan</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International Journal of Educational Research</w:t>
      </w:r>
      <w:r w:rsidRPr="00C84603">
        <w:rPr>
          <w:rFonts w:ascii="Times New Roman" w:hAnsi="Times New Roman" w:cs="Times New Roman"/>
          <w:sz w:val="24"/>
          <w:szCs w:val="24"/>
        </w:rPr>
        <w:t>, 23(4), 71-85.</w:t>
      </w:r>
    </w:p>
    <w:p w14:paraId="6A67E466"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Kurniasih</w:t>
      </w:r>
      <w:proofErr w:type="spellEnd"/>
      <w:r w:rsidRPr="00C84603">
        <w:rPr>
          <w:rFonts w:ascii="Times New Roman" w:hAnsi="Times New Roman" w:cs="Times New Roman"/>
          <w:sz w:val="24"/>
          <w:szCs w:val="24"/>
        </w:rPr>
        <w:t xml:space="preserve">, N., Rina, P., &amp; Widodo, P. (2020). </w:t>
      </w:r>
      <w:r w:rsidRPr="00C84603">
        <w:rPr>
          <w:rFonts w:ascii="Times New Roman" w:hAnsi="Times New Roman" w:cs="Times New Roman"/>
          <w:bCs/>
          <w:sz w:val="24"/>
          <w:szCs w:val="24"/>
        </w:rPr>
        <w:t>Project-Based Learning Models and Problem Solving to Develop HOTS Skills</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Innovative Education Journal</w:t>
      </w:r>
      <w:r w:rsidRPr="00C84603">
        <w:rPr>
          <w:rFonts w:ascii="Times New Roman" w:hAnsi="Times New Roman" w:cs="Times New Roman"/>
          <w:sz w:val="24"/>
          <w:szCs w:val="24"/>
        </w:rPr>
        <w:t>, 12(1), 10-21.</w:t>
      </w:r>
    </w:p>
    <w:p w14:paraId="2EB21DDC"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Lumbantobing</w:t>
      </w:r>
      <w:proofErr w:type="spellEnd"/>
      <w:r w:rsidRPr="00C84603">
        <w:rPr>
          <w:rFonts w:ascii="Times New Roman" w:hAnsi="Times New Roman" w:cs="Times New Roman"/>
          <w:sz w:val="24"/>
          <w:szCs w:val="24"/>
        </w:rPr>
        <w:t xml:space="preserve">, A., </w:t>
      </w:r>
      <w:proofErr w:type="spellStart"/>
      <w:r w:rsidRPr="00C84603">
        <w:rPr>
          <w:rFonts w:ascii="Times New Roman" w:hAnsi="Times New Roman" w:cs="Times New Roman"/>
          <w:sz w:val="24"/>
          <w:szCs w:val="24"/>
        </w:rPr>
        <w:t>Simanjuntak</w:t>
      </w:r>
      <w:proofErr w:type="spellEnd"/>
      <w:r w:rsidRPr="00C84603">
        <w:rPr>
          <w:rFonts w:ascii="Times New Roman" w:hAnsi="Times New Roman" w:cs="Times New Roman"/>
          <w:sz w:val="24"/>
          <w:szCs w:val="24"/>
        </w:rPr>
        <w:t xml:space="preserve">, J., &amp; </w:t>
      </w:r>
      <w:proofErr w:type="spellStart"/>
      <w:r w:rsidRPr="00C84603">
        <w:rPr>
          <w:rFonts w:ascii="Times New Roman" w:hAnsi="Times New Roman" w:cs="Times New Roman"/>
          <w:sz w:val="24"/>
          <w:szCs w:val="24"/>
        </w:rPr>
        <w:t>Siahaan</w:t>
      </w:r>
      <w:proofErr w:type="spellEnd"/>
      <w:r w:rsidRPr="00C84603">
        <w:rPr>
          <w:rFonts w:ascii="Times New Roman" w:hAnsi="Times New Roman" w:cs="Times New Roman"/>
          <w:sz w:val="24"/>
          <w:szCs w:val="24"/>
        </w:rPr>
        <w:t xml:space="preserve">, S. (2024). </w:t>
      </w:r>
      <w:r w:rsidRPr="00C84603">
        <w:rPr>
          <w:rFonts w:ascii="Times New Roman" w:hAnsi="Times New Roman" w:cs="Times New Roman"/>
          <w:bCs/>
          <w:sz w:val="24"/>
          <w:szCs w:val="24"/>
        </w:rPr>
        <w:t>The Effect of the Zone of Proximal Development (ZPD) on Cognitive Development in Differentiated Learning</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Journal of Educational Psychology</w:t>
      </w:r>
      <w:r w:rsidRPr="00C84603">
        <w:rPr>
          <w:rFonts w:ascii="Times New Roman" w:hAnsi="Times New Roman" w:cs="Times New Roman"/>
          <w:sz w:val="24"/>
          <w:szCs w:val="24"/>
        </w:rPr>
        <w:t>, 15(2), 32-44.</w:t>
      </w:r>
    </w:p>
    <w:p w14:paraId="02303D9E"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lastRenderedPageBreak/>
        <w:t>Muhlisah</w:t>
      </w:r>
      <w:proofErr w:type="spellEnd"/>
      <w:r w:rsidRPr="00C84603">
        <w:rPr>
          <w:rFonts w:ascii="Times New Roman" w:hAnsi="Times New Roman" w:cs="Times New Roman"/>
          <w:sz w:val="24"/>
          <w:szCs w:val="24"/>
        </w:rPr>
        <w:t xml:space="preserve">, N., </w:t>
      </w:r>
      <w:proofErr w:type="spellStart"/>
      <w:r w:rsidRPr="00C84603">
        <w:rPr>
          <w:rFonts w:ascii="Times New Roman" w:hAnsi="Times New Roman" w:cs="Times New Roman"/>
          <w:sz w:val="24"/>
          <w:szCs w:val="24"/>
        </w:rPr>
        <w:t>Rahmawati</w:t>
      </w:r>
      <w:proofErr w:type="spellEnd"/>
      <w:r w:rsidRPr="00C84603">
        <w:rPr>
          <w:rFonts w:ascii="Times New Roman" w:hAnsi="Times New Roman" w:cs="Times New Roman"/>
          <w:sz w:val="24"/>
          <w:szCs w:val="24"/>
        </w:rPr>
        <w:t xml:space="preserve">, I., &amp; </w:t>
      </w:r>
      <w:proofErr w:type="spellStart"/>
      <w:r w:rsidRPr="00C84603">
        <w:rPr>
          <w:rFonts w:ascii="Times New Roman" w:hAnsi="Times New Roman" w:cs="Times New Roman"/>
          <w:sz w:val="24"/>
          <w:szCs w:val="24"/>
        </w:rPr>
        <w:t>Suryani</w:t>
      </w:r>
      <w:proofErr w:type="spellEnd"/>
      <w:r w:rsidRPr="00C84603">
        <w:rPr>
          <w:rFonts w:ascii="Times New Roman" w:hAnsi="Times New Roman" w:cs="Times New Roman"/>
          <w:sz w:val="24"/>
          <w:szCs w:val="24"/>
        </w:rPr>
        <w:t xml:space="preserve">, T. (2023). </w:t>
      </w:r>
      <w:r w:rsidRPr="00C84603">
        <w:rPr>
          <w:rFonts w:ascii="Times New Roman" w:hAnsi="Times New Roman" w:cs="Times New Roman"/>
          <w:bCs/>
          <w:sz w:val="24"/>
          <w:szCs w:val="24"/>
        </w:rPr>
        <w:t>The Application of Differentiated Learning to Enhance Critical and Creative Thinking Skills of Students</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Educational Innovation Journal</w:t>
      </w:r>
      <w:r w:rsidRPr="00C84603">
        <w:rPr>
          <w:rFonts w:ascii="Times New Roman" w:hAnsi="Times New Roman" w:cs="Times New Roman"/>
          <w:sz w:val="24"/>
          <w:szCs w:val="24"/>
        </w:rPr>
        <w:t xml:space="preserve">, 9(2), 101–112. </w:t>
      </w:r>
      <w:hyperlink r:id="rId12" w:tgtFrame="_new" w:history="1">
        <w:r w:rsidRPr="00C84603">
          <w:rPr>
            <w:rStyle w:val="Hyperlink"/>
            <w:rFonts w:ascii="Times New Roman" w:hAnsi="Times New Roman" w:cs="Times New Roman"/>
            <w:sz w:val="24"/>
            <w:szCs w:val="24"/>
          </w:rPr>
          <w:t>https://doi.org/10.xxxx/jip.v9i2.xxxx</w:t>
        </w:r>
      </w:hyperlink>
    </w:p>
    <w:p w14:paraId="0FB88ED3"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Pozas</w:t>
      </w:r>
      <w:proofErr w:type="spellEnd"/>
      <w:r w:rsidRPr="00C84603">
        <w:rPr>
          <w:rFonts w:ascii="Times New Roman" w:hAnsi="Times New Roman" w:cs="Times New Roman"/>
          <w:sz w:val="24"/>
          <w:szCs w:val="24"/>
        </w:rPr>
        <w:t xml:space="preserve">, M., &amp; </w:t>
      </w:r>
      <w:proofErr w:type="spellStart"/>
      <w:r w:rsidRPr="00C84603">
        <w:rPr>
          <w:rFonts w:ascii="Times New Roman" w:hAnsi="Times New Roman" w:cs="Times New Roman"/>
          <w:sz w:val="24"/>
          <w:szCs w:val="24"/>
        </w:rPr>
        <w:t>Letzel</w:t>
      </w:r>
      <w:proofErr w:type="spellEnd"/>
      <w:r w:rsidRPr="00C84603">
        <w:rPr>
          <w:rFonts w:ascii="Times New Roman" w:hAnsi="Times New Roman" w:cs="Times New Roman"/>
          <w:sz w:val="24"/>
          <w:szCs w:val="24"/>
        </w:rPr>
        <w:t xml:space="preserve">, V. (2021). </w:t>
      </w:r>
      <w:r w:rsidRPr="00C84603">
        <w:rPr>
          <w:rFonts w:ascii="Times New Roman" w:hAnsi="Times New Roman" w:cs="Times New Roman"/>
          <w:bCs/>
          <w:sz w:val="24"/>
          <w:szCs w:val="24"/>
        </w:rPr>
        <w:t>Differentiation for Diversity: An Overview of Differentiated Instruction in Inclusive Education</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Frontiers in Education</w:t>
      </w:r>
      <w:r w:rsidRPr="00C84603">
        <w:rPr>
          <w:rFonts w:ascii="Times New Roman" w:hAnsi="Times New Roman" w:cs="Times New Roman"/>
          <w:sz w:val="24"/>
          <w:szCs w:val="24"/>
        </w:rPr>
        <w:t xml:space="preserve">, 6, 661. </w:t>
      </w:r>
      <w:hyperlink r:id="rId13" w:tgtFrame="_new" w:history="1">
        <w:r w:rsidRPr="00C84603">
          <w:rPr>
            <w:rStyle w:val="Hyperlink"/>
            <w:rFonts w:ascii="Times New Roman" w:hAnsi="Times New Roman" w:cs="Times New Roman"/>
            <w:sz w:val="24"/>
            <w:szCs w:val="24"/>
          </w:rPr>
          <w:t>https://doi.org/10.3389/feduc.2021.661</w:t>
        </w:r>
      </w:hyperlink>
    </w:p>
    <w:p w14:paraId="364BDF84" w14:textId="77777777" w:rsidR="00C84603" w:rsidRDefault="00C84603" w:rsidP="00C70E59">
      <w:pPr>
        <w:ind w:left="567" w:hanging="567"/>
        <w:jc w:val="both"/>
        <w:rPr>
          <w:rFonts w:ascii="Times New Roman" w:hAnsi="Times New Roman" w:cs="Times New Roman"/>
          <w:sz w:val="24"/>
          <w:szCs w:val="24"/>
        </w:rPr>
      </w:pPr>
      <w:r w:rsidRPr="00C84603">
        <w:rPr>
          <w:rFonts w:ascii="Times New Roman" w:hAnsi="Times New Roman" w:cs="Times New Roman"/>
          <w:sz w:val="24"/>
          <w:szCs w:val="24"/>
        </w:rPr>
        <w:t xml:space="preserve">Satriani, R., Lestari, D., &amp; Permata, M. (2022). </w:t>
      </w:r>
      <w:r w:rsidRPr="00C84603">
        <w:rPr>
          <w:rFonts w:ascii="Times New Roman" w:hAnsi="Times New Roman" w:cs="Times New Roman"/>
          <w:bCs/>
          <w:sz w:val="24"/>
          <w:szCs w:val="24"/>
        </w:rPr>
        <w:t>Analysis of Higher-Order Thinking Skills (HOTS) in Social Studies Learning</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Indonesian Journal of Social Education</w:t>
      </w:r>
      <w:r w:rsidRPr="00C84603">
        <w:rPr>
          <w:rFonts w:ascii="Times New Roman" w:hAnsi="Times New Roman" w:cs="Times New Roman"/>
          <w:sz w:val="24"/>
          <w:szCs w:val="24"/>
        </w:rPr>
        <w:t>, 10(1), 35–45.</w:t>
      </w:r>
      <w:r w:rsidRPr="00C84603">
        <w:rPr>
          <w:rFonts w:ascii="Times New Roman" w:hAnsi="Times New Roman" w:cs="Times New Roman"/>
          <w:sz w:val="24"/>
          <w:szCs w:val="24"/>
        </w:rPr>
        <w:br/>
        <w:t xml:space="preserve">Sharma, N. (2020). </w:t>
      </w:r>
      <w:r w:rsidRPr="00C84603">
        <w:rPr>
          <w:rFonts w:ascii="Times New Roman" w:hAnsi="Times New Roman" w:cs="Times New Roman"/>
          <w:bCs/>
          <w:sz w:val="24"/>
          <w:szCs w:val="24"/>
        </w:rPr>
        <w:t>Constructivist Teaching and Learning</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BSSS Journal of Education</w:t>
      </w:r>
      <w:r w:rsidRPr="00C84603">
        <w:rPr>
          <w:rFonts w:ascii="Times New Roman" w:hAnsi="Times New Roman" w:cs="Times New Roman"/>
          <w:sz w:val="24"/>
          <w:szCs w:val="24"/>
        </w:rPr>
        <w:t xml:space="preserve">. </w:t>
      </w:r>
      <w:hyperlink r:id="rId14" w:tgtFrame="_new" w:history="1">
        <w:r w:rsidRPr="00C84603">
          <w:rPr>
            <w:rStyle w:val="Hyperlink"/>
            <w:rFonts w:ascii="Times New Roman" w:hAnsi="Times New Roman" w:cs="Times New Roman"/>
            <w:sz w:val="24"/>
            <w:szCs w:val="24"/>
          </w:rPr>
          <w:t>https://doi.org/10.51767/je0905</w:t>
        </w:r>
      </w:hyperlink>
    </w:p>
    <w:p w14:paraId="17CA918A"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Subban</w:t>
      </w:r>
      <w:proofErr w:type="spellEnd"/>
      <w:r w:rsidRPr="00C84603">
        <w:rPr>
          <w:rFonts w:ascii="Times New Roman" w:hAnsi="Times New Roman" w:cs="Times New Roman"/>
          <w:sz w:val="24"/>
          <w:szCs w:val="24"/>
        </w:rPr>
        <w:t xml:space="preserve">, P. (2006). </w:t>
      </w:r>
      <w:r w:rsidRPr="00C84603">
        <w:rPr>
          <w:rFonts w:ascii="Times New Roman" w:hAnsi="Times New Roman" w:cs="Times New Roman"/>
          <w:bCs/>
          <w:sz w:val="24"/>
          <w:szCs w:val="24"/>
        </w:rPr>
        <w:t>Differentiated Instruction: A Research Basis</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International Education Journal</w:t>
      </w:r>
      <w:r w:rsidRPr="00C84603">
        <w:rPr>
          <w:rFonts w:ascii="Times New Roman" w:hAnsi="Times New Roman" w:cs="Times New Roman"/>
          <w:sz w:val="24"/>
          <w:szCs w:val="24"/>
        </w:rPr>
        <w:t>, 7(7), 935–947.</w:t>
      </w:r>
    </w:p>
    <w:p w14:paraId="513E12A7"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Sugiyono</w:t>
      </w:r>
      <w:proofErr w:type="spellEnd"/>
      <w:r w:rsidRPr="00C84603">
        <w:rPr>
          <w:rFonts w:ascii="Times New Roman" w:hAnsi="Times New Roman" w:cs="Times New Roman"/>
          <w:sz w:val="24"/>
          <w:szCs w:val="24"/>
        </w:rPr>
        <w:t xml:space="preserve">. (2014). </w:t>
      </w:r>
      <w:r w:rsidRPr="00C84603">
        <w:rPr>
          <w:rFonts w:ascii="Times New Roman" w:hAnsi="Times New Roman" w:cs="Times New Roman"/>
          <w:bCs/>
          <w:sz w:val="24"/>
          <w:szCs w:val="24"/>
        </w:rPr>
        <w:t>Quantitative, Qualitative, and R&amp;D Research Methods</w:t>
      </w:r>
      <w:r w:rsidRPr="00C84603">
        <w:rPr>
          <w:rFonts w:ascii="Times New Roman" w:hAnsi="Times New Roman" w:cs="Times New Roman"/>
          <w:sz w:val="24"/>
          <w:szCs w:val="24"/>
        </w:rPr>
        <w:t xml:space="preserve">. </w:t>
      </w:r>
      <w:proofErr w:type="spellStart"/>
      <w:r w:rsidRPr="00C84603">
        <w:rPr>
          <w:rFonts w:ascii="Times New Roman" w:hAnsi="Times New Roman" w:cs="Times New Roman"/>
          <w:sz w:val="24"/>
          <w:szCs w:val="24"/>
        </w:rPr>
        <w:t>Alfabeta</w:t>
      </w:r>
      <w:proofErr w:type="spellEnd"/>
      <w:r w:rsidRPr="00C84603">
        <w:rPr>
          <w:rFonts w:ascii="Times New Roman" w:hAnsi="Times New Roman" w:cs="Times New Roman"/>
          <w:sz w:val="24"/>
          <w:szCs w:val="24"/>
        </w:rPr>
        <w:t>.</w:t>
      </w:r>
    </w:p>
    <w:p w14:paraId="555E815C"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Sugiyono</w:t>
      </w:r>
      <w:proofErr w:type="spellEnd"/>
      <w:r w:rsidRPr="00C84603">
        <w:rPr>
          <w:rFonts w:ascii="Times New Roman" w:hAnsi="Times New Roman" w:cs="Times New Roman"/>
          <w:sz w:val="24"/>
          <w:szCs w:val="24"/>
        </w:rPr>
        <w:t xml:space="preserve">. (2016). </w:t>
      </w:r>
      <w:r w:rsidRPr="00C84603">
        <w:rPr>
          <w:rFonts w:ascii="Times New Roman" w:hAnsi="Times New Roman" w:cs="Times New Roman"/>
          <w:bCs/>
          <w:sz w:val="24"/>
          <w:szCs w:val="24"/>
        </w:rPr>
        <w:t>Educational Research Methods</w:t>
      </w:r>
      <w:r w:rsidRPr="00C84603">
        <w:rPr>
          <w:rFonts w:ascii="Times New Roman" w:hAnsi="Times New Roman" w:cs="Times New Roman"/>
          <w:sz w:val="24"/>
          <w:szCs w:val="24"/>
        </w:rPr>
        <w:t xml:space="preserve"> (Revised Edition). </w:t>
      </w:r>
      <w:proofErr w:type="spellStart"/>
      <w:r w:rsidRPr="00C84603">
        <w:rPr>
          <w:rFonts w:ascii="Times New Roman" w:hAnsi="Times New Roman" w:cs="Times New Roman"/>
          <w:sz w:val="24"/>
          <w:szCs w:val="24"/>
        </w:rPr>
        <w:t>Alfabeta</w:t>
      </w:r>
      <w:proofErr w:type="spellEnd"/>
      <w:r w:rsidRPr="00C84603">
        <w:rPr>
          <w:rFonts w:ascii="Times New Roman" w:hAnsi="Times New Roman" w:cs="Times New Roman"/>
          <w:sz w:val="24"/>
          <w:szCs w:val="24"/>
        </w:rPr>
        <w:t>.</w:t>
      </w:r>
    </w:p>
    <w:p w14:paraId="25958775" w14:textId="77777777" w:rsid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Sugiyono</w:t>
      </w:r>
      <w:proofErr w:type="spellEnd"/>
      <w:r w:rsidRPr="00C84603">
        <w:rPr>
          <w:rFonts w:ascii="Times New Roman" w:hAnsi="Times New Roman" w:cs="Times New Roman"/>
          <w:sz w:val="24"/>
          <w:szCs w:val="24"/>
        </w:rPr>
        <w:t xml:space="preserve">. (2017). </w:t>
      </w:r>
      <w:r w:rsidRPr="00C84603">
        <w:rPr>
          <w:rFonts w:ascii="Times New Roman" w:hAnsi="Times New Roman" w:cs="Times New Roman"/>
          <w:bCs/>
          <w:sz w:val="24"/>
          <w:szCs w:val="24"/>
        </w:rPr>
        <w:t>Statistics for Research</w:t>
      </w:r>
      <w:r w:rsidRPr="00C84603">
        <w:rPr>
          <w:rFonts w:ascii="Times New Roman" w:hAnsi="Times New Roman" w:cs="Times New Roman"/>
          <w:sz w:val="24"/>
          <w:szCs w:val="24"/>
        </w:rPr>
        <w:t xml:space="preserve">. </w:t>
      </w:r>
      <w:proofErr w:type="spellStart"/>
      <w:r w:rsidRPr="00C84603">
        <w:rPr>
          <w:rFonts w:ascii="Times New Roman" w:hAnsi="Times New Roman" w:cs="Times New Roman"/>
          <w:sz w:val="24"/>
          <w:szCs w:val="24"/>
        </w:rPr>
        <w:t>Alfabeta</w:t>
      </w:r>
      <w:proofErr w:type="spellEnd"/>
      <w:r w:rsidRPr="00C84603">
        <w:rPr>
          <w:rFonts w:ascii="Times New Roman" w:hAnsi="Times New Roman" w:cs="Times New Roman"/>
          <w:sz w:val="24"/>
          <w:szCs w:val="24"/>
        </w:rPr>
        <w:t>.</w:t>
      </w:r>
    </w:p>
    <w:p w14:paraId="747A4F98" w14:textId="77777777" w:rsidR="00C84603" w:rsidRDefault="00C84603" w:rsidP="00C70E59">
      <w:pPr>
        <w:ind w:left="567" w:hanging="567"/>
        <w:jc w:val="both"/>
        <w:rPr>
          <w:rFonts w:ascii="Times New Roman" w:hAnsi="Times New Roman" w:cs="Times New Roman"/>
          <w:sz w:val="24"/>
          <w:szCs w:val="24"/>
        </w:rPr>
      </w:pPr>
      <w:r w:rsidRPr="00C84603">
        <w:rPr>
          <w:rFonts w:ascii="Times New Roman" w:hAnsi="Times New Roman" w:cs="Times New Roman"/>
          <w:sz w:val="24"/>
          <w:szCs w:val="24"/>
        </w:rPr>
        <w:t xml:space="preserve">Tomlinson, C. A. (2001). </w:t>
      </w:r>
      <w:r w:rsidRPr="00C84603">
        <w:rPr>
          <w:rFonts w:ascii="Times New Roman" w:hAnsi="Times New Roman" w:cs="Times New Roman"/>
          <w:bCs/>
          <w:sz w:val="24"/>
          <w:szCs w:val="24"/>
        </w:rPr>
        <w:t>How to Differentiate Instruction in Mixed-Ability Classrooms</w:t>
      </w:r>
      <w:r w:rsidRPr="00C84603">
        <w:rPr>
          <w:rFonts w:ascii="Times New Roman" w:hAnsi="Times New Roman" w:cs="Times New Roman"/>
          <w:sz w:val="24"/>
          <w:szCs w:val="24"/>
        </w:rPr>
        <w:t xml:space="preserve"> (2nd ed.). Alexandria, VA: Association for Supervision and Curriculum Development.</w:t>
      </w:r>
    </w:p>
    <w:p w14:paraId="134C6DFC" w14:textId="77777777" w:rsidR="00C84603" w:rsidRDefault="00C84603" w:rsidP="00C70E59">
      <w:pPr>
        <w:ind w:left="567" w:hanging="567"/>
        <w:jc w:val="both"/>
        <w:rPr>
          <w:rFonts w:ascii="Times New Roman" w:hAnsi="Times New Roman" w:cs="Times New Roman"/>
          <w:sz w:val="24"/>
          <w:szCs w:val="24"/>
        </w:rPr>
      </w:pPr>
      <w:r w:rsidRPr="00C84603">
        <w:rPr>
          <w:rFonts w:ascii="Times New Roman" w:hAnsi="Times New Roman" w:cs="Times New Roman"/>
          <w:sz w:val="24"/>
          <w:szCs w:val="24"/>
        </w:rPr>
        <w:t xml:space="preserve">Tomlinson, C. A. (2017). </w:t>
      </w:r>
      <w:r w:rsidRPr="00C84603">
        <w:rPr>
          <w:rFonts w:ascii="Times New Roman" w:hAnsi="Times New Roman" w:cs="Times New Roman"/>
          <w:bCs/>
          <w:sz w:val="24"/>
          <w:szCs w:val="24"/>
        </w:rPr>
        <w:t>How to Differentiate Instruction in Academically Diverse Classrooms</w:t>
      </w:r>
      <w:r w:rsidRPr="00C84603">
        <w:rPr>
          <w:rFonts w:ascii="Times New Roman" w:hAnsi="Times New Roman" w:cs="Times New Roman"/>
          <w:sz w:val="24"/>
          <w:szCs w:val="24"/>
        </w:rPr>
        <w:t xml:space="preserve"> (3rd ed.). Alexandria, VA: Association for Supervision and Curriculum Development.</w:t>
      </w:r>
    </w:p>
    <w:p w14:paraId="76242872" w14:textId="77777777" w:rsidR="00C84603" w:rsidRPr="00C84603" w:rsidRDefault="00C84603" w:rsidP="00C70E59">
      <w:pPr>
        <w:ind w:left="567" w:hanging="567"/>
        <w:jc w:val="both"/>
        <w:rPr>
          <w:rFonts w:ascii="Times New Roman" w:hAnsi="Times New Roman" w:cs="Times New Roman"/>
          <w:sz w:val="24"/>
          <w:szCs w:val="24"/>
        </w:rPr>
      </w:pPr>
      <w:proofErr w:type="spellStart"/>
      <w:r w:rsidRPr="00C84603">
        <w:rPr>
          <w:rFonts w:ascii="Times New Roman" w:hAnsi="Times New Roman" w:cs="Times New Roman"/>
          <w:sz w:val="24"/>
          <w:szCs w:val="24"/>
        </w:rPr>
        <w:t>Zubaidah</w:t>
      </w:r>
      <w:proofErr w:type="spellEnd"/>
      <w:r w:rsidRPr="00C84603">
        <w:rPr>
          <w:rFonts w:ascii="Times New Roman" w:hAnsi="Times New Roman" w:cs="Times New Roman"/>
          <w:sz w:val="24"/>
          <w:szCs w:val="24"/>
        </w:rPr>
        <w:t xml:space="preserve">, S., </w:t>
      </w:r>
      <w:proofErr w:type="spellStart"/>
      <w:r w:rsidRPr="00C84603">
        <w:rPr>
          <w:rFonts w:ascii="Times New Roman" w:hAnsi="Times New Roman" w:cs="Times New Roman"/>
          <w:sz w:val="24"/>
          <w:szCs w:val="24"/>
        </w:rPr>
        <w:t>Corebima</w:t>
      </w:r>
      <w:proofErr w:type="spellEnd"/>
      <w:r w:rsidRPr="00C84603">
        <w:rPr>
          <w:rFonts w:ascii="Times New Roman" w:hAnsi="Times New Roman" w:cs="Times New Roman"/>
          <w:sz w:val="24"/>
          <w:szCs w:val="24"/>
        </w:rPr>
        <w:t xml:space="preserve">, A. D., &amp; </w:t>
      </w:r>
      <w:proofErr w:type="spellStart"/>
      <w:r w:rsidRPr="00C84603">
        <w:rPr>
          <w:rFonts w:ascii="Times New Roman" w:hAnsi="Times New Roman" w:cs="Times New Roman"/>
          <w:sz w:val="24"/>
          <w:szCs w:val="24"/>
        </w:rPr>
        <w:t>Mistianah</w:t>
      </w:r>
      <w:proofErr w:type="spellEnd"/>
      <w:r w:rsidRPr="00C84603">
        <w:rPr>
          <w:rFonts w:ascii="Times New Roman" w:hAnsi="Times New Roman" w:cs="Times New Roman"/>
          <w:sz w:val="24"/>
          <w:szCs w:val="24"/>
        </w:rPr>
        <w:t xml:space="preserve">. (2018). </w:t>
      </w:r>
      <w:r w:rsidRPr="00C84603">
        <w:rPr>
          <w:rFonts w:ascii="Times New Roman" w:hAnsi="Times New Roman" w:cs="Times New Roman"/>
          <w:bCs/>
          <w:sz w:val="24"/>
          <w:szCs w:val="24"/>
        </w:rPr>
        <w:t>Differentiated Learning to Develop 21st Century Skills</w:t>
      </w:r>
      <w:r w:rsidRPr="00C84603">
        <w:rPr>
          <w:rFonts w:ascii="Times New Roman" w:hAnsi="Times New Roman" w:cs="Times New Roman"/>
          <w:sz w:val="24"/>
          <w:szCs w:val="24"/>
        </w:rPr>
        <w:t xml:space="preserve">. </w:t>
      </w:r>
      <w:r w:rsidRPr="00C84603">
        <w:rPr>
          <w:rFonts w:ascii="Times New Roman" w:hAnsi="Times New Roman" w:cs="Times New Roman"/>
          <w:i/>
          <w:iCs/>
          <w:sz w:val="24"/>
          <w:szCs w:val="24"/>
        </w:rPr>
        <w:t>Journal of Education</w:t>
      </w:r>
      <w:r w:rsidRPr="00C84603">
        <w:rPr>
          <w:rFonts w:ascii="Times New Roman" w:hAnsi="Times New Roman" w:cs="Times New Roman"/>
          <w:sz w:val="24"/>
          <w:szCs w:val="24"/>
        </w:rPr>
        <w:t xml:space="preserve">, 19(1), 15–27. </w:t>
      </w:r>
      <w:hyperlink r:id="rId15" w:tgtFrame="_new" w:history="1">
        <w:r w:rsidRPr="00C84603">
          <w:rPr>
            <w:rStyle w:val="Hyperlink"/>
            <w:rFonts w:ascii="Times New Roman" w:hAnsi="Times New Roman" w:cs="Times New Roman"/>
            <w:sz w:val="24"/>
            <w:szCs w:val="24"/>
          </w:rPr>
          <w:t>https://doi.org/10.xxxx/jp.v19i1.xxxx</w:t>
        </w:r>
      </w:hyperlink>
      <w:r>
        <w:rPr>
          <w:rFonts w:ascii="Times New Roman" w:hAnsi="Times New Roman" w:cs="Times New Roman"/>
          <w:sz w:val="24"/>
          <w:szCs w:val="24"/>
        </w:rPr>
        <w:t>.</w:t>
      </w:r>
    </w:p>
    <w:sectPr w:rsidR="00C84603" w:rsidRPr="00C8460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D0B1B" w14:textId="77777777" w:rsidR="004C00FE" w:rsidRDefault="004C00FE" w:rsidP="0089160A">
      <w:pPr>
        <w:spacing w:after="0" w:line="240" w:lineRule="auto"/>
      </w:pPr>
      <w:r>
        <w:separator/>
      </w:r>
    </w:p>
  </w:endnote>
  <w:endnote w:type="continuationSeparator" w:id="0">
    <w:p w14:paraId="4CB3A2D5" w14:textId="77777777" w:rsidR="004C00FE" w:rsidRDefault="004C00FE" w:rsidP="0089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524C" w14:textId="77777777" w:rsidR="0089160A" w:rsidRDefault="0089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B147" w14:textId="77777777" w:rsidR="0089160A" w:rsidRDefault="00891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DC0D6" w14:textId="77777777" w:rsidR="0089160A" w:rsidRDefault="0089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E7799" w14:textId="77777777" w:rsidR="004C00FE" w:rsidRDefault="004C00FE" w:rsidP="0089160A">
      <w:pPr>
        <w:spacing w:after="0" w:line="240" w:lineRule="auto"/>
      </w:pPr>
      <w:r>
        <w:separator/>
      </w:r>
    </w:p>
  </w:footnote>
  <w:footnote w:type="continuationSeparator" w:id="0">
    <w:p w14:paraId="1D3FF2DC" w14:textId="77777777" w:rsidR="004C00FE" w:rsidRDefault="004C00FE" w:rsidP="0089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0EB23" w14:textId="2C18BEA8" w:rsidR="0089160A" w:rsidRDefault="0089160A">
    <w:pPr>
      <w:pStyle w:val="Header"/>
    </w:pPr>
    <w:r>
      <w:rPr>
        <w:noProof/>
      </w:rPr>
      <w:pict w14:anchorId="5795E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EF8F" w14:textId="6A241E89" w:rsidR="0089160A" w:rsidRDefault="0089160A">
    <w:pPr>
      <w:pStyle w:val="Header"/>
    </w:pPr>
    <w:r>
      <w:rPr>
        <w:noProof/>
      </w:rPr>
      <w:pict w14:anchorId="73E31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D1A9" w14:textId="1E552354" w:rsidR="0089160A" w:rsidRDefault="0089160A">
    <w:pPr>
      <w:pStyle w:val="Header"/>
    </w:pPr>
    <w:r>
      <w:rPr>
        <w:noProof/>
      </w:rPr>
      <w:pict w14:anchorId="56AF4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021C4"/>
    <w:multiLevelType w:val="hybridMultilevel"/>
    <w:tmpl w:val="1C2A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8E9"/>
    <w:rsid w:val="00024240"/>
    <w:rsid w:val="00087013"/>
    <w:rsid w:val="001B08E9"/>
    <w:rsid w:val="004C00FE"/>
    <w:rsid w:val="004F10EF"/>
    <w:rsid w:val="005C4326"/>
    <w:rsid w:val="00801466"/>
    <w:rsid w:val="0089160A"/>
    <w:rsid w:val="008D405E"/>
    <w:rsid w:val="009015AF"/>
    <w:rsid w:val="009E5128"/>
    <w:rsid w:val="00A02DDB"/>
    <w:rsid w:val="00A67AE3"/>
    <w:rsid w:val="00AE5C2A"/>
    <w:rsid w:val="00C70E59"/>
    <w:rsid w:val="00C84603"/>
    <w:rsid w:val="00CC6024"/>
    <w:rsid w:val="00CF6150"/>
    <w:rsid w:val="00D463C7"/>
    <w:rsid w:val="00DF5556"/>
    <w:rsid w:val="00EC4278"/>
    <w:rsid w:val="00F83F45"/>
    <w:rsid w:val="00FB2940"/>
    <w:rsid w:val="00FF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A0FE4"/>
  <w15:docId w15:val="{F77BC30F-DDA6-C140-A01C-86D3261F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B08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E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B08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8E9"/>
    <w:rPr>
      <w:b/>
      <w:bCs/>
    </w:rPr>
  </w:style>
  <w:style w:type="character" w:styleId="Hyperlink">
    <w:name w:val="Hyperlink"/>
    <w:basedOn w:val="DefaultParagraphFont"/>
    <w:uiPriority w:val="99"/>
    <w:unhideWhenUsed/>
    <w:rsid w:val="00C84603"/>
    <w:rPr>
      <w:color w:val="0000FF" w:themeColor="hyperlink"/>
      <w:u w:val="single"/>
    </w:rPr>
  </w:style>
  <w:style w:type="paragraph" w:styleId="NoSpacing">
    <w:name w:val="No Spacing"/>
    <w:uiPriority w:val="1"/>
    <w:qFormat/>
    <w:rsid w:val="004F10EF"/>
    <w:pPr>
      <w:spacing w:after="0" w:line="240" w:lineRule="auto"/>
    </w:pPr>
  </w:style>
  <w:style w:type="character" w:styleId="UnresolvedMention">
    <w:name w:val="Unresolved Mention"/>
    <w:basedOn w:val="DefaultParagraphFont"/>
    <w:uiPriority w:val="99"/>
    <w:semiHidden/>
    <w:unhideWhenUsed/>
    <w:rsid w:val="00A67AE3"/>
    <w:rPr>
      <w:color w:val="605E5C"/>
      <w:shd w:val="clear" w:color="auto" w:fill="E1DFDD"/>
    </w:rPr>
  </w:style>
  <w:style w:type="paragraph" w:styleId="Header">
    <w:name w:val="header"/>
    <w:basedOn w:val="Normal"/>
    <w:link w:val="HeaderChar"/>
    <w:uiPriority w:val="99"/>
    <w:unhideWhenUsed/>
    <w:rsid w:val="00891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0A"/>
  </w:style>
  <w:style w:type="paragraph" w:styleId="Footer">
    <w:name w:val="footer"/>
    <w:basedOn w:val="Normal"/>
    <w:link w:val="FooterChar"/>
    <w:uiPriority w:val="99"/>
    <w:unhideWhenUsed/>
    <w:rsid w:val="00891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815631">
      <w:bodyDiv w:val="1"/>
      <w:marLeft w:val="0"/>
      <w:marRight w:val="0"/>
      <w:marTop w:val="0"/>
      <w:marBottom w:val="0"/>
      <w:divBdr>
        <w:top w:val="none" w:sz="0" w:space="0" w:color="auto"/>
        <w:left w:val="none" w:sz="0" w:space="0" w:color="auto"/>
        <w:bottom w:val="none" w:sz="0" w:space="0" w:color="auto"/>
        <w:right w:val="none" w:sz="0" w:space="0" w:color="auto"/>
      </w:divBdr>
    </w:div>
    <w:div w:id="616562872">
      <w:bodyDiv w:val="1"/>
      <w:marLeft w:val="0"/>
      <w:marRight w:val="0"/>
      <w:marTop w:val="0"/>
      <w:marBottom w:val="0"/>
      <w:divBdr>
        <w:top w:val="none" w:sz="0" w:space="0" w:color="auto"/>
        <w:left w:val="none" w:sz="0" w:space="0" w:color="auto"/>
        <w:bottom w:val="none" w:sz="0" w:space="0" w:color="auto"/>
        <w:right w:val="none" w:sz="0" w:space="0" w:color="auto"/>
      </w:divBdr>
    </w:div>
    <w:div w:id="638002706">
      <w:bodyDiv w:val="1"/>
      <w:marLeft w:val="0"/>
      <w:marRight w:val="0"/>
      <w:marTop w:val="0"/>
      <w:marBottom w:val="0"/>
      <w:divBdr>
        <w:top w:val="none" w:sz="0" w:space="0" w:color="auto"/>
        <w:left w:val="none" w:sz="0" w:space="0" w:color="auto"/>
        <w:bottom w:val="none" w:sz="0" w:space="0" w:color="auto"/>
        <w:right w:val="none" w:sz="0" w:space="0" w:color="auto"/>
      </w:divBdr>
    </w:div>
    <w:div w:id="1126852353">
      <w:bodyDiv w:val="1"/>
      <w:marLeft w:val="0"/>
      <w:marRight w:val="0"/>
      <w:marTop w:val="0"/>
      <w:marBottom w:val="0"/>
      <w:divBdr>
        <w:top w:val="none" w:sz="0" w:space="0" w:color="auto"/>
        <w:left w:val="none" w:sz="0" w:space="0" w:color="auto"/>
        <w:bottom w:val="none" w:sz="0" w:space="0" w:color="auto"/>
        <w:right w:val="none" w:sz="0" w:space="0" w:color="auto"/>
      </w:divBdr>
    </w:div>
    <w:div w:id="17404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jel.v3n2p1" TargetMode="External"/><Relationship Id="rId13" Type="http://schemas.openxmlformats.org/officeDocument/2006/relationships/hyperlink" Target="https://doi.org/10.3389/feduc.2021.66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54066/jupendis.v2i1.1207" TargetMode="External"/><Relationship Id="rId12" Type="http://schemas.openxmlformats.org/officeDocument/2006/relationships/hyperlink" Target="https://doi.org/10.xxxx/jip.v9i2.xxx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452/mojem.vol7no3.1" TargetMode="External"/><Relationship Id="rId5" Type="http://schemas.openxmlformats.org/officeDocument/2006/relationships/footnotes" Target="footnotes.xml"/><Relationship Id="rId15" Type="http://schemas.openxmlformats.org/officeDocument/2006/relationships/hyperlink" Target="https://doi.org/10.xxxx/jp.v19i1.xxxx" TargetMode="External"/><Relationship Id="rId23" Type="http://schemas.openxmlformats.org/officeDocument/2006/relationships/theme" Target="theme/theme1.xml"/><Relationship Id="rId10" Type="http://schemas.openxmlformats.org/officeDocument/2006/relationships/hyperlink" Target="https://doi.org/10.1016/j.stueduc.2017.02.00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xxxx/jpp.v12i1.xxxx" TargetMode="External"/><Relationship Id="rId14" Type="http://schemas.openxmlformats.org/officeDocument/2006/relationships/hyperlink" Target="https://doi.org/10.51767/je09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B1040B-9D80-1242-B95F-C6B728BC96BA}">
  <we:reference id="wa200001361" version="2.129.3.0" store="en-US" storeType="OMEX"/>
  <we:alternateReferences>
    <we:reference id="wa200001361" version="2.129.3.0" store="en-US" storeType="OMEX"/>
  </we:alternateReferences>
  <we:properties>
    <we:property name="paperpal-document-id" value="&quot;1c68cbc1-df41-480d-9532-5d31d2a5c80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8</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1180</cp:lastModifiedBy>
  <cp:revision>12</cp:revision>
  <dcterms:created xsi:type="dcterms:W3CDTF">2025-08-14T22:53:00Z</dcterms:created>
  <dcterms:modified xsi:type="dcterms:W3CDTF">2025-08-16T10:01:00Z</dcterms:modified>
</cp:coreProperties>
</file>