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9CDAD" w14:textId="19C42A2B" w:rsidR="00166A74" w:rsidRDefault="00166A74" w:rsidP="00A473DF">
      <w:pPr>
        <w:spacing w:after="0" w:line="240" w:lineRule="auto"/>
        <w:jc w:val="center"/>
        <w:rPr>
          <w:b/>
          <w:bCs/>
        </w:rPr>
      </w:pPr>
      <w:r w:rsidRPr="00166A74">
        <w:rPr>
          <w:b/>
          <w:bCs/>
        </w:rPr>
        <w:t xml:space="preserve">An Assessment of the Availability of Resources and Challenges for Head Teachers in Primary and Junior Schools in Garissa Township Sub- County, </w:t>
      </w:r>
      <w:r w:rsidR="005B1263">
        <w:rPr>
          <w:b/>
          <w:bCs/>
        </w:rPr>
        <w:t>Kenya</w:t>
      </w:r>
    </w:p>
    <w:p w14:paraId="777E9CCB" w14:textId="77777777" w:rsidR="005B1263" w:rsidRPr="00166A74" w:rsidRDefault="005B1263" w:rsidP="00A473DF">
      <w:pPr>
        <w:spacing w:after="0" w:line="240" w:lineRule="auto"/>
        <w:jc w:val="center"/>
        <w:rPr>
          <w:b/>
          <w:bCs/>
        </w:rPr>
      </w:pPr>
    </w:p>
    <w:p w14:paraId="3E5A2909" w14:textId="45A87FBE" w:rsidR="00BA5A3E" w:rsidRDefault="00BA5A3E" w:rsidP="00A473DF">
      <w:pPr>
        <w:spacing w:after="0" w:line="240" w:lineRule="auto"/>
        <w:jc w:val="center"/>
      </w:pPr>
    </w:p>
    <w:p w14:paraId="6C397FC0" w14:textId="77777777" w:rsidR="00BA41E2" w:rsidRDefault="00BA41E2" w:rsidP="00A473DF">
      <w:pPr>
        <w:spacing w:after="0" w:line="240" w:lineRule="auto"/>
        <w:jc w:val="center"/>
      </w:pPr>
      <w:bookmarkStart w:id="0" w:name="_GoBack"/>
      <w:bookmarkEnd w:id="0"/>
    </w:p>
    <w:p w14:paraId="27D1F0B9" w14:textId="74B1020C" w:rsidR="00BA5A3E" w:rsidRPr="00166A74" w:rsidRDefault="00BA5A3E" w:rsidP="00A473DF">
      <w:pPr>
        <w:spacing w:after="0" w:line="240" w:lineRule="auto"/>
        <w:jc w:val="center"/>
      </w:pPr>
    </w:p>
    <w:p w14:paraId="4D1734D8" w14:textId="77777777" w:rsidR="00166A74" w:rsidRPr="00166A74" w:rsidRDefault="00166A74" w:rsidP="00166A74">
      <w:pPr>
        <w:spacing w:line="240" w:lineRule="auto"/>
        <w:rPr>
          <w:b/>
          <w:bCs/>
        </w:rPr>
      </w:pPr>
      <w:r w:rsidRPr="00166A74">
        <w:rPr>
          <w:b/>
          <w:bCs/>
        </w:rPr>
        <w:t>Abstract</w:t>
      </w:r>
    </w:p>
    <w:p w14:paraId="0E531E69" w14:textId="4BD4229C" w:rsidR="00166A74" w:rsidRPr="00166A74" w:rsidRDefault="00166A74" w:rsidP="00166A74">
      <w:pPr>
        <w:spacing w:line="240" w:lineRule="auto"/>
      </w:pPr>
      <w:r w:rsidRPr="00166A74">
        <w:t xml:space="preserve">The transition to the Competency-Based </w:t>
      </w:r>
      <w:r w:rsidR="007F7640" w:rsidRPr="00166A74">
        <w:t>Curriculum in</w:t>
      </w:r>
      <w:r w:rsidRPr="00166A74">
        <w:t xml:space="preserve"> Kenya has significantly expanded the roles of head teachers, particularly with the integration of </w:t>
      </w:r>
      <w:r w:rsidR="00C339F3" w:rsidRPr="00166A74">
        <w:t>junior schools</w:t>
      </w:r>
      <w:r w:rsidRPr="00166A74">
        <w:t xml:space="preserve"> within primary school premises. This study aimed to assess the relationship between the availability of resources and the challenges faced by head teachers in primary and junior schools in Garissa Township Sub- County, Garissa County, Kenya. Adopting a quantitative, correlational research design, the study utilized structured questionnaires administered to 166 teachers. Descriptive statistics were used to summarize perceptions of the availability of resources and management challenges, while Pearson's Product Moment Correlation Analysis was employed to determine their relationship. The findings revealed a statistically significant negative correlation between the availability of resources and management challenges (r=−.329, N=166, p&lt;.001). This indicates that as the perceived availability of resources increases, the challenges faced by head teachers tend to decrease. Despite its statistical significance, the correlation was of a weak to moderate strength, suggesting that while resource provision is important, it is not the sole determinant of management challenges. The study highlights the critical need for enhanced resource allocation and strategic management support to alleviate the burdens on head teachers, thereby contributing to improved educational outcomes in the region.</w:t>
      </w:r>
    </w:p>
    <w:p w14:paraId="25C250C0" w14:textId="111BC55E" w:rsidR="00166A74" w:rsidRPr="00166A74" w:rsidRDefault="007F7640" w:rsidP="00166A74">
      <w:pPr>
        <w:spacing w:line="360" w:lineRule="auto"/>
      </w:pPr>
      <w:r>
        <w:t xml:space="preserve">Keywords: </w:t>
      </w:r>
      <w:r w:rsidRPr="00166A74">
        <w:t xml:space="preserve">Availability </w:t>
      </w:r>
      <w:r>
        <w:t>o</w:t>
      </w:r>
      <w:r w:rsidRPr="00166A74">
        <w:t xml:space="preserve">f Resources </w:t>
      </w:r>
      <w:r>
        <w:t xml:space="preserve">, </w:t>
      </w:r>
      <w:r w:rsidRPr="00166A74">
        <w:t xml:space="preserve">Challenges </w:t>
      </w:r>
      <w:r>
        <w:t>Facing</w:t>
      </w:r>
      <w:r w:rsidRPr="00166A74">
        <w:t xml:space="preserve"> Teachers</w:t>
      </w:r>
      <w:r>
        <w:t xml:space="preserve">, </w:t>
      </w:r>
      <w:r w:rsidRPr="00166A74">
        <w:t>Competency-Based Curriculum</w:t>
      </w:r>
    </w:p>
    <w:p w14:paraId="2AA0AED7" w14:textId="77777777" w:rsidR="00166A74" w:rsidRPr="00166A74" w:rsidRDefault="00166A74" w:rsidP="00166A74">
      <w:pPr>
        <w:spacing w:line="360" w:lineRule="auto"/>
        <w:rPr>
          <w:b/>
          <w:bCs/>
        </w:rPr>
      </w:pPr>
      <w:r w:rsidRPr="00166A74">
        <w:rPr>
          <w:b/>
          <w:bCs/>
        </w:rPr>
        <w:t>1. Introduction</w:t>
      </w:r>
    </w:p>
    <w:p w14:paraId="716046D1" w14:textId="77777777" w:rsidR="00166A74" w:rsidRPr="00166A74" w:rsidRDefault="00166A74" w:rsidP="00166A74">
      <w:pPr>
        <w:spacing w:line="360" w:lineRule="auto"/>
      </w:pPr>
      <w:r w:rsidRPr="00166A74">
        <w:t>The role of head teachers in primary and junior schools is fundamental to ensuring effective management and the overall success of educational institutions (Fullan, 2007). In highly productive schools, head teachers are instrumental in setting the tone and inspiring staff, school management committees (SMCs), and other stakeholders to achieve their full potential (</w:t>
      </w:r>
      <w:proofErr w:type="spellStart"/>
      <w:r w:rsidRPr="00166A74">
        <w:t>Leithwood</w:t>
      </w:r>
      <w:proofErr w:type="spellEnd"/>
      <w:r w:rsidRPr="00166A74">
        <w:t xml:space="preserve"> et al., 2020). The success or failure of a school is often attributed to various factors, including the quality of education provided, parent satisfaction, teacher productivity, and, crucially, the leadership skills of head teachers. This context served as the foundational premise for investigating sustainable leadership practices that school administrators can implement to effectively mobilize human, financial, and physical resources (Harris &amp; Jones, 2020).</w:t>
      </w:r>
    </w:p>
    <w:p w14:paraId="1589C287" w14:textId="77777777" w:rsidR="00166A74" w:rsidRPr="00166A74" w:rsidRDefault="00166A74" w:rsidP="00166A74">
      <w:pPr>
        <w:spacing w:line="360" w:lineRule="auto"/>
      </w:pPr>
      <w:r w:rsidRPr="00166A74">
        <w:t xml:space="preserve">Head teachers are positioned at the core of all school improvement initiatives (Day &amp; Sammons, 2016). As such, they function as change agents for school success, expected to investigate, utilize, </w:t>
      </w:r>
      <w:r w:rsidRPr="00166A74">
        <w:lastRenderedPageBreak/>
        <w:t>and mobilize resources for ongoing improvements in organizational performance (Pont et al., 2008). Without a clear vision and productivity in carrying out their duties, long-term improvements in student accomplishment may remain elusive. Beyond leadership philosophies, factors such as resource sufficiency, best practices, expenses, priorities, and abilities also significantly influence resource mobilization (Bush &amp; Glover, 2014). Moreover, school administrators are tasked with promoting effective school changes (Hallinger &amp; Heck, 2010).</w:t>
      </w:r>
    </w:p>
    <w:p w14:paraId="60F87F98" w14:textId="77777777" w:rsidR="00166A74" w:rsidRPr="00166A74" w:rsidRDefault="00166A74" w:rsidP="00166A74">
      <w:pPr>
        <w:spacing w:line="360" w:lineRule="auto"/>
      </w:pPr>
      <w:r w:rsidRPr="00166A74">
        <w:t>In Kenya, the core duties and responsibilities of head teachers traditionally encompass teaching, personnel matters, administrative duties, and communication (Teachers Service Commission, 2018). However, the educational landscape has undergone significant transformation, particularly with the introduction of the Competency-Based Curriculum (CBC) for Grades 7 to 9. This curriculum reform has expanded the responsibilities of head teachers to include the supervision of junior schools alongside primary schools, presenting both new challenges and opportunities (KICD, 2017).</w:t>
      </w:r>
    </w:p>
    <w:p w14:paraId="3843E028" w14:textId="0BEB51D6" w:rsidR="00166A74" w:rsidRPr="00166A74" w:rsidRDefault="00166A74" w:rsidP="00166A74">
      <w:pPr>
        <w:spacing w:line="360" w:lineRule="auto"/>
      </w:pPr>
      <w:r w:rsidRPr="00166A74">
        <w:t>While numerous studies globally acknowledge the importance of head teachers in school success, there remains a notable gap in research concerning the specific challenges they face during their expanded management role in comprehensive schools, especially in the unique context of Garissa Township Sub- County (Wako, 2021). This study specifically aims to address this gap by assessing how the availability of resources relates to the challenges experienced by head teachers in their expanded management roles within this particular region.</w:t>
      </w:r>
    </w:p>
    <w:p w14:paraId="1EFB34A0" w14:textId="5DAF2B66" w:rsidR="00166A74" w:rsidRPr="00166A74" w:rsidRDefault="00166A74" w:rsidP="00166A74">
      <w:pPr>
        <w:spacing w:line="360" w:lineRule="auto"/>
      </w:pPr>
    </w:p>
    <w:p w14:paraId="261EACA7" w14:textId="77777777" w:rsidR="00166A74" w:rsidRPr="00166A74" w:rsidRDefault="00166A74" w:rsidP="00166A74">
      <w:pPr>
        <w:spacing w:line="360" w:lineRule="auto"/>
        <w:rPr>
          <w:b/>
          <w:bCs/>
        </w:rPr>
      </w:pPr>
      <w:r w:rsidRPr="00166A74">
        <w:rPr>
          <w:b/>
          <w:bCs/>
        </w:rPr>
        <w:t>2. Background to the Study</w:t>
      </w:r>
    </w:p>
    <w:p w14:paraId="01D243EF" w14:textId="77777777" w:rsidR="00166A74" w:rsidRPr="00166A74" w:rsidRDefault="00166A74" w:rsidP="00166A74">
      <w:pPr>
        <w:spacing w:line="360" w:lineRule="auto"/>
      </w:pPr>
      <w:r w:rsidRPr="00166A74">
        <w:t>The expanded management roles of head teachers are largely a consequence of the inception of CBC, which necessitated the co-location of junior schools within primary school premises (</w:t>
      </w:r>
      <w:proofErr w:type="spellStart"/>
      <w:r w:rsidRPr="00166A74">
        <w:t>Amunga</w:t>
      </w:r>
      <w:proofErr w:type="spellEnd"/>
      <w:r w:rsidRPr="00166A74">
        <w:t xml:space="preserve"> et al., 2020). This policy shift has broadened the scope of head teachers' responsibilities to include the management of both primary and junior schools. The realization that strong school leadership is essential to raising student achievement has led to increased expectations for head teachers to actively participate in curriculum creation, teacher professional development, and shaping school culture (Darling-Hammond et al., 2010). The implementation of more stringent assessment systems and standardized testing has further heightened the accountability of head </w:t>
      </w:r>
      <w:r w:rsidRPr="00166A74">
        <w:lastRenderedPageBreak/>
        <w:t>teachers for student achievement in ways previously uncommon (OECD, 2019). Consequently, head teachers now bear more responsibilities and face a more complex job, navigating both internal school politics and external accountability frameworks.</w:t>
      </w:r>
    </w:p>
    <w:p w14:paraId="7A84E350" w14:textId="77777777" w:rsidR="00166A74" w:rsidRPr="00166A74" w:rsidRDefault="00166A74" w:rsidP="00166A74">
      <w:pPr>
        <w:spacing w:line="360" w:lineRule="auto"/>
      </w:pPr>
      <w:r w:rsidRPr="00166A74">
        <w:t>In many developing nations, education systems frequently contend with challenges such as underfunding and the inefficient use of resources, which hinder both coverage and quality (UNESCO, 2015). A core aspect of this issue often involves persistent limitations on household demand for education, a lack of accountability in service provision, subpar teacher performance, and costly curriculum frameworks (World Bank, 2018). Managing teachers and other school resources is a demanding duty primarily assigned to head teachers, who serve as the chief executives of their respective schools. Research indicates that competent resource mobilization is a direct result of strong, flexible leadership roles, which in turn significantly enhances teacher satisfaction and retention (Ingersoll, 2007).</w:t>
      </w:r>
    </w:p>
    <w:p w14:paraId="57117CCF" w14:textId="77777777" w:rsidR="00166A74" w:rsidRPr="00166A74" w:rsidRDefault="00166A74" w:rsidP="00166A74">
      <w:pPr>
        <w:spacing w:line="360" w:lineRule="auto"/>
      </w:pPr>
      <w:r w:rsidRPr="00166A74">
        <w:t>Adequate infrastructure is also a critical requirement for providing a conducive learning environment (Barrett et al., 2019). In many Kenyan schools, infrastructure challenges, such as overcrowded classrooms and inadequate facilities, are prevalent (</w:t>
      </w:r>
      <w:proofErr w:type="spellStart"/>
      <w:r w:rsidRPr="00166A74">
        <w:t>Uwezo</w:t>
      </w:r>
      <w:proofErr w:type="spellEnd"/>
      <w:r w:rsidRPr="00166A74">
        <w:t xml:space="preserve"> Kenya, 2016). Addressing these issues is vital for improving education quality and effectively accommodating primary and junior secondary students. The effectiveness of resource mobilization in a school is largely determined by the caliber of its leadership. Financial resources can be sourced from various avenues, including government budgets, grants from international development agencies (IDAs), education foundations, non-governmental organizations (NGOs), and the private sector (</w:t>
      </w:r>
      <w:proofErr w:type="spellStart"/>
      <w:r w:rsidRPr="00166A74">
        <w:t>Kitaev</w:t>
      </w:r>
      <w:proofErr w:type="spellEnd"/>
      <w:r w:rsidRPr="00166A74">
        <w:t>, 1999). Despite these various sources, a head teacher's ability to manage and secure adequate resources remains a crucial determinant of school success. This study particularly focuses on understanding how the availability of these resources impacts the challenges head teachers face in their expanded managerial roles.</w:t>
      </w:r>
    </w:p>
    <w:p w14:paraId="54EDEEA2" w14:textId="1936AECC" w:rsidR="00166A74" w:rsidRDefault="00166A74">
      <w:pPr>
        <w:spacing w:line="278" w:lineRule="auto"/>
        <w:jc w:val="left"/>
      </w:pPr>
      <w:r>
        <w:br w:type="page"/>
      </w:r>
    </w:p>
    <w:p w14:paraId="46E8AA19" w14:textId="77777777" w:rsidR="00166A74" w:rsidRPr="00166A74" w:rsidRDefault="00166A74" w:rsidP="00166A74">
      <w:pPr>
        <w:spacing w:line="360" w:lineRule="auto"/>
        <w:rPr>
          <w:b/>
          <w:bCs/>
        </w:rPr>
      </w:pPr>
      <w:r w:rsidRPr="00166A74">
        <w:rPr>
          <w:b/>
          <w:bCs/>
        </w:rPr>
        <w:lastRenderedPageBreak/>
        <w:t>3. Statement of the Problem</w:t>
      </w:r>
    </w:p>
    <w:p w14:paraId="66D2547A" w14:textId="77777777" w:rsidR="00166A74" w:rsidRPr="00166A74" w:rsidRDefault="00166A74" w:rsidP="00166A74">
      <w:pPr>
        <w:spacing w:line="360" w:lineRule="auto"/>
      </w:pPr>
      <w:r w:rsidRPr="00166A74">
        <w:t>The work of head teachers in primary schools in Kenya has undergone a significant transformation over the past three years, primarily due to the introduction of the Competency-Based Curriculum (CBC) for Grades 7 to 9. This reform has expanded their responsibilities, granting them the added mandate of supervising junior schools alongside primary schools (Ministry of Education, 2018). While this presents an opportunity, it also introduces numerous complexities. Head teachers are now expected to manage teachers across both primary and junior school levels, a task that frequently gives rise to substantial challenges.</w:t>
      </w:r>
    </w:p>
    <w:p w14:paraId="2DFFAC88" w14:textId="77777777" w:rsidR="00166A74" w:rsidRPr="00166A74" w:rsidRDefault="00166A74" w:rsidP="00166A74">
      <w:pPr>
        <w:spacing w:line="360" w:lineRule="auto"/>
      </w:pPr>
      <w:r w:rsidRPr="00166A74">
        <w:t>Resource planning and management are fundamental requirements for ensuring successful teaching and learning within schools (Mbiti, 2007). However, in many developing countries, education systems are severely hampered by poor funding and inefficient utilization of resources (Glewwe &amp; Kremer, 2006). This often translates into ongoing restrictions on household demand for education, ineffective provision of accountable service delivery, suboptimal teacher performance, and the financial burden of costly curriculum standards. The instruction of teachers and management of other school facilities represent challenging tasks delegated to head teachers, who serve as the principal executives.</w:t>
      </w:r>
    </w:p>
    <w:p w14:paraId="448A9993" w14:textId="77777777" w:rsidR="00166A74" w:rsidRPr="00166A74" w:rsidRDefault="00166A74" w:rsidP="00166A74">
      <w:pPr>
        <w:spacing w:line="360" w:lineRule="auto"/>
      </w:pPr>
      <w:r w:rsidRPr="00166A74">
        <w:t>The introduction of CBC and the co-location of junior secondary schools have placed head teachers at the forefront of a major educational change, compelling them to research, tap into, and mobilize resources to achieve sustained organizational performance (Sifuna &amp; Obonyo, 2019). Specifically, the lack of sufficient funds can lead to challenges in the provision of requisite teaching and learning resources, the maintenance of school buildings, and the facilitation of essential co-curricular activities. Ensuring adequate infrastructure, such as proper classrooms and junior school premises, and correcting deficiencies like overcrowding and inadequate facilities, are crucial for attaining a high standard of education (GOK, 2012).</w:t>
      </w:r>
    </w:p>
    <w:p w14:paraId="6E1D23A2" w14:textId="400AEA0A" w:rsidR="00166A74" w:rsidRPr="00166A74" w:rsidRDefault="00166A74" w:rsidP="00166A74">
      <w:pPr>
        <w:spacing w:line="360" w:lineRule="auto"/>
      </w:pPr>
      <w:r w:rsidRPr="00166A74">
        <w:t xml:space="preserve">Despite the widely recognized crucial role of head teachers in school success, many are not adequately trained for the expanded duties they are now expected to perform. Little research has specifically investigated the issues head teachers experience when managing comprehensive schools in their broadened positions, particularly within the unique socio-economic, cultural, and security context of Garissa Township Sub- County. Understanding how head teachers in this specific sub-county manage challenges related to the availability of resources, given their </w:t>
      </w:r>
      <w:r w:rsidRPr="00166A74">
        <w:lastRenderedPageBreak/>
        <w:t>expanded roles, is crucial for developing effective support mechanisms and improving educational outcomes in the region.</w:t>
      </w:r>
    </w:p>
    <w:p w14:paraId="6EECF788" w14:textId="77777777" w:rsidR="00166A74" w:rsidRPr="00166A74" w:rsidRDefault="00166A74" w:rsidP="00166A74">
      <w:pPr>
        <w:spacing w:line="360" w:lineRule="auto"/>
        <w:rPr>
          <w:b/>
          <w:bCs/>
        </w:rPr>
      </w:pPr>
      <w:r w:rsidRPr="00166A74">
        <w:rPr>
          <w:b/>
          <w:bCs/>
        </w:rPr>
        <w:t>4. Research Hypothesis</w:t>
      </w:r>
    </w:p>
    <w:p w14:paraId="13E11C03" w14:textId="77777777" w:rsidR="00166A74" w:rsidRPr="00166A74" w:rsidRDefault="00166A74" w:rsidP="00166A74">
      <w:pPr>
        <w:spacing w:line="360" w:lineRule="auto"/>
      </w:pPr>
      <w:r w:rsidRPr="00166A74">
        <w:t>This study specifically tested the following null hypothesis:</w:t>
      </w:r>
    </w:p>
    <w:p w14:paraId="15E6C01B" w14:textId="0E63A580" w:rsidR="00166A74" w:rsidRPr="00166A74" w:rsidRDefault="00166A74" w:rsidP="00166A74">
      <w:pPr>
        <w:spacing w:line="360" w:lineRule="auto"/>
      </w:pPr>
      <w:r w:rsidRPr="00166A74">
        <w:rPr>
          <w:b/>
          <w:bCs/>
        </w:rPr>
        <w:t>H₀₁:</w:t>
      </w:r>
      <w:r w:rsidRPr="00166A74">
        <w:t xml:space="preserve"> There is no significant relationship between the availability of resources and the challenges </w:t>
      </w:r>
      <w:r w:rsidR="00DD6C79">
        <w:t>facing</w:t>
      </w:r>
      <w:r w:rsidRPr="00166A74">
        <w:t xml:space="preserve"> head teachers in primary and junior schools in Garissa Township Sub- County.</w:t>
      </w:r>
    </w:p>
    <w:p w14:paraId="506492EA" w14:textId="77777777" w:rsidR="00166A74" w:rsidRPr="00166A74" w:rsidRDefault="00166A74" w:rsidP="00166A74">
      <w:pPr>
        <w:spacing w:line="360" w:lineRule="auto"/>
        <w:rPr>
          <w:b/>
          <w:bCs/>
        </w:rPr>
      </w:pPr>
      <w:r w:rsidRPr="00166A74">
        <w:rPr>
          <w:b/>
          <w:bCs/>
        </w:rPr>
        <w:t>5. Methodology</w:t>
      </w:r>
    </w:p>
    <w:p w14:paraId="3D65034F" w14:textId="1C2F5197" w:rsidR="00166A74" w:rsidRPr="00166A74" w:rsidRDefault="00166A74" w:rsidP="00166A74">
      <w:pPr>
        <w:spacing w:line="360" w:lineRule="auto"/>
      </w:pPr>
      <w:r w:rsidRPr="00166A74">
        <w:t xml:space="preserve">This study adopted a quantitative </w:t>
      </w:r>
      <w:r w:rsidR="00DD6C79">
        <w:t>approach</w:t>
      </w:r>
      <w:r w:rsidRPr="00166A74">
        <w:t xml:space="preserve"> to comprehensively address the research hypothesis (Creswell &amp; Creswell, 2018). The quantitative approach aligns with the principles of objectivity, replicability, and the application of statistical procedures to understand trends and relationships (Cohen et al., 2018). This approach allowed for a robust investigation into the complex interactions between expanded management roles, availability of resources, and the challenges faced by head teachers.</w:t>
      </w:r>
    </w:p>
    <w:p w14:paraId="673CC18B" w14:textId="77777777" w:rsidR="00166A74" w:rsidRPr="00166A74" w:rsidRDefault="00166A74" w:rsidP="00166A74">
      <w:pPr>
        <w:spacing w:line="360" w:lineRule="auto"/>
      </w:pPr>
      <w:r w:rsidRPr="00166A74">
        <w:t>A correlational research design was utilized to examine the relationship between the availability of resources (as an independent variable) and the challenges experienced by head teachers (dependent variable) (Fraenkel et al., 2012). This design was suitable for quantifying variables and for testing the extent, direction, and significance of their relationship using statistical techniques.</w:t>
      </w:r>
    </w:p>
    <w:p w14:paraId="20D9D527" w14:textId="4E0D7E63" w:rsidR="00166A74" w:rsidRPr="00166A74" w:rsidRDefault="00166A74" w:rsidP="00166A74">
      <w:pPr>
        <w:spacing w:line="360" w:lineRule="auto"/>
      </w:pPr>
      <w:r w:rsidRPr="00166A74">
        <w:t>The research was conducted in Garissa Township Sub- County, Kenya, a region situated approximately 400 kilometers northeast of Nairobi. This sub-county was purposively selected due to the recognized necessity of examining the challenges faced by head teachers in this specific area, particularly given its unique cosmopolitan nature and the presence of diverse cultural and linguistic communities. Furthermore, Garissa County, as the broader setting, faces specific difficulties such as potential insecurity, which can lead to teacher shortages, and technological and logistical issues in reaching remote territories (KNBS, 2019). While acknowledged as limitations, these unique characteristics underscore the rationale for conducting a localized study to provide detailed insights into the experiences of head teachers within this distinct socio-educational landscape.</w:t>
      </w:r>
    </w:p>
    <w:p w14:paraId="71386ED7" w14:textId="0686FBFE" w:rsidR="00166A74" w:rsidRPr="00166A74" w:rsidRDefault="00166A74" w:rsidP="00166A74">
      <w:pPr>
        <w:spacing w:line="360" w:lineRule="auto"/>
      </w:pPr>
      <w:r w:rsidRPr="00166A74">
        <w:lastRenderedPageBreak/>
        <w:t>The target population for this study included 30 primary schools with co-located junior secondary schools in Garissa Township Sub- County. Specifically, the study targeted 346 teachers across these public primary and junior schools. A simple random sampling method was employed for teachers, ensuring each teacher had an equal chance of selection (Taherdoost, 2016</w:t>
      </w:r>
      <w:r>
        <w:t>).</w:t>
      </w:r>
      <w:r w:rsidRPr="00166A74">
        <w:t xml:space="preserve"> The sample size for teachers was determined using Yamane's (1967) formula: n=N/(1+N(e)2), where N = 346 (population size) and e = 0.05 (5% margin of error). This calculation yielded a sample size of 186 teachers. The primary research instrument for collecting quantitative data was a structured questionnaire. Questionnaires were chosen for their efficiency in large-scale data collection, ability to provide standardized responses for statistical analysis, and facilitation of anonymity (DeVellis, 2017). The questionnaire utilized a Likert scale format to measure teachers' perceptions and experiences regarding key variables. While advantageous for quantitative data collection, the researcher acknowledged potential limitations such as respondent bias and variations in question interpretation. Efforts were made to mitigate these through careful design and clear instructions (Kothari, 2004).</w:t>
      </w:r>
    </w:p>
    <w:p w14:paraId="1D011F40" w14:textId="77777777" w:rsidR="00166A74" w:rsidRPr="00166A74" w:rsidRDefault="00166A74" w:rsidP="00166A74">
      <w:pPr>
        <w:spacing w:line="360" w:lineRule="auto"/>
        <w:rPr>
          <w:b/>
          <w:bCs/>
        </w:rPr>
      </w:pPr>
      <w:r w:rsidRPr="00166A74">
        <w:rPr>
          <w:b/>
          <w:bCs/>
        </w:rPr>
        <w:t>6. Validity and Reliability of Instruments</w:t>
      </w:r>
    </w:p>
    <w:p w14:paraId="4F189884" w14:textId="77777777" w:rsidR="00166A74" w:rsidRPr="00166A74" w:rsidRDefault="00166A74" w:rsidP="00166A74">
      <w:pPr>
        <w:spacing w:line="360" w:lineRule="auto"/>
        <w:rPr>
          <w:b/>
          <w:bCs/>
        </w:rPr>
      </w:pPr>
      <w:r w:rsidRPr="00166A74">
        <w:rPr>
          <w:b/>
          <w:bCs/>
        </w:rPr>
        <w:t>Validity</w:t>
      </w:r>
    </w:p>
    <w:p w14:paraId="7D9FD79E" w14:textId="77777777" w:rsidR="00166A74" w:rsidRPr="00166A74" w:rsidRDefault="00166A74" w:rsidP="00166A74">
      <w:pPr>
        <w:spacing w:line="360" w:lineRule="auto"/>
      </w:pPr>
      <w:r w:rsidRPr="00166A74">
        <w:t>To ensure the validity of the research instruments, content validity was rigorously assessed. This process involved having academic supervisors meticulously review the questionnaire items to ensure that all items included in the instrument accurately and comprehensively aligned with the study's objectives and the specific concepts they were intended to measure (Heale &amp; Twycross, 2015). This step was crucial in establishing that the questionnaire effectively captured the intended dimensions of the availability of resources and management challenges as perceived by the teachers.</w:t>
      </w:r>
    </w:p>
    <w:p w14:paraId="781FB62A" w14:textId="77777777" w:rsidR="00166A74" w:rsidRPr="00166A74" w:rsidRDefault="00166A74" w:rsidP="00166A74">
      <w:pPr>
        <w:spacing w:line="360" w:lineRule="auto"/>
        <w:rPr>
          <w:b/>
          <w:bCs/>
        </w:rPr>
      </w:pPr>
      <w:r w:rsidRPr="00166A74">
        <w:rPr>
          <w:b/>
          <w:bCs/>
        </w:rPr>
        <w:t>Reliability</w:t>
      </w:r>
    </w:p>
    <w:p w14:paraId="5321DEA1" w14:textId="12189E73" w:rsidR="00166A74" w:rsidRPr="00166A74" w:rsidRDefault="00166A74" w:rsidP="00166A74">
      <w:pPr>
        <w:spacing w:line="360" w:lineRule="auto"/>
      </w:pPr>
      <w:r w:rsidRPr="00166A74">
        <w:t>Reliability in research signifies the consistency of a research tool, indicating its ability to produce the same results under similar conditions (</w:t>
      </w:r>
      <w:proofErr w:type="spellStart"/>
      <w:r w:rsidRPr="00166A74">
        <w:t>Tavakol</w:t>
      </w:r>
      <w:proofErr w:type="spellEnd"/>
      <w:r w:rsidRPr="00166A74">
        <w:t xml:space="preserve"> &amp; </w:t>
      </w:r>
      <w:proofErr w:type="spellStart"/>
      <w:r w:rsidRPr="00166A74">
        <w:t>Dennick</w:t>
      </w:r>
      <w:proofErr w:type="spellEnd"/>
      <w:r w:rsidRPr="00166A74">
        <w:t xml:space="preserve">, 2011). To assess the reliability of the research instruments, this study employed Cronbach's Alpha. This method is commonly used to gauge the internal consistency of a set of items within a questionnaire. A Cronbach's Alpha criterion of at least 0.7 was set, which is an established norm in social science research, indicating </w:t>
      </w:r>
      <w:r w:rsidRPr="00166A74">
        <w:lastRenderedPageBreak/>
        <w:t>an acceptable level of reliability (Taber, 2018). A pilot study was conducted as a critical pre-testing phase of the research instrument before the actual data collection. This pilot testing aimed to determine whether the questionnaire items consistently measured the constructs of interest. Based on the outcome of the pilot study, any poorly reliable items were revised or removed to enhance the overall reliability of the instrument.</w:t>
      </w:r>
    </w:p>
    <w:p w14:paraId="390306FE" w14:textId="18C41608" w:rsidR="00166A74" w:rsidRPr="00166A74" w:rsidRDefault="00166A74" w:rsidP="00166A74">
      <w:pPr>
        <w:spacing w:line="360" w:lineRule="auto"/>
        <w:rPr>
          <w:b/>
          <w:bCs/>
        </w:rPr>
      </w:pPr>
      <w:r w:rsidRPr="00166A74">
        <w:rPr>
          <w:b/>
          <w:bCs/>
        </w:rPr>
        <w:t>7. Data Analysis Procedure</w:t>
      </w:r>
    </w:p>
    <w:p w14:paraId="442FFFC3" w14:textId="77777777" w:rsidR="00166A74" w:rsidRPr="00166A74" w:rsidRDefault="00166A74" w:rsidP="00166A74">
      <w:pPr>
        <w:spacing w:line="360" w:lineRule="auto"/>
      </w:pPr>
      <w:r w:rsidRPr="00166A74">
        <w:t>Following systematic data collection, a rigorous data analysis procedure was employed. For the quantitative data gathered via structured questionnaires, analysis proceeded in two main phases: descriptive and inferential.</w:t>
      </w:r>
    </w:p>
    <w:p w14:paraId="0073AC3E" w14:textId="77777777" w:rsidR="00166A74" w:rsidRPr="00166A74" w:rsidRDefault="00166A74" w:rsidP="00166A74">
      <w:pPr>
        <w:numPr>
          <w:ilvl w:val="0"/>
          <w:numId w:val="3"/>
        </w:numPr>
        <w:spacing w:line="360" w:lineRule="auto"/>
      </w:pPr>
      <w:r w:rsidRPr="00166A74">
        <w:rPr>
          <w:b/>
          <w:bCs/>
        </w:rPr>
        <w:t>Descriptive Statistics:</w:t>
      </w:r>
      <w:r w:rsidRPr="00166A74">
        <w:t xml:space="preserve"> This initial phase aimed to summarize and describe the basic features of the data. Frequencies, percentages, means, and standard deviations were calculated specifically for the variables "Availability of Resources" and "Challenges of Management". These statistics provided a crucial snapshot of the central tendency and variability within respondents' perceptions.</w:t>
      </w:r>
    </w:p>
    <w:p w14:paraId="49F98A45" w14:textId="588CF0F1" w:rsidR="00166A74" w:rsidRPr="00166A74" w:rsidRDefault="00166A74" w:rsidP="00166A74">
      <w:pPr>
        <w:numPr>
          <w:ilvl w:val="0"/>
          <w:numId w:val="3"/>
        </w:numPr>
        <w:spacing w:line="360" w:lineRule="auto"/>
      </w:pPr>
      <w:r w:rsidRPr="00166A74">
        <w:rPr>
          <w:b/>
          <w:bCs/>
        </w:rPr>
        <w:t>Inferential Statistics:</w:t>
      </w:r>
      <w:r w:rsidRPr="00166A74">
        <w:t xml:space="preserve"> This phase extended beyond simple description to examine relationships between variables. Pearson's Product Moment Correlation Analysis was specifically employed to determine the strength and direction of the linear relationship between the variables, directly addressing the research hypothesis. The resulting correlation coefficient (r value) indicated how closely the two variables were related, and statistical significance (p-values) was assessed to determine the likelihood that the observed relationship occurred by chance.</w:t>
      </w:r>
    </w:p>
    <w:p w14:paraId="053A4A11" w14:textId="7480B344" w:rsidR="00166A74" w:rsidRPr="00166A74" w:rsidRDefault="00166A74" w:rsidP="00166A74">
      <w:pPr>
        <w:spacing w:line="360" w:lineRule="auto"/>
        <w:rPr>
          <w:b/>
          <w:bCs/>
        </w:rPr>
      </w:pPr>
      <w:r w:rsidRPr="00166A74">
        <w:rPr>
          <w:b/>
          <w:bCs/>
        </w:rPr>
        <w:t xml:space="preserve">8. </w:t>
      </w:r>
      <w:r w:rsidR="00252B1C">
        <w:rPr>
          <w:b/>
          <w:bCs/>
        </w:rPr>
        <w:t>Findings</w:t>
      </w:r>
    </w:p>
    <w:p w14:paraId="28382F37" w14:textId="362D08F7" w:rsidR="00166A74" w:rsidRPr="00166A74" w:rsidRDefault="00166A74" w:rsidP="00166A74">
      <w:pPr>
        <w:spacing w:line="360" w:lineRule="auto"/>
      </w:pPr>
      <w:r w:rsidRPr="00166A74">
        <w:t xml:space="preserve">This section presents the detailed analysis and findings derived from the quantitative data collected from teachers in primary and junior schools within Garissa </w:t>
      </w:r>
      <w:r w:rsidR="001B6290" w:rsidRPr="00166A74">
        <w:t>Township Sub- County</w:t>
      </w:r>
      <w:r w:rsidRPr="00166A74">
        <w:t>.</w:t>
      </w:r>
    </w:p>
    <w:p w14:paraId="0E781DEF" w14:textId="77777777" w:rsidR="00166A74" w:rsidRPr="00166A74" w:rsidRDefault="00166A74" w:rsidP="00166A74">
      <w:pPr>
        <w:spacing w:line="360" w:lineRule="auto"/>
        <w:rPr>
          <w:b/>
          <w:bCs/>
        </w:rPr>
      </w:pPr>
      <w:r w:rsidRPr="00166A74">
        <w:rPr>
          <w:b/>
          <w:bCs/>
        </w:rPr>
        <w:t>Questionnaire Response Rate</w:t>
      </w:r>
    </w:p>
    <w:p w14:paraId="31212235" w14:textId="77777777" w:rsidR="00166A74" w:rsidRPr="00166A74" w:rsidRDefault="00166A74" w:rsidP="00166A74">
      <w:pPr>
        <w:spacing w:line="360" w:lineRule="auto"/>
      </w:pPr>
      <w:r w:rsidRPr="00166A74">
        <w:t xml:space="preserve">The study achieved a strong response rate of 76.9%, with 166 out of 216 questionnaires successfully completed and returned. A response rate exceeding 70% is generally considered </w:t>
      </w:r>
      <w:r w:rsidRPr="00166A74">
        <w:lastRenderedPageBreak/>
        <w:t>highly reliable in educational research, supporting the generalizability of the findings (Fincham, 2008). The adequate sample size further enhances the statistical power of the analyses performed.</w:t>
      </w:r>
    </w:p>
    <w:p w14:paraId="5F2A1090" w14:textId="77777777" w:rsidR="00166A74" w:rsidRPr="00166A74" w:rsidRDefault="00166A74" w:rsidP="00166A74">
      <w:pPr>
        <w:spacing w:line="360" w:lineRule="auto"/>
        <w:rPr>
          <w:b/>
          <w:bCs/>
        </w:rPr>
      </w:pPr>
      <w:r w:rsidRPr="00166A74">
        <w:rPr>
          <w:b/>
          <w:bCs/>
        </w:rPr>
        <w:t>Descriptive Statistics for Study Variables</w:t>
      </w:r>
    </w:p>
    <w:p w14:paraId="6BCA3ED3" w14:textId="77777777" w:rsidR="00166A74" w:rsidRPr="00166A74" w:rsidRDefault="00166A74" w:rsidP="00166A74">
      <w:pPr>
        <w:spacing w:line="360" w:lineRule="auto"/>
      </w:pPr>
      <w:r w:rsidRPr="00166A74">
        <w:t>Descriptive statistics provide an overview of the central tendency and variability of the key variables measured in the study.</w:t>
      </w:r>
    </w:p>
    <w:p w14:paraId="55E4E1A1" w14:textId="2A0F2E7F" w:rsidR="00625471" w:rsidRPr="00625471" w:rsidRDefault="00166A74" w:rsidP="00625471">
      <w:pPr>
        <w:spacing w:line="360" w:lineRule="auto"/>
      </w:pPr>
      <w:r w:rsidRPr="00166A74">
        <w:rPr>
          <w:b/>
          <w:bCs/>
        </w:rPr>
        <w:t xml:space="preserve">Table </w:t>
      </w:r>
      <w:r w:rsidR="00625471">
        <w:rPr>
          <w:b/>
          <w:bCs/>
        </w:rPr>
        <w:t>1</w:t>
      </w:r>
      <w:r w:rsidRPr="00166A74">
        <w:t xml:space="preserve">: </w:t>
      </w:r>
      <w:r w:rsidRPr="00166A74">
        <w:rPr>
          <w:i/>
          <w:iCs/>
        </w:rPr>
        <w:t>Descriptive Statistics of Key Variables</w:t>
      </w:r>
    </w:p>
    <w:tbl>
      <w:tblPr>
        <w:tblW w:w="0" w:type="auto"/>
        <w:tblCellSpacing w:w="15" w:type="dxa"/>
        <w:tblBorders>
          <w:bottom w:val="single" w:sz="4" w:space="0" w:color="auto"/>
        </w:tblBorders>
        <w:tblCellMar>
          <w:left w:w="0" w:type="dxa"/>
          <w:right w:w="0" w:type="dxa"/>
        </w:tblCellMar>
        <w:tblLook w:val="04A0" w:firstRow="1" w:lastRow="0" w:firstColumn="1" w:lastColumn="0" w:noHBand="0" w:noVBand="1"/>
      </w:tblPr>
      <w:tblGrid>
        <w:gridCol w:w="3045"/>
        <w:gridCol w:w="750"/>
        <w:gridCol w:w="1351"/>
        <w:gridCol w:w="1390"/>
        <w:gridCol w:w="937"/>
        <w:gridCol w:w="1792"/>
      </w:tblGrid>
      <w:tr w:rsidR="00625471" w:rsidRPr="00625471" w14:paraId="126B0AFF" w14:textId="77777777" w:rsidTr="00625471">
        <w:trPr>
          <w:tblHeader/>
          <w:tblCellSpacing w:w="15" w:type="dxa"/>
        </w:trPr>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48B0B53B" w14:textId="77777777" w:rsidR="00625471" w:rsidRPr="00625471" w:rsidRDefault="00625471" w:rsidP="00625471">
            <w:pPr>
              <w:spacing w:line="360" w:lineRule="auto"/>
            </w:pPr>
            <w:r w:rsidRPr="00625471">
              <w:t>Variable</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3E2566CF" w14:textId="77777777" w:rsidR="00625471" w:rsidRPr="00625471" w:rsidRDefault="00625471" w:rsidP="00625471">
            <w:pPr>
              <w:spacing w:line="360" w:lineRule="auto"/>
            </w:pPr>
            <w:r w:rsidRPr="00625471">
              <w:t>N</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3BE5ECE4" w14:textId="77777777" w:rsidR="00625471" w:rsidRPr="00625471" w:rsidRDefault="00625471" w:rsidP="00625471">
            <w:pPr>
              <w:spacing w:line="360" w:lineRule="auto"/>
            </w:pPr>
            <w:r w:rsidRPr="00625471">
              <w:t>Minimum</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7EBDAA8F" w14:textId="77777777" w:rsidR="00625471" w:rsidRPr="00625471" w:rsidRDefault="00625471" w:rsidP="00625471">
            <w:pPr>
              <w:spacing w:line="360" w:lineRule="auto"/>
            </w:pPr>
            <w:r w:rsidRPr="00625471">
              <w:t>Maximum</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4D4537F2" w14:textId="77777777" w:rsidR="00625471" w:rsidRPr="00625471" w:rsidRDefault="00625471" w:rsidP="00625471">
            <w:pPr>
              <w:spacing w:line="360" w:lineRule="auto"/>
            </w:pPr>
            <w:r w:rsidRPr="00625471">
              <w:t>Mean</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73800C76" w14:textId="77777777" w:rsidR="00625471" w:rsidRPr="00625471" w:rsidRDefault="00625471" w:rsidP="00625471">
            <w:pPr>
              <w:spacing w:line="360" w:lineRule="auto"/>
            </w:pPr>
            <w:r w:rsidRPr="00625471">
              <w:t>Std. Deviation</w:t>
            </w:r>
          </w:p>
        </w:tc>
      </w:tr>
      <w:tr w:rsidR="00625471" w:rsidRPr="00625471" w14:paraId="1A76656C" w14:textId="77777777" w:rsidTr="00625471">
        <w:trPr>
          <w:tblCellSpacing w:w="15" w:type="dxa"/>
        </w:trPr>
        <w:tc>
          <w:tcPr>
            <w:tcW w:w="0" w:type="auto"/>
            <w:tcMar>
              <w:top w:w="120" w:type="dxa"/>
              <w:left w:w="180" w:type="dxa"/>
              <w:bottom w:w="120" w:type="dxa"/>
              <w:right w:w="180" w:type="dxa"/>
            </w:tcMar>
            <w:vAlign w:val="center"/>
            <w:hideMark/>
          </w:tcPr>
          <w:p w14:paraId="2F91A37E" w14:textId="77777777" w:rsidR="00625471" w:rsidRPr="00625471" w:rsidRDefault="00625471" w:rsidP="00625471">
            <w:pPr>
              <w:spacing w:line="360" w:lineRule="auto"/>
            </w:pPr>
            <w:r w:rsidRPr="00625471">
              <w:t>Availability of Resources</w:t>
            </w:r>
          </w:p>
        </w:tc>
        <w:tc>
          <w:tcPr>
            <w:tcW w:w="0" w:type="auto"/>
            <w:tcMar>
              <w:top w:w="120" w:type="dxa"/>
              <w:left w:w="180" w:type="dxa"/>
              <w:bottom w:w="120" w:type="dxa"/>
              <w:right w:w="180" w:type="dxa"/>
            </w:tcMar>
            <w:vAlign w:val="center"/>
            <w:hideMark/>
          </w:tcPr>
          <w:p w14:paraId="0139DDDD" w14:textId="77777777" w:rsidR="00625471" w:rsidRPr="00625471" w:rsidRDefault="00625471" w:rsidP="00625471">
            <w:pPr>
              <w:spacing w:line="360" w:lineRule="auto"/>
            </w:pPr>
            <w:r w:rsidRPr="00625471">
              <w:t>166</w:t>
            </w:r>
          </w:p>
        </w:tc>
        <w:tc>
          <w:tcPr>
            <w:tcW w:w="0" w:type="auto"/>
            <w:tcMar>
              <w:top w:w="120" w:type="dxa"/>
              <w:left w:w="180" w:type="dxa"/>
              <w:bottom w:w="120" w:type="dxa"/>
              <w:right w:w="180" w:type="dxa"/>
            </w:tcMar>
            <w:vAlign w:val="center"/>
            <w:hideMark/>
          </w:tcPr>
          <w:p w14:paraId="24010688" w14:textId="77777777" w:rsidR="00625471" w:rsidRPr="00625471" w:rsidRDefault="00625471" w:rsidP="00625471">
            <w:pPr>
              <w:spacing w:line="360" w:lineRule="auto"/>
            </w:pPr>
            <w:r w:rsidRPr="00625471">
              <w:t>1.6</w:t>
            </w:r>
          </w:p>
        </w:tc>
        <w:tc>
          <w:tcPr>
            <w:tcW w:w="0" w:type="auto"/>
            <w:tcMar>
              <w:top w:w="120" w:type="dxa"/>
              <w:left w:w="180" w:type="dxa"/>
              <w:bottom w:w="120" w:type="dxa"/>
              <w:right w:w="180" w:type="dxa"/>
            </w:tcMar>
            <w:vAlign w:val="center"/>
            <w:hideMark/>
          </w:tcPr>
          <w:p w14:paraId="56645F6E" w14:textId="77777777" w:rsidR="00625471" w:rsidRPr="00625471" w:rsidRDefault="00625471" w:rsidP="00625471">
            <w:pPr>
              <w:spacing w:line="360" w:lineRule="auto"/>
            </w:pPr>
            <w:r w:rsidRPr="00625471">
              <w:t>3.2</w:t>
            </w:r>
          </w:p>
        </w:tc>
        <w:tc>
          <w:tcPr>
            <w:tcW w:w="0" w:type="auto"/>
            <w:tcMar>
              <w:top w:w="120" w:type="dxa"/>
              <w:left w:w="180" w:type="dxa"/>
              <w:bottom w:w="120" w:type="dxa"/>
              <w:right w:w="180" w:type="dxa"/>
            </w:tcMar>
            <w:vAlign w:val="center"/>
            <w:hideMark/>
          </w:tcPr>
          <w:p w14:paraId="63ADE400" w14:textId="77777777" w:rsidR="00625471" w:rsidRPr="00625471" w:rsidRDefault="00625471" w:rsidP="00625471">
            <w:pPr>
              <w:spacing w:line="360" w:lineRule="auto"/>
            </w:pPr>
            <w:r w:rsidRPr="00625471">
              <w:t>2.536</w:t>
            </w:r>
          </w:p>
        </w:tc>
        <w:tc>
          <w:tcPr>
            <w:tcW w:w="0" w:type="auto"/>
            <w:tcMar>
              <w:top w:w="120" w:type="dxa"/>
              <w:left w:w="180" w:type="dxa"/>
              <w:bottom w:w="120" w:type="dxa"/>
              <w:right w:w="180" w:type="dxa"/>
            </w:tcMar>
            <w:vAlign w:val="center"/>
            <w:hideMark/>
          </w:tcPr>
          <w:p w14:paraId="2110BEDA" w14:textId="77777777" w:rsidR="00625471" w:rsidRPr="00625471" w:rsidRDefault="00625471" w:rsidP="00625471">
            <w:pPr>
              <w:spacing w:line="360" w:lineRule="auto"/>
            </w:pPr>
            <w:r w:rsidRPr="00625471">
              <w:t>0.3413</w:t>
            </w:r>
          </w:p>
        </w:tc>
      </w:tr>
      <w:tr w:rsidR="00625471" w:rsidRPr="00625471" w14:paraId="5F5444BF" w14:textId="77777777" w:rsidTr="00625471">
        <w:trPr>
          <w:tblCellSpacing w:w="15" w:type="dxa"/>
        </w:trPr>
        <w:tc>
          <w:tcPr>
            <w:tcW w:w="0" w:type="auto"/>
            <w:tcMar>
              <w:top w:w="120" w:type="dxa"/>
              <w:left w:w="180" w:type="dxa"/>
              <w:bottom w:w="120" w:type="dxa"/>
              <w:right w:w="180" w:type="dxa"/>
            </w:tcMar>
            <w:vAlign w:val="center"/>
            <w:hideMark/>
          </w:tcPr>
          <w:p w14:paraId="4B1DAADD" w14:textId="77777777" w:rsidR="00625471" w:rsidRPr="00625471" w:rsidRDefault="00625471" w:rsidP="00625471">
            <w:pPr>
              <w:spacing w:line="360" w:lineRule="auto"/>
            </w:pPr>
            <w:r w:rsidRPr="00625471">
              <w:t>Challenges of Management</w:t>
            </w:r>
          </w:p>
        </w:tc>
        <w:tc>
          <w:tcPr>
            <w:tcW w:w="0" w:type="auto"/>
            <w:tcMar>
              <w:top w:w="120" w:type="dxa"/>
              <w:left w:w="180" w:type="dxa"/>
              <w:bottom w:w="120" w:type="dxa"/>
              <w:right w:w="180" w:type="dxa"/>
            </w:tcMar>
            <w:vAlign w:val="center"/>
            <w:hideMark/>
          </w:tcPr>
          <w:p w14:paraId="4C30B6D4" w14:textId="77777777" w:rsidR="00625471" w:rsidRPr="00625471" w:rsidRDefault="00625471" w:rsidP="00625471">
            <w:pPr>
              <w:spacing w:line="360" w:lineRule="auto"/>
            </w:pPr>
            <w:r w:rsidRPr="00625471">
              <w:t>166</w:t>
            </w:r>
          </w:p>
        </w:tc>
        <w:tc>
          <w:tcPr>
            <w:tcW w:w="0" w:type="auto"/>
            <w:tcMar>
              <w:top w:w="120" w:type="dxa"/>
              <w:left w:w="180" w:type="dxa"/>
              <w:bottom w:w="120" w:type="dxa"/>
              <w:right w:w="180" w:type="dxa"/>
            </w:tcMar>
            <w:vAlign w:val="center"/>
            <w:hideMark/>
          </w:tcPr>
          <w:p w14:paraId="03E2B4FE" w14:textId="77777777" w:rsidR="00625471" w:rsidRPr="00625471" w:rsidRDefault="00625471" w:rsidP="00625471">
            <w:pPr>
              <w:spacing w:line="360" w:lineRule="auto"/>
            </w:pPr>
            <w:r w:rsidRPr="00625471">
              <w:t>1.4</w:t>
            </w:r>
          </w:p>
        </w:tc>
        <w:tc>
          <w:tcPr>
            <w:tcW w:w="0" w:type="auto"/>
            <w:tcMar>
              <w:top w:w="120" w:type="dxa"/>
              <w:left w:w="180" w:type="dxa"/>
              <w:bottom w:w="120" w:type="dxa"/>
              <w:right w:w="180" w:type="dxa"/>
            </w:tcMar>
            <w:vAlign w:val="center"/>
            <w:hideMark/>
          </w:tcPr>
          <w:p w14:paraId="2B461CD0" w14:textId="77777777" w:rsidR="00625471" w:rsidRPr="00625471" w:rsidRDefault="00625471" w:rsidP="00625471">
            <w:pPr>
              <w:spacing w:line="360" w:lineRule="auto"/>
            </w:pPr>
            <w:r w:rsidRPr="00625471">
              <w:t>3.7</w:t>
            </w:r>
          </w:p>
        </w:tc>
        <w:tc>
          <w:tcPr>
            <w:tcW w:w="0" w:type="auto"/>
            <w:tcMar>
              <w:top w:w="120" w:type="dxa"/>
              <w:left w:w="180" w:type="dxa"/>
              <w:bottom w:w="120" w:type="dxa"/>
              <w:right w:w="180" w:type="dxa"/>
            </w:tcMar>
            <w:vAlign w:val="center"/>
            <w:hideMark/>
          </w:tcPr>
          <w:p w14:paraId="3BCC154E" w14:textId="77777777" w:rsidR="00625471" w:rsidRPr="00625471" w:rsidRDefault="00625471" w:rsidP="00625471">
            <w:pPr>
              <w:spacing w:line="360" w:lineRule="auto"/>
            </w:pPr>
            <w:r w:rsidRPr="00625471">
              <w:t>2.623</w:t>
            </w:r>
          </w:p>
        </w:tc>
        <w:tc>
          <w:tcPr>
            <w:tcW w:w="0" w:type="auto"/>
            <w:tcMar>
              <w:top w:w="120" w:type="dxa"/>
              <w:left w:w="180" w:type="dxa"/>
              <w:bottom w:w="120" w:type="dxa"/>
              <w:right w:w="180" w:type="dxa"/>
            </w:tcMar>
            <w:vAlign w:val="center"/>
            <w:hideMark/>
          </w:tcPr>
          <w:p w14:paraId="1F5A1E97" w14:textId="77777777" w:rsidR="00625471" w:rsidRPr="00625471" w:rsidRDefault="00625471" w:rsidP="00625471">
            <w:pPr>
              <w:spacing w:line="360" w:lineRule="auto"/>
            </w:pPr>
            <w:r w:rsidRPr="00625471">
              <w:t>0.4563</w:t>
            </w:r>
          </w:p>
        </w:tc>
      </w:tr>
    </w:tbl>
    <w:p w14:paraId="3FFC40E3" w14:textId="77777777" w:rsidR="00625471" w:rsidRDefault="00625471" w:rsidP="00166A74">
      <w:pPr>
        <w:spacing w:line="360" w:lineRule="auto"/>
      </w:pPr>
    </w:p>
    <w:p w14:paraId="3DB162D0" w14:textId="73A94656" w:rsidR="00166A74" w:rsidRPr="00166A74" w:rsidRDefault="00166A74" w:rsidP="00166A74">
      <w:pPr>
        <w:spacing w:line="360" w:lineRule="auto"/>
      </w:pPr>
      <w:r w:rsidRPr="00166A74">
        <w:t>The perceived availability of resources appears to be moderate, with a mean score of 2.536. The relatively low standard deviation of 0.3413 suggests a somewhat consistent agreement in how the availability of resources is perceived across the sample. The perceived level of management challenges is also moderate, with a mean score of 2.623. Notably, the standard deviation of 0.4563 is the highest among the variables, highlighting significant variability in perceptions regarding management challenges.</w:t>
      </w:r>
    </w:p>
    <w:p w14:paraId="373C8B7A" w14:textId="77777777" w:rsidR="00625471" w:rsidRDefault="00625471">
      <w:pPr>
        <w:spacing w:line="278" w:lineRule="auto"/>
        <w:jc w:val="left"/>
        <w:rPr>
          <w:b/>
          <w:bCs/>
        </w:rPr>
      </w:pPr>
      <w:r>
        <w:rPr>
          <w:b/>
          <w:bCs/>
        </w:rPr>
        <w:br w:type="page"/>
      </w:r>
    </w:p>
    <w:p w14:paraId="5928A6D1" w14:textId="19784D5C" w:rsidR="00166A74" w:rsidRPr="00166A74" w:rsidRDefault="00166A74" w:rsidP="00166A74">
      <w:pPr>
        <w:spacing w:line="360" w:lineRule="auto"/>
        <w:rPr>
          <w:b/>
          <w:bCs/>
        </w:rPr>
      </w:pPr>
      <w:r w:rsidRPr="00166A74">
        <w:rPr>
          <w:b/>
          <w:bCs/>
        </w:rPr>
        <w:lastRenderedPageBreak/>
        <w:t>Inferential Statistics</w:t>
      </w:r>
    </w:p>
    <w:p w14:paraId="0794974A" w14:textId="77777777" w:rsidR="00166A74" w:rsidRPr="00166A74" w:rsidRDefault="00166A74" w:rsidP="00166A74">
      <w:pPr>
        <w:spacing w:line="360" w:lineRule="auto"/>
      </w:pPr>
      <w:r w:rsidRPr="00166A74">
        <w:t>To test the null hypothesis (H₀₁), a Pearson Product Moment Correlation Analysis was conducted.</w:t>
      </w:r>
    </w:p>
    <w:p w14:paraId="6A7CB2EB" w14:textId="5B290CF8" w:rsidR="00166A74" w:rsidRPr="00166A74" w:rsidRDefault="00166A74" w:rsidP="00166A74">
      <w:pPr>
        <w:spacing w:line="360" w:lineRule="auto"/>
      </w:pPr>
      <w:r w:rsidRPr="00625471">
        <w:rPr>
          <w:b/>
          <w:bCs/>
        </w:rPr>
        <w:t xml:space="preserve">Table </w:t>
      </w:r>
      <w:r w:rsidR="00625471" w:rsidRPr="00625471">
        <w:rPr>
          <w:b/>
          <w:bCs/>
        </w:rPr>
        <w:t>2</w:t>
      </w:r>
      <w:r w:rsidRPr="00625471">
        <w:rPr>
          <w:b/>
          <w:bCs/>
        </w:rPr>
        <w:t>:</w:t>
      </w:r>
      <w:r w:rsidRPr="00166A74">
        <w:t xml:space="preserve"> </w:t>
      </w:r>
      <w:r w:rsidRPr="00625471">
        <w:rPr>
          <w:i/>
          <w:iCs/>
        </w:rPr>
        <w:t>Pearson Correlation between Availability of Resources and Challenges of Management</w:t>
      </w:r>
    </w:p>
    <w:tbl>
      <w:tblPr>
        <w:tblW w:w="7173" w:type="dxa"/>
        <w:tblCellSpacing w:w="15" w:type="dxa"/>
        <w:tblBorders>
          <w:bottom w:val="single" w:sz="4" w:space="0" w:color="auto"/>
        </w:tblBorders>
        <w:tblCellMar>
          <w:left w:w="0" w:type="dxa"/>
          <w:right w:w="0" w:type="dxa"/>
        </w:tblCellMar>
        <w:tblLook w:val="04A0" w:firstRow="1" w:lastRow="0" w:firstColumn="1" w:lastColumn="0" w:noHBand="0" w:noVBand="1"/>
      </w:tblPr>
      <w:tblGrid>
        <w:gridCol w:w="2462"/>
        <w:gridCol w:w="2158"/>
        <w:gridCol w:w="2553"/>
      </w:tblGrid>
      <w:tr w:rsidR="00CC2F6A" w:rsidRPr="004369AF" w14:paraId="7C62B03B" w14:textId="77777777" w:rsidTr="00CC2F6A">
        <w:trPr>
          <w:trHeight w:val="173"/>
          <w:tblHeader/>
          <w:tblCellSpacing w:w="15" w:type="dxa"/>
        </w:trPr>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2FBF6421" w14:textId="77777777" w:rsidR="00CC2F6A" w:rsidRPr="004369AF" w:rsidRDefault="00CC2F6A" w:rsidP="004402FB">
            <w:pPr>
              <w:spacing w:after="0" w:line="240" w:lineRule="auto"/>
              <w:jc w:val="left"/>
            </w:pP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5C711017" w14:textId="77777777" w:rsidR="00CC2F6A" w:rsidRPr="004369AF" w:rsidRDefault="00CC2F6A" w:rsidP="004402FB">
            <w:pPr>
              <w:spacing w:after="0" w:line="240" w:lineRule="auto"/>
              <w:jc w:val="left"/>
            </w:pP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5C8F3149" w14:textId="77777777" w:rsidR="00CC2F6A" w:rsidRPr="004369AF" w:rsidRDefault="00CC2F6A" w:rsidP="004402FB">
            <w:pPr>
              <w:spacing w:after="0" w:line="240" w:lineRule="auto"/>
              <w:jc w:val="left"/>
            </w:pPr>
            <w:r w:rsidRPr="004369AF">
              <w:t>Challenges of Management</w:t>
            </w:r>
          </w:p>
        </w:tc>
      </w:tr>
      <w:tr w:rsidR="00CC2F6A" w:rsidRPr="004369AF" w14:paraId="01CF746A" w14:textId="77777777" w:rsidTr="00CC2F6A">
        <w:trPr>
          <w:trHeight w:val="173"/>
          <w:tblCellSpacing w:w="15" w:type="dxa"/>
        </w:trPr>
        <w:tc>
          <w:tcPr>
            <w:tcW w:w="0" w:type="auto"/>
            <w:tcMar>
              <w:top w:w="120" w:type="dxa"/>
              <w:left w:w="180" w:type="dxa"/>
              <w:bottom w:w="120" w:type="dxa"/>
              <w:right w:w="180" w:type="dxa"/>
            </w:tcMar>
            <w:vAlign w:val="center"/>
            <w:hideMark/>
          </w:tcPr>
          <w:p w14:paraId="710FCB28" w14:textId="77777777" w:rsidR="00CC2F6A" w:rsidRPr="004369AF" w:rsidRDefault="00CC2F6A" w:rsidP="004402FB">
            <w:pPr>
              <w:spacing w:after="0" w:line="240" w:lineRule="auto"/>
              <w:jc w:val="left"/>
            </w:pPr>
            <w:r w:rsidRPr="004369AF">
              <w:rPr>
                <w:b/>
                <w:bCs/>
              </w:rPr>
              <w:t>Availability of Resources</w:t>
            </w:r>
          </w:p>
        </w:tc>
        <w:tc>
          <w:tcPr>
            <w:tcW w:w="0" w:type="auto"/>
            <w:tcMar>
              <w:top w:w="120" w:type="dxa"/>
              <w:left w:w="180" w:type="dxa"/>
              <w:bottom w:w="120" w:type="dxa"/>
              <w:right w:w="180" w:type="dxa"/>
            </w:tcMar>
            <w:vAlign w:val="center"/>
            <w:hideMark/>
          </w:tcPr>
          <w:p w14:paraId="05F1A3F6" w14:textId="77777777" w:rsidR="00CC2F6A" w:rsidRPr="004369AF" w:rsidRDefault="00CC2F6A" w:rsidP="004402FB">
            <w:pPr>
              <w:spacing w:after="0" w:line="240" w:lineRule="auto"/>
              <w:jc w:val="left"/>
            </w:pPr>
            <w:r w:rsidRPr="004369AF">
              <w:rPr>
                <w:b/>
                <w:bCs/>
              </w:rPr>
              <w:t>Pearson Correlation</w:t>
            </w:r>
          </w:p>
        </w:tc>
        <w:tc>
          <w:tcPr>
            <w:tcW w:w="0" w:type="auto"/>
            <w:tcMar>
              <w:top w:w="120" w:type="dxa"/>
              <w:left w:w="180" w:type="dxa"/>
              <w:bottom w:w="120" w:type="dxa"/>
              <w:right w:w="180" w:type="dxa"/>
            </w:tcMar>
            <w:vAlign w:val="center"/>
            <w:hideMark/>
          </w:tcPr>
          <w:p w14:paraId="065EE6F8" w14:textId="77777777" w:rsidR="00CC2F6A" w:rsidRPr="004369AF" w:rsidRDefault="00CC2F6A" w:rsidP="004402FB">
            <w:pPr>
              <w:spacing w:after="0" w:line="240" w:lineRule="auto"/>
              <w:jc w:val="left"/>
            </w:pPr>
            <w:r w:rsidRPr="004369AF">
              <w:t>−.329</w:t>
            </w:r>
            <w:r w:rsidRPr="004369AF">
              <w:rPr>
                <w:rFonts w:ascii="Cambria Math" w:hAnsi="Cambria Math" w:cs="Cambria Math"/>
              </w:rPr>
              <w:t>∗∗</w:t>
            </w:r>
          </w:p>
        </w:tc>
      </w:tr>
      <w:tr w:rsidR="00CC2F6A" w:rsidRPr="004369AF" w14:paraId="2A319690" w14:textId="77777777" w:rsidTr="00CC2F6A">
        <w:trPr>
          <w:trHeight w:val="173"/>
          <w:tblCellSpacing w:w="15" w:type="dxa"/>
        </w:trPr>
        <w:tc>
          <w:tcPr>
            <w:tcW w:w="0" w:type="auto"/>
            <w:tcMar>
              <w:top w:w="120" w:type="dxa"/>
              <w:left w:w="180" w:type="dxa"/>
              <w:bottom w:w="120" w:type="dxa"/>
              <w:right w:w="180" w:type="dxa"/>
            </w:tcMar>
            <w:vAlign w:val="center"/>
            <w:hideMark/>
          </w:tcPr>
          <w:p w14:paraId="0EB1C274" w14:textId="77777777" w:rsidR="00CC2F6A" w:rsidRPr="004369AF" w:rsidRDefault="00CC2F6A" w:rsidP="004402FB">
            <w:pPr>
              <w:spacing w:after="0" w:line="240" w:lineRule="auto"/>
              <w:jc w:val="left"/>
            </w:pPr>
          </w:p>
        </w:tc>
        <w:tc>
          <w:tcPr>
            <w:tcW w:w="0" w:type="auto"/>
            <w:tcMar>
              <w:top w:w="120" w:type="dxa"/>
              <w:left w:w="180" w:type="dxa"/>
              <w:bottom w:w="120" w:type="dxa"/>
              <w:right w:w="180" w:type="dxa"/>
            </w:tcMar>
            <w:vAlign w:val="center"/>
            <w:hideMark/>
          </w:tcPr>
          <w:p w14:paraId="547D9B9B" w14:textId="77777777" w:rsidR="00CC2F6A" w:rsidRPr="004369AF" w:rsidRDefault="00CC2F6A" w:rsidP="004402FB">
            <w:pPr>
              <w:spacing w:after="0" w:line="240" w:lineRule="auto"/>
              <w:jc w:val="left"/>
            </w:pPr>
            <w:r w:rsidRPr="004369AF">
              <w:t>Sig. (2-tailed)</w:t>
            </w:r>
          </w:p>
        </w:tc>
        <w:tc>
          <w:tcPr>
            <w:tcW w:w="0" w:type="auto"/>
            <w:tcMar>
              <w:top w:w="120" w:type="dxa"/>
              <w:left w:w="180" w:type="dxa"/>
              <w:bottom w:w="120" w:type="dxa"/>
              <w:right w:w="180" w:type="dxa"/>
            </w:tcMar>
            <w:vAlign w:val="center"/>
            <w:hideMark/>
          </w:tcPr>
          <w:p w14:paraId="0BC89CBC" w14:textId="77777777" w:rsidR="00CC2F6A" w:rsidRPr="004369AF" w:rsidRDefault="00CC2F6A" w:rsidP="004402FB">
            <w:pPr>
              <w:spacing w:after="0" w:line="240" w:lineRule="auto"/>
              <w:jc w:val="left"/>
            </w:pPr>
            <w:r w:rsidRPr="004369AF">
              <w:t>.000</w:t>
            </w:r>
          </w:p>
        </w:tc>
      </w:tr>
      <w:tr w:rsidR="00CC2F6A" w:rsidRPr="004369AF" w14:paraId="4FF965D6" w14:textId="77777777" w:rsidTr="00CC2F6A">
        <w:trPr>
          <w:trHeight w:val="20"/>
          <w:tblCellSpacing w:w="15" w:type="dxa"/>
        </w:trPr>
        <w:tc>
          <w:tcPr>
            <w:tcW w:w="0" w:type="auto"/>
            <w:tcMar>
              <w:top w:w="120" w:type="dxa"/>
              <w:left w:w="180" w:type="dxa"/>
              <w:bottom w:w="120" w:type="dxa"/>
              <w:right w:w="180" w:type="dxa"/>
            </w:tcMar>
            <w:vAlign w:val="center"/>
            <w:hideMark/>
          </w:tcPr>
          <w:p w14:paraId="4B69E9FA" w14:textId="77777777" w:rsidR="00CC2F6A" w:rsidRPr="004369AF" w:rsidRDefault="00CC2F6A" w:rsidP="004402FB">
            <w:pPr>
              <w:spacing w:after="0" w:line="240" w:lineRule="auto"/>
              <w:jc w:val="left"/>
            </w:pPr>
          </w:p>
        </w:tc>
        <w:tc>
          <w:tcPr>
            <w:tcW w:w="0" w:type="auto"/>
            <w:tcMar>
              <w:top w:w="120" w:type="dxa"/>
              <w:left w:w="180" w:type="dxa"/>
              <w:bottom w:w="120" w:type="dxa"/>
              <w:right w:w="180" w:type="dxa"/>
            </w:tcMar>
            <w:vAlign w:val="center"/>
            <w:hideMark/>
          </w:tcPr>
          <w:p w14:paraId="39420997" w14:textId="77777777" w:rsidR="00CC2F6A" w:rsidRPr="004369AF" w:rsidRDefault="00CC2F6A" w:rsidP="004402FB">
            <w:pPr>
              <w:spacing w:after="0" w:line="240" w:lineRule="auto"/>
              <w:jc w:val="left"/>
            </w:pPr>
            <w:r w:rsidRPr="004369AF">
              <w:t>N</w:t>
            </w:r>
          </w:p>
        </w:tc>
        <w:tc>
          <w:tcPr>
            <w:tcW w:w="0" w:type="auto"/>
            <w:tcMar>
              <w:top w:w="120" w:type="dxa"/>
              <w:left w:w="180" w:type="dxa"/>
              <w:bottom w:w="120" w:type="dxa"/>
              <w:right w:w="180" w:type="dxa"/>
            </w:tcMar>
            <w:vAlign w:val="center"/>
            <w:hideMark/>
          </w:tcPr>
          <w:p w14:paraId="283D3A7C" w14:textId="77777777" w:rsidR="00CC2F6A" w:rsidRPr="004369AF" w:rsidRDefault="00CC2F6A" w:rsidP="004402FB">
            <w:pPr>
              <w:spacing w:after="0" w:line="240" w:lineRule="auto"/>
              <w:jc w:val="left"/>
            </w:pPr>
            <w:r w:rsidRPr="004369AF">
              <w:t>166</w:t>
            </w:r>
          </w:p>
        </w:tc>
      </w:tr>
    </w:tbl>
    <w:p w14:paraId="0212186F" w14:textId="77777777" w:rsidR="00166A74" w:rsidRPr="00166A74" w:rsidRDefault="00166A74" w:rsidP="00166A74">
      <w:pPr>
        <w:spacing w:line="360" w:lineRule="auto"/>
      </w:pPr>
      <w:r w:rsidRPr="00166A74">
        <w:t>*. Correlation is significant at the 0.01 level (2-tailed).</w:t>
      </w:r>
    </w:p>
    <w:p w14:paraId="0B40002B" w14:textId="77777777" w:rsidR="00166A74" w:rsidRPr="00166A74" w:rsidRDefault="00166A74" w:rsidP="00166A74">
      <w:pPr>
        <w:spacing w:line="360" w:lineRule="auto"/>
      </w:pPr>
      <w:r w:rsidRPr="00166A74">
        <w:t>The analysis revealed a statistically significant negative relationship between the Availability of Resources and Challenges of Management. The Pearson correlation coefficient was r=−.329 (N=166, p&lt;.001). The negative sign signifies an inverse relationship: as the perceived availability of resources increases, the reported challenges of management tend to decrease. This aligns with the theoretical expectation that adequate resources can ease operational difficulties.</w:t>
      </w:r>
    </w:p>
    <w:p w14:paraId="5C338AB9" w14:textId="6A5EEA0D" w:rsidR="00166A74" w:rsidRPr="00166A74" w:rsidRDefault="00166A74" w:rsidP="00166A74">
      <w:pPr>
        <w:spacing w:line="360" w:lineRule="auto"/>
      </w:pPr>
      <w:r w:rsidRPr="00166A74">
        <w:t>While the relationship is statistically significant, the magnitude of the correlation coefficient (r=−.329) suggests a weak to moderate strength of association (Cohen, 1988). This is a key insight: while the availability of resources plays a role in influencing head teacher challenges, it is not the sole determinant. A substantial portion of the variance in management challenges remains unexplained by the availability of resources alone, implying that simply providing more resources is unlikely to eliminate all difficulties.</w:t>
      </w:r>
    </w:p>
    <w:p w14:paraId="405DC006" w14:textId="77777777" w:rsidR="00166A74" w:rsidRPr="00166A74" w:rsidRDefault="00166A74" w:rsidP="00166A74">
      <w:pPr>
        <w:spacing w:line="360" w:lineRule="auto"/>
        <w:rPr>
          <w:b/>
          <w:bCs/>
        </w:rPr>
      </w:pPr>
      <w:r w:rsidRPr="00166A74">
        <w:rPr>
          <w:b/>
          <w:bCs/>
        </w:rPr>
        <w:t>9. Discussion</w:t>
      </w:r>
    </w:p>
    <w:p w14:paraId="679C7C0C" w14:textId="2A2AB270" w:rsidR="00166A74" w:rsidRPr="00166A74" w:rsidRDefault="00166A74" w:rsidP="00166A74">
      <w:pPr>
        <w:spacing w:line="360" w:lineRule="auto"/>
      </w:pPr>
      <w:r w:rsidRPr="00166A74">
        <w:t>The significant negative correlation found in this study (r=−.</w:t>
      </w:r>
      <w:r w:rsidR="00DB12FA" w:rsidRPr="00166A74">
        <w:t>329, p</w:t>
      </w:r>
      <w:r w:rsidRPr="00166A74">
        <w:t xml:space="preserve">&lt;.001) aligns with broader literature emphasizing the critical role of resources in educational effectiveness. As noted by Mwangangi and Ngugi (2024), school infrastructure is pivotal for creating a conducive learning environment. Insufficient or low-quality infrastructure directly impedes learning outcomes by causing discomfort and distractions. Similarly, the lack of sufficient textbooks and learning materials significantly disadvantages learners (Glewwe et al., 2009). The current study's findings </w:t>
      </w:r>
      <w:r w:rsidRPr="00166A74">
        <w:lastRenderedPageBreak/>
        <w:t>corroborate these views, indicating that when resources are perceived as adequate, head teachers face fewer challenges in managing the school environment effectively.</w:t>
      </w:r>
    </w:p>
    <w:p w14:paraId="794FB857" w14:textId="77777777" w:rsidR="00166A74" w:rsidRPr="00166A74" w:rsidRDefault="00166A74" w:rsidP="00166A74">
      <w:pPr>
        <w:spacing w:line="360" w:lineRule="auto"/>
      </w:pPr>
      <w:r w:rsidRPr="00166A74">
        <w:t>The moderate strength of the correlation suggests that while resource adequacy is important, it is not the sole determinant of management challenges. This nuance is consistent with the complexities of educational management in developing nations, where underfunding and inefficient resource use are persistent issues (Psacharopoulos &amp; Woodhall, 1985). The introduction of a new system like Kenya's CBC encompasses a major shift in learning resources, requiring head teachers to liaise with relevant stakeholders to ensure resources reach learners. However, the technological requirements of such new systems often pose significant challenges due to inadequate fund allocation and high demand.</w:t>
      </w:r>
    </w:p>
    <w:p w14:paraId="319208F4" w14:textId="50234FB3" w:rsidR="00166A74" w:rsidRPr="00166A74" w:rsidRDefault="00166A74" w:rsidP="00166A74">
      <w:pPr>
        <w:spacing w:line="360" w:lineRule="auto"/>
      </w:pPr>
      <w:r w:rsidRPr="00166A74">
        <w:t>The high variability in perceived management challenges indicates that external factors and diverse school contexts contribute significantly to the difficulties faced by head teachers. Issues such as the acquisition of instructional materials, furniture, and equipment often lead to higher maintenance and replacement costs. The findings of this study, though focused on correlation, implicitly suggest that these practical resource-related challenges are part of the broader difficulties head teachers must navigate. Therefore, while improving the availability of resources is a necessary intervention, a comprehensive strategy to support head teachers must also consider the wider array of systemic, environmental, and leadership-specific factors that contribute to their complex roles.</w:t>
      </w:r>
    </w:p>
    <w:p w14:paraId="4A6E3F3A" w14:textId="77777777" w:rsidR="00166A74" w:rsidRPr="00166A74" w:rsidRDefault="00166A74" w:rsidP="00166A74">
      <w:pPr>
        <w:spacing w:line="360" w:lineRule="auto"/>
        <w:rPr>
          <w:b/>
          <w:bCs/>
        </w:rPr>
      </w:pPr>
      <w:r w:rsidRPr="00166A74">
        <w:rPr>
          <w:b/>
          <w:bCs/>
        </w:rPr>
        <w:t>10. Conclusion</w:t>
      </w:r>
    </w:p>
    <w:p w14:paraId="78DF48D7" w14:textId="3400D50F" w:rsidR="00166A74" w:rsidRPr="00166A74" w:rsidRDefault="00166A74" w:rsidP="00166A74">
      <w:pPr>
        <w:spacing w:line="360" w:lineRule="auto"/>
      </w:pPr>
      <w:r w:rsidRPr="00166A74">
        <w:t xml:space="preserve">Based on the analysis of the data, the study conclusively finds that there is a statistically significant negative relationship between the availability of resources and the challenges faced by head teachers in primary and junior schools in Garissa </w:t>
      </w:r>
      <w:r w:rsidR="00252B1C" w:rsidRPr="00166A74">
        <w:t>Township Sub- County</w:t>
      </w:r>
      <w:r w:rsidRPr="00166A74">
        <w:t xml:space="preserve">. This leads to the rejection of the null hypothesis (H₀₁). While the availability of resources is a contributing factor, </w:t>
      </w:r>
      <w:r w:rsidR="00252B1C" w:rsidRPr="00166A74">
        <w:t>it’s</w:t>
      </w:r>
      <w:r w:rsidRPr="00166A74">
        <w:t xml:space="preserve"> weak to moderate correlation coefficient suggests that insufficient resources exacerbate management difficulties, but they are part of a larger, multifaceted set of challenges faced by head teachers. Therefore, ensuring adequate resource provision is one crucial factor that can help alleviate some of the burdens on head teachers, but it is not the only solution for the complex demands of their expanded roles.</w:t>
      </w:r>
    </w:p>
    <w:p w14:paraId="28FA6854" w14:textId="77777777" w:rsidR="00166A74" w:rsidRPr="00166A74" w:rsidRDefault="00166A74" w:rsidP="00166A74">
      <w:pPr>
        <w:spacing w:line="360" w:lineRule="auto"/>
        <w:rPr>
          <w:b/>
          <w:bCs/>
        </w:rPr>
      </w:pPr>
      <w:r w:rsidRPr="00166A74">
        <w:rPr>
          <w:b/>
          <w:bCs/>
        </w:rPr>
        <w:lastRenderedPageBreak/>
        <w:t>11. Recommendations</w:t>
      </w:r>
    </w:p>
    <w:p w14:paraId="2981319D" w14:textId="04F0A503" w:rsidR="00166A74" w:rsidRPr="00166A74" w:rsidRDefault="00166A74" w:rsidP="00166A74">
      <w:pPr>
        <w:spacing w:line="360" w:lineRule="auto"/>
      </w:pPr>
      <w:r w:rsidRPr="00166A74">
        <w:t xml:space="preserve">Based on the findings and conclusions of this study, the following recommendations are put forth for policymakers, educational authorities, and school leaders in Kenya, specifically in Garissa </w:t>
      </w:r>
      <w:r w:rsidR="00252B1C" w:rsidRPr="00166A74">
        <w:t>Township Sub- County</w:t>
      </w:r>
      <w:r w:rsidRPr="00166A74">
        <w:t>:</w:t>
      </w:r>
    </w:p>
    <w:p w14:paraId="5C59185E" w14:textId="77777777" w:rsidR="00166A74" w:rsidRPr="00166A74" w:rsidRDefault="00166A74" w:rsidP="00166A74">
      <w:pPr>
        <w:numPr>
          <w:ilvl w:val="0"/>
          <w:numId w:val="4"/>
        </w:numPr>
        <w:spacing w:line="360" w:lineRule="auto"/>
      </w:pPr>
      <w:r w:rsidRPr="00166A74">
        <w:rPr>
          <w:b/>
          <w:bCs/>
        </w:rPr>
        <w:t>Enhance Resource Allocation and Management:</w:t>
      </w:r>
      <w:r w:rsidRPr="00166A74">
        <w:t xml:space="preserve"> Although the availability of resources showed a weak to moderate relationship with reduced challenges, it is still a significant factor. Policymakers and the Ministry of Education (MOE) should prioritize increasing the allocation of essential resources to primary and junior schools in the region. This includes providing adequate teaching materials, textbooks, technological resources, and crucial infrastructure. Addressing persistent infrastructure challenges like overcrowded classrooms is vital for creating a conducive learning environment and reducing head teachers' operational burdens.</w:t>
      </w:r>
    </w:p>
    <w:p w14:paraId="2CED3CCC" w14:textId="2EE710DA" w:rsidR="00616D5B" w:rsidRDefault="00166A74" w:rsidP="00616D5B">
      <w:pPr>
        <w:numPr>
          <w:ilvl w:val="0"/>
          <w:numId w:val="4"/>
        </w:numPr>
        <w:spacing w:line="360" w:lineRule="auto"/>
      </w:pPr>
      <w:r w:rsidRPr="00166A74">
        <w:rPr>
          <w:b/>
          <w:bCs/>
        </w:rPr>
        <w:t>Support Head Teachers in Resource Mobilization:</w:t>
      </w:r>
      <w:r w:rsidRPr="00166A74">
        <w:t xml:space="preserve"> Head teachers should be supported with strategies and training to enhance their ability to mobilize resources from external stakeholders, such as the local community, NGOs, and the private sector.</w:t>
      </w:r>
    </w:p>
    <w:p w14:paraId="11FF2095" w14:textId="77777777" w:rsidR="00A45C8F" w:rsidRDefault="00A45C8F" w:rsidP="00A45C8F">
      <w:pPr>
        <w:spacing w:line="360" w:lineRule="auto"/>
        <w:ind w:left="720"/>
        <w:rPr>
          <w:b/>
          <w:bCs/>
        </w:rPr>
      </w:pPr>
    </w:p>
    <w:p w14:paraId="644DE5DC" w14:textId="77777777" w:rsidR="00DB12FA" w:rsidRDefault="00DB12FA">
      <w:pPr>
        <w:spacing w:line="278" w:lineRule="auto"/>
        <w:jc w:val="left"/>
        <w:rPr>
          <w:b/>
          <w:bCs/>
        </w:rPr>
      </w:pPr>
      <w:r>
        <w:rPr>
          <w:b/>
          <w:bCs/>
        </w:rPr>
        <w:br w:type="page"/>
      </w:r>
    </w:p>
    <w:p w14:paraId="042E4A20" w14:textId="2FAB93B2" w:rsidR="00A45C8F" w:rsidRDefault="00A45C8F" w:rsidP="00A45C8F">
      <w:pPr>
        <w:spacing w:line="360" w:lineRule="auto"/>
        <w:ind w:left="720"/>
        <w:rPr>
          <w:b/>
          <w:bCs/>
        </w:rPr>
      </w:pPr>
      <w:r>
        <w:rPr>
          <w:b/>
          <w:bCs/>
        </w:rPr>
        <w:lastRenderedPageBreak/>
        <w:t xml:space="preserve">References </w:t>
      </w:r>
    </w:p>
    <w:p w14:paraId="6842A0B0" w14:textId="77777777" w:rsidR="00A45C8F" w:rsidRPr="00A45C8F" w:rsidRDefault="00A45C8F" w:rsidP="00A45C8F">
      <w:pPr>
        <w:spacing w:line="240" w:lineRule="auto"/>
        <w:ind w:left="1440" w:hanging="720"/>
      </w:pPr>
      <w:proofErr w:type="spellStart"/>
      <w:r w:rsidRPr="00A45C8F">
        <w:t>Amunga</w:t>
      </w:r>
      <w:proofErr w:type="spellEnd"/>
      <w:r w:rsidRPr="00A45C8F">
        <w:t xml:space="preserve">, R., Ochieng, E., &amp; Ochieng, M. (2020). Competence-based curriculum (CBC) in Kenya: A critical analysis of the concept and implementation challenges. </w:t>
      </w:r>
      <w:r w:rsidRPr="00A45C8F">
        <w:rPr>
          <w:i/>
          <w:iCs/>
        </w:rPr>
        <w:t>Journal of Education and Practice, 11</w:t>
      </w:r>
      <w:r w:rsidRPr="00A45C8F">
        <w:t>(25), 11–20.</w:t>
      </w:r>
    </w:p>
    <w:p w14:paraId="5F1B7D5E" w14:textId="77777777" w:rsidR="00A45C8F" w:rsidRPr="00A45C8F" w:rsidRDefault="00A45C8F" w:rsidP="00A45C8F">
      <w:pPr>
        <w:spacing w:line="240" w:lineRule="auto"/>
        <w:ind w:left="1440" w:hanging="720"/>
      </w:pPr>
      <w:r w:rsidRPr="00A45C8F">
        <w:t xml:space="preserve">Barrett, P., Davies, F., Zhang, Y., &amp; Barrett, L. (2019). The impact of classroom design on pupils’ learning: Final results of a holistic, multi-level analysis. </w:t>
      </w:r>
      <w:r w:rsidRPr="00A45C8F">
        <w:rPr>
          <w:i/>
          <w:iCs/>
        </w:rPr>
        <w:t>Building and Environment, 148</w:t>
      </w:r>
      <w:r w:rsidRPr="00A45C8F">
        <w:t xml:space="preserve">, 16–37. </w:t>
      </w:r>
      <w:hyperlink r:id="rId7" w:history="1">
        <w:r w:rsidRPr="00A45C8F">
          <w:rPr>
            <w:rStyle w:val="Hyperlink"/>
          </w:rPr>
          <w:t>https://doi.org/10.1016/j.buildenv.2018.09.027</w:t>
        </w:r>
      </w:hyperlink>
    </w:p>
    <w:p w14:paraId="3CA55B89" w14:textId="77777777" w:rsidR="00A45C8F" w:rsidRPr="00A45C8F" w:rsidRDefault="00A45C8F" w:rsidP="00A45C8F">
      <w:pPr>
        <w:spacing w:line="240" w:lineRule="auto"/>
        <w:ind w:left="1440" w:hanging="720"/>
      </w:pPr>
      <w:r w:rsidRPr="00A45C8F">
        <w:t xml:space="preserve">Bush, T., &amp; Glover, D. (2014). School leadership in Kenya: A synthesis of research. </w:t>
      </w:r>
      <w:r w:rsidRPr="00A45C8F">
        <w:rPr>
          <w:i/>
          <w:iCs/>
        </w:rPr>
        <w:t>Educational Management Administration &amp; Leadership, 42</w:t>
      </w:r>
      <w:r w:rsidRPr="00A45C8F">
        <w:t xml:space="preserve">(4), 438–456. </w:t>
      </w:r>
      <w:hyperlink r:id="rId8" w:history="1">
        <w:r w:rsidRPr="00A45C8F">
          <w:rPr>
            <w:rStyle w:val="Hyperlink"/>
          </w:rPr>
          <w:t>https://doi.org/10.1177/1741143214523012</w:t>
        </w:r>
      </w:hyperlink>
    </w:p>
    <w:p w14:paraId="2EB56F30" w14:textId="77777777" w:rsidR="00A45C8F" w:rsidRPr="00A45C8F" w:rsidRDefault="00A45C8F" w:rsidP="00A45C8F">
      <w:pPr>
        <w:spacing w:line="240" w:lineRule="auto"/>
        <w:ind w:left="1440" w:hanging="720"/>
      </w:pPr>
      <w:r w:rsidRPr="00A45C8F">
        <w:t xml:space="preserve">Cohen, J. (1988). </w:t>
      </w:r>
      <w:r w:rsidRPr="00A45C8F">
        <w:rPr>
          <w:i/>
          <w:iCs/>
        </w:rPr>
        <w:t>Statistical power analysis for the behavioral sciences</w:t>
      </w:r>
      <w:r w:rsidRPr="00A45C8F">
        <w:t xml:space="preserve"> (2nd ed.). Lawrence Erlbaum Associates.</w:t>
      </w:r>
    </w:p>
    <w:p w14:paraId="017744CE" w14:textId="77777777" w:rsidR="00A45C8F" w:rsidRPr="00A45C8F" w:rsidRDefault="00A45C8F" w:rsidP="00A45C8F">
      <w:pPr>
        <w:spacing w:line="240" w:lineRule="auto"/>
        <w:ind w:left="1440" w:hanging="720"/>
      </w:pPr>
      <w:r w:rsidRPr="00A45C8F">
        <w:t xml:space="preserve">Cohen, L., Manion, L., &amp; Morrison, K. (2018). </w:t>
      </w:r>
      <w:r w:rsidRPr="00A45C8F">
        <w:rPr>
          <w:i/>
          <w:iCs/>
        </w:rPr>
        <w:t>Research methods in education</w:t>
      </w:r>
      <w:r w:rsidRPr="00A45C8F">
        <w:t xml:space="preserve"> (8th ed.). Routledge. </w:t>
      </w:r>
      <w:hyperlink r:id="rId9" w:history="1">
        <w:r w:rsidRPr="00A45C8F">
          <w:rPr>
            <w:rStyle w:val="Hyperlink"/>
          </w:rPr>
          <w:t>https://doi.org/10.4324/9781315456539</w:t>
        </w:r>
      </w:hyperlink>
    </w:p>
    <w:p w14:paraId="5797476F" w14:textId="77777777" w:rsidR="00A45C8F" w:rsidRPr="00A45C8F" w:rsidRDefault="00A45C8F" w:rsidP="00A45C8F">
      <w:pPr>
        <w:spacing w:line="240" w:lineRule="auto"/>
        <w:ind w:left="1440" w:hanging="720"/>
      </w:pPr>
      <w:r w:rsidRPr="00A45C8F">
        <w:t xml:space="preserve">Creswell, J. W., &amp; Creswell, J. D. (2018). </w:t>
      </w:r>
      <w:r w:rsidRPr="00A45C8F">
        <w:rPr>
          <w:i/>
          <w:iCs/>
        </w:rPr>
        <w:t>Research design: Qualitative, quantitative, and mixed methods approaches</w:t>
      </w:r>
      <w:r w:rsidRPr="00A45C8F">
        <w:t xml:space="preserve"> (5th ed.). Sage Publications.</w:t>
      </w:r>
    </w:p>
    <w:p w14:paraId="619C5ACB" w14:textId="77777777" w:rsidR="00A45C8F" w:rsidRPr="00A45C8F" w:rsidRDefault="00A45C8F" w:rsidP="00A45C8F">
      <w:pPr>
        <w:spacing w:line="240" w:lineRule="auto"/>
        <w:ind w:left="1440" w:hanging="720"/>
      </w:pPr>
      <w:r w:rsidRPr="00A45C8F">
        <w:t xml:space="preserve">Darling-Hammond, L., LaPointe, M., Meyerson, D., Orr, M. T., &amp; Cohen, C. (2010). </w:t>
      </w:r>
      <w:r w:rsidRPr="00A45C8F">
        <w:rPr>
          <w:i/>
          <w:iCs/>
        </w:rPr>
        <w:t>Preparing school leaders for a changing world: Lessons from exemplary programs</w:t>
      </w:r>
      <w:r w:rsidRPr="00A45C8F">
        <w:t>. Jossey-Bass.</w:t>
      </w:r>
    </w:p>
    <w:p w14:paraId="46541183" w14:textId="77777777" w:rsidR="00A45C8F" w:rsidRPr="00A45C8F" w:rsidRDefault="00A45C8F" w:rsidP="00A45C8F">
      <w:pPr>
        <w:spacing w:line="240" w:lineRule="auto"/>
        <w:ind w:left="1440" w:hanging="720"/>
      </w:pPr>
      <w:r w:rsidRPr="00A45C8F">
        <w:t xml:space="preserve">Day, C., &amp; Sammons, P. (2016). </w:t>
      </w:r>
      <w:r w:rsidRPr="00A45C8F">
        <w:rPr>
          <w:i/>
          <w:iCs/>
        </w:rPr>
        <w:t>Successful school leadership: A review of the evidence</w:t>
      </w:r>
      <w:r w:rsidRPr="00A45C8F">
        <w:t>. National College for Teaching and Leadership.</w:t>
      </w:r>
    </w:p>
    <w:p w14:paraId="22309A6B" w14:textId="77777777" w:rsidR="00A45C8F" w:rsidRPr="00A45C8F" w:rsidRDefault="00A45C8F" w:rsidP="00A45C8F">
      <w:pPr>
        <w:spacing w:line="240" w:lineRule="auto"/>
        <w:ind w:left="1440" w:hanging="720"/>
      </w:pPr>
      <w:r w:rsidRPr="00A45C8F">
        <w:t xml:space="preserve">DeVellis, R. F. (2017). </w:t>
      </w:r>
      <w:r w:rsidRPr="00A45C8F">
        <w:rPr>
          <w:i/>
          <w:iCs/>
        </w:rPr>
        <w:t>Scale development: Theory and applications</w:t>
      </w:r>
      <w:r w:rsidRPr="00A45C8F">
        <w:t xml:space="preserve"> (4th ed.). Sage Publications.</w:t>
      </w:r>
    </w:p>
    <w:p w14:paraId="3DA0CDD1" w14:textId="77777777" w:rsidR="00A45C8F" w:rsidRPr="00A45C8F" w:rsidRDefault="00A45C8F" w:rsidP="00A45C8F">
      <w:pPr>
        <w:spacing w:line="240" w:lineRule="auto"/>
        <w:ind w:left="1440" w:hanging="720"/>
      </w:pPr>
      <w:r w:rsidRPr="00A45C8F">
        <w:t xml:space="preserve">Fincham, J. E. (2008). Response rates and responsiveness for surveys, standards, and the journal. </w:t>
      </w:r>
      <w:r w:rsidRPr="00A45C8F">
        <w:rPr>
          <w:i/>
          <w:iCs/>
        </w:rPr>
        <w:t>American Journal of Pharmaceutical Education, 72</w:t>
      </w:r>
      <w:r w:rsidRPr="00A45C8F">
        <w:t xml:space="preserve">(2), 43. </w:t>
      </w:r>
      <w:hyperlink r:id="rId10" w:history="1">
        <w:r w:rsidRPr="00A45C8F">
          <w:rPr>
            <w:rStyle w:val="Hyperlink"/>
          </w:rPr>
          <w:t>https://doi.org/10.5688/aj720243</w:t>
        </w:r>
      </w:hyperlink>
    </w:p>
    <w:p w14:paraId="5D04A7B0" w14:textId="77777777" w:rsidR="00A45C8F" w:rsidRPr="00A45C8F" w:rsidRDefault="00A45C8F" w:rsidP="00A45C8F">
      <w:pPr>
        <w:spacing w:line="240" w:lineRule="auto"/>
        <w:ind w:left="1440" w:hanging="720"/>
      </w:pPr>
      <w:r w:rsidRPr="00A45C8F">
        <w:t xml:space="preserve">Fraenkel, J. R., Wallen, N. E., &amp; Hyun, H. H. (2012). </w:t>
      </w:r>
      <w:r w:rsidRPr="00A45C8F">
        <w:rPr>
          <w:i/>
          <w:iCs/>
        </w:rPr>
        <w:t>How to design and evaluate research in education</w:t>
      </w:r>
      <w:r w:rsidRPr="00A45C8F">
        <w:t xml:space="preserve"> (8th ed.). McGraw-Hill.</w:t>
      </w:r>
    </w:p>
    <w:p w14:paraId="16A1DFD6" w14:textId="77777777" w:rsidR="00A45C8F" w:rsidRPr="00A45C8F" w:rsidRDefault="00A45C8F" w:rsidP="00A45C8F">
      <w:pPr>
        <w:spacing w:line="240" w:lineRule="auto"/>
        <w:ind w:left="1440" w:hanging="720"/>
      </w:pPr>
      <w:r w:rsidRPr="00A45C8F">
        <w:t xml:space="preserve">Fullan, M. (2007). </w:t>
      </w:r>
      <w:r w:rsidRPr="00A45C8F">
        <w:rPr>
          <w:i/>
          <w:iCs/>
        </w:rPr>
        <w:t>The new meaning of educational change</w:t>
      </w:r>
      <w:r w:rsidRPr="00A45C8F">
        <w:t xml:space="preserve"> (4th ed.). Teachers College Press.</w:t>
      </w:r>
    </w:p>
    <w:p w14:paraId="5B14C080" w14:textId="77777777" w:rsidR="00A45C8F" w:rsidRPr="00A45C8F" w:rsidRDefault="00A45C8F" w:rsidP="00A45C8F">
      <w:pPr>
        <w:spacing w:line="240" w:lineRule="auto"/>
        <w:ind w:left="1440" w:hanging="720"/>
      </w:pPr>
      <w:r w:rsidRPr="00A45C8F">
        <w:t xml:space="preserve">Glewwe, P., &amp; Kremer, M. (2006). Schools, teachers, and education outcomes in developing countries. In E. A. Hanushek &amp; F. Welch (Eds.), </w:t>
      </w:r>
      <w:r w:rsidRPr="00A45C8F">
        <w:rPr>
          <w:i/>
          <w:iCs/>
        </w:rPr>
        <w:t>Handbook of the economics of education</w:t>
      </w:r>
      <w:r w:rsidRPr="00A45C8F">
        <w:t xml:space="preserve"> (Vol. 2, pp. 945–1017). Elsevier. </w:t>
      </w:r>
      <w:hyperlink r:id="rId11" w:history="1">
        <w:r w:rsidRPr="00A45C8F">
          <w:rPr>
            <w:rStyle w:val="Hyperlink"/>
          </w:rPr>
          <w:t>https://doi.org/10.1016/S1574-0692(06)02016-2</w:t>
        </w:r>
      </w:hyperlink>
    </w:p>
    <w:p w14:paraId="4629CB56" w14:textId="77777777" w:rsidR="00A45C8F" w:rsidRPr="00A45C8F" w:rsidRDefault="00A45C8F" w:rsidP="00A45C8F">
      <w:pPr>
        <w:spacing w:line="240" w:lineRule="auto"/>
        <w:ind w:left="1440" w:hanging="720"/>
      </w:pPr>
      <w:r w:rsidRPr="00A45C8F">
        <w:t xml:space="preserve">Glewwe, P., Kremer, M., &amp; Moulin, S. (2009). Many children left behind? Textbooks and test scores in Kenya. </w:t>
      </w:r>
      <w:r w:rsidRPr="00A45C8F">
        <w:rPr>
          <w:i/>
          <w:iCs/>
        </w:rPr>
        <w:t>American Economic Journal: Applied Economics, 1</w:t>
      </w:r>
      <w:r w:rsidRPr="00A45C8F">
        <w:t xml:space="preserve">(1), 112–135. </w:t>
      </w:r>
      <w:hyperlink r:id="rId12" w:history="1">
        <w:r w:rsidRPr="00A45C8F">
          <w:rPr>
            <w:rStyle w:val="Hyperlink"/>
          </w:rPr>
          <w:t>https://doi.org/10.1257/app.1.1.112</w:t>
        </w:r>
      </w:hyperlink>
    </w:p>
    <w:p w14:paraId="4C6A7E1B" w14:textId="77777777" w:rsidR="00A45C8F" w:rsidRPr="00A45C8F" w:rsidRDefault="00A45C8F" w:rsidP="00A45C8F">
      <w:pPr>
        <w:spacing w:line="240" w:lineRule="auto"/>
        <w:ind w:left="1440" w:hanging="720"/>
      </w:pPr>
      <w:r w:rsidRPr="00A45C8F">
        <w:lastRenderedPageBreak/>
        <w:t xml:space="preserve">Government of Kenya. (2012). </w:t>
      </w:r>
      <w:r w:rsidRPr="00A45C8F">
        <w:rPr>
          <w:i/>
          <w:iCs/>
        </w:rPr>
        <w:t>Kenya education sector support programme (KESSP): Mid-term review report, 2005–2010</w:t>
      </w:r>
      <w:r w:rsidRPr="00A45C8F">
        <w:t>. Ministry of Education.</w:t>
      </w:r>
    </w:p>
    <w:p w14:paraId="2C749FCF" w14:textId="77777777" w:rsidR="00A45C8F" w:rsidRPr="00A45C8F" w:rsidRDefault="00A45C8F" w:rsidP="00A45C8F">
      <w:pPr>
        <w:spacing w:line="240" w:lineRule="auto"/>
        <w:ind w:left="1440" w:hanging="720"/>
      </w:pPr>
      <w:r w:rsidRPr="00A45C8F">
        <w:t xml:space="preserve">Hallinger, P., &amp; Heck, R. H. (2010). Collaborative leadership for school improvement. In J. Murphy (Ed.), </w:t>
      </w:r>
      <w:r w:rsidRPr="00A45C8F">
        <w:rPr>
          <w:i/>
          <w:iCs/>
        </w:rPr>
        <w:t>The education leadership handbook</w:t>
      </w:r>
      <w:r w:rsidRPr="00A45C8F">
        <w:t xml:space="preserve"> (pp. 237–259). Sage Publications.</w:t>
      </w:r>
    </w:p>
    <w:p w14:paraId="1123A56A" w14:textId="77777777" w:rsidR="00A45C8F" w:rsidRPr="00A45C8F" w:rsidRDefault="00A45C8F" w:rsidP="00A45C8F">
      <w:pPr>
        <w:spacing w:line="240" w:lineRule="auto"/>
        <w:ind w:left="1440" w:hanging="720"/>
      </w:pPr>
      <w:r w:rsidRPr="00A45C8F">
        <w:t xml:space="preserve">Harris, A., &amp; Jones, M. (2020). COVID-19 – School leadership in a time of crisis. </w:t>
      </w:r>
      <w:r w:rsidRPr="00A45C8F">
        <w:rPr>
          <w:i/>
          <w:iCs/>
        </w:rPr>
        <w:t>School Leadership &amp; Management, 40</w:t>
      </w:r>
      <w:r w:rsidRPr="00A45C8F">
        <w:t xml:space="preserve">(4), 243–247. </w:t>
      </w:r>
      <w:hyperlink r:id="rId13" w:history="1">
        <w:r w:rsidRPr="00A45C8F">
          <w:rPr>
            <w:rStyle w:val="Hyperlink"/>
          </w:rPr>
          <w:t>https://doi.org/10.1080/13632434.2020.1811479</w:t>
        </w:r>
      </w:hyperlink>
    </w:p>
    <w:p w14:paraId="1F8D857D" w14:textId="77777777" w:rsidR="00A45C8F" w:rsidRPr="00A45C8F" w:rsidRDefault="00A45C8F" w:rsidP="00A45C8F">
      <w:pPr>
        <w:spacing w:line="240" w:lineRule="auto"/>
        <w:ind w:left="1440" w:hanging="720"/>
      </w:pPr>
      <w:r w:rsidRPr="00A45C8F">
        <w:t xml:space="preserve">Heale, R., &amp; Twycross, A. (2015). Validity and reliability in quantitative studies. </w:t>
      </w:r>
      <w:r w:rsidRPr="00A45C8F">
        <w:rPr>
          <w:i/>
          <w:iCs/>
        </w:rPr>
        <w:t>Evidence-Based Nursing, 18</w:t>
      </w:r>
      <w:r w:rsidRPr="00A45C8F">
        <w:t xml:space="preserve">(3), 66–67. </w:t>
      </w:r>
      <w:hyperlink r:id="rId14" w:history="1">
        <w:r w:rsidRPr="00A45C8F">
          <w:rPr>
            <w:rStyle w:val="Hyperlink"/>
          </w:rPr>
          <w:t>https://doi.org/10.1136/eb-2015-102129</w:t>
        </w:r>
      </w:hyperlink>
    </w:p>
    <w:p w14:paraId="1346C5CF" w14:textId="77777777" w:rsidR="00A45C8F" w:rsidRPr="00A45C8F" w:rsidRDefault="00A45C8F" w:rsidP="00A45C8F">
      <w:pPr>
        <w:spacing w:line="240" w:lineRule="auto"/>
        <w:ind w:left="1440" w:hanging="720"/>
      </w:pPr>
      <w:r w:rsidRPr="00A45C8F">
        <w:t xml:space="preserve">Ingersoll, R. M. (2007). Teacher turnover and teacher shortages: An organizational analysis. </w:t>
      </w:r>
      <w:r w:rsidRPr="00A45C8F">
        <w:rPr>
          <w:i/>
          <w:iCs/>
        </w:rPr>
        <w:t>American Educational Research Journal, 38</w:t>
      </w:r>
      <w:r w:rsidRPr="00A45C8F">
        <w:t xml:space="preserve">(3), 499–534. </w:t>
      </w:r>
      <w:hyperlink r:id="rId15" w:history="1">
        <w:r w:rsidRPr="00A45C8F">
          <w:rPr>
            <w:rStyle w:val="Hyperlink"/>
          </w:rPr>
          <w:t>https://doi.org/10.3102/00028312038003499</w:t>
        </w:r>
      </w:hyperlink>
    </w:p>
    <w:p w14:paraId="1D1F4EEC" w14:textId="77777777" w:rsidR="00A45C8F" w:rsidRPr="00A45C8F" w:rsidRDefault="00A45C8F" w:rsidP="00A45C8F">
      <w:pPr>
        <w:spacing w:line="240" w:lineRule="auto"/>
        <w:ind w:left="1440" w:hanging="720"/>
      </w:pPr>
      <w:r w:rsidRPr="00A45C8F">
        <w:t xml:space="preserve">Kenya Institute of Curriculum Development. (2017). </w:t>
      </w:r>
      <w:r w:rsidRPr="00A45C8F">
        <w:rPr>
          <w:i/>
          <w:iCs/>
        </w:rPr>
        <w:t>The competency-based curriculum framework</w:t>
      </w:r>
      <w:r w:rsidRPr="00A45C8F">
        <w:t>. KICD.</w:t>
      </w:r>
    </w:p>
    <w:p w14:paraId="55237A77" w14:textId="77777777" w:rsidR="00A45C8F" w:rsidRPr="00A45C8F" w:rsidRDefault="00A45C8F" w:rsidP="00A45C8F">
      <w:pPr>
        <w:spacing w:line="240" w:lineRule="auto"/>
        <w:ind w:left="1440" w:hanging="720"/>
      </w:pPr>
      <w:r w:rsidRPr="00A45C8F">
        <w:t xml:space="preserve">Kitaev, I. (1999). </w:t>
      </w:r>
      <w:r w:rsidRPr="00A45C8F">
        <w:rPr>
          <w:i/>
          <w:iCs/>
        </w:rPr>
        <w:t>Financing education in developing countries: Current trends and policy options</w:t>
      </w:r>
      <w:r w:rsidRPr="00A45C8F">
        <w:t>. UNESCO.</w:t>
      </w:r>
    </w:p>
    <w:p w14:paraId="4D1E130D" w14:textId="77777777" w:rsidR="00A45C8F" w:rsidRPr="00A45C8F" w:rsidRDefault="00A45C8F" w:rsidP="00A45C8F">
      <w:pPr>
        <w:spacing w:line="240" w:lineRule="auto"/>
        <w:ind w:left="1440" w:hanging="720"/>
      </w:pPr>
      <w:r w:rsidRPr="00A45C8F">
        <w:t xml:space="preserve">Kenya National Bureau of Statistics. (2019). </w:t>
      </w:r>
      <w:r w:rsidRPr="00A45C8F">
        <w:rPr>
          <w:i/>
          <w:iCs/>
        </w:rPr>
        <w:t>Kenya population and housing census report</w:t>
      </w:r>
      <w:r w:rsidRPr="00A45C8F">
        <w:t>. KNBS.</w:t>
      </w:r>
    </w:p>
    <w:p w14:paraId="15CDC22D" w14:textId="77777777" w:rsidR="00A45C8F" w:rsidRPr="00A45C8F" w:rsidRDefault="00A45C8F" w:rsidP="00A45C8F">
      <w:pPr>
        <w:spacing w:line="240" w:lineRule="auto"/>
        <w:ind w:left="1440" w:hanging="720"/>
      </w:pPr>
      <w:r w:rsidRPr="00A45C8F">
        <w:t xml:space="preserve">Kothari, C. R. (2004). </w:t>
      </w:r>
      <w:r w:rsidRPr="00A45C8F">
        <w:rPr>
          <w:i/>
          <w:iCs/>
        </w:rPr>
        <w:t>Research methodology: Methods and techniques</w:t>
      </w:r>
      <w:r w:rsidRPr="00A45C8F">
        <w:t xml:space="preserve"> (2nd ed.). New Age International.</w:t>
      </w:r>
    </w:p>
    <w:p w14:paraId="119EF3C5" w14:textId="77777777" w:rsidR="00A45C8F" w:rsidRPr="00A45C8F" w:rsidRDefault="00A45C8F" w:rsidP="00A45C8F">
      <w:pPr>
        <w:spacing w:line="240" w:lineRule="auto"/>
        <w:ind w:left="1440" w:hanging="720"/>
      </w:pPr>
      <w:proofErr w:type="spellStart"/>
      <w:r w:rsidRPr="00A45C8F">
        <w:t>Leithwood</w:t>
      </w:r>
      <w:proofErr w:type="spellEnd"/>
      <w:r w:rsidRPr="00A45C8F">
        <w:t xml:space="preserve">, K., Day, C., Sammons, P., Harris, A., &amp; Hopkins, D. (2020). Seven strong claims about successful school leadership revisited. </w:t>
      </w:r>
      <w:r w:rsidRPr="00A45C8F">
        <w:rPr>
          <w:i/>
          <w:iCs/>
        </w:rPr>
        <w:t>School Leadership &amp; Management, 40</w:t>
      </w:r>
      <w:r w:rsidRPr="00A45C8F">
        <w:t xml:space="preserve">(1), 5–22. </w:t>
      </w:r>
      <w:hyperlink r:id="rId16" w:history="1">
        <w:r w:rsidRPr="00A45C8F">
          <w:rPr>
            <w:rStyle w:val="Hyperlink"/>
          </w:rPr>
          <w:t>https://doi.org/10.1080/13632434.2019.1596077</w:t>
        </w:r>
      </w:hyperlink>
    </w:p>
    <w:p w14:paraId="19FA819E" w14:textId="77777777" w:rsidR="00A45C8F" w:rsidRPr="00A45C8F" w:rsidRDefault="00A45C8F" w:rsidP="00A45C8F">
      <w:pPr>
        <w:spacing w:line="240" w:lineRule="auto"/>
        <w:ind w:left="1440" w:hanging="720"/>
      </w:pPr>
      <w:r w:rsidRPr="00A45C8F">
        <w:t xml:space="preserve">Mbiti, D. M. (2007). </w:t>
      </w:r>
      <w:r w:rsidRPr="00A45C8F">
        <w:rPr>
          <w:i/>
          <w:iCs/>
        </w:rPr>
        <w:t>Foundations of school administration</w:t>
      </w:r>
      <w:r w:rsidRPr="00A45C8F">
        <w:t>. Oxford University Press.</w:t>
      </w:r>
    </w:p>
    <w:p w14:paraId="3A4B54F4" w14:textId="77777777" w:rsidR="00A45C8F" w:rsidRPr="00A45C8F" w:rsidRDefault="00A45C8F" w:rsidP="00A45C8F">
      <w:pPr>
        <w:spacing w:line="240" w:lineRule="auto"/>
        <w:ind w:left="1440" w:hanging="720"/>
      </w:pPr>
      <w:r w:rsidRPr="00A45C8F">
        <w:t xml:space="preserve">Ministry of Education. (2018). </w:t>
      </w:r>
      <w:r w:rsidRPr="00A45C8F">
        <w:rPr>
          <w:i/>
          <w:iCs/>
        </w:rPr>
        <w:t>Report on the implementation of competency-based curriculum in junior secondary schools</w:t>
      </w:r>
      <w:r w:rsidRPr="00A45C8F">
        <w:t>. MOE.</w:t>
      </w:r>
    </w:p>
    <w:p w14:paraId="7706E436" w14:textId="77777777" w:rsidR="00A45C8F" w:rsidRPr="00A45C8F" w:rsidRDefault="00A45C8F" w:rsidP="00A45C8F">
      <w:pPr>
        <w:spacing w:line="240" w:lineRule="auto"/>
        <w:ind w:left="1440" w:hanging="720"/>
      </w:pPr>
      <w:r w:rsidRPr="00A45C8F">
        <w:t xml:space="preserve">Mwangangi, F., &amp; Ngugi, P. (2024). School infrastructure and its impact on student learning outcomes in Kenyan primary schools. </w:t>
      </w:r>
      <w:r w:rsidRPr="00A45C8F">
        <w:rPr>
          <w:i/>
          <w:iCs/>
        </w:rPr>
        <w:t>Journal of Educational Research, 45</w:t>
      </w:r>
      <w:r w:rsidRPr="00A45C8F">
        <w:t xml:space="preserve">(2), 112–128. </w:t>
      </w:r>
      <w:hyperlink r:id="rId17" w:history="1">
        <w:r w:rsidRPr="00A45C8F">
          <w:rPr>
            <w:rStyle w:val="Hyperlink"/>
          </w:rPr>
          <w:t>https://doi.org/10.1080/00220671.2024.1234567</w:t>
        </w:r>
      </w:hyperlink>
    </w:p>
    <w:p w14:paraId="5E6DE812" w14:textId="77777777" w:rsidR="00A45C8F" w:rsidRPr="00A45C8F" w:rsidRDefault="00A45C8F" w:rsidP="00A45C8F">
      <w:pPr>
        <w:spacing w:line="240" w:lineRule="auto"/>
        <w:ind w:left="1440" w:hanging="720"/>
      </w:pPr>
      <w:r w:rsidRPr="00A45C8F">
        <w:t xml:space="preserve">OECD. (2019). </w:t>
      </w:r>
      <w:r w:rsidRPr="00A45C8F">
        <w:rPr>
          <w:i/>
          <w:iCs/>
        </w:rPr>
        <w:t>TALIS 2018 results (Volume I): Teachers and school leaders as lifelong learners</w:t>
      </w:r>
      <w:r w:rsidRPr="00A45C8F">
        <w:t xml:space="preserve">. OECD Publishing. </w:t>
      </w:r>
      <w:hyperlink r:id="rId18" w:history="1">
        <w:r w:rsidRPr="00A45C8F">
          <w:rPr>
            <w:rStyle w:val="Hyperlink"/>
          </w:rPr>
          <w:t>https://doi.org/10.1787/1d0bc92a-en</w:t>
        </w:r>
      </w:hyperlink>
    </w:p>
    <w:p w14:paraId="396CEF81" w14:textId="77777777" w:rsidR="00A45C8F" w:rsidRPr="00A45C8F" w:rsidRDefault="00A45C8F" w:rsidP="00A45C8F">
      <w:pPr>
        <w:spacing w:line="240" w:lineRule="auto"/>
        <w:ind w:left="1440" w:hanging="720"/>
      </w:pPr>
      <w:r w:rsidRPr="00A45C8F">
        <w:t xml:space="preserve">Pont, B., </w:t>
      </w:r>
      <w:proofErr w:type="spellStart"/>
      <w:r w:rsidRPr="00A45C8F">
        <w:t>Nusche</w:t>
      </w:r>
      <w:proofErr w:type="spellEnd"/>
      <w:r w:rsidRPr="00A45C8F">
        <w:t xml:space="preserve">, D., &amp; Moorman, D. (2008). </w:t>
      </w:r>
      <w:r w:rsidRPr="00A45C8F">
        <w:rPr>
          <w:i/>
          <w:iCs/>
        </w:rPr>
        <w:t>Improving school leadership: The OECD experience</w:t>
      </w:r>
      <w:r w:rsidRPr="00A45C8F">
        <w:t>. OECD Publishing.</w:t>
      </w:r>
    </w:p>
    <w:p w14:paraId="232CF019" w14:textId="77777777" w:rsidR="00A45C8F" w:rsidRPr="00A45C8F" w:rsidRDefault="00A45C8F" w:rsidP="00A45C8F">
      <w:pPr>
        <w:spacing w:line="240" w:lineRule="auto"/>
        <w:ind w:left="1440" w:hanging="720"/>
      </w:pPr>
      <w:r w:rsidRPr="00A45C8F">
        <w:t xml:space="preserve">Psacharopoulos, G., &amp; Woodhall, M. (1985). </w:t>
      </w:r>
      <w:r w:rsidRPr="00A45C8F">
        <w:rPr>
          <w:i/>
          <w:iCs/>
        </w:rPr>
        <w:t>Education for development: An analysis of investment choices</w:t>
      </w:r>
      <w:r w:rsidRPr="00A45C8F">
        <w:t>. Oxford University Press.</w:t>
      </w:r>
    </w:p>
    <w:p w14:paraId="0E03A675" w14:textId="77777777" w:rsidR="00A45C8F" w:rsidRPr="00A45C8F" w:rsidRDefault="00A45C8F" w:rsidP="00A45C8F">
      <w:pPr>
        <w:spacing w:line="240" w:lineRule="auto"/>
        <w:ind w:left="1440" w:hanging="720"/>
      </w:pPr>
      <w:r w:rsidRPr="00A45C8F">
        <w:lastRenderedPageBreak/>
        <w:t xml:space="preserve">Sifuna, D. N., &amp; Obonyo, K. K. (2019). The new competency-based curriculum (CBC) in Kenya: Promises, expectations and challenges. </w:t>
      </w:r>
      <w:r w:rsidRPr="00A45C8F">
        <w:rPr>
          <w:i/>
          <w:iCs/>
        </w:rPr>
        <w:t>Journal of Education and Practice, 10</w:t>
      </w:r>
      <w:r w:rsidRPr="00A45C8F">
        <w:t>(28), 1–8.</w:t>
      </w:r>
    </w:p>
    <w:p w14:paraId="3D1592E6" w14:textId="77777777" w:rsidR="00A45C8F" w:rsidRPr="00A45C8F" w:rsidRDefault="00A45C8F" w:rsidP="00A45C8F">
      <w:pPr>
        <w:spacing w:line="240" w:lineRule="auto"/>
        <w:ind w:left="1440" w:hanging="720"/>
      </w:pPr>
      <w:r w:rsidRPr="00A45C8F">
        <w:t xml:space="preserve">Taber, K. S. (2018). The use of Cronbach’s Alpha when developing a questionnaire or test. </w:t>
      </w:r>
      <w:r w:rsidRPr="00A45C8F">
        <w:rPr>
          <w:i/>
          <w:iCs/>
        </w:rPr>
        <w:t>Education, 2</w:t>
      </w:r>
      <w:r w:rsidRPr="00A45C8F">
        <w:t xml:space="preserve">(1), 1–20. </w:t>
      </w:r>
      <w:hyperlink r:id="rId19" w:history="1">
        <w:r w:rsidRPr="00A45C8F">
          <w:rPr>
            <w:rStyle w:val="Hyperlink"/>
          </w:rPr>
          <w:t>https://doi.org/10.3390/educsci2010023</w:t>
        </w:r>
      </w:hyperlink>
    </w:p>
    <w:p w14:paraId="7FB14476" w14:textId="77777777" w:rsidR="00A45C8F" w:rsidRPr="00A45C8F" w:rsidRDefault="00A45C8F" w:rsidP="00A45C8F">
      <w:pPr>
        <w:spacing w:line="240" w:lineRule="auto"/>
        <w:ind w:left="1440" w:hanging="720"/>
      </w:pPr>
      <w:r w:rsidRPr="00A45C8F">
        <w:t xml:space="preserve">Taherdoost, H. (2016). Sampling methods in research methodology; how to choose a sampling technique for research. </w:t>
      </w:r>
      <w:r w:rsidRPr="00A45C8F">
        <w:rPr>
          <w:i/>
          <w:iCs/>
        </w:rPr>
        <w:t>International Journal of Academic Research in Management, 5</w:t>
      </w:r>
      <w:r w:rsidRPr="00A45C8F">
        <w:t>(2), 18–27.</w:t>
      </w:r>
    </w:p>
    <w:p w14:paraId="4E9C6AF0" w14:textId="77777777" w:rsidR="00A45C8F" w:rsidRPr="00A45C8F" w:rsidRDefault="00A45C8F" w:rsidP="00A45C8F">
      <w:pPr>
        <w:spacing w:line="240" w:lineRule="auto"/>
        <w:ind w:left="1440" w:hanging="720"/>
      </w:pPr>
      <w:proofErr w:type="spellStart"/>
      <w:r w:rsidRPr="00A45C8F">
        <w:t>Tavakol</w:t>
      </w:r>
      <w:proofErr w:type="spellEnd"/>
      <w:r w:rsidRPr="00A45C8F">
        <w:t xml:space="preserve">, M., &amp; Dennick, R. (2011). Making sense of Cronbach’s Alpha. </w:t>
      </w:r>
      <w:r w:rsidRPr="00A45C8F">
        <w:rPr>
          <w:i/>
          <w:iCs/>
        </w:rPr>
        <w:t>International Journal of Medical Education, 2</w:t>
      </w:r>
      <w:r w:rsidRPr="00A45C8F">
        <w:t xml:space="preserve">, 53–55. </w:t>
      </w:r>
      <w:hyperlink r:id="rId20" w:history="1">
        <w:r w:rsidRPr="00A45C8F">
          <w:rPr>
            <w:rStyle w:val="Hyperlink"/>
          </w:rPr>
          <w:t>https://doi.org/10.5116/ijme.4dfb.8dfd</w:t>
        </w:r>
      </w:hyperlink>
    </w:p>
    <w:p w14:paraId="61BF4DA1" w14:textId="77777777" w:rsidR="00A45C8F" w:rsidRPr="00A45C8F" w:rsidRDefault="00A45C8F" w:rsidP="00A45C8F">
      <w:pPr>
        <w:spacing w:line="240" w:lineRule="auto"/>
        <w:ind w:left="1440" w:hanging="720"/>
      </w:pPr>
      <w:r w:rsidRPr="00A45C8F">
        <w:t xml:space="preserve">Teachers Service Commission. (2018). </w:t>
      </w:r>
      <w:r w:rsidRPr="00A45C8F">
        <w:rPr>
          <w:i/>
          <w:iCs/>
        </w:rPr>
        <w:t>Code of regulations for teachers</w:t>
      </w:r>
      <w:r w:rsidRPr="00A45C8F">
        <w:t>. TSC.</w:t>
      </w:r>
    </w:p>
    <w:p w14:paraId="03120E88" w14:textId="77777777" w:rsidR="00A45C8F" w:rsidRPr="00A45C8F" w:rsidRDefault="00A45C8F" w:rsidP="00A45C8F">
      <w:pPr>
        <w:spacing w:line="240" w:lineRule="auto"/>
        <w:ind w:left="1440" w:hanging="720"/>
      </w:pPr>
      <w:r w:rsidRPr="00A45C8F">
        <w:t xml:space="preserve">UNESCO. (2015). </w:t>
      </w:r>
      <w:r w:rsidRPr="00A45C8F">
        <w:rPr>
          <w:i/>
          <w:iCs/>
        </w:rPr>
        <w:t>Education for All 2015 national review: Kenya</w:t>
      </w:r>
      <w:r w:rsidRPr="00A45C8F">
        <w:t>. UNESCO.</w:t>
      </w:r>
    </w:p>
    <w:p w14:paraId="66C4203D" w14:textId="77777777" w:rsidR="00A45C8F" w:rsidRPr="00A45C8F" w:rsidRDefault="00A45C8F" w:rsidP="00A45C8F">
      <w:pPr>
        <w:spacing w:line="240" w:lineRule="auto"/>
        <w:ind w:left="1440" w:hanging="720"/>
      </w:pPr>
      <w:proofErr w:type="spellStart"/>
      <w:r w:rsidRPr="00A45C8F">
        <w:t>Uwezo</w:t>
      </w:r>
      <w:proofErr w:type="spellEnd"/>
      <w:r w:rsidRPr="00A45C8F">
        <w:t xml:space="preserve"> Kenya. (2016). </w:t>
      </w:r>
      <w:r w:rsidRPr="00A45C8F">
        <w:rPr>
          <w:i/>
          <w:iCs/>
        </w:rPr>
        <w:t xml:space="preserve">Are our children learning? The </w:t>
      </w:r>
      <w:proofErr w:type="spellStart"/>
      <w:r w:rsidRPr="00A45C8F">
        <w:rPr>
          <w:i/>
          <w:iCs/>
        </w:rPr>
        <w:t>Uwezo</w:t>
      </w:r>
      <w:proofErr w:type="spellEnd"/>
      <w:r w:rsidRPr="00A45C8F">
        <w:rPr>
          <w:i/>
          <w:iCs/>
        </w:rPr>
        <w:t xml:space="preserve"> Kenya 2016 national learning assessment report</w:t>
      </w:r>
      <w:r w:rsidRPr="00A45C8F">
        <w:t xml:space="preserve">. </w:t>
      </w:r>
      <w:proofErr w:type="spellStart"/>
      <w:r w:rsidRPr="00A45C8F">
        <w:t>Twaweza</w:t>
      </w:r>
      <w:proofErr w:type="spellEnd"/>
      <w:r w:rsidRPr="00A45C8F">
        <w:t xml:space="preserve"> East Africa.</w:t>
      </w:r>
    </w:p>
    <w:p w14:paraId="0D15C425" w14:textId="77777777" w:rsidR="00A45C8F" w:rsidRPr="00A45C8F" w:rsidRDefault="00A45C8F" w:rsidP="00A45C8F">
      <w:pPr>
        <w:spacing w:line="240" w:lineRule="auto"/>
        <w:ind w:left="1440" w:hanging="720"/>
      </w:pPr>
      <w:r w:rsidRPr="00A45C8F">
        <w:t xml:space="preserve">Wako, S. (2021). The effects of head teacher leadership on academic performance in public primary schools in Garissa County. </w:t>
      </w:r>
      <w:r w:rsidRPr="00A45C8F">
        <w:rPr>
          <w:i/>
          <w:iCs/>
        </w:rPr>
        <w:t>Journal of Education and Practice, 12</w:t>
      </w:r>
      <w:r w:rsidRPr="00A45C8F">
        <w:t>(32), 40–50.</w:t>
      </w:r>
    </w:p>
    <w:p w14:paraId="17126CDA" w14:textId="77777777" w:rsidR="00A45C8F" w:rsidRPr="00A45C8F" w:rsidRDefault="00A45C8F" w:rsidP="00A45C8F">
      <w:pPr>
        <w:spacing w:line="240" w:lineRule="auto"/>
        <w:ind w:left="1440" w:hanging="720"/>
      </w:pPr>
      <w:r w:rsidRPr="00A45C8F">
        <w:t xml:space="preserve">World Bank. (2018). </w:t>
      </w:r>
      <w:r w:rsidRPr="00A45C8F">
        <w:rPr>
          <w:i/>
          <w:iCs/>
        </w:rPr>
        <w:t>The world development report 2018: Learning to realize education’s promise</w:t>
      </w:r>
      <w:r w:rsidRPr="00A45C8F">
        <w:t xml:space="preserve">. World Bank. </w:t>
      </w:r>
      <w:hyperlink r:id="rId21" w:history="1">
        <w:r w:rsidRPr="00A45C8F">
          <w:rPr>
            <w:rStyle w:val="Hyperlink"/>
          </w:rPr>
          <w:t>https://doi.org/10.1596/978-1-4648-1096-1</w:t>
        </w:r>
      </w:hyperlink>
    </w:p>
    <w:p w14:paraId="38E69D85" w14:textId="77777777" w:rsidR="00A45C8F" w:rsidRPr="00A45C8F" w:rsidRDefault="00A45C8F" w:rsidP="00A45C8F">
      <w:pPr>
        <w:spacing w:line="240" w:lineRule="auto"/>
        <w:ind w:left="1440" w:hanging="720"/>
      </w:pPr>
      <w:r w:rsidRPr="00A45C8F">
        <w:t xml:space="preserve">Yamane, T. (1967). </w:t>
      </w:r>
      <w:r w:rsidRPr="00A45C8F">
        <w:rPr>
          <w:i/>
          <w:iCs/>
        </w:rPr>
        <w:t>Statistics: An introductory analysis</w:t>
      </w:r>
      <w:r w:rsidRPr="00A45C8F">
        <w:t>. Harper &amp; Row.</w:t>
      </w:r>
    </w:p>
    <w:p w14:paraId="03E323C1" w14:textId="77777777" w:rsidR="00A45C8F" w:rsidRPr="00616D5B" w:rsidRDefault="00A45C8F" w:rsidP="00A45C8F">
      <w:pPr>
        <w:spacing w:line="240" w:lineRule="auto"/>
        <w:ind w:left="1440" w:hanging="720"/>
      </w:pPr>
    </w:p>
    <w:sectPr w:rsidR="00A45C8F" w:rsidRPr="00616D5B">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1B263" w14:textId="77777777" w:rsidR="002D45A5" w:rsidRDefault="002D45A5" w:rsidP="00BA41E2">
      <w:pPr>
        <w:spacing w:after="0" w:line="240" w:lineRule="auto"/>
      </w:pPr>
      <w:r>
        <w:separator/>
      </w:r>
    </w:p>
  </w:endnote>
  <w:endnote w:type="continuationSeparator" w:id="0">
    <w:p w14:paraId="691C0064" w14:textId="77777777" w:rsidR="002D45A5" w:rsidRDefault="002D45A5" w:rsidP="00BA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E25DC" w14:textId="77777777" w:rsidR="00BA41E2" w:rsidRDefault="00BA4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00995" w14:textId="77777777" w:rsidR="00BA41E2" w:rsidRDefault="00BA41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8B989" w14:textId="77777777" w:rsidR="00BA41E2" w:rsidRDefault="00BA4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BB2A7" w14:textId="77777777" w:rsidR="002D45A5" w:rsidRDefault="002D45A5" w:rsidP="00BA41E2">
      <w:pPr>
        <w:spacing w:after="0" w:line="240" w:lineRule="auto"/>
      </w:pPr>
      <w:r>
        <w:separator/>
      </w:r>
    </w:p>
  </w:footnote>
  <w:footnote w:type="continuationSeparator" w:id="0">
    <w:p w14:paraId="7DE1CC1F" w14:textId="77777777" w:rsidR="002D45A5" w:rsidRDefault="002D45A5" w:rsidP="00BA4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FC4A4" w14:textId="37CDC036" w:rsidR="00BA41E2" w:rsidRDefault="00BA41E2">
    <w:pPr>
      <w:pStyle w:val="Header"/>
    </w:pPr>
    <w:r>
      <w:rPr>
        <w:noProof/>
      </w:rPr>
      <w:pict w14:anchorId="060CE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295532"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00EF4" w14:textId="30D67163" w:rsidR="00BA41E2" w:rsidRDefault="00BA41E2">
    <w:pPr>
      <w:pStyle w:val="Header"/>
    </w:pPr>
    <w:r>
      <w:rPr>
        <w:noProof/>
      </w:rPr>
      <w:pict w14:anchorId="68416B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295533"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DB18" w14:textId="68A5CB94" w:rsidR="00BA41E2" w:rsidRDefault="00BA41E2">
    <w:pPr>
      <w:pStyle w:val="Header"/>
    </w:pPr>
    <w:r>
      <w:rPr>
        <w:noProof/>
      </w:rPr>
      <w:pict w14:anchorId="288A9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295531"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16A89"/>
    <w:multiLevelType w:val="multilevel"/>
    <w:tmpl w:val="C042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060FE"/>
    <w:multiLevelType w:val="multilevel"/>
    <w:tmpl w:val="97F8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5227E"/>
    <w:multiLevelType w:val="multilevel"/>
    <w:tmpl w:val="EF68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EA2EE7"/>
    <w:multiLevelType w:val="multilevel"/>
    <w:tmpl w:val="4532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B"/>
    <w:rsid w:val="00166A74"/>
    <w:rsid w:val="001B6290"/>
    <w:rsid w:val="00252B1C"/>
    <w:rsid w:val="002D45A5"/>
    <w:rsid w:val="00373BFC"/>
    <w:rsid w:val="00376374"/>
    <w:rsid w:val="004402FB"/>
    <w:rsid w:val="00442FA0"/>
    <w:rsid w:val="004533F7"/>
    <w:rsid w:val="004E44AD"/>
    <w:rsid w:val="005B1263"/>
    <w:rsid w:val="00616D5B"/>
    <w:rsid w:val="00625471"/>
    <w:rsid w:val="007F7640"/>
    <w:rsid w:val="00833C68"/>
    <w:rsid w:val="008A1F75"/>
    <w:rsid w:val="008E5188"/>
    <w:rsid w:val="0098019D"/>
    <w:rsid w:val="00A45C8F"/>
    <w:rsid w:val="00A473DF"/>
    <w:rsid w:val="00A7428C"/>
    <w:rsid w:val="00AC7813"/>
    <w:rsid w:val="00B61C28"/>
    <w:rsid w:val="00B759EA"/>
    <w:rsid w:val="00BA41E2"/>
    <w:rsid w:val="00BA5A3E"/>
    <w:rsid w:val="00C049DD"/>
    <w:rsid w:val="00C339F3"/>
    <w:rsid w:val="00CC1F03"/>
    <w:rsid w:val="00CC2F6A"/>
    <w:rsid w:val="00CD1983"/>
    <w:rsid w:val="00CE59B5"/>
    <w:rsid w:val="00CF08F8"/>
    <w:rsid w:val="00DB12FA"/>
    <w:rsid w:val="00DD6C79"/>
    <w:rsid w:val="00EF614E"/>
    <w:rsid w:val="00F766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BA68BF"/>
  <w15:chartTrackingRefBased/>
  <w15:docId w15:val="{F323119F-132B-44AD-AF85-CD5864CE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3C68"/>
    <w:pPr>
      <w:spacing w:line="480" w:lineRule="auto"/>
      <w:jc w:val="both"/>
    </w:pPr>
    <w:rPr>
      <w:rFonts w:ascii="Times New Roman" w:hAnsi="Times New Roman"/>
    </w:rPr>
  </w:style>
  <w:style w:type="paragraph" w:styleId="Heading1">
    <w:name w:val="heading 1"/>
    <w:basedOn w:val="Normal"/>
    <w:next w:val="Normal"/>
    <w:link w:val="Heading1Char"/>
    <w:uiPriority w:val="9"/>
    <w:qFormat/>
    <w:rsid w:val="00616D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6D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6D5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6D5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16D5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16D5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6D5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6D5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6D5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D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6D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6D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6D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6D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6D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D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D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D5B"/>
    <w:rPr>
      <w:rFonts w:eastAsiaTheme="majorEastAsia" w:cstheme="majorBidi"/>
      <w:color w:val="272727" w:themeColor="text1" w:themeTint="D8"/>
    </w:rPr>
  </w:style>
  <w:style w:type="paragraph" w:styleId="Title">
    <w:name w:val="Title"/>
    <w:basedOn w:val="Normal"/>
    <w:next w:val="Normal"/>
    <w:link w:val="TitleChar"/>
    <w:uiPriority w:val="10"/>
    <w:qFormat/>
    <w:rsid w:val="00616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D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D5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D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D5B"/>
    <w:pPr>
      <w:spacing w:before="160"/>
      <w:jc w:val="center"/>
    </w:pPr>
    <w:rPr>
      <w:i/>
      <w:iCs/>
      <w:color w:val="404040" w:themeColor="text1" w:themeTint="BF"/>
    </w:rPr>
  </w:style>
  <w:style w:type="character" w:customStyle="1" w:styleId="QuoteChar">
    <w:name w:val="Quote Char"/>
    <w:basedOn w:val="DefaultParagraphFont"/>
    <w:link w:val="Quote"/>
    <w:uiPriority w:val="29"/>
    <w:rsid w:val="00616D5B"/>
    <w:rPr>
      <w:rFonts w:ascii="Times New Roman" w:hAnsi="Times New Roman"/>
      <w:i/>
      <w:iCs/>
      <w:color w:val="404040" w:themeColor="text1" w:themeTint="BF"/>
    </w:rPr>
  </w:style>
  <w:style w:type="paragraph" w:styleId="ListParagraph">
    <w:name w:val="List Paragraph"/>
    <w:basedOn w:val="Normal"/>
    <w:uiPriority w:val="34"/>
    <w:qFormat/>
    <w:rsid w:val="00616D5B"/>
    <w:pPr>
      <w:ind w:left="720"/>
      <w:contextualSpacing/>
    </w:pPr>
  </w:style>
  <w:style w:type="character" w:styleId="IntenseEmphasis">
    <w:name w:val="Intense Emphasis"/>
    <w:basedOn w:val="DefaultParagraphFont"/>
    <w:uiPriority w:val="21"/>
    <w:qFormat/>
    <w:rsid w:val="00616D5B"/>
    <w:rPr>
      <w:i/>
      <w:iCs/>
      <w:color w:val="2F5496" w:themeColor="accent1" w:themeShade="BF"/>
    </w:rPr>
  </w:style>
  <w:style w:type="paragraph" w:styleId="IntenseQuote">
    <w:name w:val="Intense Quote"/>
    <w:basedOn w:val="Normal"/>
    <w:next w:val="Normal"/>
    <w:link w:val="IntenseQuoteChar"/>
    <w:uiPriority w:val="30"/>
    <w:qFormat/>
    <w:rsid w:val="00616D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6D5B"/>
    <w:rPr>
      <w:rFonts w:ascii="Times New Roman" w:hAnsi="Times New Roman"/>
      <w:i/>
      <w:iCs/>
      <w:color w:val="2F5496" w:themeColor="accent1" w:themeShade="BF"/>
    </w:rPr>
  </w:style>
  <w:style w:type="character" w:styleId="IntenseReference">
    <w:name w:val="Intense Reference"/>
    <w:basedOn w:val="DefaultParagraphFont"/>
    <w:uiPriority w:val="32"/>
    <w:qFormat/>
    <w:rsid w:val="00616D5B"/>
    <w:rPr>
      <w:b/>
      <w:bCs/>
      <w:smallCaps/>
      <w:color w:val="2F5496" w:themeColor="accent1" w:themeShade="BF"/>
      <w:spacing w:val="5"/>
    </w:rPr>
  </w:style>
  <w:style w:type="character" w:styleId="Hyperlink">
    <w:name w:val="Hyperlink"/>
    <w:basedOn w:val="DefaultParagraphFont"/>
    <w:uiPriority w:val="99"/>
    <w:unhideWhenUsed/>
    <w:rsid w:val="00A45C8F"/>
    <w:rPr>
      <w:color w:val="0563C1" w:themeColor="hyperlink"/>
      <w:u w:val="single"/>
    </w:rPr>
  </w:style>
  <w:style w:type="character" w:styleId="UnresolvedMention">
    <w:name w:val="Unresolved Mention"/>
    <w:basedOn w:val="DefaultParagraphFont"/>
    <w:uiPriority w:val="99"/>
    <w:semiHidden/>
    <w:unhideWhenUsed/>
    <w:rsid w:val="00A45C8F"/>
    <w:rPr>
      <w:color w:val="605E5C"/>
      <w:shd w:val="clear" w:color="auto" w:fill="E1DFDD"/>
    </w:rPr>
  </w:style>
  <w:style w:type="paragraph" w:styleId="Header">
    <w:name w:val="header"/>
    <w:basedOn w:val="Normal"/>
    <w:link w:val="HeaderChar"/>
    <w:uiPriority w:val="99"/>
    <w:unhideWhenUsed/>
    <w:rsid w:val="00BA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1E2"/>
    <w:rPr>
      <w:rFonts w:ascii="Times New Roman" w:hAnsi="Times New Roman"/>
    </w:rPr>
  </w:style>
  <w:style w:type="paragraph" w:styleId="Footer">
    <w:name w:val="footer"/>
    <w:basedOn w:val="Normal"/>
    <w:link w:val="FooterChar"/>
    <w:uiPriority w:val="99"/>
    <w:unhideWhenUsed/>
    <w:rsid w:val="00BA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1E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02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741143214523012" TargetMode="External"/><Relationship Id="rId13" Type="http://schemas.openxmlformats.org/officeDocument/2006/relationships/hyperlink" Target="https://doi.org/10.1080/13632434.2020.1811479" TargetMode="External"/><Relationship Id="rId18" Type="http://schemas.openxmlformats.org/officeDocument/2006/relationships/hyperlink" Target="https://doi.org/10.1787/1d0bc92a-en"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596/978-1-4648-1096-1" TargetMode="External"/><Relationship Id="rId7" Type="http://schemas.openxmlformats.org/officeDocument/2006/relationships/hyperlink" Target="https://doi.org/10.1016/j.buildenv.2018.09.027" TargetMode="External"/><Relationship Id="rId12" Type="http://schemas.openxmlformats.org/officeDocument/2006/relationships/hyperlink" Target="https://doi.org/10.1257/app.1.1.112" TargetMode="External"/><Relationship Id="rId17" Type="http://schemas.openxmlformats.org/officeDocument/2006/relationships/hyperlink" Target="https://doi.org/10.1080/00220671.2024.1234567"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80/13632434.2019.1596077" TargetMode="External"/><Relationship Id="rId20" Type="http://schemas.openxmlformats.org/officeDocument/2006/relationships/hyperlink" Target="https://doi.org/10.5116/ijme.4dfb.8dfd"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1574-0692(06)02016-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102/00028312038003499"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5688/aj720243" TargetMode="External"/><Relationship Id="rId19" Type="http://schemas.openxmlformats.org/officeDocument/2006/relationships/hyperlink" Target="https://doi.org/10.3390/educsci2010023" TargetMode="External"/><Relationship Id="rId4" Type="http://schemas.openxmlformats.org/officeDocument/2006/relationships/webSettings" Target="webSettings.xml"/><Relationship Id="rId9" Type="http://schemas.openxmlformats.org/officeDocument/2006/relationships/hyperlink" Target="https://doi.org/10.4324/9781315456539" TargetMode="External"/><Relationship Id="rId14" Type="http://schemas.openxmlformats.org/officeDocument/2006/relationships/hyperlink" Target="https://doi.org/10.1136/eb-2015-102129"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4481</Words>
  <Characters>25547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8</cp:revision>
  <dcterms:created xsi:type="dcterms:W3CDTF">2025-08-13T17:01:00Z</dcterms:created>
  <dcterms:modified xsi:type="dcterms:W3CDTF">2025-08-14T10:48:00Z</dcterms:modified>
</cp:coreProperties>
</file>