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9769" w14:textId="77777777" w:rsidR="0055189A" w:rsidRDefault="0055189A" w:rsidP="00147688">
      <w:pPr>
        <w:spacing w:line="360" w:lineRule="auto"/>
        <w:ind w:left="-288"/>
        <w:jc w:val="center"/>
        <w:rPr>
          <w:rFonts w:ascii="Arial" w:hAnsi="Arial" w:cs="Arial"/>
          <w:b/>
          <w:bCs/>
          <w:sz w:val="28"/>
          <w:szCs w:val="28"/>
        </w:rPr>
      </w:pPr>
      <w:r w:rsidRPr="0055189A">
        <w:rPr>
          <w:rFonts w:ascii="Arial" w:hAnsi="Arial" w:cs="Arial"/>
          <w:b/>
          <w:bCs/>
          <w:sz w:val="28"/>
          <w:szCs w:val="28"/>
        </w:rPr>
        <w:t xml:space="preserve">Original Research Article </w:t>
      </w:r>
    </w:p>
    <w:p w14:paraId="0DA6F598" w14:textId="30FE7761" w:rsidR="00147688" w:rsidRPr="0023291A" w:rsidRDefault="00147688" w:rsidP="00147688">
      <w:pPr>
        <w:spacing w:line="360" w:lineRule="auto"/>
        <w:ind w:left="-288"/>
        <w:jc w:val="center"/>
        <w:rPr>
          <w:rFonts w:ascii="Arial" w:hAnsi="Arial" w:cs="Arial"/>
          <w:b/>
          <w:bCs/>
          <w:sz w:val="28"/>
          <w:szCs w:val="28"/>
        </w:rPr>
      </w:pPr>
      <w:r w:rsidRPr="0023291A">
        <w:rPr>
          <w:rFonts w:ascii="Arial" w:hAnsi="Arial" w:cs="Arial"/>
          <w:b/>
          <w:bCs/>
          <w:sz w:val="28"/>
          <w:szCs w:val="28"/>
        </w:rPr>
        <w:t>Assessing implementation, promoting facilitators and overcoming barriers - an assessment of Ayushman Arogya Mandirs in Andhra Pradesh by Mixed Methods approach</w:t>
      </w:r>
    </w:p>
    <w:p w14:paraId="4A976C15" w14:textId="77777777" w:rsidR="00A258C3" w:rsidRPr="00790ADA" w:rsidRDefault="00A258C3" w:rsidP="00441B6F">
      <w:pPr>
        <w:pStyle w:val="Author"/>
        <w:spacing w:line="240" w:lineRule="auto"/>
        <w:jc w:val="both"/>
        <w:rPr>
          <w:rFonts w:ascii="Arial" w:hAnsi="Arial" w:cs="Arial"/>
          <w:sz w:val="36"/>
        </w:rPr>
      </w:pPr>
    </w:p>
    <w:p w14:paraId="59FDC5A1" w14:textId="6DCC9D0F" w:rsidR="00B01FCD" w:rsidRPr="00FB3A86" w:rsidRDefault="00B01FCD" w:rsidP="00441B6F">
      <w:pPr>
        <w:pStyle w:val="Copyright"/>
        <w:spacing w:after="0" w:line="240" w:lineRule="auto"/>
        <w:jc w:val="both"/>
        <w:rPr>
          <w:rFonts w:ascii="Arial" w:hAnsi="Arial" w:cs="Arial"/>
        </w:rPr>
        <w:sectPr w:rsidR="00B01FCD" w:rsidRPr="00FB3A86" w:rsidSect="00D337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7938EB2" w14:textId="6CB05F6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D641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B951B8C" w14:textId="77777777" w:rsidTr="001E44FE">
        <w:tc>
          <w:tcPr>
            <w:tcW w:w="9576" w:type="dxa"/>
            <w:shd w:val="clear" w:color="auto" w:fill="F2F2F2"/>
          </w:tcPr>
          <w:p w14:paraId="0DF8363C" w14:textId="2F4AD290" w:rsidR="009D6E14" w:rsidRDefault="009D6E14" w:rsidP="00441B6F">
            <w:pPr>
              <w:pStyle w:val="Body"/>
              <w:spacing w:after="0"/>
              <w:rPr>
                <w:rFonts w:ascii="Arial" w:eastAsia="Calibri" w:hAnsi="Arial" w:cs="Arial"/>
                <w:szCs w:val="22"/>
              </w:rPr>
            </w:pPr>
            <w:r w:rsidRPr="009D6E14">
              <w:rPr>
                <w:rFonts w:ascii="Arial" w:eastAsia="Calibri" w:hAnsi="Arial" w:cs="Arial"/>
                <w:b/>
                <w:bCs/>
                <w:szCs w:val="22"/>
              </w:rPr>
              <w:t>Aim:</w:t>
            </w:r>
            <w:r>
              <w:rPr>
                <w:rFonts w:ascii="Arial" w:eastAsia="Calibri" w:hAnsi="Arial" w:cs="Arial"/>
                <w:szCs w:val="22"/>
              </w:rPr>
              <w:t xml:space="preserve"> </w:t>
            </w:r>
            <w:r w:rsidRPr="009D6E14">
              <w:rPr>
                <w:rFonts w:ascii="Arial" w:eastAsia="Calibri" w:hAnsi="Arial" w:cs="Arial"/>
                <w:szCs w:val="22"/>
              </w:rPr>
              <w:t xml:space="preserve">This study assesses the performance, challenges and best practices of AAMs in Andhra Pradesh, focusing on their ability to provide the expanded package of 12 CPHC services. </w:t>
            </w:r>
          </w:p>
          <w:p w14:paraId="363251F8" w14:textId="1C9AC6A1" w:rsidR="009D6E14" w:rsidRDefault="009D6E14" w:rsidP="00441B6F">
            <w:pPr>
              <w:pStyle w:val="Body"/>
              <w:spacing w:after="0"/>
              <w:rPr>
                <w:rFonts w:ascii="Arial" w:eastAsia="Calibri" w:hAnsi="Arial" w:cs="Arial"/>
                <w:szCs w:val="22"/>
              </w:rPr>
            </w:pPr>
            <w:r w:rsidRPr="0015465E">
              <w:rPr>
                <w:rFonts w:ascii="Arial" w:eastAsia="Calibri" w:hAnsi="Arial" w:cs="Arial"/>
                <w:b/>
                <w:bCs/>
                <w:szCs w:val="22"/>
              </w:rPr>
              <w:t>Study Design:</w:t>
            </w:r>
            <w:r>
              <w:rPr>
                <w:rFonts w:ascii="Arial" w:eastAsia="Calibri" w:hAnsi="Arial" w:cs="Arial"/>
                <w:szCs w:val="22"/>
              </w:rPr>
              <w:t xml:space="preserve"> It is cross-sectional study with mixed methods </w:t>
            </w:r>
            <w:r w:rsidR="009A0272">
              <w:rPr>
                <w:rFonts w:ascii="Arial" w:eastAsia="Calibri" w:hAnsi="Arial" w:cs="Arial"/>
                <w:szCs w:val="22"/>
              </w:rPr>
              <w:t>approach</w:t>
            </w:r>
            <w:r>
              <w:rPr>
                <w:rFonts w:ascii="Arial" w:eastAsia="Calibri" w:hAnsi="Arial" w:cs="Arial"/>
                <w:szCs w:val="22"/>
              </w:rPr>
              <w:t>.</w:t>
            </w:r>
          </w:p>
          <w:p w14:paraId="005E9531" w14:textId="53C19E9E" w:rsidR="009D6E14" w:rsidRDefault="0015465E" w:rsidP="00441B6F">
            <w:pPr>
              <w:pStyle w:val="Body"/>
              <w:spacing w:after="0"/>
              <w:rPr>
                <w:rFonts w:ascii="Arial" w:eastAsia="Calibri" w:hAnsi="Arial" w:cs="Arial"/>
                <w:szCs w:val="22"/>
              </w:rPr>
            </w:pPr>
            <w:r w:rsidRPr="0015465E">
              <w:rPr>
                <w:rFonts w:ascii="Arial" w:eastAsia="Calibri" w:hAnsi="Arial" w:cs="Arial"/>
                <w:b/>
                <w:bCs/>
                <w:szCs w:val="22"/>
              </w:rPr>
              <w:t>Methodology</w:t>
            </w:r>
            <w:r>
              <w:rPr>
                <w:rFonts w:ascii="Arial" w:eastAsia="Calibri" w:hAnsi="Arial" w:cs="Arial"/>
                <w:szCs w:val="22"/>
              </w:rPr>
              <w:t xml:space="preserve">: </w:t>
            </w:r>
            <w:r w:rsidR="009D6E14" w:rsidRPr="009D6E14">
              <w:rPr>
                <w:rFonts w:ascii="Arial" w:eastAsia="Calibri" w:hAnsi="Arial" w:cs="Arial"/>
                <w:szCs w:val="22"/>
              </w:rPr>
              <w:t>Utilizing a quantitative research approach, we evaluated service delivery, infrastructure, and community perception</w:t>
            </w:r>
            <w:r w:rsidR="009D6E14">
              <w:rPr>
                <w:rFonts w:ascii="Arial" w:eastAsia="Calibri" w:hAnsi="Arial" w:cs="Arial"/>
                <w:szCs w:val="22"/>
              </w:rPr>
              <w:t xml:space="preserve"> and qualitative study tools were </w:t>
            </w:r>
            <w:r w:rsidR="00756E25">
              <w:rPr>
                <w:rFonts w:ascii="Arial" w:eastAsia="Calibri" w:hAnsi="Arial" w:cs="Arial"/>
                <w:szCs w:val="22"/>
              </w:rPr>
              <w:t>used to elicit challenges encountered and best practices.</w:t>
            </w:r>
          </w:p>
          <w:p w14:paraId="0303090B" w14:textId="77777777" w:rsidR="00EB26FE" w:rsidRDefault="0015465E" w:rsidP="00441B6F">
            <w:pPr>
              <w:pStyle w:val="Body"/>
              <w:spacing w:after="0"/>
              <w:rPr>
                <w:rFonts w:ascii="Arial" w:eastAsia="Calibri" w:hAnsi="Arial" w:cs="Arial"/>
                <w:szCs w:val="22"/>
              </w:rPr>
            </w:pPr>
            <w:r w:rsidRPr="0015465E">
              <w:rPr>
                <w:rFonts w:ascii="Arial" w:eastAsia="Calibri" w:hAnsi="Arial" w:cs="Arial"/>
                <w:b/>
                <w:bCs/>
                <w:szCs w:val="22"/>
              </w:rPr>
              <w:t>Results:</w:t>
            </w:r>
            <w:r>
              <w:rPr>
                <w:rFonts w:ascii="Arial" w:eastAsia="Calibri" w:hAnsi="Arial" w:cs="Arial"/>
                <w:szCs w:val="22"/>
              </w:rPr>
              <w:t xml:space="preserve"> </w:t>
            </w:r>
            <w:r w:rsidR="009D6E14" w:rsidRPr="009D6E14">
              <w:rPr>
                <w:rFonts w:ascii="Arial" w:eastAsia="Calibri" w:hAnsi="Arial" w:cs="Arial"/>
                <w:szCs w:val="22"/>
              </w:rPr>
              <w:t>Findings revealed significant achievements in teleconsultations (average of 202, 112, 63 teleconsultations in AAM SHC, AAM UPHC, AAM PHC respectively), the Family Doctor Program, and essential diagnostics (100% facilities</w:t>
            </w:r>
            <w:r w:rsidR="00AB1259">
              <w:rPr>
                <w:rFonts w:ascii="Arial" w:eastAsia="Calibri" w:hAnsi="Arial" w:cs="Arial"/>
                <w:szCs w:val="22"/>
              </w:rPr>
              <w:t xml:space="preserve"> assessed</w:t>
            </w:r>
            <w:r w:rsidR="009D6E14" w:rsidRPr="009D6E14">
              <w:rPr>
                <w:rFonts w:ascii="Arial" w:eastAsia="Calibri" w:hAnsi="Arial" w:cs="Arial"/>
                <w:szCs w:val="22"/>
              </w:rPr>
              <w:t xml:space="preserve"> had availability of diagnostics through in house mode)</w:t>
            </w:r>
            <w:r w:rsidR="00AB1259">
              <w:rPr>
                <w:rFonts w:ascii="Arial" w:eastAsia="Calibri" w:hAnsi="Arial" w:cs="Arial"/>
                <w:szCs w:val="22"/>
              </w:rPr>
              <w:t xml:space="preserve">. The study identified </w:t>
            </w:r>
            <w:r w:rsidR="009D6E14" w:rsidRPr="009D6E14">
              <w:rPr>
                <w:rFonts w:ascii="Arial" w:eastAsia="Calibri" w:hAnsi="Arial" w:cs="Arial"/>
                <w:szCs w:val="22"/>
              </w:rPr>
              <w:t>gaps in infrastructure (</w:t>
            </w:r>
            <w:r w:rsidR="00AB1259">
              <w:rPr>
                <w:rFonts w:ascii="Arial" w:eastAsia="Calibri" w:hAnsi="Arial" w:cs="Arial"/>
                <w:szCs w:val="22"/>
              </w:rPr>
              <w:t xml:space="preserve">only </w:t>
            </w:r>
            <w:r w:rsidR="009D6E14" w:rsidRPr="009D6E14">
              <w:rPr>
                <w:rFonts w:ascii="Arial" w:eastAsia="Calibri" w:hAnsi="Arial" w:cs="Arial"/>
                <w:szCs w:val="22"/>
              </w:rPr>
              <w:t xml:space="preserve">58% facilities </w:t>
            </w:r>
            <w:r w:rsidR="00AB1259">
              <w:rPr>
                <w:rFonts w:ascii="Arial" w:eastAsia="Calibri" w:hAnsi="Arial" w:cs="Arial"/>
                <w:szCs w:val="22"/>
              </w:rPr>
              <w:t>had</w:t>
            </w:r>
            <w:r w:rsidR="009D6E14" w:rsidRPr="009D6E14">
              <w:rPr>
                <w:rFonts w:ascii="Arial" w:eastAsia="Calibri" w:hAnsi="Arial" w:cs="Arial"/>
                <w:szCs w:val="22"/>
              </w:rPr>
              <w:t xml:space="preserve"> boundary wall and 58% </w:t>
            </w:r>
            <w:r w:rsidR="00AB1259">
              <w:rPr>
                <w:rFonts w:ascii="Arial" w:eastAsia="Calibri" w:hAnsi="Arial" w:cs="Arial"/>
                <w:szCs w:val="22"/>
              </w:rPr>
              <w:t>had</w:t>
            </w:r>
            <w:r w:rsidR="009D6E14" w:rsidRPr="009D6E14">
              <w:rPr>
                <w:rFonts w:ascii="Arial" w:eastAsia="Calibri" w:hAnsi="Arial" w:cs="Arial"/>
                <w:szCs w:val="22"/>
              </w:rPr>
              <w:t xml:space="preserve"> </w:t>
            </w:r>
            <w:r w:rsidR="00AB1259">
              <w:rPr>
                <w:rFonts w:ascii="Arial" w:eastAsia="Calibri" w:hAnsi="Arial" w:cs="Arial"/>
                <w:szCs w:val="22"/>
              </w:rPr>
              <w:t>uniterrupted</w:t>
            </w:r>
            <w:r w:rsidR="009D6E14" w:rsidRPr="009D6E14">
              <w:rPr>
                <w:rFonts w:ascii="Arial" w:eastAsia="Calibri" w:hAnsi="Arial" w:cs="Arial"/>
                <w:szCs w:val="22"/>
              </w:rPr>
              <w:t xml:space="preserve"> electricity supply), emergency services (58% facilities l</w:t>
            </w:r>
            <w:bookmarkStart w:id="0" w:name="_GoBack"/>
            <w:bookmarkEnd w:id="0"/>
            <w:r w:rsidR="009D6E14" w:rsidRPr="009D6E14">
              <w:rPr>
                <w:rFonts w:ascii="Arial" w:eastAsia="Calibri" w:hAnsi="Arial" w:cs="Arial"/>
                <w:szCs w:val="22"/>
              </w:rPr>
              <w:t>acked provision of emergency care services), and data management</w:t>
            </w:r>
            <w:r w:rsidR="00EB26FE">
              <w:rPr>
                <w:rFonts w:ascii="Arial" w:eastAsia="Calibri" w:hAnsi="Arial" w:cs="Arial"/>
                <w:szCs w:val="22"/>
              </w:rPr>
              <w:t xml:space="preserve"> needs to be strengthened</w:t>
            </w:r>
            <w:r w:rsidR="009D6E14" w:rsidRPr="009D6E14">
              <w:rPr>
                <w:rFonts w:ascii="Arial" w:eastAsia="Calibri" w:hAnsi="Arial" w:cs="Arial"/>
                <w:szCs w:val="22"/>
              </w:rPr>
              <w:t xml:space="preserve">. </w:t>
            </w:r>
          </w:p>
          <w:p w14:paraId="7B3F044E" w14:textId="352C07AF" w:rsidR="009D6E14" w:rsidRPr="00BA1B01" w:rsidRDefault="00EB26FE" w:rsidP="00441B6F">
            <w:pPr>
              <w:pStyle w:val="Body"/>
              <w:spacing w:after="0"/>
              <w:rPr>
                <w:rFonts w:ascii="Arial" w:eastAsia="Calibri" w:hAnsi="Arial" w:cs="Arial"/>
                <w:szCs w:val="22"/>
              </w:rPr>
            </w:pPr>
            <w:r w:rsidRPr="00ED5957">
              <w:rPr>
                <w:rFonts w:ascii="Arial" w:eastAsia="Calibri" w:hAnsi="Arial" w:cs="Arial"/>
                <w:b/>
                <w:bCs/>
                <w:szCs w:val="22"/>
              </w:rPr>
              <w:t>Conclusion:</w:t>
            </w:r>
            <w:r>
              <w:rPr>
                <w:rFonts w:ascii="Arial" w:eastAsia="Calibri" w:hAnsi="Arial" w:cs="Arial"/>
                <w:szCs w:val="22"/>
              </w:rPr>
              <w:t xml:space="preserve"> The AAM centres assessed are functioning well with dedicated manpower, well equipped with diagnostics and optimally utilizing digital platforms like teleconsultation. </w:t>
            </w:r>
            <w:r w:rsidR="009D6E14" w:rsidRPr="009D6E14">
              <w:rPr>
                <w:rFonts w:ascii="Arial" w:eastAsia="Calibri" w:hAnsi="Arial" w:cs="Arial"/>
                <w:szCs w:val="22"/>
              </w:rPr>
              <w:t xml:space="preserve">Recommendations include strengthening referral linkage, infrastructure upgrades such as improving accessibility features and ensuring power back up, streamlining </w:t>
            </w:r>
            <w:r>
              <w:rPr>
                <w:rFonts w:ascii="Arial" w:eastAsia="Calibri" w:hAnsi="Arial" w:cs="Arial"/>
                <w:szCs w:val="22"/>
              </w:rPr>
              <w:t xml:space="preserve">other </w:t>
            </w:r>
            <w:r w:rsidR="009D6E14" w:rsidRPr="009D6E14">
              <w:rPr>
                <w:rFonts w:ascii="Arial" w:eastAsia="Calibri" w:hAnsi="Arial" w:cs="Arial"/>
                <w:szCs w:val="22"/>
              </w:rPr>
              <w:t>digital platforms like the NCD portal, and implementing the IPHS guidelines. These insights are intended to guide the optimization of AAMs in Andhra Pradesh.</w:t>
            </w:r>
          </w:p>
        </w:tc>
      </w:tr>
    </w:tbl>
    <w:p w14:paraId="624EA366" w14:textId="77777777" w:rsidR="00636EB2" w:rsidRDefault="00636EB2" w:rsidP="00441B6F">
      <w:pPr>
        <w:pStyle w:val="Body"/>
        <w:spacing w:after="0"/>
        <w:rPr>
          <w:rFonts w:ascii="Arial" w:hAnsi="Arial" w:cs="Arial"/>
          <w:i/>
        </w:rPr>
      </w:pPr>
    </w:p>
    <w:p w14:paraId="7DDF5C37" w14:textId="67CD390E" w:rsidR="00A24E7E" w:rsidRDefault="00A24E7E" w:rsidP="00441B6F">
      <w:pPr>
        <w:pStyle w:val="Body"/>
        <w:spacing w:after="0"/>
        <w:rPr>
          <w:rFonts w:ascii="Arial" w:hAnsi="Arial" w:cs="Arial"/>
          <w:i/>
        </w:rPr>
      </w:pPr>
      <w:r>
        <w:rPr>
          <w:rFonts w:ascii="Arial" w:hAnsi="Arial" w:cs="Arial"/>
          <w:i/>
        </w:rPr>
        <w:t>Keywords:</w:t>
      </w:r>
      <w:r w:rsidR="00ED5957">
        <w:rPr>
          <w:rFonts w:ascii="Arial" w:hAnsi="Arial" w:cs="Arial"/>
          <w:i/>
        </w:rPr>
        <w:t xml:space="preserve"> Ayushman Arogya Mandir, Infrastructure,</w:t>
      </w:r>
      <w:r w:rsidR="00436F27">
        <w:rPr>
          <w:rFonts w:ascii="Arial" w:hAnsi="Arial" w:cs="Arial"/>
          <w:i/>
        </w:rPr>
        <w:t xml:space="preserve"> healthcare services,</w:t>
      </w:r>
      <w:r w:rsidR="00ED5957">
        <w:rPr>
          <w:rFonts w:ascii="Arial" w:hAnsi="Arial" w:cs="Arial"/>
          <w:i/>
        </w:rPr>
        <w:t xml:space="preserve"> teleconsultation, referral, diagnostics</w:t>
      </w:r>
      <w:r w:rsidR="00436F27">
        <w:rPr>
          <w:rFonts w:ascii="Arial" w:hAnsi="Arial" w:cs="Arial"/>
          <w:i/>
        </w:rPr>
        <w:t>, IPHS</w:t>
      </w:r>
      <w:r>
        <w:rPr>
          <w:rFonts w:ascii="Arial" w:hAnsi="Arial" w:cs="Arial"/>
          <w:i/>
        </w:rPr>
        <w:t xml:space="preserve"> </w:t>
      </w:r>
    </w:p>
    <w:p w14:paraId="7CE193DA" w14:textId="77777777" w:rsidR="00790ADA" w:rsidRDefault="00790ADA" w:rsidP="00441B6F">
      <w:pPr>
        <w:pStyle w:val="Body"/>
        <w:spacing w:after="0"/>
        <w:rPr>
          <w:rFonts w:ascii="Arial" w:hAnsi="Arial" w:cs="Arial"/>
          <w:i/>
        </w:rPr>
      </w:pPr>
    </w:p>
    <w:p w14:paraId="5FC40E12" w14:textId="77777777" w:rsidR="0024282C" w:rsidRDefault="0024282C" w:rsidP="00441B6F">
      <w:pPr>
        <w:pStyle w:val="Body"/>
        <w:spacing w:after="0"/>
        <w:rPr>
          <w:rFonts w:ascii="Arial" w:hAnsi="Arial" w:cs="Arial"/>
          <w:i/>
          <w:sz w:val="18"/>
        </w:rPr>
      </w:pPr>
    </w:p>
    <w:p w14:paraId="7F5CB5DB" w14:textId="77777777" w:rsidR="00505F06" w:rsidRPr="00A24E7E" w:rsidRDefault="00505F06" w:rsidP="00441B6F">
      <w:pPr>
        <w:pStyle w:val="Body"/>
        <w:spacing w:after="0"/>
        <w:rPr>
          <w:rFonts w:ascii="Arial" w:hAnsi="Arial" w:cs="Arial"/>
          <w:i/>
        </w:rPr>
      </w:pPr>
    </w:p>
    <w:p w14:paraId="22B9934A" w14:textId="422E502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5433C2" w14:textId="77777777" w:rsidR="00790ADA" w:rsidRPr="00FB3A86" w:rsidRDefault="00790ADA" w:rsidP="00441B6F">
      <w:pPr>
        <w:pStyle w:val="AbstHead"/>
        <w:spacing w:after="0"/>
        <w:jc w:val="both"/>
        <w:rPr>
          <w:rFonts w:ascii="Arial" w:hAnsi="Arial" w:cs="Arial"/>
        </w:rPr>
      </w:pPr>
    </w:p>
    <w:p w14:paraId="7F0BFED0" w14:textId="5C9BE26B" w:rsidR="00436F27" w:rsidRPr="00436F27" w:rsidRDefault="00436F27" w:rsidP="00436F27">
      <w:pPr>
        <w:pStyle w:val="Body"/>
        <w:spacing w:after="0"/>
        <w:rPr>
          <w:rFonts w:ascii="Arial" w:hAnsi="Arial" w:cs="Arial"/>
          <w:vertAlign w:val="superscript"/>
          <w:lang w:val="en-IN"/>
        </w:rPr>
      </w:pPr>
      <w:r w:rsidRPr="00436F27">
        <w:rPr>
          <w:rFonts w:ascii="Arial" w:hAnsi="Arial" w:cs="Arial"/>
          <w:lang w:val="en-IN"/>
        </w:rPr>
        <w:t>The Indian healthcare system is a comprehensive framework designed to address the health needs of its population at different levels. At the base of the healthcare system lies primary healthcare, which plays an important role in ensuring equitable, accessible, and affordable healthcare services for all, especially in rural and underserved areas.</w:t>
      </w:r>
      <w:r w:rsidRPr="00436F27">
        <w:rPr>
          <w:rFonts w:ascii="Arial" w:hAnsi="Arial" w:cs="Arial"/>
          <w:vertAlign w:val="superscript"/>
          <w:lang w:val="en-IN"/>
        </w:rPr>
        <w:fldChar w:fldCharType="begin"/>
      </w:r>
      <w:r w:rsidRPr="00436F27">
        <w:rPr>
          <w:rFonts w:ascii="Arial" w:hAnsi="Arial" w:cs="Arial"/>
          <w:vertAlign w:val="superscript"/>
          <w:lang w:val="en-IN"/>
        </w:rPr>
        <w:instrText xml:space="preserve"> ADDIN ZOTERO_ITEM CSL_CITATION {"citationID":"C0zwFznW","properties":{"formattedCitation":"(1)","plainCitation":"(1)","noteIndex":0},"citationItems":[{"id":309,"uris":["http://zotero.org/users/11005085/items/GPYZ3I9P"],"itemData":{"id":309,"type":"article-journal","abstract":"The Indian healthcare system is a diverse and complex network of public and private sectors that provide a wide range of medical services to India's 1.4 billion inhabitants. Despite undergoing significant changes over the years, the system continues to face multiple challenges. These challenges include inadequate infrastructure, a shortage of healthcare professionals, urban-rural disparities, limited health insurance coverage, insufficient public healthcare funding, and a fragmented healthcare system. India is grappling with a growing burden of non-communicable diseases, which poses a significant challenge to its healthcare system., The Indian government has initiated multiple programs to improve the healthcare system. The National Health Mission improves the availability of medical equipment and supplies. This also promotes community participation and engagement in healthcare decision-making and service delivery. The Ayushman Bharat scheme is a health insurance program that provides coverage of up to INR 5 lakhs per family per year for secondary and tertiary care hospitalization., The Indian healthcare system is also witnessing multiple healthcare innovations, ranging from low-cost medical devices to innovative healthcare delivery models. The country's healthcare regulatory system is evolving to ensure patient safety, promote high-quality care, and control costs., Furthermore, India has emerged as a leading destination for medical tourism due to the relatively low cost of medical procedures, the availability of skilled doctors, and advanced technology. Factors such as cost-effective treatment, advanced technology, a wide range of specialities, alternative medicine, English language proficiency, and ease of travel have contributed to India's growing medical tourism industry., The Indian healthcare system has made significant progress in recent years. The positive transformation of the Indian healthcare system involves a range of changes and initiatives. Despite challenges, the continued investment in healthcare and innovation provides reasons to be optimistic about the future of healthcare in India.","container-title":"Cureus","DOI":"10.7759/cureus.39079","ISSN":"2168-8184","issue":"5","journalAbbreviation":"Cureus","note":"PMID: 37378105\nPMCID: PMC10292032","page":"e39079","source":"PubMed Central","title":"The Transformation of The Indian Healthcare System","volume":"15","author":[{"family":"Kumar","given":"Ankit"}]}}],"schema":"https://github.com/citation-style-language/schema/raw/master/csl-citation.json"} </w:instrText>
      </w:r>
      <w:r w:rsidRPr="00436F27">
        <w:rPr>
          <w:rFonts w:ascii="Arial" w:hAnsi="Arial" w:cs="Arial"/>
          <w:vertAlign w:val="superscript"/>
          <w:lang w:val="en-IN"/>
        </w:rPr>
        <w:fldChar w:fldCharType="separate"/>
      </w:r>
      <w:r w:rsidRPr="00436F27">
        <w:rPr>
          <w:rFonts w:ascii="Arial" w:hAnsi="Arial" w:cs="Arial"/>
          <w:lang w:val="en-IN"/>
        </w:rPr>
        <w:t>(</w:t>
      </w:r>
      <w:r w:rsidR="0081594D">
        <w:rPr>
          <w:rFonts w:ascii="Arial" w:hAnsi="Arial" w:cs="Arial"/>
          <w:lang w:val="en-IN"/>
        </w:rPr>
        <w:t>Kumar A, 2023</w:t>
      </w:r>
      <w:r w:rsidRPr="00436F27">
        <w:rPr>
          <w:rFonts w:ascii="Arial" w:hAnsi="Arial" w:cs="Arial"/>
          <w:lang w:val="en-IN"/>
        </w:rPr>
        <w:t>)</w:t>
      </w:r>
      <w:r w:rsidRPr="00436F27">
        <w:rPr>
          <w:rFonts w:ascii="Arial" w:hAnsi="Arial" w:cs="Arial"/>
        </w:rPr>
        <w:fldChar w:fldCharType="end"/>
      </w:r>
      <w:r w:rsidRPr="00436F27">
        <w:rPr>
          <w:rFonts w:ascii="Arial" w:hAnsi="Arial" w:cs="Arial"/>
          <w:lang w:val="en-IN"/>
        </w:rPr>
        <w:t xml:space="preserve"> Primary healthcare facilities in India primarily include Sub-Health Centers (SHCs) and Primary Health Centers (PHCs), which act as the first point of contact for individuals seeking healthcare services.</w:t>
      </w:r>
      <w:r w:rsidRPr="00436F27">
        <w:rPr>
          <w:rFonts w:ascii="Arial" w:hAnsi="Arial" w:cs="Arial"/>
          <w:lang w:val="en-IN"/>
        </w:rPr>
        <w:fldChar w:fldCharType="begin"/>
      </w:r>
      <w:r w:rsidRPr="00436F27">
        <w:rPr>
          <w:rFonts w:ascii="Arial" w:hAnsi="Arial" w:cs="Arial"/>
          <w:lang w:val="en-IN"/>
        </w:rPr>
        <w:instrText xml:space="preserve"> ADDIN ZOTERO_ITEM CSL_CITATION {"citationID":"YU2IudrY","properties":{"formattedCitation":"(2)","plainCitation":"(2)","noteIndex":0},"citationItems":[{"id":312,"uris":["http://zotero.org/users/11005085/items/DNWWXI4E"],"itemData":{"id":312,"type":"document","title":"Operational_Guidelines_For_CPHC.pdf","URL":"https://www.nhm.gov.in/New_Updates_2018/NHM_Components/Health_System_Stregthening/Comprehensive_primary_health_care/letter/Operational_Guidelines_For_CPHC.pdf","accessed":{"date-parts":[["2025",1,21]]}}}],"schema":"https://github.com/citation-style-language/schema/raw/master/csl-citation.json"} </w:instrText>
      </w:r>
      <w:r w:rsidRPr="00436F27">
        <w:rPr>
          <w:rFonts w:ascii="Arial" w:hAnsi="Arial" w:cs="Arial"/>
          <w:lang w:val="en-IN"/>
        </w:rPr>
        <w:fldChar w:fldCharType="separate"/>
      </w:r>
      <w:r w:rsidRPr="00436F27">
        <w:rPr>
          <w:rFonts w:ascii="Arial" w:hAnsi="Arial" w:cs="Arial"/>
          <w:lang w:val="en-IN"/>
        </w:rPr>
        <w:t>(2)</w:t>
      </w:r>
      <w:r w:rsidRPr="00436F27">
        <w:rPr>
          <w:rFonts w:ascii="Arial" w:hAnsi="Arial" w:cs="Arial"/>
        </w:rPr>
        <w:fldChar w:fldCharType="end"/>
      </w:r>
    </w:p>
    <w:p w14:paraId="4D1B0D31" w14:textId="77777777" w:rsidR="00436F27" w:rsidRDefault="00436F27" w:rsidP="00436F27">
      <w:pPr>
        <w:pStyle w:val="Body"/>
        <w:spacing w:after="0"/>
        <w:rPr>
          <w:rFonts w:ascii="Arial" w:hAnsi="Arial" w:cs="Arial"/>
          <w:lang w:val="en-IN"/>
        </w:rPr>
      </w:pPr>
    </w:p>
    <w:p w14:paraId="0A3B676E" w14:textId="4B46AF25" w:rsidR="00436F27" w:rsidRPr="00436F27" w:rsidRDefault="00436F27" w:rsidP="00436F27">
      <w:pPr>
        <w:pStyle w:val="Body"/>
        <w:spacing w:after="0"/>
        <w:rPr>
          <w:rFonts w:ascii="Arial" w:hAnsi="Arial" w:cs="Arial"/>
          <w:vertAlign w:val="superscript"/>
          <w:lang w:val="en-IN"/>
        </w:rPr>
      </w:pPr>
      <w:r w:rsidRPr="00436F27">
        <w:rPr>
          <w:rFonts w:ascii="Arial" w:hAnsi="Arial" w:cs="Arial"/>
          <w:lang w:val="en-IN"/>
        </w:rPr>
        <w:t>To strengthen primary healthcare delivery, the Government of India launched the Ayushman Bharat initiative in 2018, a landmark program aimed at achieving universal health coverage (UHC). This initiative comprises of two key components: the Pradhan Mantri Jan Arogya Yojana (PM-JAY), which provides financial protection for availing secondary and tertiary care services, and the establishment of Health and Wellness Centers (HWCs) to enhance primary healthcare delivery.</w:t>
      </w:r>
      <w:r w:rsidRPr="00436F27">
        <w:rPr>
          <w:rFonts w:ascii="Arial" w:hAnsi="Arial" w:cs="Arial"/>
          <w:lang w:val="en-IN"/>
        </w:rPr>
        <w:fldChar w:fldCharType="begin"/>
      </w:r>
      <w:r w:rsidRPr="00436F27">
        <w:rPr>
          <w:rFonts w:ascii="Arial" w:hAnsi="Arial" w:cs="Arial"/>
          <w:lang w:val="en-IN"/>
        </w:rPr>
        <w:instrText xml:space="preserve"> ADDIN ZOTERO_ITEM CSL_CITATION {"citationID":"Cov5DNLI","properties":{"formattedCitation":"(3)","plainCitation":"(3)","noteIndex":0},"citationItems":[{"id":313,"uris":["http://zotero.org/users/11005085/items/8T6XZAH6"],"itemData":{"id":313,"type":"article-journal","abstract":"In February 2018, the Indian Government announced Ayushman Bharat Program (ABP) with two components of (a) Health and Wellness Centres (HWCs), to deliver comprehensive primary health care (PHC) services to the entire population and (b) Pradhan Mantri Jan Arogya Yojana (PMJAY) for improving access to hospitalization services at secondary and tertiary level health facilities for bottom 40% of total population. The HWC component of ABP aims to upgrade and make 150,000 existing Government Primary health care facilities functional by December 2022. The first HWC was launched on 14 April 2018 and by 31 March 2020, a total 38,595 AB-HWCs were operational across India. This article documents and analyses the key design aspects of HWCs, against core components of PHC &amp; the health system functions. The article reviews the progress and analyses the potential of HWCs to strengthen PHC services and therefore, advance Universal Health Coverage in India. Challenges emerged from COVID-19 pandemic &amp; learnings thus far has also been analyzed to guide the scale up of HWCs in India. It has been argued that effectiveness and success of HWCs will be dependent upon a rapid transition from policy to accelerated implementation stage; focus on both supply and demand side interventions, dedicated and increased funding by both union and state governments; appropriate use of information and communication technology; engagement of community and civil society and other stakeholders, focus on effective and functional referral linkages; attention on public health services &amp; population health interventions; sustained political will &amp; monitoring and evaluation for the mid-term corrections, amongst other. Experience from India may have lessons and learnings for other low and middle-income countries to strengthen primary healthcare in journey towards universal health coverage.","container-title":"Indian Journal of Pediatrics","DOI":"10.1007/s12098-020-03359-z","ISSN":"0019-5456","issue":"11","journalAbbreviation":"Indian J Pediatr","note":"PMID: 32638338\nPMCID: PMC7340764","page":"916-929","source":"PubMed Central","title":"Health &amp; Wellness Centers to Strengthen Primary Health Care in India: Concept, Progress and Ways Forward","title-short":"Health &amp; Wellness Centers to Strengthen Primary Health Care in India","volume":"87","author":[{"family":"Lahariya","given":"Chandrakant"}],"issued":{"date-parts":[["2020"]]}}}],"schema":"https://github.com/citation-style-language/schema/raw/master/csl-citation.json"} </w:instrText>
      </w:r>
      <w:r w:rsidRPr="00436F27">
        <w:rPr>
          <w:rFonts w:ascii="Arial" w:hAnsi="Arial" w:cs="Arial"/>
          <w:lang w:val="en-IN"/>
        </w:rPr>
        <w:fldChar w:fldCharType="separate"/>
      </w:r>
      <w:r w:rsidRPr="00436F27">
        <w:rPr>
          <w:rFonts w:ascii="Arial" w:hAnsi="Arial" w:cs="Arial"/>
          <w:lang w:val="en-IN"/>
        </w:rPr>
        <w:t>(</w:t>
      </w:r>
      <w:r w:rsidR="0081594D">
        <w:rPr>
          <w:rFonts w:ascii="Arial" w:hAnsi="Arial" w:cs="Arial"/>
          <w:lang w:val="en-IN"/>
        </w:rPr>
        <w:t>Lahariya C, 2020</w:t>
      </w:r>
      <w:r w:rsidRPr="00436F27">
        <w:rPr>
          <w:rFonts w:ascii="Arial" w:hAnsi="Arial" w:cs="Arial"/>
          <w:lang w:val="en-IN"/>
        </w:rPr>
        <w:t>)</w:t>
      </w:r>
      <w:r w:rsidRPr="00436F27">
        <w:rPr>
          <w:rFonts w:ascii="Arial" w:hAnsi="Arial" w:cs="Arial"/>
        </w:rPr>
        <w:fldChar w:fldCharType="end"/>
      </w:r>
      <w:r w:rsidRPr="00436F27">
        <w:rPr>
          <w:rFonts w:ascii="Arial" w:hAnsi="Arial" w:cs="Arial"/>
          <w:lang w:val="en-IN"/>
        </w:rPr>
        <w:t xml:space="preserve"> In 2023, these Health and Wellness Centres were renamed as Ayushman Arogya Mandirs (AAMs), which represents a transformative effort to bring essential healthcare services closer to the community.</w:t>
      </w:r>
      <w:r w:rsidRPr="00436F27">
        <w:rPr>
          <w:rFonts w:ascii="Arial" w:hAnsi="Arial" w:cs="Arial"/>
          <w:lang w:val="en-IN"/>
        </w:rPr>
        <w:fldChar w:fldCharType="begin"/>
      </w:r>
      <w:r w:rsidRPr="00436F27">
        <w:rPr>
          <w:rFonts w:ascii="Arial" w:hAnsi="Arial" w:cs="Arial"/>
          <w:lang w:val="en-IN"/>
        </w:rPr>
        <w:instrText xml:space="preserve"> ADDIN ZOTERO_ITEM CSL_CITATION {"citationID":"Vs31JMjl","properties":{"formattedCitation":"(4)","plainCitation":"(4)","noteIndex":0},"citationItems":[{"id":318,"uris":["http://zotero.org/users/11005085/items/MVNJWR4X"],"itemData":{"id":318,"type":"webpage","abstract":"1. Ayushman Bharat: Ayushman Bharat comprises of two components:\n\na. Ayushman Arogya Mandir\n\nThe","title":"Ministry of Health &amp; Family Welfare Initiatives &amp; Achievements-2023","URL":"https://pib.gov.in/pib.gov.in/Pressreleaseshare.aspx?PRID=1990674","accessed":{"date-parts":[["2025",1,21]]}}}],"schema":"https://github.com/citation-style-language/schema/raw/master/csl-citation.json"} </w:instrText>
      </w:r>
      <w:r w:rsidRPr="00436F27">
        <w:rPr>
          <w:rFonts w:ascii="Arial" w:hAnsi="Arial" w:cs="Arial"/>
          <w:lang w:val="en-IN"/>
        </w:rPr>
        <w:fldChar w:fldCharType="separate"/>
      </w:r>
      <w:r w:rsidRPr="00436F27">
        <w:rPr>
          <w:rFonts w:ascii="Arial" w:hAnsi="Arial" w:cs="Arial"/>
          <w:lang w:val="en-IN"/>
        </w:rPr>
        <w:t>(4)</w:t>
      </w:r>
      <w:r w:rsidRPr="00436F27">
        <w:rPr>
          <w:rFonts w:ascii="Arial" w:hAnsi="Arial" w:cs="Arial"/>
        </w:rPr>
        <w:fldChar w:fldCharType="end"/>
      </w:r>
    </w:p>
    <w:p w14:paraId="323C0B93" w14:textId="77777777" w:rsidR="00436F27" w:rsidRDefault="00436F27" w:rsidP="00436F27">
      <w:pPr>
        <w:pStyle w:val="Body"/>
        <w:spacing w:after="0"/>
        <w:rPr>
          <w:rFonts w:ascii="Arial" w:hAnsi="Arial" w:cs="Arial"/>
          <w:lang w:val="en-IN"/>
        </w:rPr>
      </w:pPr>
    </w:p>
    <w:p w14:paraId="23FB8FCD" w14:textId="4AC63DC2" w:rsidR="00436F27" w:rsidRPr="00436F27" w:rsidRDefault="00436F27" w:rsidP="00436F27">
      <w:pPr>
        <w:pStyle w:val="Body"/>
        <w:spacing w:after="0"/>
        <w:rPr>
          <w:rFonts w:ascii="Arial" w:hAnsi="Arial" w:cs="Arial"/>
          <w:lang w:val="en-IN"/>
        </w:rPr>
      </w:pPr>
      <w:r w:rsidRPr="00436F27">
        <w:rPr>
          <w:rFonts w:ascii="Arial" w:hAnsi="Arial" w:cs="Arial"/>
          <w:lang w:val="en-IN"/>
        </w:rPr>
        <w:t xml:space="preserve">Ayushman Arogya Mandirs (AAM) form the foundation of Ayushman Bharat to implement the Comprehensive Primary Health Care (CPHC) approach. The AAMs integrate preventive, promotive, curative, rehabilitative, palliative, and wellness services, ensuring an expanded package of 12 services, including maternal and child health, management of communicable and non-communicable diseases (NCDs), emergency care, and mental health. These services are </w:t>
      </w:r>
      <w:r w:rsidRPr="00436F27">
        <w:rPr>
          <w:rFonts w:ascii="Arial" w:hAnsi="Arial" w:cs="Arial"/>
          <w:lang w:val="en-IN"/>
        </w:rPr>
        <w:lastRenderedPageBreak/>
        <w:t xml:space="preserve">complemented by health promotion activities – wellness component, to empower communities in adopting healthier lifestyle. </w:t>
      </w:r>
      <w:r w:rsidRPr="00436F27">
        <w:rPr>
          <w:rFonts w:ascii="Arial" w:hAnsi="Arial" w:cs="Arial"/>
          <w:lang w:val="en-IN"/>
        </w:rPr>
        <w:fldChar w:fldCharType="begin"/>
      </w:r>
      <w:r w:rsidRPr="00436F27">
        <w:rPr>
          <w:rFonts w:ascii="Arial" w:hAnsi="Arial" w:cs="Arial"/>
          <w:lang w:val="en-IN"/>
        </w:rPr>
        <w:instrText xml:space="preserve"> ADDIN ZOTERO_ITEM CSL_CITATION {"citationID":"MaHsoKEj","properties":{"formattedCitation":"(5)","plainCitation":"(5)","noteIndex":0},"citationItems":[{"id":333,"uris":["http://zotero.org/users/11005085/items/YTEXYB7T"],"itemData":{"id":333,"type":"document","language":"en","source":"Zotero","title":"Ayushman Bharat Health and Wellness Centres- Realizing Universal Health Care","URL":"https://static.pib.gov.in/WriteReadData/specificdocs/documents/2021/sep/doc202192010.pdf"}}],"schema":"https://github.com/citation-style-language/schema/raw/master/csl-citation.json"} </w:instrText>
      </w:r>
      <w:r w:rsidRPr="00436F27">
        <w:rPr>
          <w:rFonts w:ascii="Arial" w:hAnsi="Arial" w:cs="Arial"/>
          <w:lang w:val="en-IN"/>
        </w:rPr>
        <w:fldChar w:fldCharType="separate"/>
      </w:r>
      <w:r w:rsidRPr="00436F27">
        <w:rPr>
          <w:rFonts w:ascii="Arial" w:hAnsi="Arial" w:cs="Arial"/>
          <w:lang w:val="en-IN"/>
        </w:rPr>
        <w:t>(5)</w:t>
      </w:r>
      <w:r w:rsidRPr="00436F27">
        <w:rPr>
          <w:rFonts w:ascii="Arial" w:hAnsi="Arial" w:cs="Arial"/>
        </w:rPr>
        <w:fldChar w:fldCharType="end"/>
      </w:r>
    </w:p>
    <w:p w14:paraId="6185B69F" w14:textId="77777777" w:rsidR="00436F27" w:rsidRDefault="00436F27" w:rsidP="00436F27">
      <w:pPr>
        <w:pStyle w:val="Body"/>
        <w:spacing w:after="0"/>
        <w:rPr>
          <w:rFonts w:ascii="Arial" w:hAnsi="Arial" w:cs="Arial"/>
          <w:lang w:val="en-IN"/>
        </w:rPr>
      </w:pPr>
    </w:p>
    <w:p w14:paraId="04C85EBA" w14:textId="204A6808" w:rsidR="00436F27" w:rsidRPr="00436F27" w:rsidRDefault="00436F27" w:rsidP="00436F27">
      <w:pPr>
        <w:pStyle w:val="Body"/>
        <w:spacing w:after="0"/>
        <w:rPr>
          <w:rFonts w:ascii="Arial" w:hAnsi="Arial" w:cs="Arial"/>
          <w:lang w:val="en-IN"/>
        </w:rPr>
      </w:pPr>
      <w:r w:rsidRPr="00436F27">
        <w:rPr>
          <w:rFonts w:ascii="Arial" w:hAnsi="Arial" w:cs="Arial"/>
          <w:lang w:val="en-IN"/>
        </w:rPr>
        <w:t>Andhra Pradesh, a leading state in health innovation, has rapidly adopted the AAM framework. The state has achieved national recognition for milestones such as 100% HWC upgradation to AAM, teleconsultation implementation, and healthcare quality certification under National Quality Assurance Standards (NQAS).</w:t>
      </w:r>
      <w:r w:rsidRPr="00436F27">
        <w:rPr>
          <w:rFonts w:ascii="Arial" w:hAnsi="Arial" w:cs="Arial"/>
          <w:lang w:val="en-IN"/>
        </w:rPr>
        <w:fldChar w:fldCharType="begin"/>
      </w:r>
      <w:r w:rsidRPr="00436F27">
        <w:rPr>
          <w:rFonts w:ascii="Arial" w:hAnsi="Arial" w:cs="Arial"/>
          <w:lang w:val="en-IN"/>
        </w:rPr>
        <w:instrText xml:space="preserve"> ADDIN ZOTERO_ITEM CSL_CITATION {"citationID":"IPYWTnDy","properties":{"formattedCitation":"(6)","plainCitation":"(6)","noteIndex":0},"citationItems":[{"id":320,"uris":["http://zotero.org/users/11005085/items/SBLM8VVY"],"itemData":{"id":320,"type":"document","title":"13th CRM Synthesis Report.pdf","URL":"https://nhsrcindia.org/sites/default/files/2021-07/13th%20CRM%20Synthesis%20Report.pdf?utm_source=chatgpt.com","accessed":{"date-parts":[["2025",1,21]]}}}],"schema":"https://github.com/citation-style-language/schema/raw/master/csl-citation.json"} </w:instrText>
      </w:r>
      <w:r w:rsidRPr="00436F27">
        <w:rPr>
          <w:rFonts w:ascii="Arial" w:hAnsi="Arial" w:cs="Arial"/>
          <w:lang w:val="en-IN"/>
        </w:rPr>
        <w:fldChar w:fldCharType="separate"/>
      </w:r>
      <w:r w:rsidRPr="00436F27">
        <w:rPr>
          <w:rFonts w:ascii="Arial" w:hAnsi="Arial" w:cs="Arial"/>
          <w:lang w:val="en-IN"/>
        </w:rPr>
        <w:t>(6)</w:t>
      </w:r>
      <w:r w:rsidRPr="00436F27">
        <w:rPr>
          <w:rFonts w:ascii="Arial" w:hAnsi="Arial" w:cs="Arial"/>
        </w:rPr>
        <w:fldChar w:fldCharType="end"/>
      </w:r>
      <w:r w:rsidRPr="00436F27">
        <w:rPr>
          <w:rFonts w:ascii="Arial" w:hAnsi="Arial" w:cs="Arial"/>
          <w:lang w:val="en-IN"/>
        </w:rPr>
        <w:t xml:space="preserve"> However, disparities in service delivery and infrastructure persist, posing challenges to fully realizing the AAM mandate.</w:t>
      </w:r>
    </w:p>
    <w:p w14:paraId="536EE339" w14:textId="77777777" w:rsidR="00436F27" w:rsidRDefault="00436F27" w:rsidP="00436F27">
      <w:pPr>
        <w:pStyle w:val="Body"/>
        <w:spacing w:after="0"/>
        <w:rPr>
          <w:rFonts w:ascii="Arial" w:hAnsi="Arial" w:cs="Arial"/>
          <w:lang w:val="en-IN"/>
        </w:rPr>
      </w:pPr>
    </w:p>
    <w:p w14:paraId="15E6C257" w14:textId="3BE6D0DA" w:rsidR="00436F27" w:rsidRPr="00436F27" w:rsidRDefault="00436F27" w:rsidP="00436F27">
      <w:pPr>
        <w:pStyle w:val="Body"/>
        <w:spacing w:after="0"/>
        <w:rPr>
          <w:rFonts w:ascii="Arial" w:hAnsi="Arial" w:cs="Arial"/>
          <w:lang w:val="en-IN"/>
        </w:rPr>
      </w:pPr>
      <w:r w:rsidRPr="00436F27">
        <w:rPr>
          <w:rFonts w:ascii="Arial" w:hAnsi="Arial" w:cs="Arial"/>
          <w:lang w:val="en-IN"/>
        </w:rPr>
        <w:t>A study by S. Sriram revealed critical deficiencies in infrastructure, including inadequate space, non-functional equipment, and inconsistent access to essential utilities such as electricity and water. Additionally, it identified severe shortages in human resources, with many primary health centres operating below the recommended staffing levels</w:t>
      </w:r>
      <w:r w:rsidRPr="00436F27">
        <w:rPr>
          <w:rFonts w:ascii="Arial" w:hAnsi="Arial" w:cs="Arial"/>
          <w:lang w:val="en-IN"/>
        </w:rPr>
        <w:fldChar w:fldCharType="begin"/>
      </w:r>
      <w:r w:rsidRPr="00436F27">
        <w:rPr>
          <w:rFonts w:ascii="Arial" w:hAnsi="Arial" w:cs="Arial"/>
          <w:lang w:val="en-IN"/>
        </w:rPr>
        <w:instrText xml:space="preserve"> ADDIN ZOTERO_ITEM CSL_CITATION {"citationID":"5DjiTjVG","properties":{"formattedCitation":"(7)","plainCitation":"(7)","noteIndex":0},"citationItems":[{"id":325,"uris":["http://zotero.org/users/11005085/items/E4RM4FCK"],"itemData":{"id":325,"type":"article-journal","abstract":"BACKGROUND: India has a vast public health infrastructure, with 23,391 primary health centers (PHCs) and 145,894 subcenters (SCs) providing health services to 72.2% of the country's population living in rural areas. Although the numbers look impressive, their functional status needs to be studied in terms of physical infrastructure, manpower, equipment, drugs, and other logistical supplies that are greatly needed for ensuring quality services. This work aims to study the infrastructure facilities and manpower in a sample of SCs in the district of Nellore in the state of Andhra Pradesh in India.\nMETHODS: Thirty SCs selected by multistage sampling have been studied using a structured and pretested performance standard questionnaire. Data have been analyzed with reference to the Indian Public Health Standards (IPHS) for SCs.\nRESULTS: Many deficiencies were identified in the infrastructure and manpower in the SCs studied. Some of the important findings were that the deficiency of health workers (HWs) (male) was 76.7%. Only 6.7% of the SCs operate in a designated government building. Communication facilities, such as telephones, are present in only 3.3% of the SCs. About 73% of the SCs were located more than 5 km from the remotest village in the coverage area. Residential accommodations for HWs (female) were available in only 3.3% of the SCs. There is also a severe deficiency of drugs and equipment in the SCs as per the IPHS.\nCONCLUSION: SCs lack the manpower and vital infrastructure necessary to function and deliver services effectively to the rural population.","container-title":"Journal of Family Medicine and Primary Care","DOI":"10.4103/jfmpc.jfmpc_223_18","ISSN":"2249-4863","issue":"1","journalAbbreviation":"J Family Med Prim Care","language":"eng","note":"PMID: 30911488\nPMCID: PMC6396629","page":"102-108","source":"PubMed","title":"Are the subcenters adequately equipped to deliver primary healthcare? A study of public health manpower and infrastructure in the health district in Andhra Pradesh, India","title-short":"Are the subcenters adequately equipped to deliver primary healthcare?","volume":"8","author":[{"family":"Sriram","given":"Shyamkumar"}],"issued":{"date-parts":[["2019",1]]}}}],"schema":"https://github.com/citation-style-language/schema/raw/master/csl-citation.json"} </w:instrText>
      </w:r>
      <w:r w:rsidRPr="00436F27">
        <w:rPr>
          <w:rFonts w:ascii="Arial" w:hAnsi="Arial" w:cs="Arial"/>
          <w:lang w:val="en-IN"/>
        </w:rPr>
        <w:fldChar w:fldCharType="separate"/>
      </w:r>
      <w:r w:rsidRPr="00436F27">
        <w:rPr>
          <w:rFonts w:ascii="Arial" w:hAnsi="Arial" w:cs="Arial"/>
          <w:lang w:val="en-IN"/>
        </w:rPr>
        <w:t>(</w:t>
      </w:r>
      <w:r w:rsidR="0081594D">
        <w:rPr>
          <w:rFonts w:ascii="Arial" w:hAnsi="Arial" w:cs="Arial"/>
          <w:lang w:val="en-IN"/>
        </w:rPr>
        <w:t>Sriram S, 2019</w:t>
      </w:r>
      <w:r w:rsidRPr="00436F27">
        <w:rPr>
          <w:rFonts w:ascii="Arial" w:hAnsi="Arial" w:cs="Arial"/>
          <w:lang w:val="en-IN"/>
        </w:rPr>
        <w:t>)</w:t>
      </w:r>
      <w:r w:rsidRPr="00436F27">
        <w:rPr>
          <w:rFonts w:ascii="Arial" w:hAnsi="Arial" w:cs="Arial"/>
        </w:rPr>
        <w:fldChar w:fldCharType="end"/>
      </w:r>
      <w:r w:rsidRPr="00436F27">
        <w:rPr>
          <w:rFonts w:ascii="Arial" w:hAnsi="Arial" w:cs="Arial"/>
          <w:lang w:val="en-IN"/>
        </w:rPr>
        <w:t>. These challenges not only hinder service delivery but also compromise the ability of healthcare centres to meet Indian Public Health Standards (IPHS). The findings emphasize the need to reevaluate and strengthen primary healthcare infrastructure and workforce to ensure equitable, quality services and advance universal health coverage in the state.</w:t>
      </w:r>
    </w:p>
    <w:p w14:paraId="4EB07DF8" w14:textId="77777777" w:rsidR="00436F27" w:rsidRDefault="00436F27" w:rsidP="00436F27">
      <w:pPr>
        <w:pStyle w:val="Body"/>
        <w:spacing w:after="0"/>
        <w:rPr>
          <w:rFonts w:ascii="Arial" w:hAnsi="Arial" w:cs="Arial"/>
          <w:lang w:val="en-IN"/>
        </w:rPr>
      </w:pPr>
    </w:p>
    <w:p w14:paraId="50BA42FE" w14:textId="3BFC074A" w:rsidR="00436F27" w:rsidRDefault="00436F27" w:rsidP="00436F27">
      <w:pPr>
        <w:pStyle w:val="Body"/>
        <w:spacing w:after="0"/>
        <w:rPr>
          <w:rFonts w:ascii="Arial" w:hAnsi="Arial" w:cs="Arial"/>
          <w:lang w:val="en-IN"/>
        </w:rPr>
      </w:pPr>
      <w:r w:rsidRPr="00436F27">
        <w:rPr>
          <w:rFonts w:ascii="Arial" w:hAnsi="Arial" w:cs="Arial"/>
          <w:lang w:val="en-IN"/>
        </w:rPr>
        <w:t>The present study aims to evaluate the operational efficiency, status, strengths, and challenges of AAMs in two districts of Andhra Pradesh. It explores the extent to which these centres fulfil the objectives of Comprehensive Primary Health Care (CPHC), identifies barriers to optimal functioning, and provides actionable recommendations to enhance service delivery. Addressing these gaps will enable AAMs to deliver accessible, community-centred healthcare more effectively, thereby contributing to the state's efforts toward achieving universal health coverage and the Sustainable Development Goals (SDGs).</w:t>
      </w:r>
    </w:p>
    <w:p w14:paraId="1D801C35" w14:textId="77777777" w:rsidR="005E5157" w:rsidRPr="00436F27" w:rsidRDefault="005E5157" w:rsidP="00436F27">
      <w:pPr>
        <w:pStyle w:val="Body"/>
        <w:spacing w:after="0"/>
        <w:rPr>
          <w:rFonts w:ascii="Arial" w:hAnsi="Arial" w:cs="Arial"/>
          <w:lang w:val="en-IN"/>
        </w:rPr>
      </w:pPr>
    </w:p>
    <w:p w14:paraId="14A8FDBE" w14:textId="77777777" w:rsidR="00436F27" w:rsidRPr="00436F27" w:rsidRDefault="00436F27" w:rsidP="00436F27">
      <w:pPr>
        <w:pStyle w:val="Body"/>
        <w:spacing w:after="0"/>
        <w:rPr>
          <w:rFonts w:ascii="Arial" w:hAnsi="Arial" w:cs="Arial"/>
          <w:b/>
          <w:bCs/>
          <w:lang w:val="en-IN"/>
        </w:rPr>
      </w:pPr>
      <w:bookmarkStart w:id="1" w:name="_Toc165297301"/>
      <w:r w:rsidRPr="00436F27">
        <w:rPr>
          <w:rFonts w:ascii="Arial" w:hAnsi="Arial" w:cs="Arial"/>
          <w:b/>
          <w:bCs/>
          <w:lang w:val="en-IN"/>
        </w:rPr>
        <w:t>Objectives:</w:t>
      </w:r>
      <w:bookmarkEnd w:id="1"/>
    </w:p>
    <w:p w14:paraId="321B11FB" w14:textId="77777777" w:rsidR="00436F27" w:rsidRPr="00436F27" w:rsidRDefault="00436F27" w:rsidP="00436F27">
      <w:pPr>
        <w:pStyle w:val="Body"/>
        <w:numPr>
          <w:ilvl w:val="0"/>
          <w:numId w:val="31"/>
        </w:numPr>
        <w:spacing w:after="0"/>
        <w:rPr>
          <w:rFonts w:ascii="Arial" w:hAnsi="Arial" w:cs="Arial"/>
          <w:lang w:val="en-IN"/>
        </w:rPr>
      </w:pPr>
      <w:r w:rsidRPr="00436F27">
        <w:rPr>
          <w:rFonts w:ascii="Arial" w:hAnsi="Arial" w:cs="Arial"/>
          <w:lang w:val="en-IN"/>
        </w:rPr>
        <w:t>To assess if AAMs deliver the 12 CPHC services as per Operational Guidelines</w:t>
      </w:r>
    </w:p>
    <w:p w14:paraId="538D8740" w14:textId="77777777" w:rsidR="00436F27" w:rsidRPr="00436F27" w:rsidRDefault="00436F27" w:rsidP="00436F27">
      <w:pPr>
        <w:pStyle w:val="Body"/>
        <w:numPr>
          <w:ilvl w:val="0"/>
          <w:numId w:val="31"/>
        </w:numPr>
        <w:spacing w:after="0"/>
        <w:rPr>
          <w:rFonts w:ascii="Arial" w:hAnsi="Arial" w:cs="Arial"/>
          <w:lang w:val="en-IN"/>
        </w:rPr>
      </w:pPr>
      <w:r w:rsidRPr="00436F27">
        <w:rPr>
          <w:rFonts w:ascii="Arial" w:hAnsi="Arial" w:cs="Arial"/>
          <w:lang w:val="en-IN"/>
        </w:rPr>
        <w:t>To identify the key enablers and barriers to service delivery at the AAM by quantitative methods and validating them by qualitative approach.</w:t>
      </w:r>
    </w:p>
    <w:p w14:paraId="778A7D82" w14:textId="77777777" w:rsidR="00436F27" w:rsidRPr="00436F27" w:rsidRDefault="00436F27" w:rsidP="00436F27">
      <w:pPr>
        <w:pStyle w:val="Body"/>
        <w:numPr>
          <w:ilvl w:val="0"/>
          <w:numId w:val="31"/>
        </w:numPr>
        <w:spacing w:after="0"/>
        <w:rPr>
          <w:rFonts w:ascii="Arial" w:hAnsi="Arial" w:cs="Arial"/>
          <w:lang w:val="en-IN"/>
        </w:rPr>
      </w:pPr>
      <w:r w:rsidRPr="00436F27">
        <w:rPr>
          <w:rFonts w:ascii="Arial" w:hAnsi="Arial" w:cs="Arial"/>
          <w:lang w:val="en-IN"/>
        </w:rPr>
        <w:t>To suggest actionable recommendations for the barriers encountered.</w:t>
      </w:r>
    </w:p>
    <w:p w14:paraId="1E745447" w14:textId="77777777" w:rsidR="00436F27" w:rsidRDefault="00436F27" w:rsidP="00441B6F">
      <w:pPr>
        <w:pStyle w:val="Body"/>
        <w:spacing w:after="0"/>
        <w:rPr>
          <w:rFonts w:ascii="Arial" w:hAnsi="Arial" w:cs="Arial"/>
        </w:rPr>
      </w:pPr>
    </w:p>
    <w:p w14:paraId="168A6A7D" w14:textId="77777777" w:rsidR="00790ADA" w:rsidRPr="00FB3A86" w:rsidRDefault="00790ADA" w:rsidP="00441B6F">
      <w:pPr>
        <w:pStyle w:val="Body"/>
        <w:spacing w:after="0"/>
        <w:rPr>
          <w:rFonts w:ascii="Arial" w:hAnsi="Arial" w:cs="Arial"/>
        </w:rPr>
      </w:pPr>
    </w:p>
    <w:p w14:paraId="5723FE12" w14:textId="03D519E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D6EF61" w14:textId="77777777" w:rsidR="00790ADA" w:rsidRPr="00FB3A86" w:rsidRDefault="00790ADA" w:rsidP="00441B6F">
      <w:pPr>
        <w:pStyle w:val="AbstHead"/>
        <w:spacing w:after="0"/>
        <w:jc w:val="both"/>
        <w:rPr>
          <w:rFonts w:ascii="Arial" w:hAnsi="Arial" w:cs="Arial"/>
        </w:rPr>
      </w:pPr>
    </w:p>
    <w:p w14:paraId="6A36BF37" w14:textId="7764457E" w:rsidR="00D13F89" w:rsidRDefault="00D13F89" w:rsidP="00D13F89">
      <w:pPr>
        <w:pStyle w:val="Body"/>
        <w:spacing w:after="0"/>
        <w:rPr>
          <w:rFonts w:ascii="Arial" w:hAnsi="Arial" w:cs="Arial"/>
          <w:lang w:val="en-IN"/>
        </w:rPr>
      </w:pPr>
      <w:r w:rsidRPr="00D13F89">
        <w:rPr>
          <w:rFonts w:ascii="Arial" w:hAnsi="Arial" w:cs="Arial"/>
          <w:lang w:val="en-IN"/>
        </w:rPr>
        <w:t xml:space="preserve">A </w:t>
      </w:r>
      <w:r w:rsidR="009A0272">
        <w:rPr>
          <w:rFonts w:ascii="Arial" w:hAnsi="Arial" w:cs="Arial"/>
          <w:lang w:val="en-IN"/>
        </w:rPr>
        <w:t xml:space="preserve">cross sectional study with </w:t>
      </w:r>
      <w:r w:rsidRPr="00D13F89">
        <w:rPr>
          <w:rFonts w:ascii="Arial" w:hAnsi="Arial" w:cs="Arial"/>
          <w:lang w:val="en-IN"/>
        </w:rPr>
        <w:t xml:space="preserve">convergent parallel mixed method </w:t>
      </w:r>
      <w:r w:rsidR="009A0272">
        <w:rPr>
          <w:rFonts w:ascii="Arial" w:hAnsi="Arial" w:cs="Arial"/>
          <w:lang w:val="en-IN"/>
        </w:rPr>
        <w:t>approach</w:t>
      </w:r>
      <w:r w:rsidRPr="00D13F89">
        <w:rPr>
          <w:rFonts w:ascii="Arial" w:hAnsi="Arial" w:cs="Arial"/>
          <w:lang w:val="en-IN"/>
        </w:rPr>
        <w:t xml:space="preserve"> was conducted, integrating quantitative facility assessment and qualitative interviews of the stakeholders. The study was conducted in two districts of Andhra Pradesh to assess the primary healthcare facilities. The 2 districts were selected by purposive sampling technique based on convenience of accessibility. A total of 12 </w:t>
      </w:r>
      <w:r w:rsidR="00F26F6A">
        <w:rPr>
          <w:rFonts w:ascii="Arial" w:hAnsi="Arial" w:cs="Arial"/>
          <w:lang w:val="en-IN"/>
        </w:rPr>
        <w:t>Ayushman Arogya Mandirs (</w:t>
      </w:r>
      <w:r w:rsidRPr="00D13F89">
        <w:rPr>
          <w:rFonts w:ascii="Arial" w:hAnsi="Arial" w:cs="Arial"/>
          <w:lang w:val="en-IN"/>
        </w:rPr>
        <w:t>AAMs</w:t>
      </w:r>
      <w:r w:rsidR="00F26F6A">
        <w:rPr>
          <w:rFonts w:ascii="Arial" w:hAnsi="Arial" w:cs="Arial"/>
          <w:lang w:val="en-IN"/>
        </w:rPr>
        <w:t>)</w:t>
      </w:r>
      <w:r w:rsidRPr="00D13F89">
        <w:rPr>
          <w:rFonts w:ascii="Arial" w:hAnsi="Arial" w:cs="Arial"/>
          <w:lang w:val="en-IN"/>
        </w:rPr>
        <w:t xml:space="preserve"> were selected from two districts (Guntur and NTR) in Andhra Pradesh by stratified  sampling technique, ensuring representation from Sub-Health Centres (SHCs), Primary Health Centres (PHCs), and Urban PHCs (UPHCs). </w:t>
      </w:r>
    </w:p>
    <w:p w14:paraId="349E4624" w14:textId="77777777" w:rsidR="00D13F89" w:rsidRDefault="00D13F89" w:rsidP="00D13F89">
      <w:pPr>
        <w:pStyle w:val="Body"/>
        <w:spacing w:after="0"/>
        <w:rPr>
          <w:rFonts w:ascii="Arial" w:hAnsi="Arial" w:cs="Arial"/>
          <w:lang w:val="en-IN"/>
        </w:rPr>
      </w:pPr>
    </w:p>
    <w:p w14:paraId="6DA72586" w14:textId="5B08789D" w:rsidR="00D13F89" w:rsidRDefault="00D13F89" w:rsidP="00D13F89">
      <w:pPr>
        <w:pStyle w:val="Body"/>
        <w:spacing w:after="0"/>
        <w:rPr>
          <w:rFonts w:ascii="Arial" w:hAnsi="Arial" w:cs="Arial"/>
          <w:lang w:val="en-IN"/>
        </w:rPr>
      </w:pPr>
      <w:r w:rsidRPr="00D13F89">
        <w:rPr>
          <w:rFonts w:ascii="Arial" w:hAnsi="Arial" w:cs="Arial"/>
          <w:lang w:val="en-IN"/>
        </w:rPr>
        <w:t xml:space="preserve">Quantitative data was collected using pre-tested, semi-structured facility checklists to review the facilities and records, while qualitative insights were gathered through key informant interviews with medical officers, CHOs, ASHAs, and exit interviews of beneficiaries using a facilitator guide. </w:t>
      </w:r>
      <w:r w:rsidR="000A3079" w:rsidRPr="00D13F89">
        <w:rPr>
          <w:rFonts w:ascii="Arial" w:hAnsi="Arial" w:cs="Arial"/>
          <w:lang w:val="en-IN"/>
        </w:rPr>
        <w:t>The facilitator guide was created with reference to the literature review and IPHS guidelines available for healthcare facilities.</w:t>
      </w:r>
      <w:r w:rsidR="000A3079">
        <w:rPr>
          <w:rFonts w:ascii="Arial" w:hAnsi="Arial" w:cs="Arial"/>
          <w:lang w:val="en-IN"/>
        </w:rPr>
        <w:t xml:space="preserve"> </w:t>
      </w:r>
      <w:r w:rsidR="00920D2B">
        <w:rPr>
          <w:rFonts w:ascii="Arial" w:hAnsi="Arial" w:cs="Arial"/>
          <w:lang w:val="en-IN"/>
        </w:rPr>
        <w:t xml:space="preserve">Review of the infrastructure, </w:t>
      </w:r>
      <w:r w:rsidR="008C3AD4">
        <w:rPr>
          <w:rFonts w:ascii="Arial" w:hAnsi="Arial" w:cs="Arial"/>
          <w:lang w:val="en-IN"/>
        </w:rPr>
        <w:t xml:space="preserve">logistics, </w:t>
      </w:r>
      <w:r w:rsidR="00920D2B">
        <w:rPr>
          <w:rFonts w:ascii="Arial" w:hAnsi="Arial" w:cs="Arial"/>
          <w:lang w:val="en-IN"/>
        </w:rPr>
        <w:t xml:space="preserve">service delivery </w:t>
      </w:r>
      <w:r w:rsidR="008C3AD4">
        <w:rPr>
          <w:rFonts w:ascii="Arial" w:hAnsi="Arial" w:cs="Arial"/>
          <w:lang w:val="en-IN"/>
        </w:rPr>
        <w:t xml:space="preserve">etc. </w:t>
      </w:r>
      <w:r w:rsidR="00920D2B">
        <w:rPr>
          <w:rFonts w:ascii="Arial" w:hAnsi="Arial" w:cs="Arial"/>
          <w:lang w:val="en-IN"/>
        </w:rPr>
        <w:t xml:space="preserve">was done and checklist </w:t>
      </w:r>
      <w:r w:rsidR="008C3AD4">
        <w:rPr>
          <w:rFonts w:ascii="Arial" w:hAnsi="Arial" w:cs="Arial"/>
          <w:lang w:val="en-IN"/>
        </w:rPr>
        <w:t xml:space="preserve">was </w:t>
      </w:r>
      <w:r w:rsidR="00920D2B">
        <w:rPr>
          <w:rFonts w:ascii="Arial" w:hAnsi="Arial" w:cs="Arial"/>
          <w:lang w:val="en-IN"/>
        </w:rPr>
        <w:t xml:space="preserve">updated; strengths and challenges were derived from interviews. </w:t>
      </w:r>
      <w:r w:rsidRPr="00D13F89">
        <w:rPr>
          <w:rFonts w:ascii="Arial" w:hAnsi="Arial" w:cs="Arial"/>
          <w:lang w:val="en-IN"/>
        </w:rPr>
        <w:t>Medical Officers and CHOs of every healthcare facility were interviewed. 2 ASHAs and 2 patients from each facility</w:t>
      </w:r>
      <w:r w:rsidR="008C3AD4">
        <w:rPr>
          <w:rFonts w:ascii="Arial" w:hAnsi="Arial" w:cs="Arial"/>
          <w:lang w:val="en-IN"/>
        </w:rPr>
        <w:t xml:space="preserve"> </w:t>
      </w:r>
      <w:r w:rsidR="008C3AD4" w:rsidRPr="00D13F89">
        <w:rPr>
          <w:rFonts w:ascii="Arial" w:hAnsi="Arial" w:cs="Arial"/>
          <w:lang w:val="en-IN"/>
        </w:rPr>
        <w:t>were interviewed</w:t>
      </w:r>
      <w:r w:rsidRPr="00D13F89">
        <w:rPr>
          <w:rFonts w:ascii="Arial" w:hAnsi="Arial" w:cs="Arial"/>
          <w:lang w:val="en-IN"/>
        </w:rPr>
        <w:t>.</w:t>
      </w:r>
      <w:r w:rsidR="008231E8">
        <w:rPr>
          <w:rFonts w:ascii="Arial" w:hAnsi="Arial" w:cs="Arial"/>
          <w:lang w:val="en-IN"/>
        </w:rPr>
        <w:t xml:space="preserve"> Informed consent was taken from the participants.</w:t>
      </w:r>
      <w:r w:rsidR="008231E8" w:rsidRPr="00D13F89">
        <w:rPr>
          <w:rFonts w:ascii="Arial" w:hAnsi="Arial" w:cs="Arial"/>
          <w:lang w:val="en-IN"/>
        </w:rPr>
        <w:t xml:space="preserve"> Data was anonymized to ensure confidentiality. </w:t>
      </w:r>
    </w:p>
    <w:p w14:paraId="2F4EB022" w14:textId="77777777" w:rsidR="00D13F89" w:rsidRDefault="00D13F89" w:rsidP="00D13F89">
      <w:pPr>
        <w:pStyle w:val="Body"/>
        <w:spacing w:after="0"/>
        <w:rPr>
          <w:rFonts w:ascii="Arial" w:hAnsi="Arial" w:cs="Arial"/>
          <w:lang w:val="en-IN"/>
        </w:rPr>
      </w:pPr>
    </w:p>
    <w:p w14:paraId="06B4FC6D" w14:textId="5AD184E2" w:rsidR="00D13F89" w:rsidRPr="00D13F89" w:rsidRDefault="00D13F89" w:rsidP="00D13F89">
      <w:pPr>
        <w:pStyle w:val="Body"/>
        <w:spacing w:after="0"/>
        <w:rPr>
          <w:rFonts w:ascii="Arial" w:hAnsi="Arial" w:cs="Arial"/>
          <w:lang w:val="en-IN"/>
        </w:rPr>
      </w:pPr>
      <w:r w:rsidRPr="00D13F89">
        <w:rPr>
          <w:rFonts w:ascii="Arial" w:hAnsi="Arial" w:cs="Arial"/>
          <w:lang w:val="en-IN"/>
        </w:rPr>
        <w:t>The data was entered in SPSS version 23 and analysis was done. Descriptive statistics were used for quantitative data. Thematic analysis was applied to qualitative data. The outcome of the study was to identify the enablers for the performance of primary care facilities, identify the challenges, and provide solutions for the same.</w:t>
      </w:r>
    </w:p>
    <w:p w14:paraId="597160E8" w14:textId="77777777" w:rsidR="00790ADA" w:rsidRPr="00FB3A86" w:rsidRDefault="00790ADA" w:rsidP="00441B6F">
      <w:pPr>
        <w:pStyle w:val="Body"/>
        <w:spacing w:after="0"/>
        <w:rPr>
          <w:rFonts w:ascii="Arial" w:hAnsi="Arial" w:cs="Arial"/>
        </w:rPr>
      </w:pPr>
    </w:p>
    <w:p w14:paraId="3409CEFD" w14:textId="77777777" w:rsidR="00790ADA" w:rsidRPr="00FB3A86" w:rsidRDefault="00790ADA" w:rsidP="00441B6F">
      <w:pPr>
        <w:pStyle w:val="Body"/>
        <w:spacing w:after="0"/>
        <w:rPr>
          <w:rFonts w:ascii="Arial" w:hAnsi="Arial" w:cs="Arial"/>
        </w:rPr>
      </w:pPr>
    </w:p>
    <w:p w14:paraId="775696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DC71DA" w14:textId="77777777" w:rsidR="00790ADA" w:rsidRPr="00FB3A86" w:rsidRDefault="00790ADA" w:rsidP="00441B6F">
      <w:pPr>
        <w:pStyle w:val="Head1"/>
        <w:spacing w:after="0"/>
        <w:jc w:val="both"/>
        <w:rPr>
          <w:rFonts w:ascii="Arial" w:hAnsi="Arial" w:cs="Arial"/>
        </w:rPr>
      </w:pPr>
    </w:p>
    <w:p w14:paraId="1F6CA363"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The assessment was conducted to evaluate various aspects of Ayushman Arogya Mandir, including demographic parameters, infrastructure, service delivery, availability of drugs and diagnostics, and IT-based solutions to achieve the objectives of the study. The challenges and strengths were identified through a comprehensive analysis of both quantitative and qualitative findings.</w:t>
      </w:r>
    </w:p>
    <w:p w14:paraId="4C1DCEB8" w14:textId="77777777" w:rsidR="009F3A40" w:rsidRDefault="009F3A40" w:rsidP="00266C6C">
      <w:pPr>
        <w:pStyle w:val="Body"/>
        <w:spacing w:after="0"/>
        <w:rPr>
          <w:rFonts w:ascii="Arial" w:hAnsi="Arial" w:cs="Arial"/>
          <w:u w:val="single"/>
          <w:lang w:val="en-IN"/>
        </w:rPr>
      </w:pPr>
    </w:p>
    <w:p w14:paraId="15C692D2" w14:textId="32FC5BD0" w:rsidR="009F3A40" w:rsidRPr="009F3A40" w:rsidRDefault="009F3A40" w:rsidP="00266C6C">
      <w:pPr>
        <w:pStyle w:val="Body"/>
        <w:spacing w:after="0"/>
        <w:rPr>
          <w:rFonts w:ascii="Arial" w:hAnsi="Arial" w:cs="Arial"/>
          <w:b/>
          <w:bCs/>
          <w:sz w:val="22"/>
          <w:szCs w:val="22"/>
          <w:lang w:val="en-IN"/>
        </w:rPr>
      </w:pPr>
      <w:r w:rsidRPr="009F3A40">
        <w:rPr>
          <w:rFonts w:ascii="Arial" w:hAnsi="Arial" w:cs="Arial"/>
          <w:b/>
          <w:bCs/>
          <w:sz w:val="22"/>
          <w:szCs w:val="22"/>
          <w:lang w:val="en-IN"/>
        </w:rPr>
        <w:t>3.1 Findings of assessment of healthcare facilities</w:t>
      </w:r>
    </w:p>
    <w:p w14:paraId="20046394" w14:textId="77777777" w:rsidR="009F3A40" w:rsidRDefault="009F3A40" w:rsidP="00266C6C">
      <w:pPr>
        <w:pStyle w:val="Body"/>
        <w:spacing w:after="0"/>
        <w:rPr>
          <w:rFonts w:ascii="Arial" w:hAnsi="Arial" w:cs="Arial"/>
          <w:u w:val="single"/>
          <w:lang w:val="en-IN"/>
        </w:rPr>
      </w:pPr>
    </w:p>
    <w:p w14:paraId="25C4C371" w14:textId="1DD56BBE" w:rsidR="00266C6C" w:rsidRPr="00066E54" w:rsidRDefault="009F3A40" w:rsidP="00266C6C">
      <w:pPr>
        <w:pStyle w:val="Body"/>
        <w:spacing w:after="0"/>
        <w:rPr>
          <w:rFonts w:ascii="Arial" w:hAnsi="Arial" w:cs="Arial"/>
          <w:b/>
          <w:bCs/>
          <w:u w:val="single"/>
          <w:lang w:val="en-IN"/>
        </w:rPr>
      </w:pPr>
      <w:r w:rsidRPr="00066E54">
        <w:rPr>
          <w:rFonts w:ascii="Arial" w:hAnsi="Arial" w:cs="Arial"/>
          <w:b/>
          <w:bCs/>
          <w:u w:val="single"/>
          <w:lang w:val="en-IN"/>
        </w:rPr>
        <w:t xml:space="preserve">3.1.1 </w:t>
      </w:r>
      <w:r w:rsidR="00266C6C" w:rsidRPr="00066E54">
        <w:rPr>
          <w:rFonts w:ascii="Arial" w:hAnsi="Arial" w:cs="Arial"/>
          <w:b/>
          <w:bCs/>
          <w:u w:val="single"/>
          <w:lang w:val="en-IN"/>
        </w:rPr>
        <w:t>Demographic and Operational Characteristics</w:t>
      </w:r>
    </w:p>
    <w:p w14:paraId="088A7B8E"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lastRenderedPageBreak/>
        <w:t>The Ayushman Arogya Mandirs (AAMs) in Andhra Pradesh operate under distinct demographic contexts. Sub-health centers (SHCs) cater to an average population of 4,877, urban primary health enters (UPHCs) to 26,501, and primary health centres (PHCs) to 47,341. Functioning hours vary, with PHCs providing 24*7 services, while SHCs and UPHCs operate within daytime hours. However, emergency services were only available at PHCs. On average, SHCs, UPHCs, and PHCs have a daily footfall of 16, 52, and 68, respectively. (Table 1)</w:t>
      </w:r>
    </w:p>
    <w:p w14:paraId="43B29E39" w14:textId="77777777" w:rsidR="00266C6C" w:rsidRPr="00266C6C" w:rsidRDefault="00266C6C" w:rsidP="00266C6C">
      <w:pPr>
        <w:pStyle w:val="Body"/>
        <w:spacing w:after="0"/>
        <w:rPr>
          <w:rFonts w:ascii="Arial" w:hAnsi="Arial" w:cs="Arial"/>
          <w:b/>
          <w:bCs/>
          <w:lang w:val="en-IN"/>
        </w:rPr>
      </w:pPr>
    </w:p>
    <w:p w14:paraId="00C71FDA" w14:textId="77777777" w:rsidR="00266C6C" w:rsidRDefault="00266C6C" w:rsidP="00266C6C">
      <w:pPr>
        <w:pStyle w:val="Body"/>
        <w:spacing w:after="0"/>
        <w:rPr>
          <w:rFonts w:ascii="Arial" w:hAnsi="Arial" w:cs="Arial"/>
          <w:b/>
          <w:bCs/>
          <w:lang w:val="en-IN"/>
        </w:rPr>
      </w:pPr>
    </w:p>
    <w:p w14:paraId="366CCDEB" w14:textId="761AE4C4"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1: Demographic characteristics across SHCs, PHCs and UPHCs</w:t>
      </w:r>
    </w:p>
    <w:tbl>
      <w:tblPr>
        <w:tblStyle w:val="PlainTable2"/>
        <w:tblW w:w="9538" w:type="dxa"/>
        <w:tblLook w:val="04A0" w:firstRow="1" w:lastRow="0" w:firstColumn="1" w:lastColumn="0" w:noHBand="0" w:noVBand="1"/>
      </w:tblPr>
      <w:tblGrid>
        <w:gridCol w:w="3776"/>
        <w:gridCol w:w="1772"/>
        <w:gridCol w:w="1995"/>
        <w:gridCol w:w="1995"/>
      </w:tblGrid>
      <w:tr w:rsidR="00266C6C" w:rsidRPr="00266C6C" w14:paraId="15F40B68" w14:textId="77777777" w:rsidTr="00266C6C">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auto"/>
          </w:tcPr>
          <w:p w14:paraId="072488B7" w14:textId="77777777" w:rsidR="00266C6C" w:rsidRPr="00266C6C" w:rsidRDefault="00266C6C" w:rsidP="002C3943">
            <w:pPr>
              <w:pStyle w:val="Body"/>
              <w:jc w:val="left"/>
              <w:rPr>
                <w:rFonts w:ascii="Arial" w:hAnsi="Arial" w:cs="Arial"/>
                <w:lang w:val="en-IN"/>
              </w:rPr>
            </w:pPr>
            <w:bookmarkStart w:id="2" w:name="_Hlk204161589"/>
            <w:r w:rsidRPr="00266C6C">
              <w:rPr>
                <w:rFonts w:ascii="Arial" w:hAnsi="Arial" w:cs="Arial"/>
                <w:lang w:val="en-IN"/>
              </w:rPr>
              <w:t>Demographic Indicator</w:t>
            </w:r>
          </w:p>
        </w:tc>
        <w:tc>
          <w:tcPr>
            <w:tcW w:w="0" w:type="auto"/>
          </w:tcPr>
          <w:p w14:paraId="1F9D8DE1"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SHC (Mean±SD)</w:t>
            </w:r>
          </w:p>
        </w:tc>
        <w:tc>
          <w:tcPr>
            <w:tcW w:w="0" w:type="auto"/>
          </w:tcPr>
          <w:p w14:paraId="7A58A975"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PHC (Mean±SD)</w:t>
            </w:r>
          </w:p>
        </w:tc>
        <w:tc>
          <w:tcPr>
            <w:tcW w:w="0" w:type="auto"/>
          </w:tcPr>
          <w:p w14:paraId="3669DA9A"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UPHC (Mean±SD)</w:t>
            </w:r>
          </w:p>
        </w:tc>
      </w:tr>
      <w:tr w:rsidR="00266C6C" w:rsidRPr="00266C6C" w14:paraId="51A3D48D" w14:textId="77777777" w:rsidTr="00266C6C">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0" w:type="auto"/>
          </w:tcPr>
          <w:p w14:paraId="4E6656DE" w14:textId="77777777" w:rsidR="00266C6C" w:rsidRPr="00266C6C" w:rsidRDefault="00266C6C" w:rsidP="002C3943">
            <w:pPr>
              <w:pStyle w:val="Body"/>
              <w:jc w:val="left"/>
              <w:rPr>
                <w:rFonts w:ascii="Arial" w:hAnsi="Arial" w:cs="Arial"/>
                <w:lang w:val="en-IN"/>
              </w:rPr>
            </w:pPr>
            <w:r w:rsidRPr="00266C6C">
              <w:rPr>
                <w:rFonts w:ascii="Arial" w:hAnsi="Arial" w:cs="Arial"/>
                <w:lang w:val="en-IN"/>
              </w:rPr>
              <w:t>Number of households</w:t>
            </w:r>
          </w:p>
        </w:tc>
        <w:tc>
          <w:tcPr>
            <w:tcW w:w="0" w:type="auto"/>
          </w:tcPr>
          <w:p w14:paraId="471F646E"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1381.83±585.71</w:t>
            </w:r>
          </w:p>
          <w:p w14:paraId="1A5CAB60"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0" w:type="auto"/>
          </w:tcPr>
          <w:p w14:paraId="70274C6D"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12647±2762.748</w:t>
            </w:r>
          </w:p>
          <w:p w14:paraId="2EABE789"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0" w:type="auto"/>
          </w:tcPr>
          <w:p w14:paraId="13DE4904"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266C6C">
              <w:rPr>
                <w:rFonts w:ascii="Arial" w:hAnsi="Arial" w:cs="Arial"/>
                <w:lang w:val="en-IN"/>
              </w:rPr>
              <w:t>8098.33±1173.582</w:t>
            </w:r>
          </w:p>
        </w:tc>
      </w:tr>
      <w:tr w:rsidR="00266C6C" w:rsidRPr="00266C6C" w14:paraId="43EF3C11" w14:textId="77777777" w:rsidTr="00266C6C">
        <w:trPr>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151E049C"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Population covered</w:t>
            </w:r>
          </w:p>
        </w:tc>
        <w:tc>
          <w:tcPr>
            <w:tcW w:w="0" w:type="auto"/>
            <w:hideMark/>
          </w:tcPr>
          <w:p w14:paraId="3BA390EA"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4877±2390.45</w:t>
            </w:r>
          </w:p>
        </w:tc>
        <w:tc>
          <w:tcPr>
            <w:tcW w:w="0" w:type="auto"/>
            <w:hideMark/>
          </w:tcPr>
          <w:p w14:paraId="0CFB3C59"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47341±12544.755</w:t>
            </w:r>
          </w:p>
        </w:tc>
        <w:tc>
          <w:tcPr>
            <w:tcW w:w="0" w:type="auto"/>
            <w:hideMark/>
          </w:tcPr>
          <w:p w14:paraId="1D46E5EB"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26501±4676.798</w:t>
            </w:r>
          </w:p>
        </w:tc>
      </w:tr>
      <w:tr w:rsidR="00266C6C" w:rsidRPr="00266C6C" w14:paraId="7C743A68"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4BE02DE5"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eligible couples</w:t>
            </w:r>
          </w:p>
        </w:tc>
        <w:tc>
          <w:tcPr>
            <w:tcW w:w="0" w:type="auto"/>
            <w:hideMark/>
          </w:tcPr>
          <w:p w14:paraId="724D7C3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818±458.17</w:t>
            </w:r>
          </w:p>
        </w:tc>
        <w:tc>
          <w:tcPr>
            <w:tcW w:w="0" w:type="auto"/>
            <w:hideMark/>
          </w:tcPr>
          <w:p w14:paraId="21A40608"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10008.33±3847.873</w:t>
            </w:r>
          </w:p>
        </w:tc>
        <w:tc>
          <w:tcPr>
            <w:tcW w:w="0" w:type="auto"/>
            <w:hideMark/>
          </w:tcPr>
          <w:p w14:paraId="2C881AAD"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9404.33±7877.094</w:t>
            </w:r>
          </w:p>
        </w:tc>
      </w:tr>
      <w:tr w:rsidR="00266C6C" w:rsidRPr="00266C6C" w14:paraId="2AB202FF" w14:textId="77777777" w:rsidTr="00266C6C">
        <w:trPr>
          <w:trHeight w:val="571"/>
        </w:trPr>
        <w:tc>
          <w:tcPr>
            <w:cnfStyle w:val="001000000000" w:firstRow="0" w:lastRow="0" w:firstColumn="1" w:lastColumn="0" w:oddVBand="0" w:evenVBand="0" w:oddHBand="0" w:evenHBand="0" w:firstRowFirstColumn="0" w:firstRowLastColumn="0" w:lastRowFirstColumn="0" w:lastRowLastColumn="0"/>
            <w:tcW w:w="0" w:type="auto"/>
          </w:tcPr>
          <w:p w14:paraId="11F1A6A3" w14:textId="77777777" w:rsidR="00266C6C" w:rsidRPr="00266C6C" w:rsidRDefault="00266C6C" w:rsidP="002C3943">
            <w:pPr>
              <w:pStyle w:val="Body"/>
              <w:jc w:val="left"/>
              <w:rPr>
                <w:rFonts w:ascii="Arial" w:hAnsi="Arial" w:cs="Arial"/>
                <w:lang w:val="en-IN"/>
              </w:rPr>
            </w:pPr>
            <w:r w:rsidRPr="00266C6C">
              <w:rPr>
                <w:rFonts w:ascii="Arial" w:hAnsi="Arial" w:cs="Arial"/>
                <w:lang w:val="en-IN"/>
              </w:rPr>
              <w:t>Population above 30 years</w:t>
            </w:r>
          </w:p>
        </w:tc>
        <w:tc>
          <w:tcPr>
            <w:tcW w:w="0" w:type="auto"/>
          </w:tcPr>
          <w:p w14:paraId="7E92829E"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1983.83±1039.81</w:t>
            </w:r>
          </w:p>
        </w:tc>
        <w:tc>
          <w:tcPr>
            <w:tcW w:w="0" w:type="auto"/>
          </w:tcPr>
          <w:p w14:paraId="55A9EB92"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14730.33±9579.497</w:t>
            </w:r>
          </w:p>
        </w:tc>
        <w:tc>
          <w:tcPr>
            <w:tcW w:w="0" w:type="auto"/>
          </w:tcPr>
          <w:p w14:paraId="72BF29C3"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12588.67±5588.240</w:t>
            </w:r>
          </w:p>
        </w:tc>
      </w:tr>
      <w:tr w:rsidR="00266C6C" w:rsidRPr="00266C6C" w14:paraId="5DDC0E92"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0A29AC82"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Pregnant women registered at time of visit</w:t>
            </w:r>
          </w:p>
        </w:tc>
        <w:tc>
          <w:tcPr>
            <w:tcW w:w="0" w:type="auto"/>
            <w:hideMark/>
          </w:tcPr>
          <w:p w14:paraId="7BCBAFB8"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48.83±28.47</w:t>
            </w:r>
          </w:p>
        </w:tc>
        <w:tc>
          <w:tcPr>
            <w:tcW w:w="0" w:type="auto"/>
            <w:hideMark/>
          </w:tcPr>
          <w:p w14:paraId="50212466"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392±414.262</w:t>
            </w:r>
          </w:p>
        </w:tc>
        <w:tc>
          <w:tcPr>
            <w:tcW w:w="0" w:type="auto"/>
            <w:hideMark/>
          </w:tcPr>
          <w:p w14:paraId="227E2EF4"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234.67±175.215</w:t>
            </w:r>
          </w:p>
        </w:tc>
      </w:tr>
      <w:tr w:rsidR="00266C6C" w:rsidRPr="00266C6C" w14:paraId="2121E43D" w14:textId="77777777" w:rsidTr="00266C6C">
        <w:trPr>
          <w:trHeight w:val="565"/>
        </w:trPr>
        <w:tc>
          <w:tcPr>
            <w:cnfStyle w:val="001000000000" w:firstRow="0" w:lastRow="0" w:firstColumn="1" w:lastColumn="0" w:oddVBand="0" w:evenVBand="0" w:oddHBand="0" w:evenHBand="0" w:firstRowFirstColumn="0" w:firstRowLastColumn="0" w:lastRowFirstColumn="0" w:lastRowLastColumn="0"/>
            <w:tcW w:w="0" w:type="auto"/>
            <w:hideMark/>
          </w:tcPr>
          <w:p w14:paraId="5E27DF43"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children 0-5 years</w:t>
            </w:r>
          </w:p>
        </w:tc>
        <w:tc>
          <w:tcPr>
            <w:tcW w:w="0" w:type="auto"/>
            <w:hideMark/>
          </w:tcPr>
          <w:p w14:paraId="3AAD0095"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303.33±171.19</w:t>
            </w:r>
          </w:p>
        </w:tc>
        <w:tc>
          <w:tcPr>
            <w:tcW w:w="0" w:type="auto"/>
            <w:hideMark/>
          </w:tcPr>
          <w:p w14:paraId="19FC158B"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4439.67±2085.723</w:t>
            </w:r>
          </w:p>
        </w:tc>
        <w:tc>
          <w:tcPr>
            <w:tcW w:w="0" w:type="auto"/>
            <w:hideMark/>
          </w:tcPr>
          <w:p w14:paraId="76D33EEC"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1779±463.944</w:t>
            </w:r>
          </w:p>
        </w:tc>
      </w:tr>
      <w:tr w:rsidR="00266C6C" w:rsidRPr="00266C6C" w14:paraId="727A1D2F"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2C3DBF6B"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adolescents</w:t>
            </w:r>
          </w:p>
        </w:tc>
        <w:tc>
          <w:tcPr>
            <w:tcW w:w="0" w:type="auto"/>
            <w:hideMark/>
          </w:tcPr>
          <w:p w14:paraId="57E53BBE"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352.50±377.46</w:t>
            </w:r>
          </w:p>
        </w:tc>
        <w:tc>
          <w:tcPr>
            <w:tcW w:w="0" w:type="auto"/>
            <w:hideMark/>
          </w:tcPr>
          <w:p w14:paraId="1031D9FE"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5461.67±4892.883</w:t>
            </w:r>
          </w:p>
        </w:tc>
        <w:tc>
          <w:tcPr>
            <w:tcW w:w="0" w:type="auto"/>
            <w:hideMark/>
          </w:tcPr>
          <w:p w14:paraId="6384A350"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6016.33±8757.355</w:t>
            </w:r>
          </w:p>
        </w:tc>
      </w:tr>
      <w:tr w:rsidR="00266C6C" w:rsidRPr="00266C6C" w14:paraId="4CA8692E" w14:textId="77777777" w:rsidTr="00266C6C">
        <w:trPr>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51BE8E35"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elderly population</w:t>
            </w:r>
          </w:p>
        </w:tc>
        <w:tc>
          <w:tcPr>
            <w:tcW w:w="0" w:type="auto"/>
            <w:hideMark/>
          </w:tcPr>
          <w:p w14:paraId="16626418"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295±277.32</w:t>
            </w:r>
          </w:p>
        </w:tc>
        <w:tc>
          <w:tcPr>
            <w:tcW w:w="0" w:type="auto"/>
            <w:hideMark/>
          </w:tcPr>
          <w:p w14:paraId="57A6A237"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7453±8070.757</w:t>
            </w:r>
          </w:p>
        </w:tc>
        <w:tc>
          <w:tcPr>
            <w:tcW w:w="0" w:type="auto"/>
            <w:hideMark/>
          </w:tcPr>
          <w:p w14:paraId="2EAA0C58"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2178±554.403</w:t>
            </w:r>
          </w:p>
        </w:tc>
      </w:tr>
      <w:tr w:rsidR="00266C6C" w:rsidRPr="00266C6C" w14:paraId="583ED036" w14:textId="77777777" w:rsidTr="00266C6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hideMark/>
          </w:tcPr>
          <w:p w14:paraId="73D7E20C"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Number of ASHAs linked to the facility</w:t>
            </w:r>
          </w:p>
        </w:tc>
        <w:tc>
          <w:tcPr>
            <w:tcW w:w="0" w:type="auto"/>
            <w:hideMark/>
          </w:tcPr>
          <w:p w14:paraId="3C07EC7B"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3.5±1.76</w:t>
            </w:r>
          </w:p>
        </w:tc>
        <w:tc>
          <w:tcPr>
            <w:tcW w:w="0" w:type="auto"/>
            <w:hideMark/>
          </w:tcPr>
          <w:p w14:paraId="170809E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33.33±4.509</w:t>
            </w:r>
          </w:p>
        </w:tc>
        <w:tc>
          <w:tcPr>
            <w:tcW w:w="0" w:type="auto"/>
            <w:hideMark/>
          </w:tcPr>
          <w:p w14:paraId="2A71510B"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8.7±2.082</w:t>
            </w:r>
          </w:p>
        </w:tc>
      </w:tr>
      <w:bookmarkEnd w:id="2"/>
    </w:tbl>
    <w:p w14:paraId="7CC690D0" w14:textId="77777777" w:rsidR="00266C6C" w:rsidRPr="00266C6C" w:rsidRDefault="00266C6C" w:rsidP="00266C6C">
      <w:pPr>
        <w:pStyle w:val="Body"/>
        <w:spacing w:after="0"/>
        <w:rPr>
          <w:rFonts w:ascii="Arial" w:hAnsi="Arial" w:cs="Arial"/>
          <w:b/>
          <w:bCs/>
          <w:lang w:val="en-IN"/>
        </w:rPr>
      </w:pPr>
    </w:p>
    <w:p w14:paraId="450224E1" w14:textId="77777777" w:rsidR="00066E54" w:rsidRDefault="00066E54" w:rsidP="00266C6C">
      <w:pPr>
        <w:pStyle w:val="Body"/>
        <w:spacing w:after="0"/>
        <w:rPr>
          <w:rFonts w:ascii="Arial" w:hAnsi="Arial" w:cs="Arial"/>
          <w:b/>
          <w:bCs/>
          <w:u w:val="single"/>
          <w:lang w:val="en-IN"/>
        </w:rPr>
      </w:pPr>
    </w:p>
    <w:p w14:paraId="68AE7CA9" w14:textId="01A57EE7" w:rsidR="00266C6C" w:rsidRDefault="009F3A40" w:rsidP="00266C6C">
      <w:pPr>
        <w:pStyle w:val="Body"/>
        <w:spacing w:after="0"/>
        <w:rPr>
          <w:rFonts w:ascii="Arial" w:hAnsi="Arial" w:cs="Arial"/>
          <w:b/>
          <w:bCs/>
          <w:u w:val="single"/>
          <w:lang w:val="en-IN"/>
        </w:rPr>
      </w:pPr>
      <w:r w:rsidRPr="00066E54">
        <w:rPr>
          <w:rFonts w:ascii="Arial" w:hAnsi="Arial" w:cs="Arial"/>
          <w:b/>
          <w:bCs/>
          <w:u w:val="single"/>
          <w:lang w:val="en-IN"/>
        </w:rPr>
        <w:t xml:space="preserve">3.1.2 </w:t>
      </w:r>
      <w:r w:rsidR="00266C6C" w:rsidRPr="00066E54">
        <w:rPr>
          <w:rFonts w:ascii="Arial" w:hAnsi="Arial" w:cs="Arial"/>
          <w:b/>
          <w:bCs/>
          <w:u w:val="single"/>
          <w:lang w:val="en-IN"/>
        </w:rPr>
        <w:t>Infrastructure</w:t>
      </w:r>
    </w:p>
    <w:p w14:paraId="455CA3FA" w14:textId="77777777" w:rsidR="00066E54" w:rsidRPr="00066E54" w:rsidRDefault="00066E54" w:rsidP="00266C6C">
      <w:pPr>
        <w:pStyle w:val="Body"/>
        <w:spacing w:after="0"/>
        <w:rPr>
          <w:rFonts w:ascii="Arial" w:hAnsi="Arial" w:cs="Arial"/>
          <w:b/>
          <w:bCs/>
          <w:u w:val="single"/>
          <w:lang w:val="en-IN"/>
        </w:rPr>
      </w:pPr>
    </w:p>
    <w:p w14:paraId="08F15E67"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Infrastructure as per Indian Public Health Standards (IPHS) is a key domain and was assessed under multiple indicators. Most parameters are as per standards. All facilities had essential amenities, and functional spaces. However, gaps remain in boundary walls, electricity backup, accessibility, biomedical waste disposal, and staff accommodations, highlighting areas for improvement.</w:t>
      </w:r>
    </w:p>
    <w:p w14:paraId="2EBF4453" w14:textId="77777777" w:rsidR="00266C6C" w:rsidRDefault="00266C6C" w:rsidP="00266C6C">
      <w:pPr>
        <w:pStyle w:val="Body"/>
        <w:spacing w:after="0"/>
        <w:rPr>
          <w:rFonts w:ascii="Arial" w:hAnsi="Arial" w:cs="Arial"/>
          <w:lang w:val="en-IN"/>
        </w:rPr>
      </w:pPr>
      <w:r w:rsidRPr="00266C6C">
        <w:rPr>
          <w:rFonts w:ascii="Arial" w:hAnsi="Arial" w:cs="Arial"/>
          <w:lang w:val="en-IN"/>
        </w:rPr>
        <w:t xml:space="preserve"> The indicators have been mentioned in table below:</w:t>
      </w:r>
    </w:p>
    <w:p w14:paraId="6868945D" w14:textId="77777777" w:rsidR="00266C6C" w:rsidRPr="00266C6C" w:rsidRDefault="00266C6C" w:rsidP="00266C6C">
      <w:pPr>
        <w:pStyle w:val="Body"/>
        <w:spacing w:after="0"/>
        <w:rPr>
          <w:rFonts w:ascii="Arial" w:hAnsi="Arial" w:cs="Arial"/>
          <w:lang w:val="en-IN"/>
        </w:rPr>
      </w:pPr>
    </w:p>
    <w:p w14:paraId="7AACF2C0" w14:textId="77777777" w:rsidR="00266C6C" w:rsidRDefault="00266C6C" w:rsidP="00266C6C">
      <w:pPr>
        <w:pStyle w:val="Body"/>
        <w:spacing w:after="0"/>
        <w:rPr>
          <w:rFonts w:ascii="Arial" w:hAnsi="Arial" w:cs="Arial"/>
          <w:b/>
          <w:bCs/>
          <w:lang w:val="en-IN"/>
        </w:rPr>
      </w:pPr>
      <w:r w:rsidRPr="00266C6C">
        <w:rPr>
          <w:rFonts w:ascii="Arial" w:hAnsi="Arial" w:cs="Arial"/>
          <w:b/>
          <w:bCs/>
          <w:lang w:val="en-IN"/>
        </w:rPr>
        <w:t>Table 2: Infrastructure Status of Healthcare Facilities</w:t>
      </w:r>
    </w:p>
    <w:p w14:paraId="6AE7FC5A" w14:textId="77777777" w:rsidR="00266C6C" w:rsidRPr="00266C6C" w:rsidRDefault="00266C6C" w:rsidP="00266C6C">
      <w:pPr>
        <w:pStyle w:val="Body"/>
        <w:spacing w:after="0"/>
        <w:rPr>
          <w:rFonts w:ascii="Arial" w:hAnsi="Arial" w:cs="Arial"/>
          <w:b/>
          <w:bCs/>
          <w:lang w:val="en-IN"/>
        </w:rPr>
      </w:pPr>
    </w:p>
    <w:tbl>
      <w:tblPr>
        <w:tblStyle w:val="PlainTable2"/>
        <w:tblW w:w="0" w:type="auto"/>
        <w:tblLook w:val="04A0" w:firstRow="1" w:lastRow="0" w:firstColumn="1" w:lastColumn="0" w:noHBand="0" w:noVBand="1"/>
      </w:tblPr>
      <w:tblGrid>
        <w:gridCol w:w="6453"/>
        <w:gridCol w:w="1971"/>
      </w:tblGrid>
      <w:tr w:rsidR="00266C6C" w:rsidRPr="00266C6C" w14:paraId="339FA326" w14:textId="77777777" w:rsidTr="00066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hideMark/>
          </w:tcPr>
          <w:p w14:paraId="57E99E58"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Parameter of Infrastructure</w:t>
            </w:r>
          </w:p>
        </w:tc>
        <w:tc>
          <w:tcPr>
            <w:tcW w:w="1971" w:type="dxa"/>
            <w:hideMark/>
          </w:tcPr>
          <w:p w14:paraId="386C73B4"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n (%)</w:t>
            </w:r>
          </w:p>
        </w:tc>
      </w:tr>
      <w:tr w:rsidR="00266C6C" w:rsidRPr="00266C6C" w14:paraId="73E39EE1" w14:textId="77777777" w:rsidTr="000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hideMark/>
          </w:tcPr>
          <w:p w14:paraId="0E42ABB8"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Presence of a boundary wall</w:t>
            </w:r>
          </w:p>
        </w:tc>
        <w:tc>
          <w:tcPr>
            <w:tcW w:w="1971" w:type="dxa"/>
            <w:hideMark/>
          </w:tcPr>
          <w:p w14:paraId="2EC26D30"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 (58.3%)</w:t>
            </w:r>
          </w:p>
        </w:tc>
      </w:tr>
      <w:tr w:rsidR="00266C6C" w:rsidRPr="00266C6C" w14:paraId="3F0B1A34" w14:textId="77777777" w:rsidTr="00066E54">
        <w:tc>
          <w:tcPr>
            <w:cnfStyle w:val="001000000000" w:firstRow="0" w:lastRow="0" w:firstColumn="1" w:lastColumn="0" w:oddVBand="0" w:evenVBand="0" w:oddHBand="0" w:evenHBand="0" w:firstRowFirstColumn="0" w:firstRowLastColumn="0" w:lastRowFirstColumn="0" w:lastRowLastColumn="0"/>
            <w:tcW w:w="6453" w:type="dxa"/>
            <w:hideMark/>
          </w:tcPr>
          <w:p w14:paraId="7E5312C6"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External branding undertaken as per guidelines</w:t>
            </w:r>
          </w:p>
        </w:tc>
        <w:tc>
          <w:tcPr>
            <w:tcW w:w="1971" w:type="dxa"/>
            <w:hideMark/>
          </w:tcPr>
          <w:p w14:paraId="54042BA4"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5222B700" w14:textId="77777777" w:rsidTr="000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hideMark/>
          </w:tcPr>
          <w:p w14:paraId="27F91EC0"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Accessibility provisions for elderly/ people with disabilities (ramps, wheelchairs, etc.)</w:t>
            </w:r>
          </w:p>
        </w:tc>
        <w:tc>
          <w:tcPr>
            <w:tcW w:w="1971" w:type="dxa"/>
            <w:hideMark/>
          </w:tcPr>
          <w:p w14:paraId="1B1D67C5"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11 (91.7%)</w:t>
            </w:r>
          </w:p>
        </w:tc>
      </w:tr>
      <w:tr w:rsidR="00266C6C" w:rsidRPr="00266C6C" w14:paraId="7C7F4B1D" w14:textId="77777777" w:rsidTr="00066E54">
        <w:tc>
          <w:tcPr>
            <w:cnfStyle w:val="001000000000" w:firstRow="0" w:lastRow="0" w:firstColumn="1" w:lastColumn="0" w:oddVBand="0" w:evenVBand="0" w:oddHBand="0" w:evenHBand="0" w:firstRowFirstColumn="0" w:firstRowLastColumn="0" w:lastRowFirstColumn="0" w:lastRowLastColumn="0"/>
            <w:tcW w:w="6453" w:type="dxa"/>
            <w:hideMark/>
          </w:tcPr>
          <w:p w14:paraId="18D34AF4"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Continuous electricity supply including power backup of 8 hours</w:t>
            </w:r>
          </w:p>
        </w:tc>
        <w:tc>
          <w:tcPr>
            <w:tcW w:w="1971" w:type="dxa"/>
            <w:hideMark/>
          </w:tcPr>
          <w:p w14:paraId="7CEF1ED8"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7 (58.3%)</w:t>
            </w:r>
          </w:p>
        </w:tc>
      </w:tr>
      <w:tr w:rsidR="00266C6C" w:rsidRPr="00266C6C" w14:paraId="66002E28" w14:textId="77777777" w:rsidTr="000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hideMark/>
          </w:tcPr>
          <w:p w14:paraId="3A71811C"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Availability of potable water supply 24x7</w:t>
            </w:r>
          </w:p>
        </w:tc>
        <w:tc>
          <w:tcPr>
            <w:tcW w:w="1971" w:type="dxa"/>
            <w:hideMark/>
          </w:tcPr>
          <w:p w14:paraId="2F72E677"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2168249A" w14:textId="77777777" w:rsidTr="00066E54">
        <w:tc>
          <w:tcPr>
            <w:cnfStyle w:val="001000000000" w:firstRow="0" w:lastRow="0" w:firstColumn="1" w:lastColumn="0" w:oddVBand="0" w:evenVBand="0" w:oddHBand="0" w:evenHBand="0" w:firstRowFirstColumn="0" w:firstRowLastColumn="0" w:lastRowFirstColumn="0" w:lastRowLastColumn="0"/>
            <w:tcW w:w="6453" w:type="dxa"/>
            <w:hideMark/>
          </w:tcPr>
          <w:p w14:paraId="2FF7A6F3"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space for patient examination with privacy</w:t>
            </w:r>
          </w:p>
        </w:tc>
        <w:tc>
          <w:tcPr>
            <w:tcW w:w="1971" w:type="dxa"/>
            <w:hideMark/>
          </w:tcPr>
          <w:p w14:paraId="4ACC79C4"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8B04044" w14:textId="77777777" w:rsidTr="000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hideMark/>
          </w:tcPr>
          <w:p w14:paraId="3350FDF7"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 xml:space="preserve">Adequate waiting space with seating arrangement </w:t>
            </w:r>
          </w:p>
        </w:tc>
        <w:tc>
          <w:tcPr>
            <w:tcW w:w="1971" w:type="dxa"/>
            <w:hideMark/>
          </w:tcPr>
          <w:p w14:paraId="452BB449"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2FE8E3DC" w14:textId="77777777" w:rsidTr="00066E54">
        <w:tc>
          <w:tcPr>
            <w:cnfStyle w:val="001000000000" w:firstRow="0" w:lastRow="0" w:firstColumn="1" w:lastColumn="0" w:oddVBand="0" w:evenVBand="0" w:oddHBand="0" w:evenHBand="0" w:firstRowFirstColumn="0" w:firstRowLastColumn="0" w:lastRowFirstColumn="0" w:lastRowLastColumn="0"/>
            <w:tcW w:w="6453" w:type="dxa"/>
            <w:hideMark/>
          </w:tcPr>
          <w:p w14:paraId="5C9E522F"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dedicated space for laboratory/ diagnostics services</w:t>
            </w:r>
          </w:p>
        </w:tc>
        <w:tc>
          <w:tcPr>
            <w:tcW w:w="1971" w:type="dxa"/>
            <w:hideMark/>
          </w:tcPr>
          <w:p w14:paraId="40C3BAFA"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28DDB426" w14:textId="77777777" w:rsidTr="000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hideMark/>
          </w:tcPr>
          <w:p w14:paraId="147A3D00"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dedicated space for pharmacy/ medicine dispensation</w:t>
            </w:r>
          </w:p>
        </w:tc>
        <w:tc>
          <w:tcPr>
            <w:tcW w:w="1971" w:type="dxa"/>
            <w:hideMark/>
          </w:tcPr>
          <w:p w14:paraId="3082E6D1"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0D37D39" w14:textId="77777777" w:rsidTr="00066E54">
        <w:tc>
          <w:tcPr>
            <w:cnfStyle w:val="001000000000" w:firstRow="0" w:lastRow="0" w:firstColumn="1" w:lastColumn="0" w:oddVBand="0" w:evenVBand="0" w:oddHBand="0" w:evenHBand="0" w:firstRowFirstColumn="0" w:firstRowLastColumn="0" w:lastRowFirstColumn="0" w:lastRowLastColumn="0"/>
            <w:tcW w:w="6453" w:type="dxa"/>
            <w:hideMark/>
          </w:tcPr>
          <w:p w14:paraId="5C54CF93"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Adequate dedicated space/ room identified for Wellness activities, including Yoga sessions</w:t>
            </w:r>
          </w:p>
        </w:tc>
        <w:tc>
          <w:tcPr>
            <w:tcW w:w="1971" w:type="dxa"/>
            <w:hideMark/>
          </w:tcPr>
          <w:p w14:paraId="3CAC15F7"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742920CD" w14:textId="77777777" w:rsidTr="000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hideMark/>
          </w:tcPr>
          <w:p w14:paraId="3C77BB0A"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Functional toilet facilities - separate for male and female</w:t>
            </w:r>
          </w:p>
        </w:tc>
        <w:tc>
          <w:tcPr>
            <w:tcW w:w="1971" w:type="dxa"/>
            <w:hideMark/>
          </w:tcPr>
          <w:p w14:paraId="584F4579"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9B86198" w14:textId="77777777" w:rsidTr="00066E54">
        <w:tc>
          <w:tcPr>
            <w:cnfStyle w:val="001000000000" w:firstRow="0" w:lastRow="0" w:firstColumn="1" w:lastColumn="0" w:oddVBand="0" w:evenVBand="0" w:oddHBand="0" w:evenHBand="0" w:firstRowFirstColumn="0" w:firstRowLastColumn="0" w:lastRowFirstColumn="0" w:lastRowLastColumn="0"/>
            <w:tcW w:w="6453" w:type="dxa"/>
            <w:hideMark/>
          </w:tcPr>
          <w:p w14:paraId="68DC3D40"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lastRenderedPageBreak/>
              <w:t>Display of Patient Charter at the facility</w:t>
            </w:r>
          </w:p>
        </w:tc>
        <w:tc>
          <w:tcPr>
            <w:tcW w:w="1971" w:type="dxa"/>
            <w:hideMark/>
          </w:tcPr>
          <w:p w14:paraId="6426A5ED"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797C48EC" w14:textId="77777777" w:rsidTr="000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hideMark/>
          </w:tcPr>
          <w:p w14:paraId="7184DEA8"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Display of health promotion / IEC material at the facility</w:t>
            </w:r>
          </w:p>
        </w:tc>
        <w:tc>
          <w:tcPr>
            <w:tcW w:w="1971" w:type="dxa"/>
            <w:hideMark/>
          </w:tcPr>
          <w:p w14:paraId="115EB617"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0F73044B" w14:textId="77777777" w:rsidTr="00066E54">
        <w:tc>
          <w:tcPr>
            <w:cnfStyle w:val="001000000000" w:firstRow="0" w:lastRow="0" w:firstColumn="1" w:lastColumn="0" w:oddVBand="0" w:evenVBand="0" w:oddHBand="0" w:evenHBand="0" w:firstRowFirstColumn="0" w:firstRowLastColumn="0" w:lastRowFirstColumn="0" w:lastRowLastColumn="0"/>
            <w:tcW w:w="6453" w:type="dxa"/>
            <w:hideMark/>
          </w:tcPr>
          <w:p w14:paraId="30068B42" w14:textId="77777777" w:rsidR="00266C6C" w:rsidRPr="00266C6C" w:rsidRDefault="00266C6C" w:rsidP="00266C6C">
            <w:pPr>
              <w:pStyle w:val="Body"/>
              <w:spacing w:after="0"/>
              <w:rPr>
                <w:rFonts w:ascii="Arial" w:hAnsi="Arial" w:cs="Arial"/>
                <w:b w:val="0"/>
                <w:bCs w:val="0"/>
                <w:lang w:val="en-IN"/>
              </w:rPr>
            </w:pPr>
            <w:r w:rsidRPr="00266C6C">
              <w:rPr>
                <w:rFonts w:ascii="Arial" w:hAnsi="Arial" w:cs="Arial"/>
                <w:b w:val="0"/>
                <w:bCs w:val="0"/>
                <w:lang w:val="en-IN"/>
              </w:rPr>
              <w:t>Deep burial/ sharps pit for BMW Management</w:t>
            </w:r>
          </w:p>
        </w:tc>
        <w:tc>
          <w:tcPr>
            <w:tcW w:w="1971" w:type="dxa"/>
            <w:hideMark/>
          </w:tcPr>
          <w:p w14:paraId="061930D5"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3 (25%)</w:t>
            </w:r>
          </w:p>
        </w:tc>
      </w:tr>
      <w:tr w:rsidR="00266C6C" w:rsidRPr="00266C6C" w14:paraId="3880714A" w14:textId="77777777" w:rsidTr="000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hideMark/>
          </w:tcPr>
          <w:p w14:paraId="4A786B77" w14:textId="77777777" w:rsidR="00266C6C" w:rsidRPr="00066E54" w:rsidRDefault="00266C6C" w:rsidP="00266C6C">
            <w:pPr>
              <w:pStyle w:val="Body"/>
              <w:spacing w:after="0"/>
              <w:rPr>
                <w:rFonts w:ascii="Arial" w:hAnsi="Arial" w:cs="Arial"/>
                <w:b w:val="0"/>
                <w:bCs w:val="0"/>
                <w:lang w:val="en-IN"/>
              </w:rPr>
            </w:pPr>
            <w:r w:rsidRPr="00066E54">
              <w:rPr>
                <w:rFonts w:ascii="Arial" w:hAnsi="Arial" w:cs="Arial"/>
                <w:b w:val="0"/>
                <w:bCs w:val="0"/>
                <w:lang w:val="en-IN"/>
              </w:rPr>
              <w:t>Are residential facilities for staff available within premises</w:t>
            </w:r>
          </w:p>
        </w:tc>
        <w:tc>
          <w:tcPr>
            <w:tcW w:w="1971" w:type="dxa"/>
            <w:hideMark/>
          </w:tcPr>
          <w:p w14:paraId="08BF933E"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 (58.3%)</w:t>
            </w:r>
          </w:p>
        </w:tc>
      </w:tr>
    </w:tbl>
    <w:p w14:paraId="3286ED77" w14:textId="77777777" w:rsidR="00266C6C" w:rsidRDefault="00266C6C" w:rsidP="00266C6C">
      <w:pPr>
        <w:pStyle w:val="Body"/>
        <w:spacing w:after="0"/>
        <w:rPr>
          <w:rFonts w:ascii="Arial" w:hAnsi="Arial" w:cs="Arial"/>
          <w:lang w:val="en-IN"/>
        </w:rPr>
      </w:pPr>
    </w:p>
    <w:p w14:paraId="68B4A655" w14:textId="77777777" w:rsidR="00066E54" w:rsidRDefault="00066E54" w:rsidP="00266C6C">
      <w:pPr>
        <w:pStyle w:val="Body"/>
        <w:spacing w:after="0"/>
        <w:rPr>
          <w:rFonts w:ascii="Arial" w:hAnsi="Arial" w:cs="Arial"/>
          <w:lang w:val="en-IN"/>
        </w:rPr>
      </w:pPr>
    </w:p>
    <w:p w14:paraId="590ADF11" w14:textId="77777777" w:rsidR="004A170E" w:rsidRDefault="004A170E" w:rsidP="00066E54">
      <w:pPr>
        <w:pStyle w:val="Body"/>
        <w:spacing w:after="0"/>
        <w:rPr>
          <w:rFonts w:ascii="Arial" w:hAnsi="Arial" w:cs="Arial"/>
          <w:lang w:val="en-IN"/>
        </w:rPr>
      </w:pPr>
    </w:p>
    <w:p w14:paraId="0EF22888" w14:textId="77777777" w:rsidR="00066E54" w:rsidRPr="00266C6C" w:rsidRDefault="00066E54" w:rsidP="00066E54">
      <w:pPr>
        <w:pStyle w:val="Body"/>
        <w:spacing w:after="0"/>
        <w:rPr>
          <w:rFonts w:ascii="Arial" w:hAnsi="Arial" w:cs="Arial"/>
          <w:lang w:val="en-IN"/>
        </w:rPr>
      </w:pPr>
    </w:p>
    <w:p w14:paraId="12E1D9EA" w14:textId="77777777" w:rsidR="00066E54" w:rsidRPr="00266C6C" w:rsidRDefault="00066E54" w:rsidP="00066E54">
      <w:pPr>
        <w:pStyle w:val="Body"/>
        <w:spacing w:after="0"/>
        <w:rPr>
          <w:rFonts w:ascii="Arial" w:hAnsi="Arial" w:cs="Arial"/>
          <w:b/>
          <w:bCs/>
          <w:lang w:val="en-IN"/>
        </w:rPr>
      </w:pPr>
    </w:p>
    <w:p w14:paraId="7D71B3DB" w14:textId="77777777" w:rsidR="00066E54" w:rsidRPr="00266C6C" w:rsidRDefault="00066E54" w:rsidP="00066E54">
      <w:pPr>
        <w:pStyle w:val="Body"/>
        <w:spacing w:after="0"/>
        <w:rPr>
          <w:rFonts w:ascii="Arial" w:hAnsi="Arial" w:cs="Arial"/>
          <w:b/>
          <w:bCs/>
          <w:lang w:val="en-IN"/>
        </w:rPr>
      </w:pPr>
    </w:p>
    <w:p w14:paraId="1E66A9D5" w14:textId="77777777" w:rsidR="00066E54" w:rsidRPr="00266C6C" w:rsidRDefault="00066E54" w:rsidP="00266C6C">
      <w:pPr>
        <w:pStyle w:val="Body"/>
        <w:spacing w:after="0"/>
        <w:rPr>
          <w:rFonts w:ascii="Arial" w:hAnsi="Arial" w:cs="Arial"/>
          <w:lang w:val="en-IN"/>
        </w:rPr>
      </w:pPr>
    </w:p>
    <w:tbl>
      <w:tblPr>
        <w:tblStyle w:val="PlainTable2"/>
        <w:tblpPr w:leftFromText="180" w:rightFromText="180" w:vertAnchor="page" w:horzAnchor="margin" w:tblpY="4904"/>
        <w:tblW w:w="5000" w:type="pct"/>
        <w:tblLook w:val="0420" w:firstRow="1" w:lastRow="0" w:firstColumn="0" w:lastColumn="0" w:noHBand="0" w:noVBand="1"/>
      </w:tblPr>
      <w:tblGrid>
        <w:gridCol w:w="1794"/>
        <w:gridCol w:w="728"/>
        <w:gridCol w:w="728"/>
        <w:gridCol w:w="895"/>
        <w:gridCol w:w="728"/>
        <w:gridCol w:w="727"/>
        <w:gridCol w:w="727"/>
        <w:gridCol w:w="727"/>
        <w:gridCol w:w="894"/>
        <w:gridCol w:w="894"/>
        <w:gridCol w:w="727"/>
        <w:gridCol w:w="727"/>
        <w:gridCol w:w="720"/>
      </w:tblGrid>
      <w:tr w:rsidR="00066E54" w:rsidRPr="00266C6C" w14:paraId="4E3B0AB3" w14:textId="77777777" w:rsidTr="00314379">
        <w:trPr>
          <w:cnfStyle w:val="100000000000" w:firstRow="1" w:lastRow="0" w:firstColumn="0" w:lastColumn="0" w:oddVBand="0" w:evenVBand="0" w:oddHBand="0" w:evenHBand="0" w:firstRowFirstColumn="0" w:firstRowLastColumn="0" w:lastRowFirstColumn="0" w:lastRowLastColumn="0"/>
          <w:trHeight w:val="265"/>
        </w:trPr>
        <w:tc>
          <w:tcPr>
            <w:tcW w:w="814" w:type="pct"/>
          </w:tcPr>
          <w:p w14:paraId="6718D15C" w14:textId="77777777" w:rsidR="00066E54" w:rsidRPr="00266C6C" w:rsidRDefault="00066E54" w:rsidP="00066E54">
            <w:pPr>
              <w:pStyle w:val="Body"/>
              <w:rPr>
                <w:rFonts w:ascii="Arial" w:hAnsi="Arial" w:cs="Arial"/>
                <w:b w:val="0"/>
                <w:bCs w:val="0"/>
                <w:lang w:val="en-IN"/>
              </w:rPr>
            </w:pPr>
          </w:p>
        </w:tc>
        <w:tc>
          <w:tcPr>
            <w:tcW w:w="2056" w:type="pct"/>
            <w:gridSpan w:val="6"/>
          </w:tcPr>
          <w:p w14:paraId="3E24B101" w14:textId="77777777" w:rsidR="00066E54" w:rsidRPr="009F3A40" w:rsidRDefault="00066E54" w:rsidP="00066E54">
            <w:pPr>
              <w:pStyle w:val="Body"/>
              <w:jc w:val="center"/>
              <w:rPr>
                <w:rFonts w:ascii="Arial" w:hAnsi="Arial" w:cs="Arial"/>
                <w:lang w:val="en-IN"/>
              </w:rPr>
            </w:pPr>
            <w:r w:rsidRPr="009F3A40">
              <w:rPr>
                <w:rFonts w:ascii="Arial" w:hAnsi="Arial" w:cs="Arial"/>
                <w:lang w:val="en-IN"/>
              </w:rPr>
              <w:t>NTR</w:t>
            </w:r>
          </w:p>
        </w:tc>
        <w:tc>
          <w:tcPr>
            <w:tcW w:w="2129" w:type="pct"/>
            <w:gridSpan w:val="6"/>
          </w:tcPr>
          <w:p w14:paraId="20A75380" w14:textId="77777777" w:rsidR="00066E54" w:rsidRPr="009F3A40" w:rsidRDefault="00066E54" w:rsidP="00066E54">
            <w:pPr>
              <w:pStyle w:val="Body"/>
              <w:jc w:val="center"/>
              <w:rPr>
                <w:rFonts w:ascii="Arial" w:hAnsi="Arial" w:cs="Arial"/>
                <w:lang w:val="en-IN"/>
              </w:rPr>
            </w:pPr>
            <w:r w:rsidRPr="009F3A40">
              <w:rPr>
                <w:rFonts w:ascii="Arial" w:hAnsi="Arial" w:cs="Arial"/>
                <w:lang w:val="en-IN"/>
              </w:rPr>
              <w:t>GUNTUR</w:t>
            </w:r>
          </w:p>
        </w:tc>
      </w:tr>
      <w:tr w:rsidR="00066E54" w:rsidRPr="00266C6C" w14:paraId="3EC94302" w14:textId="77777777" w:rsidTr="00314379">
        <w:trPr>
          <w:cnfStyle w:val="000000100000" w:firstRow="0" w:lastRow="0" w:firstColumn="0" w:lastColumn="0" w:oddVBand="0" w:evenVBand="0" w:oddHBand="1" w:evenHBand="0" w:firstRowFirstColumn="0" w:firstRowLastColumn="0" w:lastRowFirstColumn="0" w:lastRowLastColumn="0"/>
          <w:trHeight w:val="265"/>
        </w:trPr>
        <w:tc>
          <w:tcPr>
            <w:tcW w:w="814" w:type="pct"/>
          </w:tcPr>
          <w:p w14:paraId="4A164D84"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Services</w:t>
            </w:r>
          </w:p>
        </w:tc>
        <w:tc>
          <w:tcPr>
            <w:tcW w:w="330" w:type="pct"/>
          </w:tcPr>
          <w:p w14:paraId="54A8AEA6"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PHC I</w:t>
            </w:r>
          </w:p>
        </w:tc>
        <w:tc>
          <w:tcPr>
            <w:tcW w:w="330" w:type="pct"/>
          </w:tcPr>
          <w:p w14:paraId="6640ED25"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PHC II</w:t>
            </w:r>
          </w:p>
        </w:tc>
        <w:tc>
          <w:tcPr>
            <w:tcW w:w="406" w:type="pct"/>
          </w:tcPr>
          <w:p w14:paraId="63D69249"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UPHC I</w:t>
            </w:r>
          </w:p>
        </w:tc>
        <w:tc>
          <w:tcPr>
            <w:tcW w:w="330" w:type="pct"/>
          </w:tcPr>
          <w:p w14:paraId="39B6DF4C"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SHC I</w:t>
            </w:r>
          </w:p>
        </w:tc>
        <w:tc>
          <w:tcPr>
            <w:tcW w:w="330" w:type="pct"/>
          </w:tcPr>
          <w:p w14:paraId="37A14C37"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SHC II</w:t>
            </w:r>
          </w:p>
        </w:tc>
        <w:tc>
          <w:tcPr>
            <w:tcW w:w="330" w:type="pct"/>
          </w:tcPr>
          <w:p w14:paraId="41F59925"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SHC III</w:t>
            </w:r>
          </w:p>
        </w:tc>
        <w:tc>
          <w:tcPr>
            <w:tcW w:w="330" w:type="pct"/>
          </w:tcPr>
          <w:p w14:paraId="0600FF01"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PHC I</w:t>
            </w:r>
          </w:p>
        </w:tc>
        <w:tc>
          <w:tcPr>
            <w:tcW w:w="406" w:type="pct"/>
          </w:tcPr>
          <w:p w14:paraId="6F4385AE"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UPHC I</w:t>
            </w:r>
          </w:p>
        </w:tc>
        <w:tc>
          <w:tcPr>
            <w:tcW w:w="406" w:type="pct"/>
          </w:tcPr>
          <w:p w14:paraId="0C6C4685"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UPHC II</w:t>
            </w:r>
          </w:p>
        </w:tc>
        <w:tc>
          <w:tcPr>
            <w:tcW w:w="330" w:type="pct"/>
          </w:tcPr>
          <w:p w14:paraId="30DA1BC8"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SHC I</w:t>
            </w:r>
          </w:p>
        </w:tc>
        <w:tc>
          <w:tcPr>
            <w:tcW w:w="330" w:type="pct"/>
          </w:tcPr>
          <w:p w14:paraId="3A689BBA"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SHC II</w:t>
            </w:r>
          </w:p>
        </w:tc>
        <w:tc>
          <w:tcPr>
            <w:tcW w:w="327" w:type="pct"/>
          </w:tcPr>
          <w:p w14:paraId="5A2B00C4" w14:textId="77777777" w:rsidR="00066E54" w:rsidRPr="00266C6C" w:rsidRDefault="00066E54" w:rsidP="00066E54">
            <w:pPr>
              <w:pStyle w:val="Body"/>
              <w:rPr>
                <w:rFonts w:ascii="Arial" w:hAnsi="Arial" w:cs="Arial"/>
                <w:b/>
                <w:bCs/>
                <w:lang w:val="en-IN"/>
              </w:rPr>
            </w:pPr>
            <w:r w:rsidRPr="00266C6C">
              <w:rPr>
                <w:rFonts w:ascii="Arial" w:hAnsi="Arial" w:cs="Arial"/>
                <w:b/>
                <w:bCs/>
                <w:lang w:val="en-IN"/>
              </w:rPr>
              <w:t>SHC III</w:t>
            </w:r>
          </w:p>
        </w:tc>
      </w:tr>
      <w:tr w:rsidR="00066E54" w:rsidRPr="00266C6C" w14:paraId="7B0F7159" w14:textId="77777777" w:rsidTr="00314379">
        <w:trPr>
          <w:trHeight w:val="107"/>
        </w:trPr>
        <w:tc>
          <w:tcPr>
            <w:tcW w:w="814" w:type="pct"/>
            <w:hideMark/>
          </w:tcPr>
          <w:p w14:paraId="4A1C7B78"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Care in pregnancy and child-birth</w:t>
            </w:r>
          </w:p>
        </w:tc>
        <w:tc>
          <w:tcPr>
            <w:tcW w:w="330" w:type="pct"/>
            <w:hideMark/>
          </w:tcPr>
          <w:p w14:paraId="41B978F8"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3629BC9"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78FF31C0"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1249ABE"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4515EF1"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0B3F70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7318993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11BAAC60"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417386D0"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0807AC49"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29693461"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27" w:type="pct"/>
          </w:tcPr>
          <w:p w14:paraId="440B2822"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r>
      <w:tr w:rsidR="00066E54" w:rsidRPr="00266C6C" w14:paraId="0872D8C2" w14:textId="77777777" w:rsidTr="00314379">
        <w:trPr>
          <w:cnfStyle w:val="000000100000" w:firstRow="0" w:lastRow="0" w:firstColumn="0" w:lastColumn="0" w:oddVBand="0" w:evenVBand="0" w:oddHBand="1" w:evenHBand="0" w:firstRowFirstColumn="0" w:firstRowLastColumn="0" w:lastRowFirstColumn="0" w:lastRowLastColumn="0"/>
          <w:trHeight w:val="165"/>
        </w:trPr>
        <w:tc>
          <w:tcPr>
            <w:tcW w:w="814" w:type="pct"/>
            <w:hideMark/>
          </w:tcPr>
          <w:p w14:paraId="1A7C4ABC"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Neonatal and infant health care services</w:t>
            </w:r>
          </w:p>
        </w:tc>
        <w:tc>
          <w:tcPr>
            <w:tcW w:w="330" w:type="pct"/>
            <w:hideMark/>
          </w:tcPr>
          <w:p w14:paraId="2D4BDB40"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226EEA1"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3A9D8229"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7973968"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F8234CF"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1309D81"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1117091A"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3BC4D681"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0965E537"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251713FF"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0166ED24"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27" w:type="pct"/>
          </w:tcPr>
          <w:p w14:paraId="64A426D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r>
      <w:tr w:rsidR="00066E54" w:rsidRPr="00266C6C" w14:paraId="0EA8E1BF" w14:textId="77777777" w:rsidTr="00314379">
        <w:trPr>
          <w:trHeight w:val="107"/>
        </w:trPr>
        <w:tc>
          <w:tcPr>
            <w:tcW w:w="814" w:type="pct"/>
            <w:hideMark/>
          </w:tcPr>
          <w:p w14:paraId="38F23077"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Childhood and adolescent services</w:t>
            </w:r>
          </w:p>
        </w:tc>
        <w:tc>
          <w:tcPr>
            <w:tcW w:w="330" w:type="pct"/>
            <w:hideMark/>
          </w:tcPr>
          <w:p w14:paraId="3E3A2297"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74DE122"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61C2ACDE"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46EA07C"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30F74BD"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2FE394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0DE7F844"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172C0745"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0F1FAF3F"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4D92BACF"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11157683"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27" w:type="pct"/>
          </w:tcPr>
          <w:p w14:paraId="7F7034DC"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r>
      <w:tr w:rsidR="00066E54" w:rsidRPr="00266C6C" w14:paraId="7405CFF2" w14:textId="77777777" w:rsidTr="00314379">
        <w:trPr>
          <w:cnfStyle w:val="000000100000" w:firstRow="0" w:lastRow="0" w:firstColumn="0" w:lastColumn="0" w:oddVBand="0" w:evenVBand="0" w:oddHBand="1" w:evenHBand="0" w:firstRowFirstColumn="0" w:firstRowLastColumn="0" w:lastRowFirstColumn="0" w:lastRowLastColumn="0"/>
          <w:trHeight w:val="165"/>
        </w:trPr>
        <w:tc>
          <w:tcPr>
            <w:tcW w:w="814" w:type="pct"/>
            <w:hideMark/>
          </w:tcPr>
          <w:p w14:paraId="7FE91FBE"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Family planning &amp; contraceptive services</w:t>
            </w:r>
          </w:p>
        </w:tc>
        <w:tc>
          <w:tcPr>
            <w:tcW w:w="330" w:type="pct"/>
            <w:hideMark/>
          </w:tcPr>
          <w:p w14:paraId="2D73C78B"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DBADB5D"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147E5DA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EDB5B22"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043F92C"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ABAF44F"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513B670B"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6EED03DC"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15B9FA39"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1AC11462"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7C37A580"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27" w:type="pct"/>
          </w:tcPr>
          <w:p w14:paraId="7DD51EA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r>
      <w:tr w:rsidR="00066E54" w:rsidRPr="00266C6C" w14:paraId="5E72E073" w14:textId="77777777" w:rsidTr="00314379">
        <w:trPr>
          <w:trHeight w:val="165"/>
        </w:trPr>
        <w:tc>
          <w:tcPr>
            <w:tcW w:w="814" w:type="pct"/>
            <w:hideMark/>
          </w:tcPr>
          <w:p w14:paraId="1E076AAE"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Management of Communicable Diseases</w:t>
            </w:r>
          </w:p>
        </w:tc>
        <w:tc>
          <w:tcPr>
            <w:tcW w:w="330" w:type="pct"/>
            <w:hideMark/>
          </w:tcPr>
          <w:p w14:paraId="1D94611E"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05E6F73"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21E6676B"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F1A4924"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E74B8AD"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EDDB370"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4A39D3C9"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277EA8DA"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41207D13"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166B1F7E"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26A3D33B"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27" w:type="pct"/>
          </w:tcPr>
          <w:p w14:paraId="75EB4995"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r>
      <w:tr w:rsidR="00066E54" w:rsidRPr="00266C6C" w14:paraId="50DBE274" w14:textId="77777777" w:rsidTr="00314379">
        <w:trPr>
          <w:cnfStyle w:val="000000100000" w:firstRow="0" w:lastRow="0" w:firstColumn="0" w:lastColumn="0" w:oddVBand="0" w:evenVBand="0" w:oddHBand="1" w:evenHBand="0" w:firstRowFirstColumn="0" w:firstRowLastColumn="0" w:lastRowFirstColumn="0" w:lastRowLastColumn="0"/>
          <w:trHeight w:val="165"/>
        </w:trPr>
        <w:tc>
          <w:tcPr>
            <w:tcW w:w="814" w:type="pct"/>
            <w:hideMark/>
          </w:tcPr>
          <w:p w14:paraId="78197769"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Out-patient care for acute simple illnesses and minor ailments</w:t>
            </w:r>
          </w:p>
        </w:tc>
        <w:tc>
          <w:tcPr>
            <w:tcW w:w="330" w:type="pct"/>
            <w:hideMark/>
          </w:tcPr>
          <w:p w14:paraId="0406FCF8"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B237975"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3AF73C4B"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9D0EB54"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EE0C671"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3029971F"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4697515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36181840"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55671814"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6F13A662"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5FE2E5C0"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27" w:type="pct"/>
          </w:tcPr>
          <w:p w14:paraId="1E94E32C"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r>
      <w:tr w:rsidR="00066E54" w:rsidRPr="00266C6C" w14:paraId="0C2D1538" w14:textId="77777777" w:rsidTr="00314379">
        <w:trPr>
          <w:trHeight w:val="211"/>
        </w:trPr>
        <w:tc>
          <w:tcPr>
            <w:tcW w:w="814" w:type="pct"/>
            <w:hideMark/>
          </w:tcPr>
          <w:p w14:paraId="1E8B6352"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NCDs and chronic communicable diseases</w:t>
            </w:r>
          </w:p>
        </w:tc>
        <w:tc>
          <w:tcPr>
            <w:tcW w:w="330" w:type="pct"/>
            <w:hideMark/>
          </w:tcPr>
          <w:p w14:paraId="646DF8D5"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9EFFE7C"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3702C599"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0633D4D"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A3367B8"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11EF941"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3C4CFAC5"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703D2E55"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762759C1" w14:textId="77777777" w:rsidR="00066E54" w:rsidRPr="00266C6C" w:rsidRDefault="00254BE9" w:rsidP="00066E54">
            <w:pPr>
              <w:pStyle w:val="Body"/>
              <w:rPr>
                <w:rFonts w:ascii="Arial" w:hAnsi="Arial" w:cs="Arial"/>
                <w:lang w:val="en-IN"/>
              </w:rPr>
            </w:pPr>
            <w:r>
              <w:rPr>
                <w:rFonts w:ascii="Arial" w:hAnsi="Arial" w:cs="Arial"/>
              </w:rPr>
              <w:pict w14:anchorId="4CC7DC2F">
                <v:oval id="_x0000_s1064" style="position:absolute;left:0;text-align:left;margin-left:33.25pt;margin-top:55.65pt;width:21.3pt;height:18.65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" filled="f" strokecolor="red" strokeweight="1.5pt"/>
              </w:pict>
            </w:r>
            <w:r w:rsidR="00066E54" w:rsidRPr="00266C6C">
              <w:rPr>
                <w:rFonts w:ascii="Segoe UI Symbol" w:hAnsi="Segoe UI Symbol" w:cs="Segoe UI Symbol"/>
                <w:lang w:val="en-IN"/>
              </w:rPr>
              <w:t>✓</w:t>
            </w:r>
          </w:p>
        </w:tc>
        <w:tc>
          <w:tcPr>
            <w:tcW w:w="330" w:type="pct"/>
          </w:tcPr>
          <w:p w14:paraId="5EAB2A1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677A7A43"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27" w:type="pct"/>
          </w:tcPr>
          <w:p w14:paraId="60B1483C"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r>
      <w:tr w:rsidR="00066E54" w:rsidRPr="00266C6C" w14:paraId="1DBF6A28" w14:textId="77777777" w:rsidTr="00314379">
        <w:trPr>
          <w:cnfStyle w:val="000000100000" w:firstRow="0" w:lastRow="0" w:firstColumn="0" w:lastColumn="0" w:oddVBand="0" w:evenVBand="0" w:oddHBand="1" w:evenHBand="0" w:firstRowFirstColumn="0" w:firstRowLastColumn="0" w:lastRowFirstColumn="0" w:lastRowLastColumn="0"/>
          <w:trHeight w:val="107"/>
        </w:trPr>
        <w:tc>
          <w:tcPr>
            <w:tcW w:w="814" w:type="pct"/>
            <w:hideMark/>
          </w:tcPr>
          <w:p w14:paraId="3893BCA4"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Basic oral health care</w:t>
            </w:r>
          </w:p>
        </w:tc>
        <w:tc>
          <w:tcPr>
            <w:tcW w:w="330" w:type="pct"/>
            <w:hideMark/>
          </w:tcPr>
          <w:p w14:paraId="16B8BB5E"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7F8CC2E"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2EBDE20B"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459597F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6F39BA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1AA6FCA2"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133697B7"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3066F82F"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794BFF75"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73942A48"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330" w:type="pct"/>
          </w:tcPr>
          <w:p w14:paraId="1626F2E3"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27" w:type="pct"/>
          </w:tcPr>
          <w:p w14:paraId="6F40A323"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r>
      <w:tr w:rsidR="00066E54" w:rsidRPr="00266C6C" w14:paraId="289D1F36" w14:textId="77777777" w:rsidTr="00314379">
        <w:trPr>
          <w:trHeight w:val="107"/>
        </w:trPr>
        <w:tc>
          <w:tcPr>
            <w:tcW w:w="814" w:type="pct"/>
            <w:hideMark/>
          </w:tcPr>
          <w:p w14:paraId="53583E7F"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Ophthalmic and ENT problems</w:t>
            </w:r>
          </w:p>
        </w:tc>
        <w:tc>
          <w:tcPr>
            <w:tcW w:w="330" w:type="pct"/>
            <w:hideMark/>
          </w:tcPr>
          <w:p w14:paraId="7B62704A"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A7AC524"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22E9AC1B"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797C39DC" w14:textId="77777777" w:rsidR="00066E54" w:rsidRPr="00266C6C" w:rsidRDefault="00254BE9" w:rsidP="00066E54">
            <w:pPr>
              <w:pStyle w:val="Body"/>
              <w:rPr>
                <w:rFonts w:ascii="Arial" w:hAnsi="Arial" w:cs="Arial"/>
                <w:lang w:val="en-IN"/>
              </w:rPr>
            </w:pPr>
            <w:r>
              <w:rPr>
                <w:rFonts w:ascii="Arial" w:hAnsi="Arial" w:cs="Arial"/>
              </w:rPr>
              <w:pict w14:anchorId="2A56D4D0">
                <v:oval id="Oval 3" o:spid="_x0000_s1063" style="position:absolute;left:0;text-align:left;margin-left:27.85pt;margin-top:35.1pt;width:17.55pt;height:16pt;z-index:2516515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" filled="f" strokecolor="red" strokeweight="1.5pt"/>
              </w:pict>
            </w:r>
            <w:r w:rsidR="00066E54" w:rsidRPr="00266C6C">
              <w:rPr>
                <w:rFonts w:ascii="Segoe UI Symbol" w:hAnsi="Segoe UI Symbol" w:cs="Segoe UI Symbol"/>
                <w:lang w:val="en-IN"/>
              </w:rPr>
              <w:t>✓</w:t>
            </w:r>
          </w:p>
        </w:tc>
        <w:tc>
          <w:tcPr>
            <w:tcW w:w="330" w:type="pct"/>
            <w:hideMark/>
          </w:tcPr>
          <w:p w14:paraId="2DC493A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69612257"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4E6F580B"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2091822D"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093BCC92" w14:textId="77777777" w:rsidR="00066E54" w:rsidRPr="00266C6C" w:rsidRDefault="00254BE9" w:rsidP="00066E54">
            <w:pPr>
              <w:pStyle w:val="Body"/>
              <w:rPr>
                <w:rFonts w:ascii="Arial" w:hAnsi="Arial" w:cs="Arial"/>
                <w:lang w:val="en-IN"/>
              </w:rPr>
            </w:pPr>
            <w:r>
              <w:rPr>
                <w:rFonts w:ascii="Arial" w:hAnsi="Arial" w:cs="Arial"/>
              </w:rPr>
              <w:pict w14:anchorId="602EEBF4">
                <v:oval id="_x0000_s1067" style="position:absolute;left:0;text-align:left;margin-left:36.1pt;margin-top:32.25pt;width:21.3pt;height:18.65pt;z-index:2516556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" filled="f" strokecolor="red" strokeweight="1.5pt"/>
              </w:pict>
            </w:r>
            <w:r w:rsidR="00066E54" w:rsidRPr="00266C6C">
              <w:rPr>
                <w:rFonts w:ascii="Segoe UI Symbol" w:hAnsi="Segoe UI Symbol" w:cs="Segoe UI Symbol"/>
                <w:lang w:val="en-IN"/>
              </w:rPr>
              <w:t>✓</w:t>
            </w:r>
          </w:p>
        </w:tc>
        <w:tc>
          <w:tcPr>
            <w:tcW w:w="330" w:type="pct"/>
          </w:tcPr>
          <w:p w14:paraId="5623B6CF" w14:textId="77777777" w:rsidR="00066E54" w:rsidRPr="00266C6C" w:rsidRDefault="00254BE9" w:rsidP="00066E54">
            <w:pPr>
              <w:pStyle w:val="Body"/>
              <w:rPr>
                <w:rFonts w:ascii="Arial" w:hAnsi="Arial" w:cs="Arial"/>
                <w:lang w:val="en-IN"/>
              </w:rPr>
            </w:pPr>
            <w:r>
              <w:rPr>
                <w:rFonts w:ascii="Arial" w:hAnsi="Arial" w:cs="Arial"/>
              </w:rPr>
              <w:pict w14:anchorId="031ED8EB">
                <v:oval id="_x0000_s1065" style="position:absolute;left:0;text-align:left;margin-left:27.1pt;margin-top:33.2pt;width:21.3pt;height:17.15pt;z-index:251653632;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" filled="f" strokecolor="red" strokeweight="1.5pt"/>
              </w:pict>
            </w:r>
            <w:r w:rsidR="00066E54" w:rsidRPr="00266C6C">
              <w:rPr>
                <w:rFonts w:ascii="Segoe UI Symbol" w:hAnsi="Segoe UI Symbol" w:cs="Segoe UI Symbol"/>
                <w:lang w:val="en-IN"/>
              </w:rPr>
              <w:t>✓</w:t>
            </w:r>
          </w:p>
        </w:tc>
        <w:tc>
          <w:tcPr>
            <w:tcW w:w="330" w:type="pct"/>
          </w:tcPr>
          <w:p w14:paraId="3328FEC3"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27" w:type="pct"/>
          </w:tcPr>
          <w:p w14:paraId="46C25754" w14:textId="77777777" w:rsidR="00066E54" w:rsidRPr="00266C6C" w:rsidRDefault="00254BE9" w:rsidP="00066E54">
            <w:pPr>
              <w:pStyle w:val="Body"/>
              <w:rPr>
                <w:rFonts w:ascii="Arial" w:hAnsi="Arial" w:cs="Arial"/>
                <w:lang w:val="en-IN"/>
              </w:rPr>
            </w:pPr>
            <w:r>
              <w:rPr>
                <w:rFonts w:ascii="Arial" w:hAnsi="Arial" w:cs="Arial"/>
              </w:rPr>
              <w:pict w14:anchorId="51746AB7">
                <v:oval id="_x0000_s1066" style="position:absolute;left:0;text-align:left;margin-left:-4.4pt;margin-top:32.25pt;width:15.15pt;height:17.7pt;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" filled="f" strokecolor="red" strokeweight="1.5pt"/>
              </w:pict>
            </w:r>
            <w:r w:rsidR="00066E54" w:rsidRPr="00266C6C">
              <w:rPr>
                <w:rFonts w:ascii="Segoe UI Symbol" w:hAnsi="Segoe UI Symbol" w:cs="Segoe UI Symbol"/>
                <w:lang w:val="en-IN"/>
              </w:rPr>
              <w:t>✓</w:t>
            </w:r>
          </w:p>
        </w:tc>
      </w:tr>
      <w:tr w:rsidR="00066E54" w:rsidRPr="00266C6C" w14:paraId="18337A9D" w14:textId="77777777" w:rsidTr="00314379">
        <w:trPr>
          <w:cnfStyle w:val="000000100000" w:firstRow="0" w:lastRow="0" w:firstColumn="0" w:lastColumn="0" w:oddVBand="0" w:evenVBand="0" w:oddHBand="1" w:evenHBand="0" w:firstRowFirstColumn="0" w:firstRowLastColumn="0" w:lastRowFirstColumn="0" w:lastRowLastColumn="0"/>
          <w:trHeight w:val="107"/>
        </w:trPr>
        <w:tc>
          <w:tcPr>
            <w:tcW w:w="814" w:type="pct"/>
            <w:hideMark/>
          </w:tcPr>
          <w:p w14:paraId="2EC33176"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Mental health</w:t>
            </w:r>
          </w:p>
        </w:tc>
        <w:tc>
          <w:tcPr>
            <w:tcW w:w="330" w:type="pct"/>
            <w:hideMark/>
          </w:tcPr>
          <w:p w14:paraId="114D435A"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C1D921C"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hideMark/>
          </w:tcPr>
          <w:p w14:paraId="757B21C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FCB8E7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0F24FD24"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330" w:type="pct"/>
            <w:hideMark/>
          </w:tcPr>
          <w:p w14:paraId="1910115E"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1876FAF9"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2786E24C"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7CA44E27"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4657387C"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330" w:type="pct"/>
          </w:tcPr>
          <w:p w14:paraId="1B1ED2E1"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327" w:type="pct"/>
          </w:tcPr>
          <w:p w14:paraId="088CAF73"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r>
      <w:tr w:rsidR="00066E54" w:rsidRPr="00266C6C" w14:paraId="52AFFF15" w14:textId="77777777" w:rsidTr="00314379">
        <w:trPr>
          <w:trHeight w:val="165"/>
        </w:trPr>
        <w:tc>
          <w:tcPr>
            <w:tcW w:w="814" w:type="pct"/>
            <w:hideMark/>
          </w:tcPr>
          <w:p w14:paraId="09F3967B"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t>Elderly and palliative health care services</w:t>
            </w:r>
          </w:p>
        </w:tc>
        <w:tc>
          <w:tcPr>
            <w:tcW w:w="330" w:type="pct"/>
            <w:hideMark/>
          </w:tcPr>
          <w:p w14:paraId="60E09E0F"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241C9A31" w14:textId="77777777" w:rsidR="00066E54" w:rsidRPr="00266C6C" w:rsidRDefault="00254BE9" w:rsidP="00066E54">
            <w:pPr>
              <w:pStyle w:val="Body"/>
              <w:rPr>
                <w:rFonts w:ascii="Arial" w:hAnsi="Arial" w:cs="Arial"/>
                <w:lang w:val="en-IN"/>
              </w:rPr>
            </w:pPr>
            <w:r>
              <w:rPr>
                <w:rFonts w:ascii="Arial" w:hAnsi="Arial" w:cs="Arial"/>
              </w:rPr>
              <w:pict w14:anchorId="7A2EC2EC">
                <v:oval id="_x0000_s1068" style="position:absolute;left:0;text-align:left;margin-left:27.85pt;margin-top:47.45pt;width:17.55pt;height:16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" filled="f" strokecolor="red" strokeweight="1.5pt"/>
              </w:pict>
            </w:r>
            <w:r w:rsidR="00066E54" w:rsidRPr="00266C6C">
              <w:rPr>
                <w:rFonts w:ascii="Segoe UI Symbol" w:hAnsi="Segoe UI Symbol" w:cs="Segoe UI Symbol"/>
                <w:lang w:val="en-IN"/>
              </w:rPr>
              <w:t>✓</w:t>
            </w:r>
          </w:p>
        </w:tc>
        <w:tc>
          <w:tcPr>
            <w:tcW w:w="406" w:type="pct"/>
            <w:hideMark/>
          </w:tcPr>
          <w:p w14:paraId="7853FD20" w14:textId="77777777" w:rsidR="00066E54" w:rsidRPr="00266C6C" w:rsidRDefault="00254BE9" w:rsidP="00066E54">
            <w:pPr>
              <w:pStyle w:val="Body"/>
              <w:rPr>
                <w:rFonts w:ascii="Arial" w:hAnsi="Arial" w:cs="Arial"/>
                <w:lang w:val="en-IN"/>
              </w:rPr>
            </w:pPr>
            <w:r>
              <w:rPr>
                <w:rFonts w:ascii="Arial" w:hAnsi="Arial" w:cs="Arial"/>
              </w:rPr>
              <w:pict w14:anchorId="6EF8E3C6">
                <v:oval id="_x0000_s1069" style="position:absolute;left:0;text-align:left;margin-left:34.5pt;margin-top:47.85pt;width:17.55pt;height:16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" filled="f" strokecolor="red" strokeweight="1.5pt"/>
              </w:pict>
            </w:r>
            <w:r w:rsidR="00066E54" w:rsidRPr="00266C6C">
              <w:rPr>
                <w:rFonts w:ascii="Segoe UI Symbol" w:hAnsi="Segoe UI Symbol" w:cs="Segoe UI Symbol"/>
                <w:lang w:val="en-IN"/>
              </w:rPr>
              <w:t>✓</w:t>
            </w:r>
          </w:p>
        </w:tc>
        <w:tc>
          <w:tcPr>
            <w:tcW w:w="330" w:type="pct"/>
            <w:hideMark/>
          </w:tcPr>
          <w:p w14:paraId="49229EB9" w14:textId="77777777" w:rsidR="00066E54" w:rsidRPr="00266C6C" w:rsidRDefault="00254BE9" w:rsidP="00066E54">
            <w:pPr>
              <w:pStyle w:val="Body"/>
              <w:rPr>
                <w:rFonts w:ascii="Arial" w:hAnsi="Arial" w:cs="Arial"/>
                <w:lang w:val="en-IN"/>
              </w:rPr>
            </w:pPr>
            <w:r>
              <w:rPr>
                <w:rFonts w:ascii="Arial" w:hAnsi="Arial" w:cs="Arial"/>
              </w:rPr>
              <w:pict w14:anchorId="5D470F80">
                <v:oval id="_x0000_s1073" style="position:absolute;left:0;text-align:left;margin-left:27.2pt;margin-top:48.7pt;width:18.2pt;height:16pt;z-index:2516618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" filled="f" strokecolor="red" strokeweight="1.5pt"/>
              </w:pict>
            </w:r>
            <w:r w:rsidR="00066E54" w:rsidRPr="00266C6C">
              <w:rPr>
                <w:rFonts w:ascii="Segoe UI Symbol" w:hAnsi="Segoe UI Symbol" w:cs="Segoe UI Symbol"/>
                <w:lang w:val="en-IN"/>
              </w:rPr>
              <w:t>✓</w:t>
            </w:r>
          </w:p>
        </w:tc>
        <w:tc>
          <w:tcPr>
            <w:tcW w:w="330" w:type="pct"/>
            <w:hideMark/>
          </w:tcPr>
          <w:p w14:paraId="503000D7"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hideMark/>
          </w:tcPr>
          <w:p w14:paraId="5C9D0594"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0EEBF7EE" w14:textId="77777777" w:rsidR="00066E54" w:rsidRPr="00266C6C" w:rsidRDefault="00066E54" w:rsidP="00066E54">
            <w:pPr>
              <w:pStyle w:val="Body"/>
              <w:rPr>
                <w:rFonts w:ascii="Arial" w:hAnsi="Arial" w:cs="Arial"/>
                <w:lang w:val="en-IN"/>
              </w:rPr>
            </w:pPr>
          </w:p>
          <w:p w14:paraId="0D930DED" w14:textId="77777777" w:rsidR="00066E54" w:rsidRPr="00266C6C" w:rsidRDefault="00254BE9" w:rsidP="00066E54">
            <w:pPr>
              <w:pStyle w:val="Body"/>
              <w:rPr>
                <w:rFonts w:ascii="Arial" w:hAnsi="Arial" w:cs="Arial"/>
                <w:lang w:val="en-IN"/>
              </w:rPr>
            </w:pPr>
            <w:r>
              <w:rPr>
                <w:rFonts w:ascii="Arial" w:hAnsi="Arial" w:cs="Arial"/>
              </w:rPr>
              <w:pict w14:anchorId="0A2A82FC">
                <v:oval id="_x0000_s1071" style="position:absolute;left:0;text-align:left;margin-left:27.8pt;margin-top:22.55pt;width:21.3pt;height:18.05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" filled="f" strokecolor="red" strokeweight="1.5pt"/>
              </w:pict>
            </w:r>
            <w:r>
              <w:rPr>
                <w:rFonts w:ascii="Arial" w:hAnsi="Arial" w:cs="Arial"/>
              </w:rPr>
              <w:pict w14:anchorId="1BEFBD17">
                <v:oval id="_x0000_s1070" style="position:absolute;left:0;text-align:left;margin-left:-3.9pt;margin-top:24.85pt;width:18.2pt;height:16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" filled="f" strokecolor="red" strokeweight="1.5pt"/>
              </w:pict>
            </w:r>
            <w:r w:rsidR="00066E54" w:rsidRPr="00266C6C">
              <w:rPr>
                <w:rFonts w:ascii="Segoe UI Symbol" w:hAnsi="Segoe UI Symbol" w:cs="Segoe UI Symbol"/>
                <w:lang w:val="en-IN"/>
              </w:rPr>
              <w:t>✓</w:t>
            </w:r>
          </w:p>
        </w:tc>
        <w:tc>
          <w:tcPr>
            <w:tcW w:w="406" w:type="pct"/>
          </w:tcPr>
          <w:p w14:paraId="5D89F3DE"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105D8363" w14:textId="77777777" w:rsidR="00066E54" w:rsidRPr="00266C6C" w:rsidRDefault="00066E54" w:rsidP="00066E54">
            <w:pPr>
              <w:pStyle w:val="Body"/>
              <w:rPr>
                <w:rFonts w:ascii="Arial" w:hAnsi="Arial" w:cs="Arial"/>
                <w:lang w:val="en-IN"/>
              </w:rPr>
            </w:pPr>
          </w:p>
          <w:p w14:paraId="6E862A7A"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2C188F65" w14:textId="77777777" w:rsidR="00066E54" w:rsidRPr="00266C6C" w:rsidRDefault="00254BE9" w:rsidP="00066E54">
            <w:pPr>
              <w:pStyle w:val="Body"/>
              <w:rPr>
                <w:rFonts w:ascii="Arial" w:hAnsi="Arial" w:cs="Arial"/>
                <w:lang w:val="en-IN"/>
              </w:rPr>
            </w:pPr>
            <w:r>
              <w:rPr>
                <w:rFonts w:ascii="Arial" w:hAnsi="Arial" w:cs="Arial"/>
              </w:rPr>
              <w:pict w14:anchorId="5735D007">
                <v:oval id="_x0000_s1072" style="position:absolute;left:0;text-align:left;margin-left:25.8pt;margin-top:46.65pt;width:21.3pt;height:18.05pt;z-index:25166080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" filled="f" strokecolor="red" strokeweight="1.5pt"/>
              </w:pict>
            </w:r>
            <w:r w:rsidR="00066E54" w:rsidRPr="00266C6C">
              <w:rPr>
                <w:rFonts w:ascii="Segoe UI Symbol" w:hAnsi="Segoe UI Symbol" w:cs="Segoe UI Symbol"/>
                <w:lang w:val="en-IN"/>
              </w:rPr>
              <w:t>✓</w:t>
            </w:r>
          </w:p>
        </w:tc>
        <w:tc>
          <w:tcPr>
            <w:tcW w:w="330" w:type="pct"/>
          </w:tcPr>
          <w:p w14:paraId="4541DFF2" w14:textId="77777777" w:rsidR="00066E54" w:rsidRPr="00266C6C" w:rsidRDefault="00066E54" w:rsidP="00066E54">
            <w:pPr>
              <w:pStyle w:val="Body"/>
              <w:rPr>
                <w:rFonts w:ascii="Arial" w:hAnsi="Arial" w:cs="Arial"/>
                <w:lang w:val="en-IN"/>
              </w:rPr>
            </w:pPr>
          </w:p>
          <w:p w14:paraId="0B3920FB" w14:textId="77777777" w:rsidR="00066E54" w:rsidRPr="00266C6C" w:rsidRDefault="00254BE9" w:rsidP="00066E54">
            <w:pPr>
              <w:pStyle w:val="Body"/>
              <w:rPr>
                <w:rFonts w:ascii="Arial" w:hAnsi="Arial" w:cs="Arial"/>
                <w:lang w:val="en-IN"/>
              </w:rPr>
            </w:pPr>
            <w:r>
              <w:rPr>
                <w:rFonts w:ascii="Arial" w:hAnsi="Arial" w:cs="Arial"/>
              </w:rPr>
              <w:pict w14:anchorId="467A90FB">
                <v:oval id="_x0000_s1074" style="position:absolute;left:0;text-align:left;margin-left:25.45pt;margin-top:22.2pt;width:21.3pt;height:18.6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" filled="f" strokecolor="red" strokeweight="1.5pt"/>
              </w:pict>
            </w:r>
            <w:r w:rsidR="00066E54" w:rsidRPr="00266C6C">
              <w:rPr>
                <w:rFonts w:ascii="Segoe UI Symbol" w:hAnsi="Segoe UI Symbol" w:cs="Segoe UI Symbol"/>
                <w:lang w:val="en-IN"/>
              </w:rPr>
              <w:t>✓</w:t>
            </w:r>
          </w:p>
        </w:tc>
        <w:tc>
          <w:tcPr>
            <w:tcW w:w="327" w:type="pct"/>
          </w:tcPr>
          <w:p w14:paraId="29B2FD6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r>
      <w:tr w:rsidR="00066E54" w:rsidRPr="00266C6C" w14:paraId="381137E0" w14:textId="77777777" w:rsidTr="00314379">
        <w:trPr>
          <w:cnfStyle w:val="000000100000" w:firstRow="0" w:lastRow="0" w:firstColumn="0" w:lastColumn="0" w:oddVBand="0" w:evenVBand="0" w:oddHBand="1" w:evenHBand="0" w:firstRowFirstColumn="0" w:firstRowLastColumn="0" w:lastRowFirstColumn="0" w:lastRowLastColumn="0"/>
          <w:trHeight w:val="165"/>
        </w:trPr>
        <w:tc>
          <w:tcPr>
            <w:tcW w:w="814" w:type="pct"/>
          </w:tcPr>
          <w:p w14:paraId="44D997FA" w14:textId="77777777" w:rsidR="00066E54" w:rsidRPr="00266C6C" w:rsidRDefault="00066E54" w:rsidP="002C3943">
            <w:pPr>
              <w:pStyle w:val="Body"/>
              <w:jc w:val="left"/>
              <w:rPr>
                <w:rFonts w:ascii="Arial" w:hAnsi="Arial" w:cs="Arial"/>
                <w:lang w:val="en-IN"/>
              </w:rPr>
            </w:pPr>
            <w:r w:rsidRPr="00266C6C">
              <w:rPr>
                <w:rFonts w:ascii="Arial" w:hAnsi="Arial" w:cs="Arial"/>
                <w:lang w:val="en-IN"/>
              </w:rPr>
              <w:lastRenderedPageBreak/>
              <w:t>Emergency medical services</w:t>
            </w:r>
          </w:p>
        </w:tc>
        <w:tc>
          <w:tcPr>
            <w:tcW w:w="330" w:type="pct"/>
          </w:tcPr>
          <w:p w14:paraId="6AA8395E"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52ADCC66"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406" w:type="pct"/>
          </w:tcPr>
          <w:p w14:paraId="70874B8E"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330" w:type="pct"/>
          </w:tcPr>
          <w:p w14:paraId="116A7303"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330" w:type="pct"/>
          </w:tcPr>
          <w:p w14:paraId="3BCAE746"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330" w:type="pct"/>
          </w:tcPr>
          <w:p w14:paraId="72173035"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r w:rsidRPr="00266C6C">
              <w:rPr>
                <w:rFonts w:ascii="Arial" w:hAnsi="Arial" w:cs="Arial"/>
                <w:lang w:val="en-IN"/>
              </w:rPr>
              <w:t xml:space="preserve"> </w:t>
            </w:r>
          </w:p>
        </w:tc>
        <w:tc>
          <w:tcPr>
            <w:tcW w:w="330" w:type="pct"/>
          </w:tcPr>
          <w:p w14:paraId="7EA161E7"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406" w:type="pct"/>
          </w:tcPr>
          <w:p w14:paraId="1035D67A"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406" w:type="pct"/>
          </w:tcPr>
          <w:p w14:paraId="7C71CE06"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330" w:type="pct"/>
          </w:tcPr>
          <w:p w14:paraId="34F9B5DD" w14:textId="77777777" w:rsidR="00066E54" w:rsidRPr="00266C6C" w:rsidRDefault="00066E54" w:rsidP="00066E54">
            <w:pPr>
              <w:pStyle w:val="Body"/>
              <w:rPr>
                <w:rFonts w:ascii="Arial" w:hAnsi="Arial" w:cs="Arial"/>
                <w:lang w:val="en-IN"/>
              </w:rPr>
            </w:pPr>
            <w:r w:rsidRPr="00266C6C">
              <w:rPr>
                <w:rFonts w:ascii="Segoe UI Symbol" w:hAnsi="Segoe UI Symbol" w:cs="Segoe UI Symbol"/>
                <w:lang w:val="en-IN"/>
              </w:rPr>
              <w:t>✓</w:t>
            </w:r>
          </w:p>
        </w:tc>
        <w:tc>
          <w:tcPr>
            <w:tcW w:w="330" w:type="pct"/>
          </w:tcPr>
          <w:p w14:paraId="6AC2B886"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c>
          <w:tcPr>
            <w:tcW w:w="327" w:type="pct"/>
          </w:tcPr>
          <w:p w14:paraId="4B2DD355" w14:textId="77777777" w:rsidR="00066E54" w:rsidRPr="00266C6C" w:rsidRDefault="00066E54" w:rsidP="00066E54">
            <w:pPr>
              <w:pStyle w:val="Body"/>
              <w:rPr>
                <w:rFonts w:ascii="Arial" w:hAnsi="Arial" w:cs="Arial"/>
                <w:lang w:val="en-IN"/>
              </w:rPr>
            </w:pPr>
            <w:r w:rsidRPr="00266C6C">
              <w:rPr>
                <w:rFonts w:ascii="Arial" w:hAnsi="Arial" w:cs="Arial"/>
                <w:lang w:val="en-IN"/>
              </w:rPr>
              <w:t>X</w:t>
            </w:r>
          </w:p>
        </w:tc>
      </w:tr>
    </w:tbl>
    <w:p w14:paraId="6EFD7B85" w14:textId="77777777" w:rsidR="00266C6C" w:rsidRPr="00266C6C" w:rsidRDefault="00266C6C" w:rsidP="00266C6C">
      <w:pPr>
        <w:pStyle w:val="Body"/>
        <w:spacing w:after="0"/>
        <w:rPr>
          <w:rFonts w:ascii="Arial" w:hAnsi="Arial" w:cs="Arial"/>
          <w:lang w:val="en-IN"/>
        </w:rPr>
      </w:pPr>
    </w:p>
    <w:p w14:paraId="1DB59C39" w14:textId="77777777" w:rsidR="004A170E" w:rsidRDefault="004A170E" w:rsidP="004A170E">
      <w:pPr>
        <w:pStyle w:val="Body"/>
        <w:spacing w:after="0"/>
        <w:rPr>
          <w:rFonts w:ascii="Arial" w:hAnsi="Arial" w:cs="Arial"/>
          <w:lang w:val="en-IN"/>
        </w:rPr>
      </w:pPr>
      <w:r w:rsidRPr="00266C6C">
        <w:rPr>
          <w:rFonts w:ascii="Arial" w:hAnsi="Arial" w:cs="Arial"/>
          <w:lang w:val="en-IN"/>
        </w:rPr>
        <w:t>As per the interviews conducted with the Medical Officers (MO), overcrowding due to increased laboratory investigations</w:t>
      </w:r>
      <w:r>
        <w:rPr>
          <w:rFonts w:ascii="Arial" w:hAnsi="Arial" w:cs="Arial"/>
          <w:lang w:val="en-IN"/>
        </w:rPr>
        <w:t xml:space="preserve"> </w:t>
      </w:r>
      <w:r w:rsidRPr="00266C6C">
        <w:rPr>
          <w:rFonts w:ascii="Arial" w:hAnsi="Arial" w:cs="Arial"/>
          <w:lang w:val="en-IN"/>
        </w:rPr>
        <w:t>and poorly ventilated labour rooms pose challenges. Barriers such as poor road conditions, safety hazards, and lack of streetlights hindering access, presence of dogs and snakes in farmlands especially at night were still a concern in a few facilities. Sanitation facilities, though present, suffer from poor maintenance, leaking water tanks, and inadequate cleaning supervision. One of the MO mentioned that the labour room is very small and gets extremely hot in the summer since there is no air conditioning.</w:t>
      </w:r>
    </w:p>
    <w:p w14:paraId="3CC68044" w14:textId="77777777" w:rsidR="004A170E" w:rsidRDefault="004A170E" w:rsidP="004A170E">
      <w:pPr>
        <w:pStyle w:val="Body"/>
        <w:spacing w:after="0"/>
        <w:rPr>
          <w:rFonts w:ascii="Arial" w:hAnsi="Arial" w:cs="Arial"/>
          <w:lang w:val="en-IN"/>
        </w:rPr>
      </w:pPr>
    </w:p>
    <w:p w14:paraId="7C7167FF" w14:textId="77777777" w:rsidR="004A170E" w:rsidRDefault="004A170E" w:rsidP="004A170E">
      <w:pPr>
        <w:pStyle w:val="Body"/>
        <w:spacing w:after="0"/>
        <w:rPr>
          <w:rFonts w:ascii="Arial" w:hAnsi="Arial" w:cs="Arial"/>
          <w:lang w:val="en-IN"/>
        </w:rPr>
      </w:pPr>
    </w:p>
    <w:p w14:paraId="7C7570CD" w14:textId="77777777" w:rsidR="004A170E" w:rsidRDefault="004A170E" w:rsidP="004A170E">
      <w:pPr>
        <w:pStyle w:val="Body"/>
        <w:spacing w:after="0"/>
        <w:rPr>
          <w:rFonts w:ascii="Arial" w:hAnsi="Arial" w:cs="Arial"/>
          <w:lang w:val="en-IN"/>
        </w:rPr>
      </w:pPr>
    </w:p>
    <w:p w14:paraId="2346B635" w14:textId="77777777" w:rsidR="004A170E" w:rsidRDefault="004A170E" w:rsidP="004A170E">
      <w:pPr>
        <w:pStyle w:val="Body"/>
        <w:spacing w:after="0"/>
        <w:rPr>
          <w:rFonts w:ascii="Arial" w:hAnsi="Arial" w:cs="Arial"/>
          <w:lang w:val="en-IN"/>
        </w:rPr>
      </w:pPr>
    </w:p>
    <w:p w14:paraId="0DEEDA56" w14:textId="77777777" w:rsidR="004A170E" w:rsidRDefault="004A170E" w:rsidP="004A170E">
      <w:pPr>
        <w:pStyle w:val="Body"/>
        <w:spacing w:after="0"/>
        <w:rPr>
          <w:rFonts w:ascii="Arial" w:hAnsi="Arial" w:cs="Arial"/>
          <w:lang w:val="en-IN"/>
        </w:rPr>
      </w:pPr>
    </w:p>
    <w:p w14:paraId="5B370B00" w14:textId="7929EA1B" w:rsidR="004A170E" w:rsidRDefault="004A170E" w:rsidP="004A170E">
      <w:pPr>
        <w:pStyle w:val="Body"/>
        <w:spacing w:after="0"/>
        <w:rPr>
          <w:rFonts w:ascii="Arial" w:hAnsi="Arial" w:cs="Arial"/>
          <w:lang w:val="en-IN"/>
        </w:rPr>
      </w:pPr>
      <w:r w:rsidRPr="00266C6C">
        <w:rPr>
          <w:rFonts w:ascii="Arial" w:hAnsi="Arial" w:cs="Arial"/>
          <w:b/>
          <w:bCs/>
          <w:lang w:val="en-IN"/>
        </w:rPr>
        <w:t>Table 3: Comparison of healthcare services in NTR and Guntur districts</w:t>
      </w:r>
    </w:p>
    <w:p w14:paraId="69ADE619" w14:textId="77777777" w:rsidR="004A170E" w:rsidRPr="00266C6C" w:rsidRDefault="004A170E" w:rsidP="004A170E">
      <w:pPr>
        <w:pStyle w:val="Body"/>
        <w:spacing w:after="0"/>
        <w:rPr>
          <w:rFonts w:ascii="Arial" w:hAnsi="Arial" w:cs="Arial"/>
          <w:lang w:val="en-IN"/>
        </w:rPr>
      </w:pPr>
    </w:p>
    <w:p w14:paraId="4F614AE3" w14:textId="77777777" w:rsidR="004A170E" w:rsidRPr="00266C6C" w:rsidRDefault="004A170E" w:rsidP="004A170E">
      <w:pPr>
        <w:pStyle w:val="Body"/>
        <w:spacing w:after="0"/>
        <w:rPr>
          <w:rFonts w:ascii="Arial" w:hAnsi="Arial" w:cs="Arial"/>
          <w:i/>
          <w:iCs/>
          <w:lang w:val="en-IN"/>
        </w:rPr>
      </w:pPr>
      <w:r w:rsidRPr="00266C6C">
        <w:rPr>
          <w:rFonts w:ascii="Arial" w:hAnsi="Arial" w:cs="Arial"/>
          <w:i/>
          <w:iCs/>
          <w:lang w:val="en-IN"/>
        </w:rPr>
        <w:t>“….the laboratory room is very congested, it becomes difficult to function on crowded OPD days. As there are increased number of lab investigations now, no place to accommodate the new equipment.”</w:t>
      </w:r>
    </w:p>
    <w:p w14:paraId="6282BF54" w14:textId="77777777" w:rsidR="004A170E" w:rsidRPr="00266C6C" w:rsidRDefault="004A170E" w:rsidP="004A170E">
      <w:pPr>
        <w:pStyle w:val="Body"/>
        <w:spacing w:after="0"/>
        <w:rPr>
          <w:rFonts w:ascii="Arial" w:hAnsi="Arial" w:cs="Arial"/>
          <w:i/>
          <w:iCs/>
          <w:lang w:val="en-IN"/>
        </w:rPr>
      </w:pPr>
      <w:r w:rsidRPr="00266C6C">
        <w:rPr>
          <w:rFonts w:ascii="Arial" w:hAnsi="Arial" w:cs="Arial"/>
          <w:i/>
          <w:iCs/>
          <w:lang w:val="en-IN"/>
        </w:rPr>
        <w:t>“…The labor room is quite small and can get really uncomfortable during the summer because it doesn't have air conditioning.”</w:t>
      </w:r>
    </w:p>
    <w:p w14:paraId="4CF2E3B0" w14:textId="77777777" w:rsidR="004A170E" w:rsidRPr="00266C6C" w:rsidRDefault="004A170E" w:rsidP="004A170E">
      <w:pPr>
        <w:pStyle w:val="Body"/>
        <w:spacing w:after="0"/>
        <w:rPr>
          <w:rFonts w:ascii="Arial" w:hAnsi="Arial" w:cs="Arial"/>
          <w:i/>
          <w:iCs/>
          <w:lang w:val="en-IN"/>
        </w:rPr>
      </w:pPr>
      <w:r w:rsidRPr="00266C6C">
        <w:rPr>
          <w:rFonts w:ascii="Arial" w:hAnsi="Arial" w:cs="Arial"/>
          <w:i/>
          <w:iCs/>
          <w:lang w:val="en-IN"/>
        </w:rPr>
        <w:t>“…Accessibility to facility is issue. Road is not well built. On road to facility, no lights, completely dark in night, dogs are there, snakes are there as farmlands is there on the way to facility.  Therefore, community hesitates to visit at night.”</w:t>
      </w:r>
    </w:p>
    <w:p w14:paraId="1D15BF8A" w14:textId="77777777" w:rsidR="004A170E" w:rsidRDefault="004A170E" w:rsidP="004A170E">
      <w:pPr>
        <w:pStyle w:val="Body"/>
        <w:spacing w:after="0"/>
        <w:rPr>
          <w:rFonts w:ascii="Arial" w:hAnsi="Arial" w:cs="Arial"/>
          <w:i/>
          <w:iCs/>
          <w:lang w:val="en-IN"/>
        </w:rPr>
      </w:pPr>
      <w:r w:rsidRPr="00266C6C">
        <w:rPr>
          <w:rFonts w:ascii="Arial" w:hAnsi="Arial" w:cs="Arial"/>
          <w:i/>
          <w:iCs/>
          <w:lang w:val="en-IN"/>
        </w:rPr>
        <w:t>“…The staff quarters do not feel safe at night since there is no security guard so I go back to another house I have taken on rent to stay...” – CHO</w:t>
      </w:r>
    </w:p>
    <w:p w14:paraId="6661DA7C" w14:textId="77777777" w:rsidR="004A170E" w:rsidRPr="00266C6C" w:rsidRDefault="004A170E" w:rsidP="004A170E">
      <w:pPr>
        <w:pStyle w:val="Body"/>
        <w:spacing w:after="0"/>
        <w:rPr>
          <w:rFonts w:ascii="Arial" w:hAnsi="Arial" w:cs="Arial"/>
          <w:i/>
          <w:iCs/>
          <w:lang w:val="en-IN"/>
        </w:rPr>
      </w:pPr>
    </w:p>
    <w:p w14:paraId="5307C094" w14:textId="77777777" w:rsidR="004A170E" w:rsidRDefault="004A170E" w:rsidP="004A170E">
      <w:pPr>
        <w:pStyle w:val="Body"/>
        <w:spacing w:after="0"/>
        <w:rPr>
          <w:rFonts w:ascii="Arial" w:hAnsi="Arial" w:cs="Arial"/>
          <w:lang w:val="en-IN"/>
        </w:rPr>
      </w:pPr>
      <w:r w:rsidRPr="00266C6C">
        <w:rPr>
          <w:rFonts w:ascii="Arial" w:hAnsi="Arial" w:cs="Arial"/>
          <w:lang w:val="en-IN"/>
        </w:rPr>
        <w:t xml:space="preserve">Based on quantitative and qualitative study findings, in infrastructure, it is evident that despite the availability of dedicated laboratory and labour room, there exists constraint regarding utility of the space, emphasizing need for improvement. The unavailability of residential quarters reflected the inability to provide 24*7 emergency services.  </w:t>
      </w:r>
    </w:p>
    <w:p w14:paraId="6B73DF6E" w14:textId="77777777" w:rsidR="004A170E" w:rsidRPr="00266C6C" w:rsidRDefault="004A170E" w:rsidP="004A170E">
      <w:pPr>
        <w:pStyle w:val="Body"/>
        <w:spacing w:after="0"/>
        <w:rPr>
          <w:rFonts w:ascii="Arial" w:hAnsi="Arial" w:cs="Arial"/>
          <w:lang w:val="en-IN"/>
        </w:rPr>
      </w:pPr>
    </w:p>
    <w:p w14:paraId="574F6DDB" w14:textId="77777777" w:rsidR="004A170E" w:rsidRPr="002C3943" w:rsidRDefault="004A170E" w:rsidP="004A170E">
      <w:pPr>
        <w:pStyle w:val="Body"/>
        <w:spacing w:after="0"/>
        <w:rPr>
          <w:rFonts w:ascii="Arial" w:hAnsi="Arial" w:cs="Arial"/>
          <w:b/>
          <w:bCs/>
          <w:u w:val="single"/>
          <w:lang w:val="en-IN"/>
        </w:rPr>
      </w:pPr>
      <w:r w:rsidRPr="002C3943">
        <w:rPr>
          <w:rFonts w:ascii="Arial" w:hAnsi="Arial" w:cs="Arial"/>
          <w:b/>
          <w:bCs/>
          <w:u w:val="single"/>
          <w:lang w:val="en-IN"/>
        </w:rPr>
        <w:t>3.1.3 Service Delivery</w:t>
      </w:r>
    </w:p>
    <w:p w14:paraId="1D363DCE" w14:textId="77777777" w:rsidR="004A170E" w:rsidRPr="00266C6C" w:rsidRDefault="004A170E" w:rsidP="004A170E">
      <w:pPr>
        <w:pStyle w:val="Body"/>
        <w:spacing w:after="0"/>
        <w:rPr>
          <w:rFonts w:ascii="Arial" w:hAnsi="Arial" w:cs="Arial"/>
          <w:lang w:val="en-IN"/>
        </w:rPr>
      </w:pPr>
      <w:r w:rsidRPr="00266C6C">
        <w:rPr>
          <w:rFonts w:ascii="Arial" w:hAnsi="Arial" w:cs="Arial"/>
          <w:lang w:val="en-IN"/>
        </w:rPr>
        <w:t xml:space="preserve">All visited facilities provided at least 10 out of the 12 comprehensive primary healthcare services, including maternal and child health, family planning, communicable and non-communicable disease management, and basic ophthalmic and oral care. Mental health services and emergency care, however, were inconsistent across centres (Table 3). Services such as health promotion, Village Health and Nutrition Day (VHND), and school health activities were conducted periodically, ensuring robust community outreach. </w:t>
      </w:r>
    </w:p>
    <w:p w14:paraId="0D11AEBF" w14:textId="77777777" w:rsidR="004A170E" w:rsidRDefault="004A170E" w:rsidP="005E5157">
      <w:pPr>
        <w:pStyle w:val="Body"/>
        <w:spacing w:after="0"/>
        <w:rPr>
          <w:rFonts w:ascii="Arial" w:hAnsi="Arial" w:cs="Arial"/>
          <w:b/>
          <w:bCs/>
          <w:u w:val="single"/>
          <w:lang w:val="en-IN"/>
        </w:rPr>
      </w:pPr>
    </w:p>
    <w:p w14:paraId="0F31683D" w14:textId="350B498E" w:rsidR="005E5157" w:rsidRPr="002C3943" w:rsidRDefault="005E5157" w:rsidP="005E5157">
      <w:pPr>
        <w:pStyle w:val="Body"/>
        <w:spacing w:after="0"/>
        <w:rPr>
          <w:rFonts w:ascii="Arial" w:hAnsi="Arial" w:cs="Arial"/>
          <w:b/>
          <w:bCs/>
          <w:u w:val="single"/>
          <w:lang w:val="en-IN"/>
        </w:rPr>
      </w:pPr>
      <w:r w:rsidRPr="002C3943">
        <w:rPr>
          <w:rFonts w:ascii="Arial" w:hAnsi="Arial" w:cs="Arial"/>
          <w:b/>
          <w:bCs/>
          <w:u w:val="single"/>
          <w:lang w:val="en-IN"/>
        </w:rPr>
        <w:t>3.1.4 Medicines and Diagnostics</w:t>
      </w:r>
    </w:p>
    <w:p w14:paraId="7578B1FE" w14:textId="77777777" w:rsidR="005E5157" w:rsidRDefault="005E5157" w:rsidP="005E5157">
      <w:pPr>
        <w:pStyle w:val="Body"/>
        <w:spacing w:after="0"/>
        <w:rPr>
          <w:rFonts w:ascii="Arial" w:hAnsi="Arial" w:cs="Arial"/>
          <w:lang w:val="en-IN"/>
        </w:rPr>
      </w:pPr>
      <w:r w:rsidRPr="00266C6C">
        <w:rPr>
          <w:rFonts w:ascii="Arial" w:hAnsi="Arial" w:cs="Arial"/>
          <w:lang w:val="en-IN"/>
        </w:rPr>
        <w:t>Medicines were largely available as per state guidelines, with only occasional stockouts. The list of drugs available were displayed in all the facilities. None of the facilities reported drug expiry issues, and systems for reallocation of near-expiry medications were effective. Two-thirds (66.7%) of all facilities use Drugs and Vaccine Distribution Management System (DVDMS) or another state system for drug indenting. Table 4 presents key drug-related parameters across various healthcare facilities.</w:t>
      </w:r>
    </w:p>
    <w:p w14:paraId="32514234" w14:textId="77777777" w:rsidR="005E5157" w:rsidRPr="00266C6C" w:rsidRDefault="005E5157" w:rsidP="005E5157">
      <w:pPr>
        <w:pStyle w:val="Body"/>
        <w:spacing w:after="0"/>
        <w:rPr>
          <w:rFonts w:ascii="Arial" w:hAnsi="Arial" w:cs="Arial"/>
          <w:lang w:val="en-IN"/>
        </w:rPr>
      </w:pPr>
    </w:p>
    <w:p w14:paraId="63DE6814" w14:textId="5FB19EE7" w:rsidR="005E5157" w:rsidRDefault="005E5157" w:rsidP="00266C6C">
      <w:pPr>
        <w:pStyle w:val="Body"/>
        <w:spacing w:after="0"/>
        <w:rPr>
          <w:rFonts w:ascii="Arial" w:hAnsi="Arial" w:cs="Arial"/>
          <w:lang w:val="en-IN"/>
        </w:rPr>
      </w:pPr>
      <w:r w:rsidRPr="00266C6C">
        <w:rPr>
          <w:rFonts w:ascii="Arial" w:hAnsi="Arial" w:cs="Arial"/>
          <w:lang w:val="en-IN"/>
        </w:rPr>
        <w:t>Diagnostic services at Ayushman Arogya Mandirs are primarily delivered in-house, with facilities meeting the minimum equipment requirements outlined by IPHS. All centres displayed updated lists of diagnostic tests, ensuring transparency and accessibility. Regular preventive maintenance and calibration of equipment are conducted through either public-private partnerships (PPP) or in-house service engineers. As most diagnostic facilities operate in-house, there is no requirement for a sample transport system. Table 5 demonstrates the parameters associated with diagnostics across healthcare facilities in Andhra Pradesh</w:t>
      </w:r>
      <w:r>
        <w:rPr>
          <w:rFonts w:ascii="Arial" w:hAnsi="Arial" w:cs="Arial"/>
          <w:lang w:val="en-IN"/>
        </w:rPr>
        <w:t>.</w:t>
      </w:r>
    </w:p>
    <w:p w14:paraId="33834AE8" w14:textId="77777777" w:rsidR="005E5157" w:rsidRDefault="005E5157" w:rsidP="005E5157">
      <w:pPr>
        <w:pStyle w:val="Body"/>
        <w:spacing w:after="0"/>
        <w:rPr>
          <w:rFonts w:ascii="Arial" w:hAnsi="Arial" w:cs="Arial"/>
          <w:b/>
          <w:bCs/>
          <w:lang w:val="en-IN"/>
        </w:rPr>
      </w:pPr>
    </w:p>
    <w:p w14:paraId="10A25385" w14:textId="134A7875" w:rsidR="005E5157" w:rsidRPr="00266C6C" w:rsidRDefault="005E5157" w:rsidP="005E5157">
      <w:pPr>
        <w:pStyle w:val="Body"/>
        <w:spacing w:after="0"/>
        <w:rPr>
          <w:rFonts w:ascii="Arial" w:hAnsi="Arial" w:cs="Arial"/>
          <w:b/>
          <w:bCs/>
          <w:lang w:val="en-IN"/>
        </w:rPr>
      </w:pPr>
    </w:p>
    <w:p w14:paraId="0CED8C81" w14:textId="77777777" w:rsidR="005E5157" w:rsidRDefault="005E5157" w:rsidP="00266C6C">
      <w:pPr>
        <w:pStyle w:val="Body"/>
        <w:spacing w:after="0"/>
        <w:rPr>
          <w:rFonts w:ascii="Arial" w:hAnsi="Arial" w:cs="Arial"/>
          <w:lang w:val="en-IN"/>
        </w:rPr>
      </w:pPr>
    </w:p>
    <w:p w14:paraId="2E873886" w14:textId="77777777" w:rsidR="005E5157" w:rsidRDefault="005E5157" w:rsidP="00266C6C">
      <w:pPr>
        <w:pStyle w:val="Body"/>
        <w:spacing w:after="0"/>
        <w:rPr>
          <w:rFonts w:ascii="Arial" w:hAnsi="Arial" w:cs="Arial"/>
          <w:lang w:val="en-IN"/>
        </w:rPr>
      </w:pPr>
    </w:p>
    <w:p w14:paraId="39B8A1BC" w14:textId="77777777" w:rsidR="005E5157" w:rsidRDefault="005E5157" w:rsidP="00266C6C">
      <w:pPr>
        <w:pStyle w:val="Body"/>
        <w:spacing w:after="0"/>
        <w:rPr>
          <w:rFonts w:ascii="Arial" w:hAnsi="Arial" w:cs="Arial"/>
          <w:b/>
          <w:bCs/>
          <w:lang w:val="en-IN"/>
        </w:rPr>
      </w:pPr>
    </w:p>
    <w:p w14:paraId="26EC8A1D" w14:textId="5CB0FD2D"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4: Availability of Essential Medicines</w:t>
      </w:r>
    </w:p>
    <w:tbl>
      <w:tblPr>
        <w:tblStyle w:val="PlainTable2"/>
        <w:tblW w:w="0" w:type="auto"/>
        <w:tblLook w:val="04A0" w:firstRow="1" w:lastRow="0" w:firstColumn="1" w:lastColumn="0" w:noHBand="0" w:noVBand="1"/>
      </w:tblPr>
      <w:tblGrid>
        <w:gridCol w:w="9588"/>
        <w:gridCol w:w="1183"/>
      </w:tblGrid>
      <w:tr w:rsidR="00266C6C" w:rsidRPr="00266C6C" w14:paraId="00F31AD4" w14:textId="77777777" w:rsidTr="00E458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7B4BC2"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Indicator</w:t>
            </w:r>
          </w:p>
        </w:tc>
        <w:tc>
          <w:tcPr>
            <w:tcW w:w="0" w:type="auto"/>
            <w:hideMark/>
          </w:tcPr>
          <w:p w14:paraId="2416276C"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Total n(%)</w:t>
            </w:r>
          </w:p>
        </w:tc>
      </w:tr>
      <w:tr w:rsidR="00266C6C" w:rsidRPr="00266C6C" w14:paraId="53CF8F24" w14:textId="77777777" w:rsidTr="00E4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58DA29"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Display of updated Essential Medicines at the facility </w:t>
            </w:r>
          </w:p>
        </w:tc>
        <w:tc>
          <w:tcPr>
            <w:tcW w:w="0" w:type="auto"/>
            <w:hideMark/>
          </w:tcPr>
          <w:p w14:paraId="30B611A4"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43B1413D" w14:textId="77777777" w:rsidTr="00E45836">
        <w:tc>
          <w:tcPr>
            <w:cnfStyle w:val="001000000000" w:firstRow="0" w:lastRow="0" w:firstColumn="1" w:lastColumn="0" w:oddVBand="0" w:evenVBand="0" w:oddHBand="0" w:evenHBand="0" w:firstRowFirstColumn="0" w:firstRowLastColumn="0" w:lastRowFirstColumn="0" w:lastRowLastColumn="0"/>
            <w:tcW w:w="0" w:type="auto"/>
            <w:hideMark/>
          </w:tcPr>
          <w:p w14:paraId="5CB33001"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Average duration for which medicines are dispensed to patients with chronic conditions like DM/ HTN/ etc.</w:t>
            </w:r>
          </w:p>
        </w:tc>
        <w:tc>
          <w:tcPr>
            <w:tcW w:w="0" w:type="auto"/>
            <w:hideMark/>
          </w:tcPr>
          <w:p w14:paraId="6145894D"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30 days</w:t>
            </w:r>
          </w:p>
        </w:tc>
      </w:tr>
      <w:tr w:rsidR="00266C6C" w:rsidRPr="00266C6C" w14:paraId="2723A9C5" w14:textId="77777777" w:rsidTr="00E4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09B14"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Is DVDMS or any other State system being used for indenting drugs? </w:t>
            </w:r>
          </w:p>
        </w:tc>
        <w:tc>
          <w:tcPr>
            <w:tcW w:w="0" w:type="auto"/>
            <w:hideMark/>
          </w:tcPr>
          <w:p w14:paraId="37EA008B"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 (66.7)</w:t>
            </w:r>
          </w:p>
        </w:tc>
      </w:tr>
    </w:tbl>
    <w:p w14:paraId="1E34A9CF" w14:textId="77777777" w:rsidR="00266C6C" w:rsidRPr="00266C6C" w:rsidRDefault="00266C6C" w:rsidP="00266C6C">
      <w:pPr>
        <w:pStyle w:val="Body"/>
        <w:spacing w:after="0"/>
        <w:rPr>
          <w:rFonts w:ascii="Arial" w:hAnsi="Arial" w:cs="Arial"/>
          <w:b/>
          <w:bCs/>
          <w:lang w:val="en-IN"/>
        </w:rPr>
      </w:pPr>
    </w:p>
    <w:p w14:paraId="6563295D" w14:textId="77777777" w:rsidR="00266C6C" w:rsidRPr="00266C6C" w:rsidRDefault="00266C6C" w:rsidP="00266C6C">
      <w:pPr>
        <w:pStyle w:val="Body"/>
        <w:spacing w:after="0"/>
        <w:rPr>
          <w:rFonts w:ascii="Arial" w:hAnsi="Arial" w:cs="Arial"/>
          <w:b/>
          <w:bCs/>
          <w:lang w:val="en-IN"/>
        </w:rPr>
      </w:pPr>
    </w:p>
    <w:p w14:paraId="2836B359" w14:textId="77777777"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5 : Availability of Essential Diagnostics</w:t>
      </w:r>
    </w:p>
    <w:tbl>
      <w:tblPr>
        <w:tblStyle w:val="PlainTable2"/>
        <w:tblW w:w="0" w:type="auto"/>
        <w:tblLook w:val="04A0" w:firstRow="1" w:lastRow="0" w:firstColumn="1" w:lastColumn="0" w:noHBand="0" w:noVBand="1"/>
      </w:tblPr>
      <w:tblGrid>
        <w:gridCol w:w="9354"/>
        <w:gridCol w:w="1183"/>
      </w:tblGrid>
      <w:tr w:rsidR="00266C6C" w:rsidRPr="00266C6C" w14:paraId="15536181" w14:textId="77777777" w:rsidTr="009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8B19A6"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Indicator</w:t>
            </w:r>
          </w:p>
        </w:tc>
        <w:tc>
          <w:tcPr>
            <w:tcW w:w="0" w:type="auto"/>
            <w:hideMark/>
          </w:tcPr>
          <w:p w14:paraId="5463D79C"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Total n(%)</w:t>
            </w:r>
          </w:p>
        </w:tc>
      </w:tr>
      <w:tr w:rsidR="00266C6C" w:rsidRPr="00266C6C" w14:paraId="0A475F9B"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D03F92"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Diagnostic services delivered through ‘In-house’ mode</w:t>
            </w:r>
          </w:p>
        </w:tc>
        <w:tc>
          <w:tcPr>
            <w:tcW w:w="0" w:type="auto"/>
            <w:hideMark/>
          </w:tcPr>
          <w:p w14:paraId="6223963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3477EAE7"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6F2B6EAF"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Updated list of diagnostic tests displayed at the facility </w:t>
            </w:r>
          </w:p>
        </w:tc>
        <w:tc>
          <w:tcPr>
            <w:tcW w:w="0" w:type="auto"/>
            <w:hideMark/>
          </w:tcPr>
          <w:p w14:paraId="7042244F"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6AB4B426"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7B71A9"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Awareness among healthcare staff about Toll-Free Number for lodging complaints for equipment failure</w:t>
            </w:r>
          </w:p>
        </w:tc>
        <w:tc>
          <w:tcPr>
            <w:tcW w:w="0" w:type="auto"/>
            <w:hideMark/>
          </w:tcPr>
          <w:p w14:paraId="55C4671D"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11 (91.7)</w:t>
            </w:r>
          </w:p>
        </w:tc>
      </w:tr>
      <w:tr w:rsidR="00266C6C" w:rsidRPr="00266C6C" w14:paraId="27668C1E"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3170163C"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Availability of sample transport system  </w:t>
            </w:r>
          </w:p>
        </w:tc>
        <w:tc>
          <w:tcPr>
            <w:tcW w:w="0" w:type="auto"/>
            <w:hideMark/>
          </w:tcPr>
          <w:p w14:paraId="3411BC03"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10 (83.3)</w:t>
            </w:r>
          </w:p>
        </w:tc>
      </w:tr>
    </w:tbl>
    <w:p w14:paraId="241A2A40" w14:textId="77777777" w:rsidR="00266C6C" w:rsidRPr="00266C6C" w:rsidRDefault="00266C6C" w:rsidP="00266C6C">
      <w:pPr>
        <w:pStyle w:val="Body"/>
        <w:spacing w:after="0"/>
        <w:rPr>
          <w:rFonts w:ascii="Arial" w:hAnsi="Arial" w:cs="Arial"/>
          <w:b/>
          <w:bCs/>
          <w:lang w:val="en-IN"/>
        </w:rPr>
      </w:pPr>
    </w:p>
    <w:p w14:paraId="1AD39A71" w14:textId="77777777" w:rsidR="00266C6C" w:rsidRPr="00266C6C" w:rsidRDefault="00266C6C" w:rsidP="00266C6C">
      <w:pPr>
        <w:pStyle w:val="Body"/>
        <w:spacing w:after="0"/>
        <w:rPr>
          <w:rFonts w:ascii="Arial" w:hAnsi="Arial" w:cs="Arial"/>
          <w:lang w:val="en-IN"/>
        </w:rPr>
      </w:pPr>
      <w:r w:rsidRPr="00266C6C">
        <w:rPr>
          <w:rFonts w:ascii="Arial" w:hAnsi="Arial" w:cs="Arial"/>
          <w:i/>
          <w:iCs/>
          <w:lang w:val="en-IN"/>
        </w:rPr>
        <w:t xml:space="preserve">“blood tests are happening free of cost and medicines are available free of cost here, this has been very helpful” – </w:t>
      </w:r>
      <w:r w:rsidRPr="00266C6C">
        <w:rPr>
          <w:rFonts w:ascii="Arial" w:hAnsi="Arial" w:cs="Arial"/>
          <w:lang w:val="en-IN"/>
        </w:rPr>
        <w:t>Patient interaction</w:t>
      </w:r>
    </w:p>
    <w:p w14:paraId="42D89593" w14:textId="77777777" w:rsidR="00266C6C" w:rsidRDefault="00266C6C" w:rsidP="00266C6C">
      <w:pPr>
        <w:pStyle w:val="Body"/>
        <w:spacing w:after="0"/>
        <w:rPr>
          <w:rFonts w:ascii="Arial" w:hAnsi="Arial" w:cs="Arial"/>
          <w:i/>
          <w:iCs/>
          <w:lang w:val="en-IN"/>
        </w:rPr>
      </w:pPr>
    </w:p>
    <w:p w14:paraId="50032BF5" w14:textId="77777777" w:rsidR="009F3A40" w:rsidRPr="00266C6C" w:rsidRDefault="009F3A40" w:rsidP="00266C6C">
      <w:pPr>
        <w:pStyle w:val="Body"/>
        <w:spacing w:after="0"/>
        <w:rPr>
          <w:rFonts w:ascii="Arial" w:hAnsi="Arial" w:cs="Arial"/>
          <w:i/>
          <w:iCs/>
          <w:lang w:val="en-IN"/>
        </w:rPr>
      </w:pPr>
    </w:p>
    <w:p w14:paraId="09EF0EE8" w14:textId="607817DB" w:rsidR="00266C6C" w:rsidRPr="002C3943" w:rsidRDefault="009F3A40" w:rsidP="00266C6C">
      <w:pPr>
        <w:pStyle w:val="Body"/>
        <w:spacing w:after="0"/>
        <w:rPr>
          <w:rFonts w:ascii="Arial" w:hAnsi="Arial" w:cs="Arial"/>
          <w:b/>
          <w:bCs/>
          <w:u w:val="single"/>
          <w:lang w:val="en-IN"/>
        </w:rPr>
      </w:pPr>
      <w:r w:rsidRPr="002C3943">
        <w:rPr>
          <w:rFonts w:ascii="Arial" w:hAnsi="Arial" w:cs="Arial"/>
          <w:b/>
          <w:bCs/>
          <w:u w:val="single"/>
          <w:lang w:val="en-IN"/>
        </w:rPr>
        <w:t xml:space="preserve">3.1.5 </w:t>
      </w:r>
      <w:r w:rsidR="00266C6C" w:rsidRPr="002C3943">
        <w:rPr>
          <w:rFonts w:ascii="Arial" w:hAnsi="Arial" w:cs="Arial"/>
          <w:b/>
          <w:bCs/>
          <w:u w:val="single"/>
          <w:lang w:val="en-IN"/>
        </w:rPr>
        <w:t>IT-Based Solutions</w:t>
      </w:r>
    </w:p>
    <w:p w14:paraId="331BA057"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 xml:space="preserve">The state exhibited extensive use of Information Technology (IT) portals such as e-Sanjeevani for teleconsultation, e-Oushadhi for drug management, and mobile applications for service documentation. Teleconsultation services were well-implemented, particularly in  AAM SHCs, with an average of 202 consultations per month. State specific digital platforms like MO AP Health,  ANM AP Health and e-ASHA were effectively utilized, though discrepancies in data management persisted. Table 6 shows the comparison of digital service usage and efficiency across SHCs, UPHCs, and PHCs, focusing on portal usage, registration time, and teleconsultation metrics. </w:t>
      </w:r>
    </w:p>
    <w:p w14:paraId="45E2FD13" w14:textId="77777777" w:rsidR="00266C6C" w:rsidRPr="00266C6C" w:rsidRDefault="00266C6C" w:rsidP="00266C6C">
      <w:pPr>
        <w:pStyle w:val="Body"/>
        <w:spacing w:after="0"/>
        <w:rPr>
          <w:rFonts w:ascii="Arial" w:hAnsi="Arial" w:cs="Arial"/>
          <w:lang w:val="en-IN"/>
        </w:rPr>
      </w:pPr>
    </w:p>
    <w:p w14:paraId="3013A914" w14:textId="77777777"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6: Digital service usage and efficiency across SHCs, UPHCs, and PHCs</w:t>
      </w:r>
    </w:p>
    <w:tbl>
      <w:tblPr>
        <w:tblStyle w:val="PlainTable2"/>
        <w:tblW w:w="9528" w:type="dxa"/>
        <w:tblLook w:val="0420" w:firstRow="1" w:lastRow="0" w:firstColumn="0" w:lastColumn="0" w:noHBand="0" w:noVBand="1"/>
      </w:tblPr>
      <w:tblGrid>
        <w:gridCol w:w="5730"/>
        <w:gridCol w:w="1359"/>
        <w:gridCol w:w="1372"/>
        <w:gridCol w:w="1067"/>
      </w:tblGrid>
      <w:tr w:rsidR="00266C6C" w:rsidRPr="00266C6C" w14:paraId="24679B24" w14:textId="77777777" w:rsidTr="009F3A40">
        <w:trPr>
          <w:cnfStyle w:val="100000000000" w:firstRow="1" w:lastRow="0" w:firstColumn="0" w:lastColumn="0" w:oddVBand="0" w:evenVBand="0" w:oddHBand="0" w:evenHBand="0" w:firstRowFirstColumn="0" w:firstRowLastColumn="0" w:lastRowFirstColumn="0" w:lastRowLastColumn="0"/>
          <w:trHeight w:val="660"/>
        </w:trPr>
        <w:tc>
          <w:tcPr>
            <w:tcW w:w="5730" w:type="dxa"/>
          </w:tcPr>
          <w:p w14:paraId="7D4A42AC" w14:textId="77777777" w:rsidR="00266C6C" w:rsidRPr="00266C6C" w:rsidRDefault="00266C6C" w:rsidP="00266C6C">
            <w:pPr>
              <w:pStyle w:val="Body"/>
              <w:rPr>
                <w:rFonts w:ascii="Arial" w:hAnsi="Arial" w:cs="Arial"/>
                <w:lang w:val="en-IN"/>
              </w:rPr>
            </w:pPr>
            <w:r w:rsidRPr="00266C6C">
              <w:rPr>
                <w:rFonts w:ascii="Arial" w:hAnsi="Arial" w:cs="Arial"/>
                <w:lang w:val="en-IN"/>
              </w:rPr>
              <w:t>Components</w:t>
            </w:r>
          </w:p>
        </w:tc>
        <w:tc>
          <w:tcPr>
            <w:tcW w:w="1359" w:type="dxa"/>
          </w:tcPr>
          <w:p w14:paraId="24ECBB98" w14:textId="77777777" w:rsidR="00266C6C" w:rsidRPr="00266C6C" w:rsidRDefault="00266C6C" w:rsidP="00266C6C">
            <w:pPr>
              <w:pStyle w:val="Body"/>
              <w:rPr>
                <w:rFonts w:ascii="Arial" w:hAnsi="Arial" w:cs="Arial"/>
                <w:lang w:val="en-IN"/>
              </w:rPr>
            </w:pPr>
            <w:r w:rsidRPr="00266C6C">
              <w:rPr>
                <w:rFonts w:ascii="Arial" w:hAnsi="Arial" w:cs="Arial"/>
                <w:lang w:val="en-IN"/>
              </w:rPr>
              <w:t>AAM-SHC</w:t>
            </w:r>
          </w:p>
        </w:tc>
        <w:tc>
          <w:tcPr>
            <w:tcW w:w="1372" w:type="dxa"/>
          </w:tcPr>
          <w:p w14:paraId="28E57A7B" w14:textId="77777777" w:rsidR="00266C6C" w:rsidRPr="00266C6C" w:rsidRDefault="00266C6C" w:rsidP="00266C6C">
            <w:pPr>
              <w:pStyle w:val="Body"/>
              <w:rPr>
                <w:rFonts w:ascii="Arial" w:hAnsi="Arial" w:cs="Arial"/>
                <w:lang w:val="en-IN"/>
              </w:rPr>
            </w:pPr>
            <w:r w:rsidRPr="00266C6C">
              <w:rPr>
                <w:rFonts w:ascii="Arial" w:hAnsi="Arial" w:cs="Arial"/>
                <w:lang w:val="en-IN"/>
              </w:rPr>
              <w:t>AAM-UPHC</w:t>
            </w:r>
          </w:p>
        </w:tc>
        <w:tc>
          <w:tcPr>
            <w:tcW w:w="1067" w:type="dxa"/>
          </w:tcPr>
          <w:p w14:paraId="0698865F" w14:textId="77777777" w:rsidR="00266C6C" w:rsidRPr="00266C6C" w:rsidRDefault="00266C6C" w:rsidP="00266C6C">
            <w:pPr>
              <w:pStyle w:val="Body"/>
              <w:rPr>
                <w:rFonts w:ascii="Arial" w:hAnsi="Arial" w:cs="Arial"/>
                <w:lang w:val="en-IN"/>
              </w:rPr>
            </w:pPr>
            <w:r w:rsidRPr="00266C6C">
              <w:rPr>
                <w:rFonts w:ascii="Arial" w:hAnsi="Arial" w:cs="Arial"/>
                <w:lang w:val="en-IN"/>
              </w:rPr>
              <w:t>AAM-PHC</w:t>
            </w:r>
          </w:p>
        </w:tc>
      </w:tr>
      <w:tr w:rsidR="00266C6C" w:rsidRPr="00266C6C" w14:paraId="091715C9" w14:textId="77777777" w:rsidTr="009F3A40">
        <w:trPr>
          <w:cnfStyle w:val="000000100000" w:firstRow="0" w:lastRow="0" w:firstColumn="0" w:lastColumn="0" w:oddVBand="0" w:evenVBand="0" w:oddHBand="1" w:evenHBand="0" w:firstRowFirstColumn="0" w:firstRowLastColumn="0" w:lastRowFirstColumn="0" w:lastRowLastColumn="0"/>
          <w:trHeight w:val="660"/>
        </w:trPr>
        <w:tc>
          <w:tcPr>
            <w:tcW w:w="5730" w:type="dxa"/>
          </w:tcPr>
          <w:p w14:paraId="35B7897F" w14:textId="77777777" w:rsidR="00266C6C" w:rsidRPr="00266C6C" w:rsidRDefault="00266C6C" w:rsidP="00266C6C">
            <w:pPr>
              <w:pStyle w:val="Body"/>
              <w:rPr>
                <w:rFonts w:ascii="Arial" w:hAnsi="Arial" w:cs="Arial"/>
                <w:lang w:val="en-IN"/>
              </w:rPr>
            </w:pPr>
            <w:r w:rsidRPr="00266C6C">
              <w:rPr>
                <w:rFonts w:ascii="Arial" w:hAnsi="Arial" w:cs="Arial"/>
                <w:lang w:val="en-IN"/>
              </w:rPr>
              <w:t xml:space="preserve">No. of Portals used in the facilities </w:t>
            </w:r>
          </w:p>
        </w:tc>
        <w:tc>
          <w:tcPr>
            <w:tcW w:w="1359" w:type="dxa"/>
          </w:tcPr>
          <w:p w14:paraId="5D22A9AC" w14:textId="77777777" w:rsidR="00266C6C" w:rsidRPr="00266C6C" w:rsidRDefault="00266C6C" w:rsidP="00266C6C">
            <w:pPr>
              <w:pStyle w:val="Body"/>
              <w:rPr>
                <w:rFonts w:ascii="Arial" w:hAnsi="Arial" w:cs="Arial"/>
                <w:lang w:val="en-IN"/>
              </w:rPr>
            </w:pPr>
            <w:r w:rsidRPr="00266C6C">
              <w:rPr>
                <w:rFonts w:ascii="Arial" w:hAnsi="Arial" w:cs="Arial"/>
                <w:lang w:val="en-IN"/>
              </w:rPr>
              <w:t>9</w:t>
            </w:r>
          </w:p>
        </w:tc>
        <w:tc>
          <w:tcPr>
            <w:tcW w:w="1372" w:type="dxa"/>
          </w:tcPr>
          <w:p w14:paraId="15D411D7" w14:textId="77777777" w:rsidR="00266C6C" w:rsidRPr="00266C6C" w:rsidRDefault="00266C6C" w:rsidP="00266C6C">
            <w:pPr>
              <w:pStyle w:val="Body"/>
              <w:rPr>
                <w:rFonts w:ascii="Arial" w:hAnsi="Arial" w:cs="Arial"/>
                <w:lang w:val="en-IN"/>
              </w:rPr>
            </w:pPr>
            <w:r w:rsidRPr="00266C6C">
              <w:rPr>
                <w:rFonts w:ascii="Arial" w:hAnsi="Arial" w:cs="Arial"/>
                <w:lang w:val="en-IN"/>
              </w:rPr>
              <w:t>13</w:t>
            </w:r>
          </w:p>
        </w:tc>
        <w:tc>
          <w:tcPr>
            <w:tcW w:w="1067" w:type="dxa"/>
          </w:tcPr>
          <w:p w14:paraId="03BD1D3B" w14:textId="77777777" w:rsidR="00266C6C" w:rsidRPr="00266C6C" w:rsidRDefault="00266C6C" w:rsidP="00266C6C">
            <w:pPr>
              <w:pStyle w:val="Body"/>
              <w:rPr>
                <w:rFonts w:ascii="Arial" w:hAnsi="Arial" w:cs="Arial"/>
                <w:lang w:val="en-IN"/>
              </w:rPr>
            </w:pPr>
            <w:r w:rsidRPr="00266C6C">
              <w:rPr>
                <w:rFonts w:ascii="Arial" w:hAnsi="Arial" w:cs="Arial"/>
                <w:lang w:val="en-IN"/>
              </w:rPr>
              <w:t>13</w:t>
            </w:r>
          </w:p>
        </w:tc>
      </w:tr>
      <w:tr w:rsidR="00266C6C" w:rsidRPr="00266C6C" w14:paraId="7DB3085F" w14:textId="77777777" w:rsidTr="009F3A40">
        <w:trPr>
          <w:trHeight w:val="375"/>
        </w:trPr>
        <w:tc>
          <w:tcPr>
            <w:tcW w:w="5730" w:type="dxa"/>
            <w:hideMark/>
          </w:tcPr>
          <w:p w14:paraId="55AB8015" w14:textId="77777777" w:rsidR="00266C6C" w:rsidRPr="00266C6C" w:rsidRDefault="00266C6C" w:rsidP="00266C6C">
            <w:pPr>
              <w:pStyle w:val="Body"/>
              <w:rPr>
                <w:rFonts w:ascii="Arial" w:hAnsi="Arial" w:cs="Arial"/>
                <w:lang w:val="en-IN"/>
              </w:rPr>
            </w:pPr>
            <w:r w:rsidRPr="00266C6C">
              <w:rPr>
                <w:rFonts w:ascii="Arial" w:hAnsi="Arial" w:cs="Arial"/>
                <w:lang w:val="en-IN"/>
              </w:rPr>
              <w:t>Portal or online Registration average time (in minutes)</w:t>
            </w:r>
          </w:p>
        </w:tc>
        <w:tc>
          <w:tcPr>
            <w:tcW w:w="1359" w:type="dxa"/>
            <w:hideMark/>
          </w:tcPr>
          <w:p w14:paraId="2F5D8B15" w14:textId="77777777" w:rsidR="00266C6C" w:rsidRPr="00266C6C" w:rsidRDefault="00266C6C" w:rsidP="00266C6C">
            <w:pPr>
              <w:pStyle w:val="Body"/>
              <w:rPr>
                <w:rFonts w:ascii="Arial" w:hAnsi="Arial" w:cs="Arial"/>
                <w:lang w:val="en-IN"/>
              </w:rPr>
            </w:pPr>
            <w:r w:rsidRPr="00266C6C">
              <w:rPr>
                <w:rFonts w:ascii="Arial" w:hAnsi="Arial" w:cs="Arial"/>
                <w:lang w:val="en-IN"/>
              </w:rPr>
              <w:t>12</w:t>
            </w:r>
          </w:p>
        </w:tc>
        <w:tc>
          <w:tcPr>
            <w:tcW w:w="1372" w:type="dxa"/>
            <w:hideMark/>
          </w:tcPr>
          <w:p w14:paraId="32AD7C39" w14:textId="77777777" w:rsidR="00266C6C" w:rsidRPr="00266C6C" w:rsidRDefault="00266C6C" w:rsidP="00266C6C">
            <w:pPr>
              <w:pStyle w:val="Body"/>
              <w:rPr>
                <w:rFonts w:ascii="Arial" w:hAnsi="Arial" w:cs="Arial"/>
                <w:lang w:val="en-IN"/>
              </w:rPr>
            </w:pPr>
            <w:r w:rsidRPr="00266C6C">
              <w:rPr>
                <w:rFonts w:ascii="Arial" w:hAnsi="Arial" w:cs="Arial"/>
                <w:lang w:val="en-IN"/>
              </w:rPr>
              <w:t>3.5</w:t>
            </w:r>
          </w:p>
        </w:tc>
        <w:tc>
          <w:tcPr>
            <w:tcW w:w="1067" w:type="dxa"/>
            <w:hideMark/>
          </w:tcPr>
          <w:p w14:paraId="44835725" w14:textId="77777777" w:rsidR="00266C6C" w:rsidRPr="00266C6C" w:rsidRDefault="00266C6C" w:rsidP="00266C6C">
            <w:pPr>
              <w:pStyle w:val="Body"/>
              <w:rPr>
                <w:rFonts w:ascii="Arial" w:hAnsi="Arial" w:cs="Arial"/>
                <w:lang w:val="en-IN"/>
              </w:rPr>
            </w:pPr>
            <w:r w:rsidRPr="00266C6C">
              <w:rPr>
                <w:rFonts w:ascii="Arial" w:hAnsi="Arial" w:cs="Arial"/>
                <w:lang w:val="en-IN"/>
              </w:rPr>
              <w:t>4</w:t>
            </w:r>
          </w:p>
        </w:tc>
      </w:tr>
      <w:tr w:rsidR="00266C6C" w:rsidRPr="00266C6C" w14:paraId="3AF4F1F6" w14:textId="77777777" w:rsidTr="009F3A40">
        <w:trPr>
          <w:cnfStyle w:val="000000100000" w:firstRow="0" w:lastRow="0" w:firstColumn="0" w:lastColumn="0" w:oddVBand="0" w:evenVBand="0" w:oddHBand="1" w:evenHBand="0" w:firstRowFirstColumn="0" w:firstRowLastColumn="0" w:lastRowFirstColumn="0" w:lastRowLastColumn="0"/>
          <w:trHeight w:val="375"/>
        </w:trPr>
        <w:tc>
          <w:tcPr>
            <w:tcW w:w="5730" w:type="dxa"/>
            <w:hideMark/>
          </w:tcPr>
          <w:p w14:paraId="58550DDC" w14:textId="77777777" w:rsidR="00266C6C" w:rsidRPr="00266C6C" w:rsidRDefault="00266C6C" w:rsidP="00266C6C">
            <w:pPr>
              <w:pStyle w:val="Body"/>
              <w:rPr>
                <w:rFonts w:ascii="Arial" w:hAnsi="Arial" w:cs="Arial"/>
                <w:lang w:val="en-IN"/>
              </w:rPr>
            </w:pPr>
            <w:r w:rsidRPr="00266C6C">
              <w:rPr>
                <w:rFonts w:ascii="Arial" w:hAnsi="Arial" w:cs="Arial"/>
                <w:lang w:val="en-IN"/>
              </w:rPr>
              <w:t>Average teleconsultation per month</w:t>
            </w:r>
          </w:p>
        </w:tc>
        <w:tc>
          <w:tcPr>
            <w:tcW w:w="1359" w:type="dxa"/>
            <w:hideMark/>
          </w:tcPr>
          <w:p w14:paraId="520199BF" w14:textId="77777777" w:rsidR="00266C6C" w:rsidRPr="00266C6C" w:rsidRDefault="00266C6C" w:rsidP="00266C6C">
            <w:pPr>
              <w:pStyle w:val="Body"/>
              <w:rPr>
                <w:rFonts w:ascii="Arial" w:hAnsi="Arial" w:cs="Arial"/>
                <w:lang w:val="en-IN"/>
              </w:rPr>
            </w:pPr>
            <w:r w:rsidRPr="00266C6C">
              <w:rPr>
                <w:rFonts w:ascii="Arial" w:hAnsi="Arial" w:cs="Arial"/>
                <w:lang w:val="en-IN"/>
              </w:rPr>
              <w:t>202</w:t>
            </w:r>
          </w:p>
        </w:tc>
        <w:tc>
          <w:tcPr>
            <w:tcW w:w="1372" w:type="dxa"/>
            <w:hideMark/>
          </w:tcPr>
          <w:p w14:paraId="227412A6" w14:textId="77777777" w:rsidR="00266C6C" w:rsidRPr="00266C6C" w:rsidRDefault="00266C6C" w:rsidP="00266C6C">
            <w:pPr>
              <w:pStyle w:val="Body"/>
              <w:rPr>
                <w:rFonts w:ascii="Arial" w:hAnsi="Arial" w:cs="Arial"/>
                <w:lang w:val="en-IN"/>
              </w:rPr>
            </w:pPr>
            <w:r w:rsidRPr="00266C6C">
              <w:rPr>
                <w:rFonts w:ascii="Arial" w:hAnsi="Arial" w:cs="Arial"/>
                <w:lang w:val="en-IN"/>
              </w:rPr>
              <w:t>112</w:t>
            </w:r>
          </w:p>
        </w:tc>
        <w:tc>
          <w:tcPr>
            <w:tcW w:w="1067" w:type="dxa"/>
            <w:hideMark/>
          </w:tcPr>
          <w:p w14:paraId="59FC311C" w14:textId="77777777" w:rsidR="00266C6C" w:rsidRPr="00266C6C" w:rsidRDefault="00266C6C" w:rsidP="00266C6C">
            <w:pPr>
              <w:pStyle w:val="Body"/>
              <w:rPr>
                <w:rFonts w:ascii="Arial" w:hAnsi="Arial" w:cs="Arial"/>
                <w:lang w:val="en-IN"/>
              </w:rPr>
            </w:pPr>
            <w:r w:rsidRPr="00266C6C">
              <w:rPr>
                <w:rFonts w:ascii="Arial" w:hAnsi="Arial" w:cs="Arial"/>
                <w:lang w:val="en-IN"/>
              </w:rPr>
              <w:t>63</w:t>
            </w:r>
          </w:p>
        </w:tc>
      </w:tr>
      <w:tr w:rsidR="00266C6C" w:rsidRPr="00266C6C" w14:paraId="317618A1" w14:textId="77777777" w:rsidTr="009F3A40">
        <w:trPr>
          <w:trHeight w:val="375"/>
        </w:trPr>
        <w:tc>
          <w:tcPr>
            <w:tcW w:w="5730" w:type="dxa"/>
            <w:hideMark/>
          </w:tcPr>
          <w:p w14:paraId="61F34EB2" w14:textId="77777777" w:rsidR="00266C6C" w:rsidRPr="00266C6C" w:rsidRDefault="00266C6C" w:rsidP="00266C6C">
            <w:pPr>
              <w:pStyle w:val="Body"/>
              <w:rPr>
                <w:rFonts w:ascii="Arial" w:hAnsi="Arial" w:cs="Arial"/>
                <w:lang w:val="en-IN"/>
              </w:rPr>
            </w:pPr>
            <w:r w:rsidRPr="00266C6C">
              <w:rPr>
                <w:rFonts w:ascii="Arial" w:hAnsi="Arial" w:cs="Arial"/>
                <w:lang w:val="en-IN"/>
              </w:rPr>
              <w:t>Average time taking for the Tele consultation (min)</w:t>
            </w:r>
          </w:p>
        </w:tc>
        <w:tc>
          <w:tcPr>
            <w:tcW w:w="1359" w:type="dxa"/>
            <w:hideMark/>
          </w:tcPr>
          <w:p w14:paraId="4E1EE4D2" w14:textId="77777777" w:rsidR="00266C6C" w:rsidRPr="00266C6C" w:rsidRDefault="00266C6C" w:rsidP="00266C6C">
            <w:pPr>
              <w:pStyle w:val="Body"/>
              <w:rPr>
                <w:rFonts w:ascii="Arial" w:hAnsi="Arial" w:cs="Arial"/>
                <w:lang w:val="en-IN"/>
              </w:rPr>
            </w:pPr>
            <w:r w:rsidRPr="00266C6C">
              <w:rPr>
                <w:rFonts w:ascii="Arial" w:hAnsi="Arial" w:cs="Arial"/>
                <w:lang w:val="en-IN"/>
              </w:rPr>
              <w:t>19</w:t>
            </w:r>
          </w:p>
        </w:tc>
        <w:tc>
          <w:tcPr>
            <w:tcW w:w="1372" w:type="dxa"/>
            <w:hideMark/>
          </w:tcPr>
          <w:p w14:paraId="123D242F" w14:textId="77777777" w:rsidR="00266C6C" w:rsidRPr="00266C6C" w:rsidRDefault="00266C6C" w:rsidP="00266C6C">
            <w:pPr>
              <w:pStyle w:val="Body"/>
              <w:rPr>
                <w:rFonts w:ascii="Arial" w:hAnsi="Arial" w:cs="Arial"/>
                <w:lang w:val="en-IN"/>
              </w:rPr>
            </w:pPr>
            <w:r w:rsidRPr="00266C6C">
              <w:rPr>
                <w:rFonts w:ascii="Arial" w:hAnsi="Arial" w:cs="Arial"/>
                <w:lang w:val="en-IN"/>
              </w:rPr>
              <w:t>10</w:t>
            </w:r>
          </w:p>
        </w:tc>
        <w:tc>
          <w:tcPr>
            <w:tcW w:w="1067" w:type="dxa"/>
            <w:hideMark/>
          </w:tcPr>
          <w:p w14:paraId="4EA1D506" w14:textId="77777777" w:rsidR="00266C6C" w:rsidRPr="00266C6C" w:rsidRDefault="00266C6C" w:rsidP="00266C6C">
            <w:pPr>
              <w:pStyle w:val="Body"/>
              <w:rPr>
                <w:rFonts w:ascii="Arial" w:hAnsi="Arial" w:cs="Arial"/>
                <w:lang w:val="en-IN"/>
              </w:rPr>
            </w:pPr>
            <w:r w:rsidRPr="00266C6C">
              <w:rPr>
                <w:rFonts w:ascii="Arial" w:hAnsi="Arial" w:cs="Arial"/>
                <w:lang w:val="en-IN"/>
              </w:rPr>
              <w:t>9</w:t>
            </w:r>
          </w:p>
        </w:tc>
      </w:tr>
    </w:tbl>
    <w:p w14:paraId="1A9B9CFA" w14:textId="77777777" w:rsidR="00266C6C" w:rsidRPr="00266C6C" w:rsidRDefault="00266C6C" w:rsidP="00266C6C">
      <w:pPr>
        <w:pStyle w:val="Body"/>
        <w:spacing w:after="0"/>
        <w:rPr>
          <w:rFonts w:ascii="Arial" w:hAnsi="Arial" w:cs="Arial"/>
          <w:lang w:val="en-IN"/>
        </w:rPr>
      </w:pPr>
    </w:p>
    <w:p w14:paraId="5EE1D70B" w14:textId="77777777" w:rsidR="00266C6C" w:rsidRPr="00266C6C" w:rsidRDefault="00266C6C" w:rsidP="00266C6C">
      <w:pPr>
        <w:pStyle w:val="Body"/>
        <w:spacing w:after="0"/>
        <w:rPr>
          <w:rFonts w:ascii="Arial" w:hAnsi="Arial" w:cs="Arial"/>
          <w:lang w:val="en-IN"/>
        </w:rPr>
      </w:pPr>
      <w:r w:rsidRPr="00266C6C">
        <w:rPr>
          <w:rFonts w:ascii="Arial" w:hAnsi="Arial" w:cs="Arial"/>
          <w:i/>
          <w:iCs/>
          <w:lang w:val="en-IN"/>
        </w:rPr>
        <w:t>"We are happy with the apps and web portals we use, and the training we received has been very useful. It has made our work easier." -</w:t>
      </w:r>
      <w:r w:rsidRPr="00266C6C">
        <w:rPr>
          <w:rFonts w:ascii="Arial" w:hAnsi="Arial" w:cs="Arial"/>
          <w:lang w:val="en-IN"/>
        </w:rPr>
        <w:t xml:space="preserve"> MO</w:t>
      </w:r>
    </w:p>
    <w:p w14:paraId="1903B1FE" w14:textId="77777777" w:rsidR="00266C6C" w:rsidRPr="00266C6C" w:rsidRDefault="00266C6C" w:rsidP="00266C6C">
      <w:pPr>
        <w:pStyle w:val="Body"/>
        <w:spacing w:after="0"/>
        <w:rPr>
          <w:rFonts w:ascii="Arial" w:hAnsi="Arial" w:cs="Arial"/>
          <w:lang w:val="en-IN"/>
        </w:rPr>
      </w:pPr>
    </w:p>
    <w:p w14:paraId="3DD00D74" w14:textId="77777777" w:rsidR="00266C6C" w:rsidRPr="00266C6C" w:rsidRDefault="00266C6C" w:rsidP="00266C6C">
      <w:pPr>
        <w:pStyle w:val="Body"/>
        <w:spacing w:after="0"/>
        <w:rPr>
          <w:rFonts w:ascii="Arial" w:hAnsi="Arial" w:cs="Arial"/>
          <w:lang w:val="en-IN"/>
        </w:rPr>
      </w:pPr>
    </w:p>
    <w:p w14:paraId="71A0ED1C" w14:textId="77777777"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7: Theme wise Qualitative Study Findings:</w:t>
      </w:r>
    </w:p>
    <w:tbl>
      <w:tblPr>
        <w:tblStyle w:val="PlainTable2"/>
        <w:tblW w:w="0" w:type="auto"/>
        <w:tblLook w:val="04A0" w:firstRow="1" w:lastRow="0" w:firstColumn="1" w:lastColumn="0" w:noHBand="0" w:noVBand="1"/>
      </w:tblPr>
      <w:tblGrid>
        <w:gridCol w:w="2025"/>
        <w:gridCol w:w="3273"/>
        <w:gridCol w:w="5718"/>
      </w:tblGrid>
      <w:tr w:rsidR="00266C6C" w:rsidRPr="00266C6C" w14:paraId="027B60C4" w14:textId="77777777" w:rsidTr="009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5406F"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Thematic Area</w:t>
            </w:r>
          </w:p>
        </w:tc>
        <w:tc>
          <w:tcPr>
            <w:tcW w:w="0" w:type="auto"/>
            <w:hideMark/>
          </w:tcPr>
          <w:p w14:paraId="5575C681"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Relevant Keywords</w:t>
            </w:r>
          </w:p>
        </w:tc>
        <w:tc>
          <w:tcPr>
            <w:tcW w:w="0" w:type="auto"/>
            <w:hideMark/>
          </w:tcPr>
          <w:p w14:paraId="224D1716"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Key Findings</w:t>
            </w:r>
          </w:p>
        </w:tc>
      </w:tr>
      <w:tr w:rsidR="00266C6C" w:rsidRPr="00266C6C" w14:paraId="43A895F6"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3BF467"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Infrastructure</w:t>
            </w:r>
          </w:p>
        </w:tc>
        <w:tc>
          <w:tcPr>
            <w:tcW w:w="0" w:type="auto"/>
            <w:hideMark/>
          </w:tcPr>
          <w:p w14:paraId="611BEBE9"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Accessibility, congestion, poor ventilation,  sanitation, biomedical waste disposal</w:t>
            </w:r>
          </w:p>
        </w:tc>
        <w:tc>
          <w:tcPr>
            <w:tcW w:w="0" w:type="auto"/>
            <w:hideMark/>
          </w:tcPr>
          <w:p w14:paraId="073627FC"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Congested laboratories and labour rooms. Poor road conditions and lack of lighting make accessibility difficult. Sanitation issues affect usability.</w:t>
            </w:r>
          </w:p>
        </w:tc>
      </w:tr>
      <w:tr w:rsidR="00266C6C" w:rsidRPr="00266C6C" w14:paraId="5EC98D30"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358DC6AD"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Service Delivery</w:t>
            </w:r>
          </w:p>
        </w:tc>
        <w:tc>
          <w:tcPr>
            <w:tcW w:w="0" w:type="auto"/>
            <w:hideMark/>
          </w:tcPr>
          <w:p w14:paraId="1B0B9931"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Essential services, emergency care, security, community engagement</w:t>
            </w:r>
          </w:p>
        </w:tc>
        <w:tc>
          <w:tcPr>
            <w:tcW w:w="0" w:type="auto"/>
            <w:hideMark/>
          </w:tcPr>
          <w:p w14:paraId="2700A513"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Limited staff accommodation and security issues make it difficult for  female workers to provide round the clock services.</w:t>
            </w:r>
          </w:p>
        </w:tc>
      </w:tr>
      <w:tr w:rsidR="00266C6C" w:rsidRPr="00266C6C" w14:paraId="7F7734BE"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A489F"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Medicines &amp; Diagnostics</w:t>
            </w:r>
          </w:p>
        </w:tc>
        <w:tc>
          <w:tcPr>
            <w:tcW w:w="0" w:type="auto"/>
            <w:hideMark/>
          </w:tcPr>
          <w:p w14:paraId="5800E1F6"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Essential Medicines, free of cost, reagent availability, HbA1c kits.</w:t>
            </w:r>
          </w:p>
        </w:tc>
        <w:tc>
          <w:tcPr>
            <w:tcW w:w="0" w:type="auto"/>
            <w:hideMark/>
          </w:tcPr>
          <w:p w14:paraId="34E99148"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Medicine and diagnostic availability has improved, but occasional shortages persist. VDRL reagent supply is delayed. Essential drug lists and diagnostics lists were displayed.</w:t>
            </w:r>
          </w:p>
        </w:tc>
      </w:tr>
      <w:tr w:rsidR="00266C6C" w:rsidRPr="00266C6C" w14:paraId="651D47A9" w14:textId="77777777" w:rsidTr="009F3A40">
        <w:tc>
          <w:tcPr>
            <w:cnfStyle w:val="001000000000" w:firstRow="0" w:lastRow="0" w:firstColumn="1" w:lastColumn="0" w:oddVBand="0" w:evenVBand="0" w:oddHBand="0" w:evenHBand="0" w:firstRowFirstColumn="0" w:firstRowLastColumn="0" w:lastRowFirstColumn="0" w:lastRowLastColumn="0"/>
            <w:tcW w:w="0" w:type="auto"/>
            <w:hideMark/>
          </w:tcPr>
          <w:p w14:paraId="1B2F6911" w14:textId="77777777" w:rsidR="00266C6C" w:rsidRPr="00266C6C" w:rsidRDefault="00266C6C" w:rsidP="002C3943">
            <w:pPr>
              <w:pStyle w:val="Body"/>
              <w:spacing w:after="0"/>
              <w:jc w:val="left"/>
              <w:rPr>
                <w:rFonts w:ascii="Arial" w:hAnsi="Arial" w:cs="Arial"/>
                <w:lang w:val="en-IN"/>
              </w:rPr>
            </w:pPr>
            <w:r w:rsidRPr="00266C6C">
              <w:rPr>
                <w:rFonts w:ascii="Arial" w:hAnsi="Arial" w:cs="Arial"/>
                <w:lang w:val="en-IN"/>
              </w:rPr>
              <w:t>IT &amp; Teleconsultation</w:t>
            </w:r>
          </w:p>
        </w:tc>
        <w:tc>
          <w:tcPr>
            <w:tcW w:w="0" w:type="auto"/>
            <w:hideMark/>
          </w:tcPr>
          <w:p w14:paraId="04DE7763"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Digital records, mobile applications, teleconsultation, patient tracking</w:t>
            </w:r>
          </w:p>
        </w:tc>
        <w:tc>
          <w:tcPr>
            <w:tcW w:w="0" w:type="auto"/>
            <w:hideMark/>
          </w:tcPr>
          <w:p w14:paraId="6596CC02"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Teleconsultations with specialists serve 15-20 patients daily. Healthcare workers find IT applications user-friendly and appreciate digitalized patient records.</w:t>
            </w:r>
          </w:p>
        </w:tc>
      </w:tr>
    </w:tbl>
    <w:p w14:paraId="2F52FD8E" w14:textId="77777777" w:rsidR="00266C6C" w:rsidRPr="00266C6C" w:rsidRDefault="00266C6C" w:rsidP="00266C6C">
      <w:pPr>
        <w:pStyle w:val="Body"/>
        <w:spacing w:after="0"/>
        <w:rPr>
          <w:rFonts w:ascii="Arial" w:hAnsi="Arial" w:cs="Arial"/>
          <w:b/>
          <w:bCs/>
          <w:lang w:val="en-IN"/>
        </w:rPr>
      </w:pPr>
    </w:p>
    <w:p w14:paraId="741A6201" w14:textId="77777777" w:rsidR="00066E54" w:rsidRDefault="00066E54" w:rsidP="00266C6C">
      <w:pPr>
        <w:pStyle w:val="Body"/>
        <w:spacing w:after="0"/>
        <w:rPr>
          <w:rFonts w:ascii="Arial" w:hAnsi="Arial" w:cs="Arial"/>
          <w:b/>
          <w:bCs/>
          <w:sz w:val="22"/>
          <w:szCs w:val="22"/>
          <w:lang w:val="en-IN"/>
        </w:rPr>
      </w:pPr>
    </w:p>
    <w:p w14:paraId="1DD5FE4A" w14:textId="65AB34ED" w:rsidR="00266C6C" w:rsidRPr="009F3A40" w:rsidRDefault="009F3A40" w:rsidP="00266C6C">
      <w:pPr>
        <w:pStyle w:val="Body"/>
        <w:spacing w:after="0"/>
        <w:rPr>
          <w:rFonts w:ascii="Arial" w:hAnsi="Arial" w:cs="Arial"/>
          <w:b/>
          <w:bCs/>
          <w:sz w:val="22"/>
          <w:szCs w:val="22"/>
          <w:lang w:val="en-IN"/>
        </w:rPr>
      </w:pPr>
      <w:r w:rsidRPr="009F3A40">
        <w:rPr>
          <w:rFonts w:ascii="Arial" w:hAnsi="Arial" w:cs="Arial"/>
          <w:b/>
          <w:bCs/>
          <w:sz w:val="22"/>
          <w:szCs w:val="22"/>
          <w:lang w:val="en-IN"/>
        </w:rPr>
        <w:t xml:space="preserve">3.2 </w:t>
      </w:r>
      <w:r w:rsidR="00266C6C" w:rsidRPr="009F3A40">
        <w:rPr>
          <w:rFonts w:ascii="Arial" w:hAnsi="Arial" w:cs="Arial"/>
          <w:b/>
          <w:bCs/>
          <w:sz w:val="22"/>
          <w:szCs w:val="22"/>
          <w:lang w:val="en-IN"/>
        </w:rPr>
        <w:t>Strengths and Good Practices</w:t>
      </w:r>
    </w:p>
    <w:p w14:paraId="35891E39" w14:textId="77777777" w:rsidR="00266C6C" w:rsidRDefault="00266C6C" w:rsidP="00266C6C">
      <w:pPr>
        <w:pStyle w:val="Body"/>
        <w:spacing w:after="0"/>
        <w:rPr>
          <w:rFonts w:ascii="Arial" w:hAnsi="Arial" w:cs="Arial"/>
          <w:lang w:val="en-IN"/>
        </w:rPr>
      </w:pPr>
      <w:r w:rsidRPr="00266C6C">
        <w:rPr>
          <w:rFonts w:ascii="Arial" w:hAnsi="Arial" w:cs="Arial"/>
          <w:lang w:val="en-IN"/>
        </w:rPr>
        <w:t xml:space="preserve">The healthcare system in Andhra Pradesh demonstrates several strengths and innovative practices aimed at improving access to quality healthcare services. Key initiatives include the village secretariat (sachivalaya) model, integrating various departments such as health, education, and agriculture, facilitating collaborative community activities like waste management and water conservation. Programs like the Friday-Dry Day effectively address vector-borne diseases by </w:t>
      </w:r>
      <w:r w:rsidRPr="00266C6C">
        <w:rPr>
          <w:rFonts w:ascii="Arial" w:hAnsi="Arial" w:cs="Arial"/>
          <w:lang w:val="en-IN"/>
        </w:rPr>
        <w:lastRenderedPageBreak/>
        <w:t>promoting community awareness about water stagnation. Initiatives like the Talli Bidda Express for maternal and child health (transport facilities for pregnant women for visiting hospital and to go back home after the delivery), the Arogyasri Program providing health insurance to low-income families, and the Kantivelugu Program offering free vision care enhance accessibility and equity. Additionally, Family Doctor program (a team of healthcare workers including doctor visit the community for outreach health activities) ensure proactive, community-focused healthcare delivery.</w:t>
      </w:r>
    </w:p>
    <w:p w14:paraId="6FEAEA83" w14:textId="77777777" w:rsidR="00066E54" w:rsidRPr="00266C6C" w:rsidRDefault="00066E54" w:rsidP="00266C6C">
      <w:pPr>
        <w:pStyle w:val="Body"/>
        <w:spacing w:after="0"/>
        <w:rPr>
          <w:rFonts w:ascii="Arial" w:hAnsi="Arial" w:cs="Arial"/>
          <w:lang w:val="en-IN"/>
        </w:rPr>
      </w:pPr>
    </w:p>
    <w:p w14:paraId="6859332B"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Teleconsultation has been effectively implemented across all 12 facilities in Andhra Pradesh, ensuring a smooth and efficient process. Each facility is equipped with the essential IT infrastructure, including tablets, laptops, and desktops for teleconsultations and reporting. Furthermore, a reliable network or data connection is available throughout all locations, ensuring uninterrupted virtual consultations. This thorough setup demonstrates the state's dedication to utilizing digital health solutions to enhance accessibility and continuum of care. The table presented below outlines the parameters that were assessed concerning teleconsultation services across twelve facilities in Andhra Pradesh.</w:t>
      </w:r>
    </w:p>
    <w:p w14:paraId="1E5C5163" w14:textId="77777777" w:rsidR="006904CB" w:rsidRDefault="006904CB" w:rsidP="00266C6C">
      <w:pPr>
        <w:pStyle w:val="Body"/>
        <w:spacing w:after="0"/>
        <w:rPr>
          <w:rFonts w:ascii="Arial" w:hAnsi="Arial" w:cs="Arial"/>
          <w:b/>
          <w:bCs/>
          <w:lang w:val="en-IN"/>
        </w:rPr>
      </w:pPr>
    </w:p>
    <w:p w14:paraId="410CD6E2" w14:textId="6314570C"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8: Tele-consultation Services</w:t>
      </w:r>
    </w:p>
    <w:tbl>
      <w:tblPr>
        <w:tblStyle w:val="PlainTable2"/>
        <w:tblW w:w="0" w:type="auto"/>
        <w:tblLook w:val="04A0" w:firstRow="1" w:lastRow="0" w:firstColumn="1" w:lastColumn="0" w:noHBand="0" w:noVBand="1"/>
      </w:tblPr>
      <w:tblGrid>
        <w:gridCol w:w="7285"/>
        <w:gridCol w:w="1731"/>
      </w:tblGrid>
      <w:tr w:rsidR="00266C6C" w:rsidRPr="00266C6C" w14:paraId="61B203DE" w14:textId="77777777" w:rsidTr="009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hideMark/>
          </w:tcPr>
          <w:p w14:paraId="249C62E9"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Indicator</w:t>
            </w:r>
          </w:p>
        </w:tc>
        <w:tc>
          <w:tcPr>
            <w:tcW w:w="1731" w:type="dxa"/>
            <w:hideMark/>
          </w:tcPr>
          <w:p w14:paraId="1E8B5113" w14:textId="77777777" w:rsidR="00266C6C" w:rsidRPr="00266C6C" w:rsidRDefault="00266C6C" w:rsidP="00266C6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Total n(%)</w:t>
            </w:r>
          </w:p>
        </w:tc>
      </w:tr>
      <w:tr w:rsidR="00266C6C" w:rsidRPr="00266C6C" w14:paraId="2E29BEE2"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hideMark/>
          </w:tcPr>
          <w:p w14:paraId="054B3DCF"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 xml:space="preserve">Availability of Teleconsultation services </w:t>
            </w:r>
          </w:p>
        </w:tc>
        <w:tc>
          <w:tcPr>
            <w:tcW w:w="1731" w:type="dxa"/>
            <w:hideMark/>
          </w:tcPr>
          <w:p w14:paraId="328EDFBA"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7B914857" w14:textId="77777777" w:rsidTr="009F3A40">
        <w:tc>
          <w:tcPr>
            <w:cnfStyle w:val="001000000000" w:firstRow="0" w:lastRow="0" w:firstColumn="1" w:lastColumn="0" w:oddVBand="0" w:evenVBand="0" w:oddHBand="0" w:evenHBand="0" w:firstRowFirstColumn="0" w:firstRowLastColumn="0" w:lastRowFirstColumn="0" w:lastRowLastColumn="0"/>
            <w:tcW w:w="7285" w:type="dxa"/>
            <w:hideMark/>
          </w:tcPr>
          <w:p w14:paraId="128CB58D"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Functionality of IT infrastructure - Tablet/ Laptop/ Desktop for reporting and tele-consultation</w:t>
            </w:r>
          </w:p>
        </w:tc>
        <w:tc>
          <w:tcPr>
            <w:tcW w:w="1731" w:type="dxa"/>
            <w:hideMark/>
          </w:tcPr>
          <w:p w14:paraId="3B1DA6B5" w14:textId="77777777" w:rsidR="00266C6C" w:rsidRPr="00266C6C" w:rsidRDefault="00266C6C" w:rsidP="00266C6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r w:rsidR="00266C6C" w:rsidRPr="00266C6C" w14:paraId="0335839A" w14:textId="77777777" w:rsidTr="009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hideMark/>
          </w:tcPr>
          <w:p w14:paraId="0F91229A"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Availability of network/ data connection for teleconsultation</w:t>
            </w:r>
          </w:p>
        </w:tc>
        <w:tc>
          <w:tcPr>
            <w:tcW w:w="1731" w:type="dxa"/>
            <w:hideMark/>
          </w:tcPr>
          <w:p w14:paraId="4DE91E20" w14:textId="77777777" w:rsidR="00266C6C" w:rsidRPr="00266C6C" w:rsidRDefault="00266C6C" w:rsidP="00266C6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r>
    </w:tbl>
    <w:p w14:paraId="3706537B" w14:textId="77777777" w:rsidR="00266C6C" w:rsidRPr="00266C6C" w:rsidRDefault="00266C6C" w:rsidP="00266C6C">
      <w:pPr>
        <w:pStyle w:val="Body"/>
        <w:spacing w:after="0"/>
        <w:rPr>
          <w:rFonts w:ascii="Arial" w:hAnsi="Arial" w:cs="Arial"/>
          <w:lang w:val="en-IN"/>
        </w:rPr>
      </w:pPr>
    </w:p>
    <w:p w14:paraId="08BD79CB" w14:textId="77777777" w:rsidR="00266C6C" w:rsidRPr="00266C6C" w:rsidRDefault="00266C6C" w:rsidP="00266C6C">
      <w:pPr>
        <w:pStyle w:val="Body"/>
        <w:spacing w:after="0"/>
        <w:rPr>
          <w:rFonts w:ascii="Arial" w:hAnsi="Arial" w:cs="Arial"/>
          <w:b/>
          <w:bCs/>
          <w:lang w:val="en-IN"/>
        </w:rPr>
      </w:pPr>
    </w:p>
    <w:p w14:paraId="67F61EA2" w14:textId="6ED21D7C" w:rsidR="00266C6C" w:rsidRPr="002C3943" w:rsidRDefault="00066E54" w:rsidP="00266C6C">
      <w:pPr>
        <w:pStyle w:val="Body"/>
        <w:spacing w:after="0"/>
        <w:rPr>
          <w:rFonts w:ascii="Arial" w:hAnsi="Arial" w:cs="Arial"/>
          <w:b/>
          <w:bCs/>
          <w:sz w:val="22"/>
          <w:szCs w:val="22"/>
          <w:lang w:val="en-IN"/>
        </w:rPr>
      </w:pPr>
      <w:r w:rsidRPr="002C3943">
        <w:rPr>
          <w:rFonts w:ascii="Arial" w:hAnsi="Arial" w:cs="Arial"/>
          <w:b/>
          <w:bCs/>
          <w:sz w:val="22"/>
          <w:szCs w:val="22"/>
          <w:lang w:val="en-IN"/>
        </w:rPr>
        <w:t xml:space="preserve">3.3 </w:t>
      </w:r>
      <w:r w:rsidR="00266C6C" w:rsidRPr="002C3943">
        <w:rPr>
          <w:rFonts w:ascii="Arial" w:hAnsi="Arial" w:cs="Arial"/>
          <w:b/>
          <w:bCs/>
          <w:sz w:val="22"/>
          <w:szCs w:val="22"/>
          <w:lang w:val="en-IN"/>
        </w:rPr>
        <w:t>Challenges</w:t>
      </w:r>
    </w:p>
    <w:p w14:paraId="68022E67" w14:textId="77777777" w:rsidR="00266C6C" w:rsidRDefault="00266C6C" w:rsidP="00266C6C">
      <w:pPr>
        <w:pStyle w:val="Body"/>
        <w:spacing w:after="0"/>
        <w:rPr>
          <w:rFonts w:ascii="Arial" w:hAnsi="Arial" w:cs="Arial"/>
          <w:lang w:val="en-IN"/>
        </w:rPr>
      </w:pPr>
      <w:r w:rsidRPr="00266C6C">
        <w:rPr>
          <w:rFonts w:ascii="Arial" w:hAnsi="Arial" w:cs="Arial"/>
          <w:lang w:val="en-IN"/>
        </w:rPr>
        <w:t>Despite notable achievements, challenges persist in Andhra Pradesh's healthcare system. Limited infrastructure, such as inadequate space in health facilities and the absence of accessible ramps, hinders service delivery. Critical gaps exist in waste management practices, provision of emergency services, and referral systems, overburdening higher-level facilities like Community Health Centres (CHCs), District Hospitals (DHs) and Medical Colleges. Human resource gaps like vacant positions of pharmacist in UPHCs, data management inefficiencies, and discrepancies between health records further exacerbate operational inefficiencies. Moreover, low community awareness about the CPHC package, limited service expansion in specialized areas, and the absence of salary increments for CHOs contribute to reduced staff morale and suboptimal healthcare outcomes. Non-functional adolescent clinics, lack of boundary walls in SHCs, and infrastructure inadequacies also undermine service quality and accessibility.</w:t>
      </w:r>
    </w:p>
    <w:p w14:paraId="1F541B1E" w14:textId="77777777" w:rsidR="009F3A40" w:rsidRDefault="009F3A40" w:rsidP="00266C6C">
      <w:pPr>
        <w:pStyle w:val="Body"/>
        <w:spacing w:after="0"/>
        <w:rPr>
          <w:rFonts w:ascii="Arial" w:hAnsi="Arial" w:cs="Arial"/>
          <w:lang w:val="en-IN"/>
        </w:rPr>
      </w:pPr>
    </w:p>
    <w:p w14:paraId="3B45F811" w14:textId="77777777" w:rsidR="009F3A40" w:rsidRPr="00266C6C" w:rsidRDefault="009F3A40" w:rsidP="00266C6C">
      <w:pPr>
        <w:pStyle w:val="Body"/>
        <w:spacing w:after="0"/>
        <w:rPr>
          <w:rFonts w:ascii="Arial" w:hAnsi="Arial" w:cs="Arial"/>
          <w:lang w:val="en-IN"/>
        </w:rPr>
      </w:pPr>
    </w:p>
    <w:p w14:paraId="36BB016E" w14:textId="30E12A08" w:rsidR="00266C6C" w:rsidRPr="002C3943" w:rsidRDefault="00066E54" w:rsidP="00266C6C">
      <w:pPr>
        <w:pStyle w:val="Body"/>
        <w:spacing w:after="0"/>
        <w:rPr>
          <w:rFonts w:ascii="Arial" w:hAnsi="Arial" w:cs="Arial"/>
          <w:b/>
          <w:bCs/>
          <w:sz w:val="22"/>
          <w:szCs w:val="22"/>
          <w:lang w:val="en-IN"/>
        </w:rPr>
      </w:pPr>
      <w:r w:rsidRPr="002C3943">
        <w:rPr>
          <w:rFonts w:ascii="Arial" w:hAnsi="Arial" w:cs="Arial"/>
          <w:b/>
          <w:bCs/>
          <w:sz w:val="22"/>
          <w:szCs w:val="22"/>
          <w:lang w:val="en-IN"/>
        </w:rPr>
        <w:t xml:space="preserve">3.4 </w:t>
      </w:r>
      <w:r w:rsidR="00266C6C" w:rsidRPr="002C3943">
        <w:rPr>
          <w:rFonts w:ascii="Arial" w:hAnsi="Arial" w:cs="Arial"/>
          <w:b/>
          <w:bCs/>
          <w:sz w:val="22"/>
          <w:szCs w:val="22"/>
          <w:lang w:val="en-IN"/>
        </w:rPr>
        <w:t>Discussion</w:t>
      </w:r>
    </w:p>
    <w:p w14:paraId="3F32B4E6" w14:textId="77777777" w:rsidR="00266C6C" w:rsidRDefault="00266C6C" w:rsidP="00266C6C">
      <w:pPr>
        <w:pStyle w:val="Body"/>
        <w:spacing w:after="0"/>
        <w:rPr>
          <w:rFonts w:ascii="Arial" w:hAnsi="Arial" w:cs="Arial"/>
          <w:lang w:val="en-IN"/>
        </w:rPr>
      </w:pPr>
      <w:r w:rsidRPr="00266C6C">
        <w:rPr>
          <w:rFonts w:ascii="Arial" w:hAnsi="Arial" w:cs="Arial"/>
          <w:lang w:val="en-IN"/>
        </w:rPr>
        <w:t>The rapid assessment of Ayushman Arogya Mandirs (AAMs) in Andhra Pradesh provides critical insights into the functionality and effectiveness of these health facilities in delivering CPHC services.</w:t>
      </w:r>
    </w:p>
    <w:p w14:paraId="3C8A4599" w14:textId="77777777" w:rsidR="009F3A40" w:rsidRPr="00266C6C" w:rsidRDefault="009F3A40" w:rsidP="00266C6C">
      <w:pPr>
        <w:pStyle w:val="Body"/>
        <w:spacing w:after="0"/>
        <w:rPr>
          <w:rFonts w:ascii="Arial" w:hAnsi="Arial" w:cs="Arial"/>
          <w:lang w:val="en-IN"/>
        </w:rPr>
      </w:pPr>
    </w:p>
    <w:p w14:paraId="1752B087" w14:textId="77777777" w:rsidR="00266C6C" w:rsidRPr="00266C6C" w:rsidRDefault="00266C6C" w:rsidP="00266C6C">
      <w:pPr>
        <w:pStyle w:val="Body"/>
        <w:spacing w:after="0"/>
        <w:rPr>
          <w:rFonts w:ascii="Arial" w:hAnsi="Arial" w:cs="Arial"/>
          <w:lang w:val="en-IN"/>
        </w:rPr>
      </w:pPr>
      <w:r w:rsidRPr="00266C6C">
        <w:rPr>
          <w:rFonts w:ascii="Arial" w:hAnsi="Arial" w:cs="Arial"/>
          <w:lang w:val="en-IN"/>
        </w:rPr>
        <w:t xml:space="preserve">The implementation of telemedicine services in Andhra Pradesh, particularly through SHCs facilitating approximately 220 consultations monthly, underscores a significant advancement in healthcare accessibility for remote population. This initiative aligns with the findings of Malhotra et al., who assessed the knowledge, perception, and willingness to use telemedicine among medical and allied healthcare students in India. Their study revealed that while 43% of participants reported insufficient knowledge of telemedicine, a substantial 90.9% viewed it as a viable approach and were willing to integrate it into their future practice. </w:t>
      </w:r>
    </w:p>
    <w:p w14:paraId="5A4ADDC5" w14:textId="744FF511" w:rsidR="00266C6C" w:rsidRDefault="00266C6C" w:rsidP="00266C6C">
      <w:pPr>
        <w:pStyle w:val="Body"/>
        <w:spacing w:after="0"/>
        <w:rPr>
          <w:rFonts w:ascii="Arial" w:hAnsi="Arial" w:cs="Arial"/>
        </w:rPr>
      </w:pPr>
      <w:r w:rsidRPr="00266C6C">
        <w:rPr>
          <w:rFonts w:ascii="Arial" w:hAnsi="Arial" w:cs="Arial"/>
          <w:lang w:val="en-IN"/>
        </w:rPr>
        <w:t xml:space="preserve">The positive perception and willingness among future healthcare professionals, as identified by Malhotra et al., suggest a promising trajectory for the adoption and expansion of telemedicine services in regions like Andhra Pradesh. </w:t>
      </w:r>
      <w:r w:rsidRPr="00266C6C">
        <w:rPr>
          <w:rFonts w:ascii="Arial" w:hAnsi="Arial" w:cs="Arial"/>
          <w:lang w:val="en-IN"/>
        </w:rPr>
        <w:fldChar w:fldCharType="begin"/>
      </w:r>
      <w:r w:rsidRPr="00266C6C">
        <w:rPr>
          <w:rFonts w:ascii="Arial" w:hAnsi="Arial" w:cs="Arial"/>
          <w:lang w:val="en-IN"/>
        </w:rPr>
        <w:instrText xml:space="preserve"> ADDIN ZOTERO_ITEM CSL_CITATION {"citationID":"jPubVnn6","properties":{"formattedCitation":"(8)","plainCitation":"(8)","noteIndex":0},"citationItems":[{"id":321,"uris":["http://zotero.org/users/11005085/items/FF53V8CE"],"itemData":{"id":321,"type":"article-journal","abstract":"Telemedicine has emerged as a transformative solution to address the significant healthcare disparities faced by rural India, where over 70% of the population resides. In this article, the evolution of telemedicine in India, its current landscape, and its potential to revolutionize primary healthcare delivery in rural areas are reviewed. Despite progress in establishing Primary Health Centers, rural healthcare infrastructure remains underutilized due to staffing shortages and other challenges. Telemedicine offers a lifeline by bridging critical gaps in primary care, with government initiatives such as E-Sanjeevni and private entities such as M-Swasth and Apollo TeleHealth expanding access to healthcare services. \nThe COVID-19 pandemic accelerated the adoption of more advanced, patient-centric telemedicine models incorporating artificial intelligence, machine learning, and Internet of Things technologies. These innovations aim to provide rural communities with healthcare standards comparable to urban areas. However, challenges persist, including technological barriers, digital literacy gaps, and concerns about data security and privacy. \nTo fully realize telemedicine’s potential, a multifaceted approach is necessary. This includes culturally adapting platforms for rural populations, strengthening data protection legislation, enhancing digital infrastructure, and increasing digital literacy. The collaborative efforts of government bodies, private enterprises, healthcare professionals, and non-profit private organizations are crucial in overcoming these challenges. By embracing telemedicine and addressing its implementation barriers, India can bridge the healthcare gap, improve the quality of life for millions of rural residents, and potentially catalyze economic development in rural areas.","container-title":"Telehealth and Medicine Today","DOI":"10.30953/thmt.v9.518","ISSN":"2471-6960","issue":"5","language":"en","license":"Copyright (c) 2024 Aswini Ashokan Naidu, MD","note":"number: 5","source":"telehealthandmedicinetoday.com","title":"Telemedicine: Bridging the Gap in Providing Primary Care to Rural Area Patients Across India","title-short":"Telemedicine","URL":"https://telehealthandmedicinetoday.com/index.php/journal/article/view/518","volume":"9","author":[{"family":"Ashokan","given":"Aswini"}],"accessed":{"date-parts":[["2025",1,21]]},"issued":{"date-parts":[["2024",10,31]]}}}],"schema":"https://github.com/citation-style-language/schema/raw/master/csl-citation.json"} </w:instrText>
      </w:r>
      <w:r w:rsidRPr="00266C6C">
        <w:rPr>
          <w:rFonts w:ascii="Arial" w:hAnsi="Arial" w:cs="Arial"/>
          <w:lang w:val="en-IN"/>
        </w:rPr>
        <w:fldChar w:fldCharType="separate"/>
      </w:r>
      <w:r w:rsidRPr="00266C6C">
        <w:rPr>
          <w:rFonts w:ascii="Arial" w:hAnsi="Arial" w:cs="Arial"/>
          <w:lang w:val="en-IN"/>
        </w:rPr>
        <w:t>(</w:t>
      </w:r>
      <w:r w:rsidR="0081594D">
        <w:rPr>
          <w:rFonts w:ascii="Arial" w:hAnsi="Arial" w:cs="Arial"/>
          <w:lang w:val="en-IN"/>
        </w:rPr>
        <w:t>Ashokan A, 2024</w:t>
      </w:r>
      <w:r w:rsidRPr="00266C6C">
        <w:rPr>
          <w:rFonts w:ascii="Arial" w:hAnsi="Arial" w:cs="Arial"/>
          <w:lang w:val="en-IN"/>
        </w:rPr>
        <w:t>)</w:t>
      </w:r>
      <w:r w:rsidRPr="00266C6C">
        <w:rPr>
          <w:rFonts w:ascii="Arial" w:hAnsi="Arial" w:cs="Arial"/>
        </w:rPr>
        <w:fldChar w:fldCharType="end"/>
      </w:r>
    </w:p>
    <w:p w14:paraId="5E60E38A" w14:textId="77777777" w:rsidR="009F3A40" w:rsidRPr="00266C6C" w:rsidRDefault="009F3A40" w:rsidP="00266C6C">
      <w:pPr>
        <w:pStyle w:val="Body"/>
        <w:spacing w:after="0"/>
        <w:rPr>
          <w:rFonts w:ascii="Arial" w:hAnsi="Arial" w:cs="Arial"/>
          <w:lang w:val="en-IN"/>
        </w:rPr>
      </w:pPr>
    </w:p>
    <w:p w14:paraId="052AA749" w14:textId="63347974" w:rsidR="00266C6C" w:rsidRPr="00266C6C" w:rsidRDefault="00266C6C" w:rsidP="00266C6C">
      <w:pPr>
        <w:pStyle w:val="Body"/>
        <w:spacing w:after="0"/>
        <w:rPr>
          <w:rFonts w:ascii="Arial" w:hAnsi="Arial" w:cs="Arial"/>
          <w:lang w:val="en-IN"/>
        </w:rPr>
      </w:pPr>
      <w:r w:rsidRPr="00266C6C">
        <w:rPr>
          <w:rFonts w:ascii="Arial" w:hAnsi="Arial" w:cs="Arial"/>
          <w:lang w:val="en-IN"/>
        </w:rPr>
        <w:t>The current study also highlights infrastructure gaps, such as the absence of ramps for disabled individuals and inadequate space for service delivery, which are consistent with challenges identified by Nair et al</w:t>
      </w:r>
      <w:r w:rsidRPr="00266C6C">
        <w:rPr>
          <w:rFonts w:ascii="Arial" w:hAnsi="Arial" w:cs="Arial"/>
          <w:lang w:val="en-IN"/>
        </w:rPr>
        <w:fldChar w:fldCharType="begin"/>
      </w:r>
      <w:r w:rsidRPr="00266C6C">
        <w:rPr>
          <w:rFonts w:ascii="Arial" w:hAnsi="Arial" w:cs="Arial"/>
          <w:lang w:val="en-IN"/>
        </w:rPr>
        <w:instrText xml:space="preserve"> ADDIN ZOTERO_ITEM CSL_CITATION {"citationID":"3bhdbs8J","properties":{"formattedCitation":"(9)","plainCitation":"(9)","noteIndex":0},"citationItems":[{"id":323,"uris":["http://zotero.org/users/11005085/items/6CA5W55R"],"itemData":{"id":323,"type":"article-journal","abstract":"Background: Mobile health services in India have gained significant attention recently. However, there is little information regarding the beneficiary satisfaction of such services. Beneficiaries’ satisfaction and perception plays significant role in utilization of services. We assess the program beneficiaries’ satisfaction of using mobile health services in rural Andhra Pradesh.Methods: We used a cross-sectional study design to survey the mobile health services program beneficiaries in rural Andhra Pradesh (October 2016 to October 2018). Beneficiaries availing the mobile health services from 277 mobile medical vans across 13523 villages were selected using multistage sampling. Exit interviews (using Likert-scale questions) were used to reveal the ease of access in utilising mobile health services and satisfaction among the program beneficiaries.Results: A total, 1080 exit interviews were conducted. Above ninety percent of beneficiaries completed the exit interviews (response rate: 95%). More than two-thirds (72%) of the respondents were females and aged &amp;gt;45 years (71%). Of all respondents, the majority were Hindu (89%), belonging to socially disadvantaged groups (80%), and illiterate (56%). Nearly all (95%) program beneficiaries found mobile health services easily accessible and building their knowledge and awareness (94%) on key health issues. Ninety-five percent of the program beneficiaries strongly favoured recommending the use of mobile health services to others. The overall satisfaction rate was 95% (Cronbach alpha 0.925).Conclusions: Mobile health services in rural areas are effective in meeting the beneficiaries’ expectations. High beneficiary satisfaction and trust in mobile health services strongly favours such services in other rural geographies.","container-title":"International Journal Of Community Medicine And Public Health","DOI":"10.18203/2394-6040.ijcmph20205723","ISSN":"2394-6040","issue":"1","language":"en","page":"366-371","source":"www.ijcmph.com","title":"Beneficiary satisfaction with mobile medical units in the state of Andhra Pradesh","volume":"8","author":[{"family":"Nair","given":"Amrutha"},{"family":"Raikwar","given":"Aakash A."},{"family":"Wassey","given":"M. Abdul"},{"family":"Dogra","given":"Vishal"}],"issued":{"date-parts":[["2021"]]}}}],"schema":"https://github.com/citation-style-language/schema/raw/master/csl-citation.json"} </w:instrText>
      </w:r>
      <w:r w:rsidRPr="00266C6C">
        <w:rPr>
          <w:rFonts w:ascii="Arial" w:hAnsi="Arial" w:cs="Arial"/>
          <w:lang w:val="en-IN"/>
        </w:rPr>
        <w:fldChar w:fldCharType="separate"/>
      </w:r>
      <w:r w:rsidRPr="00266C6C">
        <w:rPr>
          <w:rFonts w:ascii="Arial" w:hAnsi="Arial" w:cs="Arial"/>
          <w:lang w:val="en-IN"/>
        </w:rPr>
        <w:t>(</w:t>
      </w:r>
      <w:r w:rsidR="0081594D">
        <w:rPr>
          <w:rFonts w:ascii="Arial" w:hAnsi="Arial" w:cs="Arial"/>
          <w:lang w:val="en-IN"/>
        </w:rPr>
        <w:t>Nair A, 2021</w:t>
      </w:r>
      <w:r w:rsidRPr="00266C6C">
        <w:rPr>
          <w:rFonts w:ascii="Arial" w:hAnsi="Arial" w:cs="Arial"/>
          <w:lang w:val="en-IN"/>
        </w:rPr>
        <w:t>)</w:t>
      </w:r>
      <w:r w:rsidRPr="00266C6C">
        <w:rPr>
          <w:rFonts w:ascii="Arial" w:hAnsi="Arial" w:cs="Arial"/>
        </w:rPr>
        <w:fldChar w:fldCharType="end"/>
      </w:r>
      <w:r w:rsidR="0081594D">
        <w:rPr>
          <w:rFonts w:ascii="Arial" w:hAnsi="Arial" w:cs="Arial"/>
        </w:rPr>
        <w:t>.</w:t>
      </w:r>
      <w:r w:rsidRPr="00266C6C">
        <w:rPr>
          <w:rFonts w:ascii="Arial" w:hAnsi="Arial" w:cs="Arial"/>
          <w:lang w:val="en-IN"/>
        </w:rPr>
        <w:t xml:space="preserve"> These shared challenges suggest systemic issues in healthcare infrastructure development across primary healthcare settings in India. The reasons encountered for infrastructure gaps was availability of limited space and old constructions. It was suggested to vertically expand the facility to meet the infrastructure requirements. Additionally, both studies underline the importance of public health awareness. While Nair et al. mentioned health education through mobile medical units, the current study emphasizes low community awareness of the CPHC package as a barrier to improving service uptake. Both the studies emphasize the need for community awareness to utilise the healthcare services available.</w:t>
      </w:r>
    </w:p>
    <w:p w14:paraId="50605164" w14:textId="4CBE10B2" w:rsidR="00266C6C" w:rsidRDefault="00266C6C" w:rsidP="00266C6C">
      <w:pPr>
        <w:pStyle w:val="Body"/>
        <w:spacing w:after="0"/>
        <w:rPr>
          <w:rFonts w:ascii="Arial" w:hAnsi="Arial" w:cs="Arial"/>
          <w:lang w:val="en-IN"/>
        </w:rPr>
      </w:pPr>
      <w:r w:rsidRPr="00266C6C">
        <w:rPr>
          <w:rFonts w:ascii="Arial" w:hAnsi="Arial" w:cs="Arial"/>
          <w:lang w:val="en-IN"/>
        </w:rPr>
        <w:t>The comparison of the findings of this study with the research conducted by Sriram et al. on the adequacy of sub health centres to deliver maternal and child health services indicates significant improvements in the healthcare landscape of Andhra Pradesh.</w:t>
      </w:r>
      <w:r w:rsidRPr="00266C6C">
        <w:rPr>
          <w:rFonts w:ascii="Arial" w:hAnsi="Arial" w:cs="Arial"/>
          <w:lang w:val="en-IN"/>
        </w:rPr>
        <w:fldChar w:fldCharType="begin"/>
      </w:r>
      <w:r w:rsidRPr="00266C6C">
        <w:rPr>
          <w:rFonts w:ascii="Arial" w:hAnsi="Arial" w:cs="Arial"/>
          <w:lang w:val="en-IN"/>
        </w:rPr>
        <w:instrText xml:space="preserve"> ADDIN ZOTERO_ITEM CSL_CITATION {"citationID":"9DEm496p","properties":{"formattedCitation":"(7)","plainCitation":"(7)","noteIndex":0},"citationItems":[{"id":325,"uris":["http://zotero.org/users/11005085/items/E4RM4FCK"],"itemData":{"id":325,"type":"article-journal","abstract":"BACKGROUND: India has a vast public health infrastructure, with 23,391 primary health centers (PHCs) and 145,894 subcenters (SCs) providing health services to 72.2% of the country's population living in rural areas. Although the numbers look impressive, their functional status needs to be studied in terms of physical infrastructure, manpower, equipment, drugs, and other logistical supplies that are greatly needed for ensuring quality services. This work aims to study the infrastructure facilities and manpower in a sample of SCs in the district of Nellore in the state of Andhra Pradesh in India.\nMETHODS: Thirty SCs selected by multistage sampling have been studied using a structured and pretested performance standard questionnaire. Data have been analyzed with reference to the Indian Public Health Standards (IPHS) for SCs.\nRESULTS: Many deficiencies were identified in the infrastructure and manpower in the SCs studied. Some of the important findings were that the deficiency of health workers (HWs) (male) was 76.7%. Only 6.7% of the SCs operate in a designated government building. Communication facilities, such as telephones, are present in only 3.3% of the SCs. About 73% of the SCs were located more than 5 km from the remotest village in the coverage area. Residential accommodations for HWs (female) were available in only 3.3% of the SCs. There is also a severe deficiency of drugs and equipment in the SCs as per the IPHS.\nCONCLUSION: SCs lack the manpower and vital infrastructure necessary to function and deliver services effectively to the rural population.","container-title":"Journal of Family Medicine and Primary Care","DOI":"10.4103/jfmpc.jfmpc_223_18","ISSN":"2249-4863","issue":"1","journalAbbreviation":"J Family Med Prim Care","language":"eng","note":"PMID: 30911488\nPMCID: PMC6396629","page":"102-108","source":"PubMed","title":"Are the subcenters adequately equipped to deliver primary healthcare? A study of public health manpower and infrastructure in the health district in Andhra Pradesh, India","title-short":"Are the subcenters adequately equipped to deliver primary healthcare?","volume":"8","author":[{"family":"Sriram","given":"Shyamkumar"}],"issued":{"date-parts":[["2019",1]]}}}],"schema":"https://github.com/citation-style-language/schema/raw/master/csl-citation.json"} </w:instrText>
      </w:r>
      <w:r w:rsidRPr="00266C6C">
        <w:rPr>
          <w:rFonts w:ascii="Arial" w:hAnsi="Arial" w:cs="Arial"/>
          <w:lang w:val="en-IN"/>
        </w:rPr>
        <w:fldChar w:fldCharType="separate"/>
      </w:r>
      <w:r w:rsidRPr="00266C6C">
        <w:rPr>
          <w:rFonts w:ascii="Arial" w:hAnsi="Arial" w:cs="Arial"/>
          <w:lang w:val="en-IN"/>
        </w:rPr>
        <w:t>(</w:t>
      </w:r>
      <w:r w:rsidR="0081594D">
        <w:rPr>
          <w:rFonts w:ascii="Arial" w:hAnsi="Arial" w:cs="Arial"/>
          <w:lang w:val="en-IN"/>
        </w:rPr>
        <w:t>Sriram S, 2019</w:t>
      </w:r>
      <w:r w:rsidRPr="00266C6C">
        <w:rPr>
          <w:rFonts w:ascii="Arial" w:hAnsi="Arial" w:cs="Arial"/>
          <w:lang w:val="en-IN"/>
        </w:rPr>
        <w:t>)</w:t>
      </w:r>
      <w:r w:rsidRPr="00266C6C">
        <w:rPr>
          <w:rFonts w:ascii="Arial" w:hAnsi="Arial" w:cs="Arial"/>
        </w:rPr>
        <w:fldChar w:fldCharType="end"/>
      </w:r>
      <w:r w:rsidRPr="00266C6C">
        <w:rPr>
          <w:rFonts w:ascii="Arial" w:hAnsi="Arial" w:cs="Arial"/>
          <w:lang w:val="en-IN"/>
        </w:rPr>
        <w:t xml:space="preserve"> While the previous study highlighted discrepancies in infrastructure, service delivery, and human resources at sub health centres across India, the present study demonstrates notable progress in these areas within AAMs. Enhanced infrastructure, better service availability, and strengthened human resource deployment have contributed to an overall improvement in primary healthcare delivery. Key advancements such as the successful </w:t>
      </w:r>
      <w:r w:rsidRPr="00266C6C">
        <w:rPr>
          <w:rFonts w:ascii="Arial" w:hAnsi="Arial" w:cs="Arial"/>
          <w:lang w:val="en-IN"/>
        </w:rPr>
        <w:lastRenderedPageBreak/>
        <w:t>implementation of teleconsultation services, the Family Doctor Program, and robust community outreach initiatives have positioned AAMs as more efficient and accessible healthcare providers. Additionally, the integration of digital health platforms has facilitated better service documentation and patient management, addressing many of the gaps identified in earlier studies. These improvements reflect the state's commitment to strengthening primary healthcare services and highlight the effectiveness of strategic initiatives undertaken in recent years to optimize healthcare delivery consistent with SDG goals and achieving Universal Health Coverage.</w:t>
      </w:r>
    </w:p>
    <w:p w14:paraId="5138DDE5" w14:textId="77777777" w:rsidR="009F3A40" w:rsidRPr="00266C6C" w:rsidRDefault="009F3A40" w:rsidP="00266C6C">
      <w:pPr>
        <w:pStyle w:val="Body"/>
        <w:spacing w:after="0"/>
        <w:rPr>
          <w:rFonts w:ascii="Arial" w:hAnsi="Arial" w:cs="Arial"/>
          <w:lang w:val="en-IN"/>
        </w:rPr>
      </w:pPr>
    </w:p>
    <w:p w14:paraId="1A1F5A2C" w14:textId="77777777" w:rsidR="00266C6C" w:rsidRPr="00266C6C" w:rsidRDefault="00266C6C" w:rsidP="00266C6C">
      <w:pPr>
        <w:pStyle w:val="Body"/>
        <w:spacing w:after="0"/>
        <w:rPr>
          <w:rFonts w:ascii="Arial" w:hAnsi="Arial" w:cs="Arial"/>
          <w:b/>
          <w:bCs/>
          <w:lang w:val="en-IN"/>
        </w:rPr>
      </w:pPr>
      <w:r w:rsidRPr="00266C6C">
        <w:rPr>
          <w:rFonts w:ascii="Arial" w:hAnsi="Arial" w:cs="Arial"/>
          <w:b/>
          <w:bCs/>
          <w:lang w:val="en-IN"/>
        </w:rPr>
        <w:t>Table 9: Comparison of study findings with state parameters</w:t>
      </w:r>
    </w:p>
    <w:tbl>
      <w:tblPr>
        <w:tblStyle w:val="PlainTable2"/>
        <w:tblW w:w="9428" w:type="dxa"/>
        <w:tblLook w:val="04A0" w:firstRow="1" w:lastRow="0" w:firstColumn="1" w:lastColumn="0" w:noHBand="0" w:noVBand="1"/>
      </w:tblPr>
      <w:tblGrid>
        <w:gridCol w:w="5492"/>
        <w:gridCol w:w="1897"/>
        <w:gridCol w:w="2039"/>
      </w:tblGrid>
      <w:tr w:rsidR="00266C6C" w:rsidRPr="00266C6C" w14:paraId="7DA2B815" w14:textId="77777777" w:rsidTr="009F3A40">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3FD31297" w14:textId="77777777" w:rsidR="00266C6C" w:rsidRPr="00266C6C" w:rsidRDefault="00266C6C" w:rsidP="00266C6C">
            <w:pPr>
              <w:pStyle w:val="Body"/>
              <w:spacing w:after="0"/>
              <w:rPr>
                <w:rFonts w:ascii="Arial" w:hAnsi="Arial" w:cs="Arial"/>
                <w:lang w:val="en-IN"/>
              </w:rPr>
            </w:pPr>
            <w:bookmarkStart w:id="3" w:name="_Hlk204160669"/>
            <w:r w:rsidRPr="00266C6C">
              <w:rPr>
                <w:rFonts w:ascii="Arial" w:hAnsi="Arial" w:cs="Arial"/>
                <w:lang w:val="en-IN"/>
              </w:rPr>
              <w:t>Parameter of Infrastructure</w:t>
            </w:r>
          </w:p>
        </w:tc>
        <w:tc>
          <w:tcPr>
            <w:tcW w:w="1897" w:type="dxa"/>
          </w:tcPr>
          <w:p w14:paraId="1F7D0512"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Study Findings</w:t>
            </w:r>
          </w:p>
        </w:tc>
        <w:tc>
          <w:tcPr>
            <w:tcW w:w="2039" w:type="dxa"/>
          </w:tcPr>
          <w:p w14:paraId="1A3851B1" w14:textId="77777777" w:rsidR="00266C6C" w:rsidRPr="00266C6C" w:rsidRDefault="00266C6C" w:rsidP="00266C6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Andhra Pradesh – State Findings</w:t>
            </w:r>
          </w:p>
        </w:tc>
      </w:tr>
      <w:tr w:rsidR="00266C6C" w:rsidRPr="00266C6C" w14:paraId="7101484A" w14:textId="77777777" w:rsidTr="009F3A40">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5492" w:type="dxa"/>
            <w:hideMark/>
          </w:tcPr>
          <w:p w14:paraId="667CF417"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Accessibility provisions for elderly/ people with disabilities (ramps, wheelchairs, etc.)</w:t>
            </w:r>
          </w:p>
        </w:tc>
        <w:tc>
          <w:tcPr>
            <w:tcW w:w="1897" w:type="dxa"/>
          </w:tcPr>
          <w:p w14:paraId="62ACF6F0"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11 (91.7%)</w:t>
            </w:r>
          </w:p>
        </w:tc>
        <w:tc>
          <w:tcPr>
            <w:tcW w:w="2039" w:type="dxa"/>
          </w:tcPr>
          <w:p w14:paraId="208A3433"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68.5%</w:t>
            </w:r>
          </w:p>
        </w:tc>
      </w:tr>
      <w:tr w:rsidR="00266C6C" w:rsidRPr="00266C6C" w14:paraId="555ABAFE"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593F2ED3"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Continuous electricity supply including power backup of 8 hours</w:t>
            </w:r>
          </w:p>
        </w:tc>
        <w:tc>
          <w:tcPr>
            <w:tcW w:w="1897" w:type="dxa"/>
          </w:tcPr>
          <w:p w14:paraId="67F43CE0"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7 (58.3%)</w:t>
            </w:r>
          </w:p>
          <w:p w14:paraId="1FD0509E"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c>
          <w:tcPr>
            <w:tcW w:w="2039" w:type="dxa"/>
          </w:tcPr>
          <w:p w14:paraId="15B17ED0"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68%</w:t>
            </w:r>
          </w:p>
        </w:tc>
      </w:tr>
      <w:tr w:rsidR="00266C6C" w:rsidRPr="00266C6C" w14:paraId="0750AADA" w14:textId="77777777" w:rsidTr="009F3A4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14C47C6A"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Availability of potable water supply 24x7</w:t>
            </w:r>
          </w:p>
        </w:tc>
        <w:tc>
          <w:tcPr>
            <w:tcW w:w="1897" w:type="dxa"/>
          </w:tcPr>
          <w:p w14:paraId="50E5B5B0"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p w14:paraId="17781035"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c>
          <w:tcPr>
            <w:tcW w:w="2039" w:type="dxa"/>
          </w:tcPr>
          <w:p w14:paraId="741290FA"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77.5%</w:t>
            </w:r>
          </w:p>
        </w:tc>
      </w:tr>
      <w:tr w:rsidR="00266C6C" w:rsidRPr="00266C6C" w14:paraId="71CF301B"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3CB7338E"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Adequate space for patient examination with privacy</w:t>
            </w:r>
          </w:p>
        </w:tc>
        <w:tc>
          <w:tcPr>
            <w:tcW w:w="1897" w:type="dxa"/>
          </w:tcPr>
          <w:p w14:paraId="5B419791"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p w14:paraId="7E606C5D"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c>
          <w:tcPr>
            <w:tcW w:w="2039" w:type="dxa"/>
          </w:tcPr>
          <w:p w14:paraId="542A320E"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82%</w:t>
            </w:r>
          </w:p>
        </w:tc>
      </w:tr>
      <w:tr w:rsidR="00266C6C" w:rsidRPr="00266C6C" w14:paraId="2892796F" w14:textId="77777777" w:rsidTr="009F3A4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347560AA"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Adequate dedicated space for laboratory/ diagnostics services</w:t>
            </w:r>
          </w:p>
        </w:tc>
        <w:tc>
          <w:tcPr>
            <w:tcW w:w="1897" w:type="dxa"/>
          </w:tcPr>
          <w:p w14:paraId="160A201E"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1D7EE7E2"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88.5%</w:t>
            </w:r>
          </w:p>
        </w:tc>
      </w:tr>
      <w:tr w:rsidR="00266C6C" w:rsidRPr="00266C6C" w14:paraId="56283A07"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164950DF"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Functional toilet facilities - separate for male and female</w:t>
            </w:r>
          </w:p>
        </w:tc>
        <w:tc>
          <w:tcPr>
            <w:tcW w:w="1897" w:type="dxa"/>
          </w:tcPr>
          <w:p w14:paraId="15B041AC"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25D421FA"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67%</w:t>
            </w:r>
          </w:p>
        </w:tc>
      </w:tr>
      <w:tr w:rsidR="00266C6C" w:rsidRPr="00266C6C" w14:paraId="477E49FE" w14:textId="77777777" w:rsidTr="009F3A4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6046FFF3"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Display of Patient Charter at the facility</w:t>
            </w:r>
          </w:p>
        </w:tc>
        <w:tc>
          <w:tcPr>
            <w:tcW w:w="1897" w:type="dxa"/>
          </w:tcPr>
          <w:p w14:paraId="1ED5EC37"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0FD3B2C8" w14:textId="77777777" w:rsidR="00266C6C" w:rsidRPr="00266C6C" w:rsidRDefault="00266C6C" w:rsidP="00266C6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66C6C">
              <w:rPr>
                <w:rFonts w:ascii="Arial" w:hAnsi="Arial" w:cs="Arial"/>
                <w:lang w:val="en-IN"/>
              </w:rPr>
              <w:t>72.5%</w:t>
            </w:r>
          </w:p>
        </w:tc>
      </w:tr>
      <w:tr w:rsidR="00266C6C" w:rsidRPr="00266C6C" w14:paraId="269804AE" w14:textId="77777777" w:rsidTr="009F3A40">
        <w:trPr>
          <w:trHeight w:val="478"/>
        </w:trPr>
        <w:tc>
          <w:tcPr>
            <w:cnfStyle w:val="001000000000" w:firstRow="0" w:lastRow="0" w:firstColumn="1" w:lastColumn="0" w:oddVBand="0" w:evenVBand="0" w:oddHBand="0" w:evenHBand="0" w:firstRowFirstColumn="0" w:firstRowLastColumn="0" w:lastRowFirstColumn="0" w:lastRowLastColumn="0"/>
            <w:tcW w:w="5492" w:type="dxa"/>
            <w:hideMark/>
          </w:tcPr>
          <w:p w14:paraId="52E97CF9" w14:textId="77777777" w:rsidR="00266C6C" w:rsidRPr="009F3A40" w:rsidRDefault="00266C6C" w:rsidP="00266C6C">
            <w:pPr>
              <w:pStyle w:val="Body"/>
              <w:spacing w:after="0"/>
              <w:rPr>
                <w:rFonts w:ascii="Arial" w:hAnsi="Arial" w:cs="Arial"/>
                <w:b w:val="0"/>
                <w:bCs w:val="0"/>
                <w:lang w:val="en-IN"/>
              </w:rPr>
            </w:pPr>
            <w:r w:rsidRPr="009F3A40">
              <w:rPr>
                <w:rFonts w:ascii="Arial" w:hAnsi="Arial" w:cs="Arial"/>
                <w:b w:val="0"/>
                <w:bCs w:val="0"/>
                <w:lang w:val="en-IN"/>
              </w:rPr>
              <w:t>Display of health promotion / IEC material at the facility</w:t>
            </w:r>
          </w:p>
        </w:tc>
        <w:tc>
          <w:tcPr>
            <w:tcW w:w="1897" w:type="dxa"/>
          </w:tcPr>
          <w:p w14:paraId="626C4548"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12 (100%)</w:t>
            </w:r>
          </w:p>
        </w:tc>
        <w:tc>
          <w:tcPr>
            <w:tcW w:w="2039" w:type="dxa"/>
          </w:tcPr>
          <w:p w14:paraId="6EAAB96A" w14:textId="77777777" w:rsidR="00266C6C" w:rsidRPr="00266C6C" w:rsidRDefault="00266C6C" w:rsidP="00266C6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66C6C">
              <w:rPr>
                <w:rFonts w:ascii="Arial" w:hAnsi="Arial" w:cs="Arial"/>
                <w:lang w:val="en-IN"/>
              </w:rPr>
              <w:t>89%</w:t>
            </w:r>
          </w:p>
        </w:tc>
      </w:tr>
    </w:tbl>
    <w:bookmarkEnd w:id="3"/>
    <w:p w14:paraId="30F853B7" w14:textId="77777777" w:rsidR="00266C6C" w:rsidRPr="00266C6C" w:rsidRDefault="00266C6C" w:rsidP="00266C6C">
      <w:pPr>
        <w:pStyle w:val="Body"/>
        <w:spacing w:after="0"/>
        <w:rPr>
          <w:rFonts w:ascii="Arial" w:hAnsi="Arial" w:cs="Arial"/>
          <w:i/>
          <w:iCs/>
          <w:lang w:val="en-IN"/>
        </w:rPr>
      </w:pPr>
      <w:r w:rsidRPr="00266C6C">
        <w:rPr>
          <w:rFonts w:ascii="Arial" w:hAnsi="Arial" w:cs="Arial"/>
          <w:i/>
          <w:iCs/>
          <w:lang w:val="en-IN"/>
        </w:rPr>
        <w:t>(Source: IPHS dashboard)</w:t>
      </w:r>
    </w:p>
    <w:p w14:paraId="02C0B9A5" w14:textId="77777777" w:rsidR="009F3A40" w:rsidRDefault="009F3A40" w:rsidP="00266C6C">
      <w:pPr>
        <w:pStyle w:val="Body"/>
        <w:spacing w:after="0"/>
        <w:rPr>
          <w:rFonts w:ascii="Arial" w:hAnsi="Arial" w:cs="Arial"/>
          <w:lang w:val="en-IN"/>
        </w:rPr>
      </w:pPr>
    </w:p>
    <w:p w14:paraId="41B0586A" w14:textId="26681A2B" w:rsidR="00266C6C" w:rsidRPr="00266C6C" w:rsidRDefault="00266C6C" w:rsidP="00266C6C">
      <w:pPr>
        <w:pStyle w:val="Body"/>
        <w:spacing w:after="0"/>
        <w:rPr>
          <w:rFonts w:ascii="Arial" w:hAnsi="Arial" w:cs="Arial"/>
          <w:lang w:val="en-IN"/>
        </w:rPr>
      </w:pPr>
      <w:r w:rsidRPr="00266C6C">
        <w:rPr>
          <w:rFonts w:ascii="Arial" w:hAnsi="Arial" w:cs="Arial"/>
          <w:lang w:val="en-IN"/>
        </w:rPr>
        <w:t xml:space="preserve">The mean population covered by the SHCs in this study is 4877 while the mean population covered by Andhra Pradesh is 4304; PHCs are catering to mean population of 47341 as per this study and 51015 across the state. </w:t>
      </w:r>
      <w:r w:rsidRPr="00266C6C">
        <w:rPr>
          <w:rFonts w:ascii="Arial" w:hAnsi="Arial" w:cs="Arial"/>
          <w:i/>
          <w:iCs/>
          <w:lang w:val="en-IN"/>
        </w:rPr>
        <w:t>(Source: HMIS annual data)</w:t>
      </w:r>
      <w:r w:rsidRPr="00266C6C">
        <w:rPr>
          <w:rFonts w:ascii="Arial" w:hAnsi="Arial" w:cs="Arial"/>
          <w:lang w:val="en-IN"/>
        </w:rPr>
        <w:t xml:space="preserve"> </w:t>
      </w:r>
    </w:p>
    <w:p w14:paraId="768464A4" w14:textId="77777777" w:rsidR="00266C6C" w:rsidRDefault="00266C6C" w:rsidP="00441B6F">
      <w:pPr>
        <w:pStyle w:val="Body"/>
        <w:spacing w:after="0"/>
        <w:rPr>
          <w:rFonts w:ascii="Arial" w:eastAsia="Calibri" w:hAnsi="Arial" w:cs="Arial"/>
          <w:color w:val="FF0000"/>
          <w:szCs w:val="22"/>
        </w:rPr>
      </w:pPr>
    </w:p>
    <w:p w14:paraId="001E2F2A" w14:textId="77777777" w:rsidR="00266C6C" w:rsidRDefault="00266C6C" w:rsidP="00441B6F">
      <w:pPr>
        <w:pStyle w:val="Body"/>
        <w:spacing w:after="0"/>
        <w:rPr>
          <w:rFonts w:ascii="Arial" w:hAnsi="Arial" w:cs="Arial"/>
        </w:rPr>
      </w:pPr>
    </w:p>
    <w:p w14:paraId="3B99DB8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869505" w14:textId="77777777" w:rsidR="00790ADA" w:rsidRPr="00FB3A86" w:rsidRDefault="00790ADA" w:rsidP="00441B6F">
      <w:pPr>
        <w:pStyle w:val="ConcHead"/>
        <w:spacing w:after="0"/>
        <w:jc w:val="both"/>
        <w:rPr>
          <w:rFonts w:ascii="Arial" w:hAnsi="Arial" w:cs="Arial"/>
        </w:rPr>
      </w:pPr>
    </w:p>
    <w:p w14:paraId="75D3E9B9"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The Ayushman Arogya Mandirs in Andhra Pradesh demonstrate commendable progress in healthcare delivery but face challenges that hinder their full potential. Addressing gaps in infrastructure, training, and data management can further enhance their impact. By leveraging existing strengths and implementing targeted recommendations, AAMs can achieve their vision of providing equitable and accessible primary healthcare services.</w:t>
      </w:r>
    </w:p>
    <w:p w14:paraId="5DBA6381" w14:textId="77777777" w:rsidR="002C3943" w:rsidRPr="002C3943" w:rsidRDefault="002C3943" w:rsidP="002C3943">
      <w:pPr>
        <w:pStyle w:val="Body"/>
        <w:spacing w:after="0"/>
        <w:rPr>
          <w:rFonts w:ascii="Arial" w:hAnsi="Arial" w:cs="Arial"/>
          <w:lang w:val="en-IN"/>
        </w:rPr>
      </w:pPr>
    </w:p>
    <w:p w14:paraId="52882B19" w14:textId="77777777" w:rsidR="002C3943" w:rsidRPr="002C3943" w:rsidRDefault="002C3943" w:rsidP="002C3943">
      <w:pPr>
        <w:pStyle w:val="Body"/>
        <w:spacing w:after="0"/>
        <w:rPr>
          <w:rFonts w:ascii="Arial" w:hAnsi="Arial" w:cs="Arial"/>
          <w:b/>
          <w:bCs/>
          <w:lang w:val="en-IN"/>
        </w:rPr>
      </w:pPr>
      <w:r w:rsidRPr="002C3943">
        <w:rPr>
          <w:rFonts w:ascii="Arial" w:hAnsi="Arial" w:cs="Arial"/>
          <w:b/>
          <w:bCs/>
          <w:lang w:val="en-IN"/>
        </w:rPr>
        <w:t>Recommendations</w:t>
      </w:r>
    </w:p>
    <w:p w14:paraId="4CEA32C0"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Infrastructure:</w:t>
      </w:r>
    </w:p>
    <w:p w14:paraId="4FA9D354"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To address these challenges, the state must prioritize infrastructure development, such as expanding facility space, improving accessibility features, ensuring power backup systems providing secure residence for staff near healthcare facility to provide round the clock services. </w:t>
      </w:r>
    </w:p>
    <w:p w14:paraId="411D26B7"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More PHCs can be planned in rural areas to meet population norms of one rural PHC for 30,000 population and 1 PHC for 20,000 population in hilly areas. </w:t>
      </w:r>
    </w:p>
    <w:p w14:paraId="16631539"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Human Resource:</w:t>
      </w:r>
    </w:p>
    <w:p w14:paraId="7231DDE8"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As Andhra Pradesh has zero vacancy policy, filling up any position in less than 3 months, filling vacant positions under this policy must be done robustly. </w:t>
      </w:r>
    </w:p>
    <w:p w14:paraId="7E1B01F1"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lastRenderedPageBreak/>
        <w:t xml:space="preserve">Also, regular training of staff, and implementing performance-based incentives for healthcare workers are essential for improving human resource motivation and efficiency. </w:t>
      </w:r>
    </w:p>
    <w:p w14:paraId="6D2673B5" w14:textId="77777777" w:rsidR="002C3943" w:rsidRPr="002C3943" w:rsidRDefault="002C3943" w:rsidP="002C3943">
      <w:pPr>
        <w:pStyle w:val="Body"/>
        <w:spacing w:after="0"/>
        <w:rPr>
          <w:rFonts w:ascii="Arial" w:hAnsi="Arial" w:cs="Arial"/>
          <w:lang w:val="en-IN"/>
        </w:rPr>
      </w:pPr>
      <w:r w:rsidRPr="002C3943">
        <w:rPr>
          <w:rFonts w:ascii="Arial" w:hAnsi="Arial" w:cs="Arial"/>
          <w:lang w:val="en-IN"/>
        </w:rPr>
        <w:t>Service Delivery:</w:t>
      </w:r>
    </w:p>
    <w:p w14:paraId="7731DC03"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Strengthening referral systems, streamlining digital platforms like the NCD portal, and adopting the IPHS guidelines will enhance service delivery and operational efficiency.</w:t>
      </w:r>
    </w:p>
    <w:p w14:paraId="4ED269A2"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Efforts should also focus on improving stock management, expanding awareness of the CPHC package, and promoting digital data management. </w:t>
      </w:r>
    </w:p>
    <w:p w14:paraId="792B4025" w14:textId="77777777" w:rsidR="002C3943" w:rsidRPr="002C3943" w:rsidRDefault="002C3943" w:rsidP="002C3943">
      <w:pPr>
        <w:pStyle w:val="Body"/>
        <w:numPr>
          <w:ilvl w:val="0"/>
          <w:numId w:val="32"/>
        </w:numPr>
        <w:spacing w:after="0"/>
        <w:rPr>
          <w:rFonts w:ascii="Arial" w:hAnsi="Arial" w:cs="Arial"/>
          <w:lang w:val="en-IN"/>
        </w:rPr>
      </w:pPr>
      <w:r w:rsidRPr="002C3943">
        <w:rPr>
          <w:rFonts w:ascii="Arial" w:hAnsi="Arial" w:cs="Arial"/>
          <w:lang w:val="en-IN"/>
        </w:rPr>
        <w:t xml:space="preserve">Enhanced community engagement, regular wellness sessions, and targeted interventions for high-risk pregnancies are critical for comprehensive healthcare delivery. </w:t>
      </w:r>
    </w:p>
    <w:p w14:paraId="379EC893" w14:textId="0B48B28C" w:rsidR="00790ADA" w:rsidRDefault="002C3943" w:rsidP="002C3943">
      <w:pPr>
        <w:pStyle w:val="Body"/>
        <w:spacing w:after="0"/>
        <w:rPr>
          <w:rFonts w:ascii="Arial" w:hAnsi="Arial" w:cs="Arial"/>
          <w:lang w:val="en-IN"/>
        </w:rPr>
      </w:pPr>
      <w:r w:rsidRPr="002C3943">
        <w:rPr>
          <w:rFonts w:ascii="Arial" w:hAnsi="Arial" w:cs="Arial"/>
          <w:lang w:val="en-IN"/>
        </w:rPr>
        <w:t>Lastly, scaling up programs like teleconsultation, addressing data discrepancies, and achieving universal Ayushman Bharat Health Account (ABHA) ID generation will bolster the state's healthcare system.</w:t>
      </w:r>
    </w:p>
    <w:p w14:paraId="3925F6FB" w14:textId="77777777" w:rsidR="002C3943" w:rsidRPr="00FB3A86" w:rsidRDefault="002C3943" w:rsidP="002C3943">
      <w:pPr>
        <w:pStyle w:val="Body"/>
        <w:spacing w:after="0"/>
        <w:rPr>
          <w:rFonts w:ascii="Arial" w:hAnsi="Arial" w:cs="Arial"/>
        </w:rPr>
      </w:pPr>
    </w:p>
    <w:p w14:paraId="10CDC635" w14:textId="77777777" w:rsidR="002B685A" w:rsidRDefault="002B685A" w:rsidP="00441B6F">
      <w:pPr>
        <w:pStyle w:val="ReferHead"/>
        <w:spacing w:after="0"/>
        <w:jc w:val="both"/>
        <w:rPr>
          <w:rFonts w:ascii="Arial" w:hAnsi="Arial" w:cs="Arial"/>
          <w:b w:val="0"/>
          <w:caps w:val="0"/>
          <w:sz w:val="20"/>
        </w:rPr>
      </w:pPr>
    </w:p>
    <w:p w14:paraId="239A2159" w14:textId="77777777" w:rsidR="005C784C" w:rsidRDefault="005C784C" w:rsidP="00441B6F">
      <w:pPr>
        <w:pStyle w:val="ReferHead"/>
        <w:spacing w:after="0"/>
        <w:jc w:val="both"/>
        <w:rPr>
          <w:rFonts w:ascii="Arial" w:hAnsi="Arial" w:cs="Arial"/>
          <w:b w:val="0"/>
          <w:caps w:val="0"/>
          <w:sz w:val="20"/>
        </w:rPr>
      </w:pPr>
    </w:p>
    <w:p w14:paraId="5375401A" w14:textId="77777777" w:rsidR="00CD6856" w:rsidRDefault="00CD6856" w:rsidP="00441B6F">
      <w:pPr>
        <w:pStyle w:val="ReferHead"/>
        <w:spacing w:after="0"/>
        <w:jc w:val="both"/>
        <w:rPr>
          <w:rFonts w:ascii="Arial" w:hAnsi="Arial" w:cs="Arial"/>
          <w:b w:val="0"/>
          <w:caps w:val="0"/>
          <w:sz w:val="20"/>
        </w:rPr>
      </w:pPr>
    </w:p>
    <w:p w14:paraId="6DB9EF03" w14:textId="71A825B4" w:rsidR="00B01FCD" w:rsidRDefault="00B01FCD" w:rsidP="00441B6F">
      <w:pPr>
        <w:pStyle w:val="ReferHead"/>
        <w:spacing w:after="0"/>
        <w:jc w:val="both"/>
        <w:rPr>
          <w:rFonts w:ascii="Arial" w:hAnsi="Arial" w:cs="Arial"/>
        </w:rPr>
      </w:pPr>
      <w:r w:rsidRPr="00FB3A86">
        <w:rPr>
          <w:rFonts w:ascii="Arial" w:hAnsi="Arial" w:cs="Arial"/>
        </w:rPr>
        <w:t>References</w:t>
      </w:r>
      <w:r w:rsidR="0081594D">
        <w:rPr>
          <w:rFonts w:ascii="Arial" w:hAnsi="Arial" w:cs="Arial"/>
        </w:rPr>
        <w:t xml:space="preserve"> </w:t>
      </w:r>
    </w:p>
    <w:p w14:paraId="25E254E0" w14:textId="77777777" w:rsidR="0081594D" w:rsidRDefault="0081594D" w:rsidP="00441B6F">
      <w:pPr>
        <w:pStyle w:val="Body"/>
        <w:spacing w:after="0"/>
        <w:rPr>
          <w:rFonts w:ascii="Arial" w:hAnsi="Arial" w:cs="Arial"/>
        </w:rPr>
      </w:pPr>
    </w:p>
    <w:p w14:paraId="619BC481" w14:textId="77777777" w:rsidR="0081594D" w:rsidRPr="0081594D" w:rsidRDefault="0081594D" w:rsidP="0081594D">
      <w:pPr>
        <w:pStyle w:val="Body"/>
        <w:spacing w:after="0"/>
        <w:jc w:val="left"/>
        <w:rPr>
          <w:rFonts w:ascii="Arial" w:hAnsi="Arial" w:cs="Arial"/>
          <w:lang w:val="en-IN"/>
        </w:rPr>
      </w:pPr>
      <w:r w:rsidRPr="0081594D">
        <w:rPr>
          <w:rFonts w:ascii="Arial" w:hAnsi="Arial" w:cs="Arial"/>
          <w:b/>
          <w:bCs/>
          <w:lang w:val="en-IN"/>
        </w:rPr>
        <w:fldChar w:fldCharType="begin"/>
      </w:r>
      <w:r w:rsidRPr="0081594D">
        <w:rPr>
          <w:rFonts w:ascii="Arial" w:hAnsi="Arial" w:cs="Arial"/>
          <w:b/>
          <w:bCs/>
          <w:lang w:val="en-IN"/>
        </w:rPr>
        <w:instrText xml:space="preserve"> ADDIN ZOTERO_BIBL {"uncited":[],"omitted":[],"custom":[]} CSL_BIBLIOGRAPHY </w:instrText>
      </w:r>
      <w:r w:rsidRPr="0081594D">
        <w:rPr>
          <w:rFonts w:ascii="Arial" w:hAnsi="Arial" w:cs="Arial"/>
          <w:b/>
          <w:bCs/>
          <w:lang w:val="en-IN"/>
        </w:rPr>
        <w:fldChar w:fldCharType="separate"/>
      </w:r>
      <w:r w:rsidRPr="0081594D">
        <w:rPr>
          <w:rFonts w:ascii="Arial" w:hAnsi="Arial" w:cs="Arial"/>
          <w:lang w:val="en-IN"/>
        </w:rPr>
        <w:t>1.</w:t>
      </w:r>
      <w:r w:rsidRPr="0081594D">
        <w:rPr>
          <w:rFonts w:ascii="Arial" w:hAnsi="Arial" w:cs="Arial"/>
          <w:lang w:val="en-IN"/>
        </w:rPr>
        <w:tab/>
        <w:t xml:space="preserve">Kumar A. The Transformation of The Indian Healthcare System. Cureus. 15(5):e39079. </w:t>
      </w:r>
    </w:p>
    <w:p w14:paraId="2FCE6D91" w14:textId="77777777" w:rsidR="0081594D" w:rsidRPr="0081594D" w:rsidRDefault="0081594D" w:rsidP="0081594D">
      <w:pPr>
        <w:pStyle w:val="Body"/>
        <w:spacing w:after="0"/>
        <w:jc w:val="left"/>
        <w:rPr>
          <w:rFonts w:ascii="Arial" w:hAnsi="Arial" w:cs="Arial"/>
          <w:lang w:val="en-IN"/>
        </w:rPr>
      </w:pPr>
      <w:r w:rsidRPr="0081594D">
        <w:rPr>
          <w:rFonts w:ascii="Arial" w:hAnsi="Arial" w:cs="Arial"/>
          <w:lang w:val="en-IN"/>
        </w:rPr>
        <w:t>2.</w:t>
      </w:r>
      <w:r w:rsidRPr="0081594D">
        <w:rPr>
          <w:rFonts w:ascii="Arial" w:hAnsi="Arial" w:cs="Arial"/>
          <w:lang w:val="en-IN"/>
        </w:rPr>
        <w:tab/>
        <w:t>Operational_Guidelines_For_CPHC.pdf [Internet]. [cited 2025 Jan 21]. Available from: https://www.nhm.gov.in/New_Updates_2018/NHM_Components/Health_System_Stregthening/Comprehensive_primary_health_care/letter/Operational_Guidelines_For_CPHC.pdf</w:t>
      </w:r>
    </w:p>
    <w:p w14:paraId="1D4E3250" w14:textId="77777777" w:rsidR="0081594D" w:rsidRPr="0081594D" w:rsidRDefault="0081594D" w:rsidP="0081594D">
      <w:pPr>
        <w:pStyle w:val="Body"/>
        <w:spacing w:after="0"/>
        <w:jc w:val="left"/>
        <w:rPr>
          <w:rFonts w:ascii="Arial" w:hAnsi="Arial" w:cs="Arial"/>
          <w:lang w:val="en-IN"/>
        </w:rPr>
      </w:pPr>
      <w:r w:rsidRPr="0081594D">
        <w:rPr>
          <w:rFonts w:ascii="Arial" w:hAnsi="Arial" w:cs="Arial"/>
          <w:lang w:val="en-IN"/>
        </w:rPr>
        <w:t>3.</w:t>
      </w:r>
      <w:r w:rsidRPr="0081594D">
        <w:rPr>
          <w:rFonts w:ascii="Arial" w:hAnsi="Arial" w:cs="Arial"/>
          <w:lang w:val="en-IN"/>
        </w:rPr>
        <w:tab/>
        <w:t xml:space="preserve">Lahariya C. Health &amp; Wellness Centers to Strengthen Primary Health Care in India: Concept, Progress and Ways Forward. Indian J Pediatr. 2020;87(11):916–29. </w:t>
      </w:r>
    </w:p>
    <w:p w14:paraId="5BECEA59" w14:textId="77777777" w:rsidR="0081594D" w:rsidRPr="0081594D" w:rsidRDefault="0081594D" w:rsidP="0081594D">
      <w:pPr>
        <w:pStyle w:val="Body"/>
        <w:spacing w:after="0"/>
        <w:jc w:val="left"/>
        <w:rPr>
          <w:rFonts w:ascii="Arial" w:hAnsi="Arial" w:cs="Arial"/>
          <w:lang w:val="en-IN"/>
        </w:rPr>
      </w:pPr>
      <w:r w:rsidRPr="0081594D">
        <w:rPr>
          <w:rFonts w:ascii="Arial" w:hAnsi="Arial" w:cs="Arial"/>
          <w:lang w:val="en-IN"/>
        </w:rPr>
        <w:t>4.</w:t>
      </w:r>
      <w:r w:rsidRPr="0081594D">
        <w:rPr>
          <w:rFonts w:ascii="Arial" w:hAnsi="Arial" w:cs="Arial"/>
          <w:lang w:val="en-IN"/>
        </w:rPr>
        <w:tab/>
        <w:t>Ministry of Health &amp; Family Welfare Initiatives &amp; Achievements-2023 [Internet]. [cited 2025 Jan 21]. Available from: https://pib.gov.in/pib.gov.in/Pressreleaseshare.aspx?PRID=1990674</w:t>
      </w:r>
    </w:p>
    <w:p w14:paraId="2AE73685" w14:textId="77777777" w:rsidR="0081594D" w:rsidRPr="0081594D" w:rsidRDefault="0081594D" w:rsidP="0081594D">
      <w:pPr>
        <w:pStyle w:val="Body"/>
        <w:spacing w:after="0"/>
        <w:jc w:val="left"/>
        <w:rPr>
          <w:rFonts w:ascii="Arial" w:hAnsi="Arial" w:cs="Arial"/>
          <w:lang w:val="en-IN"/>
        </w:rPr>
      </w:pPr>
      <w:r w:rsidRPr="0081594D">
        <w:rPr>
          <w:rFonts w:ascii="Arial" w:hAnsi="Arial" w:cs="Arial"/>
          <w:lang w:val="en-IN"/>
        </w:rPr>
        <w:t>5.</w:t>
      </w:r>
      <w:r w:rsidRPr="0081594D">
        <w:rPr>
          <w:rFonts w:ascii="Arial" w:hAnsi="Arial" w:cs="Arial"/>
          <w:lang w:val="en-IN"/>
        </w:rPr>
        <w:tab/>
        <w:t>Ayushman Bharat Health and Wellness Centres- Realizing Universal Health Care [Internet]. Available from: https://static.pib.gov.in/WriteReadData/specificdocs/documents/2021/sep/doc202192010.pdf</w:t>
      </w:r>
    </w:p>
    <w:p w14:paraId="03234C29" w14:textId="77777777" w:rsidR="0081594D" w:rsidRPr="0081594D" w:rsidRDefault="0081594D" w:rsidP="0081594D">
      <w:pPr>
        <w:pStyle w:val="Body"/>
        <w:spacing w:after="0"/>
        <w:jc w:val="left"/>
        <w:rPr>
          <w:rFonts w:ascii="Arial" w:hAnsi="Arial" w:cs="Arial"/>
          <w:lang w:val="en-IN"/>
        </w:rPr>
      </w:pPr>
      <w:r w:rsidRPr="0081594D">
        <w:rPr>
          <w:rFonts w:ascii="Arial" w:hAnsi="Arial" w:cs="Arial"/>
          <w:lang w:val="en-IN"/>
        </w:rPr>
        <w:t>6.</w:t>
      </w:r>
      <w:r w:rsidRPr="0081594D">
        <w:rPr>
          <w:rFonts w:ascii="Arial" w:hAnsi="Arial" w:cs="Arial"/>
          <w:lang w:val="en-IN"/>
        </w:rPr>
        <w:tab/>
        <w:t>13th CRM Synthesis Report.pdf [Internet]. [cited 2025 Jan 21]. Available from: https://nhsrcindia.org/sites/default/files/2021-07/13th%20CRM%20Synthesis%20Report.pdf?utm_source=chatgpt.com</w:t>
      </w:r>
    </w:p>
    <w:p w14:paraId="7C2D6B13" w14:textId="30CD07C0" w:rsidR="0081594D" w:rsidRPr="0081594D" w:rsidRDefault="0081594D" w:rsidP="0081594D">
      <w:pPr>
        <w:pStyle w:val="Body"/>
        <w:spacing w:after="0"/>
        <w:jc w:val="left"/>
        <w:rPr>
          <w:rFonts w:ascii="Arial" w:hAnsi="Arial" w:cs="Arial"/>
          <w:lang w:val="en-IN"/>
        </w:rPr>
      </w:pPr>
      <w:r w:rsidRPr="0081594D">
        <w:rPr>
          <w:rFonts w:ascii="Arial" w:hAnsi="Arial" w:cs="Arial"/>
          <w:lang w:val="en-IN"/>
        </w:rPr>
        <w:t>7.</w:t>
      </w:r>
      <w:r w:rsidRPr="0081594D">
        <w:rPr>
          <w:rFonts w:ascii="Arial" w:hAnsi="Arial" w:cs="Arial"/>
          <w:lang w:val="en-IN"/>
        </w:rPr>
        <w:tab/>
        <w:t>Sriram S. Are the subcenters adequately equipped to deliver primary healthcare? A study of public health manpower and infrastructure in the health district in Andhra Pradesh, India. J Family Med Prim Care. 2019 Jan;8(1):102–8</w:t>
      </w:r>
    </w:p>
    <w:p w14:paraId="7571C238" w14:textId="77777777" w:rsidR="0081594D" w:rsidRPr="0081594D" w:rsidRDefault="0081594D" w:rsidP="0081594D">
      <w:pPr>
        <w:pStyle w:val="Body"/>
        <w:spacing w:after="0"/>
        <w:jc w:val="left"/>
        <w:rPr>
          <w:rFonts w:ascii="Arial" w:hAnsi="Arial" w:cs="Arial"/>
          <w:lang w:val="en-IN"/>
        </w:rPr>
      </w:pPr>
      <w:r w:rsidRPr="0081594D">
        <w:rPr>
          <w:rFonts w:ascii="Arial" w:hAnsi="Arial" w:cs="Arial"/>
          <w:lang w:val="en-IN"/>
        </w:rPr>
        <w:t>8.</w:t>
      </w:r>
      <w:r w:rsidRPr="0081594D">
        <w:rPr>
          <w:rFonts w:ascii="Arial" w:hAnsi="Arial" w:cs="Arial"/>
          <w:lang w:val="en-IN"/>
        </w:rPr>
        <w:tab/>
        <w:t>Ashokan A. Telemedicine: Bridging the Gap in Providing Primary Care to Rural Area Patients Across India. Telehealth and Medicine Today [Internet]. 2024 Oct 31 [cited 2025 Jan 21];9(5). Available from: https://telehealthandmedicinetoday.com/index.php/journal/article/view/518</w:t>
      </w:r>
    </w:p>
    <w:p w14:paraId="2834DB1A" w14:textId="77777777" w:rsidR="0081594D" w:rsidRPr="0081594D" w:rsidRDefault="0081594D" w:rsidP="0081594D">
      <w:pPr>
        <w:pStyle w:val="Body"/>
        <w:spacing w:after="0"/>
        <w:jc w:val="left"/>
        <w:rPr>
          <w:rFonts w:ascii="Arial" w:hAnsi="Arial" w:cs="Arial"/>
          <w:lang w:val="en-IN"/>
        </w:rPr>
      </w:pPr>
      <w:r w:rsidRPr="0081594D">
        <w:rPr>
          <w:rFonts w:ascii="Arial" w:hAnsi="Arial" w:cs="Arial"/>
          <w:lang w:val="en-IN"/>
        </w:rPr>
        <w:t>9.</w:t>
      </w:r>
      <w:r w:rsidRPr="0081594D">
        <w:rPr>
          <w:rFonts w:ascii="Arial" w:hAnsi="Arial" w:cs="Arial"/>
          <w:lang w:val="en-IN"/>
        </w:rPr>
        <w:tab/>
        <w:t xml:space="preserve">Nair A, Raikwar AA, Wassey MA, Dogra V. Beneficiary satisfaction with mobile medical units in the state of Andhra Pradesh. International Journal Of Community Medicine And Public Health. 2021;8(1):366–71. </w:t>
      </w:r>
    </w:p>
    <w:p w14:paraId="4B3F3605" w14:textId="0EC6388F" w:rsidR="0081594D" w:rsidRDefault="0081594D" w:rsidP="0081594D">
      <w:pPr>
        <w:pStyle w:val="Body"/>
        <w:spacing w:after="0"/>
        <w:jc w:val="left"/>
        <w:rPr>
          <w:rFonts w:ascii="Arial" w:hAnsi="Arial" w:cs="Arial"/>
        </w:rPr>
      </w:pPr>
      <w:r w:rsidRPr="0081594D">
        <w:rPr>
          <w:rFonts w:ascii="Arial" w:hAnsi="Arial" w:cs="Arial"/>
        </w:rPr>
        <w:fldChar w:fldCharType="end"/>
      </w:r>
    </w:p>
    <w:p w14:paraId="6FDEE7B8" w14:textId="77777777" w:rsidR="00E769F6" w:rsidRPr="002C57D2" w:rsidRDefault="00E769F6" w:rsidP="00441B6F">
      <w:pPr>
        <w:pStyle w:val="Body"/>
        <w:spacing w:after="0"/>
        <w:rPr>
          <w:rFonts w:ascii="Arial" w:hAnsi="Arial" w:cs="Arial"/>
        </w:rPr>
      </w:pPr>
    </w:p>
    <w:p w14:paraId="2645ED0E" w14:textId="77777777" w:rsidR="00790ADA" w:rsidRPr="002C57D2" w:rsidRDefault="00790ADA" w:rsidP="00441B6F">
      <w:pPr>
        <w:pStyle w:val="Body"/>
        <w:spacing w:after="0"/>
        <w:rPr>
          <w:rFonts w:ascii="Arial" w:hAnsi="Arial" w:cs="Arial"/>
        </w:rPr>
      </w:pPr>
    </w:p>
    <w:p w14:paraId="63A3EF86" w14:textId="77777777" w:rsidR="008B459E" w:rsidRPr="002C57D2" w:rsidRDefault="008B459E" w:rsidP="00441B6F">
      <w:pPr>
        <w:pStyle w:val="Body"/>
        <w:spacing w:after="0"/>
        <w:rPr>
          <w:rFonts w:ascii="Arial" w:hAnsi="Arial" w:cs="Arial"/>
        </w:rPr>
      </w:pPr>
    </w:p>
    <w:p w14:paraId="053749E7" w14:textId="77777777" w:rsidR="00B01FCD" w:rsidRPr="00FB3A86" w:rsidRDefault="00B01FCD" w:rsidP="00441B6F">
      <w:pPr>
        <w:pStyle w:val="Reference"/>
        <w:numPr>
          <w:ilvl w:val="0"/>
          <w:numId w:val="0"/>
        </w:numPr>
        <w:spacing w:line="240" w:lineRule="auto"/>
        <w:rPr>
          <w:rFonts w:ascii="Arial" w:hAnsi="Arial" w:cs="Arial"/>
        </w:rPr>
      </w:pPr>
    </w:p>
    <w:p w14:paraId="332173F0" w14:textId="77777777" w:rsidR="00B01FCD" w:rsidRPr="00FB3A86" w:rsidRDefault="00B01FCD" w:rsidP="00441B6F">
      <w:pPr>
        <w:pStyle w:val="Appendix"/>
        <w:spacing w:after="0"/>
        <w:jc w:val="both"/>
        <w:rPr>
          <w:rFonts w:ascii="Arial" w:hAnsi="Arial" w:cs="Arial"/>
          <w:b w:val="0"/>
        </w:rPr>
      </w:pPr>
    </w:p>
    <w:sectPr w:rsidR="00B01FCD" w:rsidRPr="00FB3A86" w:rsidSect="00D337F3">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60B62" w14:textId="77777777" w:rsidR="00254BE9" w:rsidRDefault="00254BE9" w:rsidP="00C37E61">
      <w:r>
        <w:separator/>
      </w:r>
    </w:p>
  </w:endnote>
  <w:endnote w:type="continuationSeparator" w:id="0">
    <w:p w14:paraId="5FD2079D" w14:textId="77777777" w:rsidR="00254BE9" w:rsidRDefault="00254B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8E53" w14:textId="77777777" w:rsidR="0083569F" w:rsidRDefault="00835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698C" w14:textId="77777777" w:rsidR="0083569F" w:rsidRDefault="00835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6ACA" w14:textId="77777777" w:rsidR="009E048A" w:rsidRDefault="009E048A">
    <w:pPr>
      <w:pStyle w:val="Footer"/>
      <w:rPr>
        <w:rFonts w:ascii="Arial" w:hAnsi="Arial" w:cs="Arial"/>
        <w:sz w:val="16"/>
      </w:rPr>
    </w:pPr>
  </w:p>
  <w:p w14:paraId="1BBE992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056758" w14:textId="77777777" w:rsidR="009E048A" w:rsidRDefault="009E048A">
    <w:pPr>
      <w:pStyle w:val="Footer"/>
      <w:rPr>
        <w:rFonts w:ascii="Arial" w:hAnsi="Arial" w:cs="Arial"/>
        <w:sz w:val="16"/>
      </w:rPr>
    </w:pPr>
  </w:p>
  <w:p w14:paraId="3C5A8B7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E1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4D7ED" w14:textId="77777777" w:rsidR="00254BE9" w:rsidRDefault="00254BE9" w:rsidP="00C37E61">
      <w:r>
        <w:separator/>
      </w:r>
    </w:p>
  </w:footnote>
  <w:footnote w:type="continuationSeparator" w:id="0">
    <w:p w14:paraId="61ACC044" w14:textId="77777777" w:rsidR="00254BE9" w:rsidRDefault="00254B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3A26" w14:textId="33C1C7D2" w:rsidR="0083569F" w:rsidRDefault="0083569F">
    <w:pPr>
      <w:pStyle w:val="Header"/>
    </w:pPr>
    <w:r>
      <w:rPr>
        <w:noProof/>
      </w:rPr>
      <w:pict w14:anchorId="02D4A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F83D" w14:textId="2F7C38C4" w:rsidR="0083569F" w:rsidRDefault="0083569F">
    <w:pPr>
      <w:pStyle w:val="Header"/>
    </w:pPr>
    <w:r>
      <w:rPr>
        <w:noProof/>
      </w:rPr>
      <w:pict w14:anchorId="39D4B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9232" w14:textId="3ABA7929" w:rsidR="00296529" w:rsidRPr="00296529" w:rsidRDefault="0083569F" w:rsidP="00296529">
    <w:pPr>
      <w:ind w:left="2160"/>
      <w:jc w:val="center"/>
      <w:rPr>
        <w:rFonts w:ascii="Times New Roman" w:eastAsia="Calibri" w:hAnsi="Times New Roman"/>
        <w:i/>
        <w:sz w:val="18"/>
        <w:szCs w:val="22"/>
      </w:rPr>
    </w:pPr>
    <w:r>
      <w:rPr>
        <w:noProof/>
      </w:rPr>
      <w:pict w14:anchorId="49E6E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514D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0D55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A3A8F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9525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CAAF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B406D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1E85" w14:textId="6295932B" w:rsidR="0083569F" w:rsidRDefault="0083569F">
    <w:pPr>
      <w:pStyle w:val="Header"/>
    </w:pPr>
    <w:r>
      <w:rPr>
        <w:noProof/>
      </w:rPr>
      <w:pict w14:anchorId="77827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6CFB" w14:textId="44C3247B" w:rsidR="0083569F" w:rsidRDefault="0083569F">
    <w:pPr>
      <w:pStyle w:val="Header"/>
    </w:pPr>
    <w:r>
      <w:rPr>
        <w:noProof/>
      </w:rPr>
      <w:pict w14:anchorId="12EDB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98A7" w14:textId="6B2DBA79" w:rsidR="0083569F" w:rsidRDefault="0083569F">
    <w:pPr>
      <w:pStyle w:val="Header"/>
    </w:pPr>
    <w:r>
      <w:rPr>
        <w:noProof/>
      </w:rPr>
      <w:pict w14:anchorId="33980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6934EF"/>
    <w:multiLevelType w:val="hybridMultilevel"/>
    <w:tmpl w:val="50EA8480"/>
    <w:lvl w:ilvl="0" w:tplc="7742A160">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86C2F"/>
    <w:multiLevelType w:val="hybridMultilevel"/>
    <w:tmpl w:val="091C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E54"/>
    <w:rsid w:val="000748C4"/>
    <w:rsid w:val="000A3079"/>
    <w:rsid w:val="000A47FA"/>
    <w:rsid w:val="000A65D3"/>
    <w:rsid w:val="000B1E33"/>
    <w:rsid w:val="000D689F"/>
    <w:rsid w:val="000E7B7B"/>
    <w:rsid w:val="000E7D62"/>
    <w:rsid w:val="00103357"/>
    <w:rsid w:val="00123C9F"/>
    <w:rsid w:val="00126190"/>
    <w:rsid w:val="00130F17"/>
    <w:rsid w:val="001320BF"/>
    <w:rsid w:val="00147688"/>
    <w:rsid w:val="0015465E"/>
    <w:rsid w:val="00163BC4"/>
    <w:rsid w:val="00191062"/>
    <w:rsid w:val="00192B72"/>
    <w:rsid w:val="001A29D8"/>
    <w:rsid w:val="001A5CAA"/>
    <w:rsid w:val="001B0427"/>
    <w:rsid w:val="001D3A51"/>
    <w:rsid w:val="001E10D2"/>
    <w:rsid w:val="001E25B4"/>
    <w:rsid w:val="001E44FE"/>
    <w:rsid w:val="00200595"/>
    <w:rsid w:val="00204835"/>
    <w:rsid w:val="00223057"/>
    <w:rsid w:val="00231920"/>
    <w:rsid w:val="0023195C"/>
    <w:rsid w:val="0023291A"/>
    <w:rsid w:val="0024282C"/>
    <w:rsid w:val="002460DC"/>
    <w:rsid w:val="00250985"/>
    <w:rsid w:val="00254BE9"/>
    <w:rsid w:val="002556F6"/>
    <w:rsid w:val="00266C6C"/>
    <w:rsid w:val="00283105"/>
    <w:rsid w:val="00284C4C"/>
    <w:rsid w:val="00287E68"/>
    <w:rsid w:val="00296529"/>
    <w:rsid w:val="00296A4B"/>
    <w:rsid w:val="002B27FB"/>
    <w:rsid w:val="002B685A"/>
    <w:rsid w:val="002C3943"/>
    <w:rsid w:val="002C57D2"/>
    <w:rsid w:val="002E0D56"/>
    <w:rsid w:val="002E39BE"/>
    <w:rsid w:val="00314379"/>
    <w:rsid w:val="00315186"/>
    <w:rsid w:val="0033343E"/>
    <w:rsid w:val="003512C2"/>
    <w:rsid w:val="00371FB6"/>
    <w:rsid w:val="003763C1"/>
    <w:rsid w:val="00376BBE"/>
    <w:rsid w:val="0039224F"/>
    <w:rsid w:val="003A43A4"/>
    <w:rsid w:val="003A7E18"/>
    <w:rsid w:val="003C127B"/>
    <w:rsid w:val="003C4C86"/>
    <w:rsid w:val="003C6258"/>
    <w:rsid w:val="003E2904"/>
    <w:rsid w:val="00401927"/>
    <w:rsid w:val="0041027F"/>
    <w:rsid w:val="00412475"/>
    <w:rsid w:val="00423789"/>
    <w:rsid w:val="00436F27"/>
    <w:rsid w:val="00440F43"/>
    <w:rsid w:val="00441B6F"/>
    <w:rsid w:val="00446221"/>
    <w:rsid w:val="00450E62"/>
    <w:rsid w:val="004539DB"/>
    <w:rsid w:val="004572DC"/>
    <w:rsid w:val="00471A80"/>
    <w:rsid w:val="004722F2"/>
    <w:rsid w:val="004732F0"/>
    <w:rsid w:val="004A0DA5"/>
    <w:rsid w:val="004A170E"/>
    <w:rsid w:val="004D305E"/>
    <w:rsid w:val="004D4277"/>
    <w:rsid w:val="00502516"/>
    <w:rsid w:val="00505F06"/>
    <w:rsid w:val="00506828"/>
    <w:rsid w:val="0053056E"/>
    <w:rsid w:val="00533A64"/>
    <w:rsid w:val="0055189A"/>
    <w:rsid w:val="00554FDA"/>
    <w:rsid w:val="005C0284"/>
    <w:rsid w:val="005C784C"/>
    <w:rsid w:val="005D17F6"/>
    <w:rsid w:val="005E5157"/>
    <w:rsid w:val="005E5539"/>
    <w:rsid w:val="00602BF5"/>
    <w:rsid w:val="00617FDD"/>
    <w:rsid w:val="00632F29"/>
    <w:rsid w:val="00633614"/>
    <w:rsid w:val="00633F68"/>
    <w:rsid w:val="00636EB2"/>
    <w:rsid w:val="006375B8"/>
    <w:rsid w:val="00662F15"/>
    <w:rsid w:val="0066510A"/>
    <w:rsid w:val="00673F9F"/>
    <w:rsid w:val="00686953"/>
    <w:rsid w:val="00687DEA"/>
    <w:rsid w:val="00687E67"/>
    <w:rsid w:val="006904CB"/>
    <w:rsid w:val="006967F7"/>
    <w:rsid w:val="006A250C"/>
    <w:rsid w:val="006B21D3"/>
    <w:rsid w:val="006B57D0"/>
    <w:rsid w:val="006D30FF"/>
    <w:rsid w:val="006D6940"/>
    <w:rsid w:val="006F11EC"/>
    <w:rsid w:val="0070082C"/>
    <w:rsid w:val="007369E6"/>
    <w:rsid w:val="00746E59"/>
    <w:rsid w:val="00754C9A"/>
    <w:rsid w:val="0075599A"/>
    <w:rsid w:val="00756E25"/>
    <w:rsid w:val="00761D52"/>
    <w:rsid w:val="0077749E"/>
    <w:rsid w:val="007903F5"/>
    <w:rsid w:val="00790ADA"/>
    <w:rsid w:val="007C09A1"/>
    <w:rsid w:val="007D2288"/>
    <w:rsid w:val="007E088F"/>
    <w:rsid w:val="007F7B32"/>
    <w:rsid w:val="00804BC2"/>
    <w:rsid w:val="0081431A"/>
    <w:rsid w:val="0081594D"/>
    <w:rsid w:val="00816FDB"/>
    <w:rsid w:val="008231E8"/>
    <w:rsid w:val="0083216F"/>
    <w:rsid w:val="0083569F"/>
    <w:rsid w:val="00860000"/>
    <w:rsid w:val="00863BD3"/>
    <w:rsid w:val="008641ED"/>
    <w:rsid w:val="00866D66"/>
    <w:rsid w:val="008671C6"/>
    <w:rsid w:val="00875803"/>
    <w:rsid w:val="008B459E"/>
    <w:rsid w:val="008B5AF5"/>
    <w:rsid w:val="008B65A0"/>
    <w:rsid w:val="008C3AD4"/>
    <w:rsid w:val="008C7C2F"/>
    <w:rsid w:val="008E13AE"/>
    <w:rsid w:val="008E1506"/>
    <w:rsid w:val="008E710C"/>
    <w:rsid w:val="008F69D6"/>
    <w:rsid w:val="00902823"/>
    <w:rsid w:val="00915CA6"/>
    <w:rsid w:val="00920D2B"/>
    <w:rsid w:val="00927834"/>
    <w:rsid w:val="009500A6"/>
    <w:rsid w:val="00957C18"/>
    <w:rsid w:val="009659BA"/>
    <w:rsid w:val="00983040"/>
    <w:rsid w:val="009A0272"/>
    <w:rsid w:val="009A09EC"/>
    <w:rsid w:val="009B30DB"/>
    <w:rsid w:val="009B3FB9"/>
    <w:rsid w:val="009C2465"/>
    <w:rsid w:val="009D35A0"/>
    <w:rsid w:val="009D6E14"/>
    <w:rsid w:val="009D7EB7"/>
    <w:rsid w:val="009E048A"/>
    <w:rsid w:val="009E08E9"/>
    <w:rsid w:val="009E3DB9"/>
    <w:rsid w:val="009E6E35"/>
    <w:rsid w:val="009F0EDA"/>
    <w:rsid w:val="009F3A40"/>
    <w:rsid w:val="00A03B96"/>
    <w:rsid w:val="00A05B19"/>
    <w:rsid w:val="00A1134E"/>
    <w:rsid w:val="00A24E7E"/>
    <w:rsid w:val="00A258C3"/>
    <w:rsid w:val="00A33369"/>
    <w:rsid w:val="00A347C0"/>
    <w:rsid w:val="00A51431"/>
    <w:rsid w:val="00A539AD"/>
    <w:rsid w:val="00A72B74"/>
    <w:rsid w:val="00A94063"/>
    <w:rsid w:val="00AA6219"/>
    <w:rsid w:val="00AA74E0"/>
    <w:rsid w:val="00AB1259"/>
    <w:rsid w:val="00AB703F"/>
    <w:rsid w:val="00AC6BB8"/>
    <w:rsid w:val="00AE008F"/>
    <w:rsid w:val="00B01FCD"/>
    <w:rsid w:val="00B1776C"/>
    <w:rsid w:val="00B52583"/>
    <w:rsid w:val="00B52896"/>
    <w:rsid w:val="00B95236"/>
    <w:rsid w:val="00B96BD9"/>
    <w:rsid w:val="00BA1B01"/>
    <w:rsid w:val="00BA2641"/>
    <w:rsid w:val="00BB37AA"/>
    <w:rsid w:val="00BC53A0"/>
    <w:rsid w:val="00BC5D2C"/>
    <w:rsid w:val="00BE62AD"/>
    <w:rsid w:val="00BF121F"/>
    <w:rsid w:val="00BF1F80"/>
    <w:rsid w:val="00C166EF"/>
    <w:rsid w:val="00C17EB0"/>
    <w:rsid w:val="00C2783F"/>
    <w:rsid w:val="00C27F5F"/>
    <w:rsid w:val="00C30A0F"/>
    <w:rsid w:val="00C3364E"/>
    <w:rsid w:val="00C37E61"/>
    <w:rsid w:val="00C70F1B"/>
    <w:rsid w:val="00C71A47"/>
    <w:rsid w:val="00C7464C"/>
    <w:rsid w:val="00C74CEE"/>
    <w:rsid w:val="00C85588"/>
    <w:rsid w:val="00CD2380"/>
    <w:rsid w:val="00CD6755"/>
    <w:rsid w:val="00CD6856"/>
    <w:rsid w:val="00CE0089"/>
    <w:rsid w:val="00CE793C"/>
    <w:rsid w:val="00CF193C"/>
    <w:rsid w:val="00D13F89"/>
    <w:rsid w:val="00D173F1"/>
    <w:rsid w:val="00D337F3"/>
    <w:rsid w:val="00D6513E"/>
    <w:rsid w:val="00D74CB0"/>
    <w:rsid w:val="00D8295D"/>
    <w:rsid w:val="00DC2A65"/>
    <w:rsid w:val="00DE15F0"/>
    <w:rsid w:val="00DE5663"/>
    <w:rsid w:val="00DE78AA"/>
    <w:rsid w:val="00E053D0"/>
    <w:rsid w:val="00E15994"/>
    <w:rsid w:val="00E3114E"/>
    <w:rsid w:val="00E31A70"/>
    <w:rsid w:val="00E35B02"/>
    <w:rsid w:val="00E45836"/>
    <w:rsid w:val="00E66496"/>
    <w:rsid w:val="00E66B35"/>
    <w:rsid w:val="00E66E10"/>
    <w:rsid w:val="00E769F6"/>
    <w:rsid w:val="00E8407C"/>
    <w:rsid w:val="00E84F3C"/>
    <w:rsid w:val="00E869AD"/>
    <w:rsid w:val="00EA012C"/>
    <w:rsid w:val="00EA44F1"/>
    <w:rsid w:val="00EB26FE"/>
    <w:rsid w:val="00EC6A55"/>
    <w:rsid w:val="00ED0288"/>
    <w:rsid w:val="00ED5957"/>
    <w:rsid w:val="00EE52CB"/>
    <w:rsid w:val="00EF581D"/>
    <w:rsid w:val="00EF7FD8"/>
    <w:rsid w:val="00F01800"/>
    <w:rsid w:val="00F06F59"/>
    <w:rsid w:val="00F17988"/>
    <w:rsid w:val="00F26F6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0251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C39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8159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66C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2C3943"/>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81594D"/>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1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D0BC-CF0B-41FB-8C2B-FFB727F5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382</TotalTime>
  <Pages>9</Pages>
  <Words>7236</Words>
  <Characters>41251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48391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57</cp:revision>
  <cp:lastPrinted>1999-07-06T11:00:00Z</cp:lastPrinted>
  <dcterms:created xsi:type="dcterms:W3CDTF">2014-10-25T14:34:00Z</dcterms:created>
  <dcterms:modified xsi:type="dcterms:W3CDTF">2025-08-11T10:33:00Z</dcterms:modified>
</cp:coreProperties>
</file>