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61276" w14:textId="77777777" w:rsidR="0081236B" w:rsidRDefault="0037599E">
      <w:pPr>
        <w:jc w:val="center"/>
        <w:rPr>
          <w:rFonts w:ascii="Times New Roman Regular" w:hAnsi="Times New Roman Regular" w:cs="Times New Roman Regular" w:hint="eastAsia"/>
          <w:b/>
          <w:bCs/>
          <w:sz w:val="22"/>
          <w:szCs w:val="22"/>
        </w:rPr>
      </w:pPr>
      <w:r>
        <w:rPr>
          <w:rFonts w:ascii="Times New Roman Regular" w:hAnsi="Times New Roman Regular" w:cs="Times New Roman Regular"/>
          <w:b/>
          <w:bCs/>
          <w:sz w:val="22"/>
          <w:szCs w:val="22"/>
        </w:rPr>
        <w:t xml:space="preserve">The Effectiveness of Reading and Writing Literacy Using the Kirkpatrick Model at SMPN 1 </w:t>
      </w:r>
      <w:proofErr w:type="spellStart"/>
      <w:r>
        <w:rPr>
          <w:rFonts w:ascii="Times New Roman Regular" w:hAnsi="Times New Roman Regular" w:cs="Times New Roman Regular"/>
          <w:b/>
          <w:bCs/>
          <w:sz w:val="22"/>
          <w:szCs w:val="22"/>
        </w:rPr>
        <w:t>Kuningan</w:t>
      </w:r>
      <w:proofErr w:type="spellEnd"/>
    </w:p>
    <w:p w14:paraId="005F30FB" w14:textId="77777777" w:rsidR="0081236B" w:rsidRDefault="0081236B">
      <w:pPr>
        <w:jc w:val="center"/>
        <w:rPr>
          <w:rFonts w:ascii="Times New Roman Regular" w:hAnsi="Times New Roman Regular" w:cs="Times New Roman Regular" w:hint="eastAsia"/>
          <w:sz w:val="22"/>
          <w:szCs w:val="22"/>
        </w:rPr>
      </w:pPr>
    </w:p>
    <w:p w14:paraId="4F952FB6" w14:textId="17D31D32" w:rsidR="0081236B" w:rsidRDefault="0081236B">
      <w:pPr>
        <w:rPr>
          <w:rFonts w:ascii="Times New Roman Regular" w:hAnsi="Times New Roman Regular" w:cs="Times New Roman Regular"/>
          <w:sz w:val="22"/>
          <w:szCs w:val="22"/>
        </w:rPr>
      </w:pPr>
    </w:p>
    <w:p w14:paraId="1913B3E6" w14:textId="77777777" w:rsidR="00563CBA" w:rsidRDefault="00563CBA">
      <w:pPr>
        <w:rPr>
          <w:rFonts w:ascii="Times New Roman Regular" w:hAnsi="Times New Roman Regular" w:cs="Times New Roman Regular" w:hint="eastAsia"/>
          <w:sz w:val="22"/>
          <w:szCs w:val="22"/>
        </w:rPr>
      </w:pPr>
      <w:bookmarkStart w:id="0" w:name="_GoBack"/>
      <w:bookmarkEnd w:id="0"/>
    </w:p>
    <w:p w14:paraId="295433C8" w14:textId="77777777" w:rsidR="0081236B" w:rsidRDefault="0037599E">
      <w:pPr>
        <w:rPr>
          <w:rFonts w:ascii="Times New Roman Regular" w:hAnsi="Times New Roman Regular" w:hint="eastAsia"/>
          <w:sz w:val="22"/>
          <w:szCs w:val="22"/>
        </w:rPr>
      </w:pPr>
      <w:r>
        <w:rPr>
          <w:rFonts w:ascii="Times New Roman Regular" w:hAnsi="Times New Roman Regular"/>
          <w:b/>
          <w:bCs/>
          <w:sz w:val="22"/>
          <w:szCs w:val="22"/>
        </w:rPr>
        <w:t>Abstract</w:t>
      </w:r>
    </w:p>
    <w:p w14:paraId="1E535141" w14:textId="77777777" w:rsidR="0081236B" w:rsidRDefault="0037599E">
      <w:pPr>
        <w:rPr>
          <w:rFonts w:ascii="Times New Roman Regular" w:hAnsi="Times New Roman Regular" w:hint="eastAsia"/>
          <w:sz w:val="22"/>
          <w:szCs w:val="22"/>
        </w:rPr>
      </w:pPr>
      <w:r>
        <w:rPr>
          <w:rFonts w:ascii="Times New Roman Regular" w:hAnsi="Times New Roman Regular"/>
          <w:sz w:val="22"/>
          <w:szCs w:val="22"/>
        </w:rPr>
        <w:t>A major challenge facing Indonesia is cultivating a reading culture among the broader public, particularly in the context</w:t>
      </w:r>
      <w:r>
        <w:rPr>
          <w:rFonts w:ascii="Times New Roman Regular" w:hAnsi="Times New Roman Regular"/>
          <w:sz w:val="22"/>
          <w:szCs w:val="22"/>
        </w:rPr>
        <w:t xml:space="preserve"> of basic education. This study aims to examine the effectiveness of a reading and writing literacy program using the Kirkpatrick Evaluation Model, which is known for providing a comprehensive and tiered assessment. The research employed a quantitative app</w:t>
      </w:r>
      <w:r>
        <w:rPr>
          <w:rFonts w:ascii="Times New Roman Regular" w:hAnsi="Times New Roman Regular"/>
          <w:sz w:val="22"/>
          <w:szCs w:val="22"/>
        </w:rPr>
        <w:t>roach with multiple linear regression analysis. Respondents were selected purposively, involving school principals, teachers, and literacy coordinators who were directly involved in the program's implementation. The results indicate that among the three va</w:t>
      </w:r>
      <w:r>
        <w:rPr>
          <w:rFonts w:ascii="Times New Roman Regular" w:hAnsi="Times New Roman Regular"/>
          <w:sz w:val="22"/>
          <w:szCs w:val="22"/>
        </w:rPr>
        <w:t>riables analyzed—reaction (X₁), learning (X₂), and behavior (Z)—behavior had the strongest influence on the outcome variable (Y), with the model explaining 82.2% of the variance (R² = 0.822) and a very strong correlation (R = 0.907; p &lt; 0.001). These findi</w:t>
      </w:r>
      <w:r>
        <w:rPr>
          <w:rFonts w:ascii="Times New Roman Regular" w:hAnsi="Times New Roman Regular"/>
          <w:sz w:val="22"/>
          <w:szCs w:val="22"/>
        </w:rPr>
        <w:t>ngs highlight that the success of literacy programs is not merely determined by initial understanding or reactions, but critically depends on the extent to which participants apply what they have learned in real-life practice.</w:t>
      </w:r>
    </w:p>
    <w:p w14:paraId="7D60FD08" w14:textId="77777777" w:rsidR="0081236B" w:rsidRDefault="0081236B">
      <w:pPr>
        <w:rPr>
          <w:rFonts w:ascii="Times New Roman Regular" w:hAnsi="Times New Roman Regular" w:hint="eastAsia"/>
          <w:sz w:val="22"/>
          <w:szCs w:val="22"/>
        </w:rPr>
      </w:pPr>
    </w:p>
    <w:p w14:paraId="0CD8149F" w14:textId="77777777" w:rsidR="0081236B" w:rsidRDefault="0037599E">
      <w:pPr>
        <w:rPr>
          <w:rFonts w:ascii="Times New Roman Regular" w:hAnsi="Times New Roman Regular" w:hint="eastAsia"/>
          <w:sz w:val="22"/>
          <w:szCs w:val="22"/>
        </w:rPr>
      </w:pPr>
      <w:r>
        <w:rPr>
          <w:rFonts w:ascii="Times New Roman Regular" w:hAnsi="Times New Roman Regular"/>
          <w:sz w:val="22"/>
          <w:szCs w:val="22"/>
        </w:rPr>
        <w:t xml:space="preserve">Keywords: Reading; Writing; </w:t>
      </w:r>
      <w:r>
        <w:rPr>
          <w:rFonts w:ascii="Times New Roman Regular" w:hAnsi="Times New Roman Regular"/>
          <w:sz w:val="22"/>
          <w:szCs w:val="22"/>
        </w:rPr>
        <w:t>Literacy; Kirkpatrick Model; Learning; Effectiveness; Education; Junior High School; Student Competency; Evaluation</w:t>
      </w:r>
    </w:p>
    <w:p w14:paraId="589BBCDA" w14:textId="77777777" w:rsidR="0081236B" w:rsidRDefault="0081236B">
      <w:pPr>
        <w:rPr>
          <w:rFonts w:ascii="Times New Roman Regular" w:hAnsi="Times New Roman Regular" w:hint="eastAsia"/>
          <w:sz w:val="22"/>
          <w:szCs w:val="22"/>
        </w:rPr>
      </w:pPr>
    </w:p>
    <w:p w14:paraId="69A8CDA9" w14:textId="77777777" w:rsidR="0081236B" w:rsidRDefault="0037599E">
      <w:pPr>
        <w:numPr>
          <w:ilvl w:val="0"/>
          <w:numId w:val="11"/>
        </w:numPr>
        <w:rPr>
          <w:rFonts w:ascii="Times New Roman Regular" w:hAnsi="Times New Roman Regular" w:hint="eastAsia"/>
          <w:sz w:val="22"/>
          <w:szCs w:val="22"/>
        </w:rPr>
      </w:pPr>
      <w:r>
        <w:rPr>
          <w:rFonts w:ascii="Times New Roman Regular" w:hAnsi="Times New Roman Regular"/>
          <w:b/>
          <w:bCs/>
          <w:sz w:val="22"/>
          <w:szCs w:val="22"/>
        </w:rPr>
        <w:t>Introduction</w:t>
      </w:r>
    </w:p>
    <w:p w14:paraId="0BE6BDC4"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Reading and writing literacy is a fundamental skill that plays a crucial role in the learning process at schools. However, lit</w:t>
      </w:r>
      <w:r>
        <w:rPr>
          <w:rFonts w:ascii="Times New Roman Regular" w:hAnsi="Times New Roman Regular"/>
          <w:sz w:val="22"/>
          <w:szCs w:val="22"/>
        </w:rPr>
        <w:t>eracy goes far beyond the ability to read words and sentences (Utama et al., 2024). In a webinar held on December 19, 2020, the Student Affairs Coordinator from the Directorate of Primary Education at the Indonesian Ministry of Education and Culture emphas</w:t>
      </w:r>
      <w:r>
        <w:rPr>
          <w:rFonts w:ascii="Times New Roman Regular" w:hAnsi="Times New Roman Regular"/>
          <w:sz w:val="22"/>
          <w:szCs w:val="22"/>
        </w:rPr>
        <w:t>ized that reading should not be limited to the act of decoding letters into words. It must also involve deep comprehension of the text. A more comprehensive understanding of literacy is essential to ensure that students are not only able to read but also c</w:t>
      </w:r>
      <w:r>
        <w:rPr>
          <w:rFonts w:ascii="Times New Roman Regular" w:hAnsi="Times New Roman Regular"/>
          <w:sz w:val="22"/>
          <w:szCs w:val="22"/>
        </w:rPr>
        <w:t>apable of understanding and utilizing information from various reading materials (</w:t>
      </w:r>
      <w:proofErr w:type="spellStart"/>
      <w:r>
        <w:rPr>
          <w:rFonts w:ascii="Times New Roman Regular" w:hAnsi="Times New Roman Regular"/>
          <w:sz w:val="22"/>
          <w:szCs w:val="22"/>
        </w:rPr>
        <w:t>Tahmidaten</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Krismanto</w:t>
      </w:r>
      <w:proofErr w:type="spellEnd"/>
      <w:r>
        <w:rPr>
          <w:rFonts w:ascii="Times New Roman Regular" w:hAnsi="Times New Roman Regular"/>
          <w:sz w:val="22"/>
          <w:szCs w:val="22"/>
        </w:rPr>
        <w:t xml:space="preserve">, 2020; </w:t>
      </w:r>
      <w:proofErr w:type="spellStart"/>
      <w:r>
        <w:rPr>
          <w:rFonts w:ascii="Times New Roman Regular" w:hAnsi="Times New Roman Regular"/>
          <w:sz w:val="22"/>
          <w:szCs w:val="22"/>
        </w:rPr>
        <w:t>Azzahra</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Rahyasih</w:t>
      </w:r>
      <w:proofErr w:type="spellEnd"/>
      <w:r>
        <w:rPr>
          <w:rFonts w:ascii="Times New Roman Regular" w:hAnsi="Times New Roman Regular"/>
          <w:sz w:val="22"/>
          <w:szCs w:val="22"/>
        </w:rPr>
        <w:t>, 2024).</w:t>
      </w:r>
    </w:p>
    <w:p w14:paraId="2E0AB4DD"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To support the improvement of literacy comprehension, the Ministry of Education and Culture (</w:t>
      </w:r>
      <w:proofErr w:type="spellStart"/>
      <w:r>
        <w:rPr>
          <w:rFonts w:ascii="Times New Roman Regular" w:hAnsi="Times New Roman Regular"/>
          <w:sz w:val="22"/>
          <w:szCs w:val="22"/>
        </w:rPr>
        <w:t>Kemendikbud</w:t>
      </w:r>
      <w:proofErr w:type="spellEnd"/>
      <w:r>
        <w:rPr>
          <w:rFonts w:ascii="Times New Roman Regular" w:hAnsi="Times New Roman Regular"/>
          <w:sz w:val="22"/>
          <w:szCs w:val="22"/>
        </w:rPr>
        <w:t>) has develop</w:t>
      </w:r>
      <w:r>
        <w:rPr>
          <w:rFonts w:ascii="Times New Roman Regular" w:hAnsi="Times New Roman Regular"/>
          <w:sz w:val="22"/>
          <w:szCs w:val="22"/>
        </w:rPr>
        <w:t>ed the Reading Literacy Activity Index (</w:t>
      </w:r>
      <w:proofErr w:type="spellStart"/>
      <w:r>
        <w:rPr>
          <w:rFonts w:ascii="Times New Roman Regular" w:hAnsi="Times New Roman Regular"/>
          <w:sz w:val="22"/>
          <w:szCs w:val="22"/>
        </w:rPr>
        <w:t>Alibaca</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Alibaca</w:t>
      </w:r>
      <w:proofErr w:type="spellEnd"/>
      <w:r>
        <w:rPr>
          <w:rFonts w:ascii="Times New Roman Regular" w:hAnsi="Times New Roman Regular"/>
          <w:sz w:val="22"/>
          <w:szCs w:val="22"/>
        </w:rPr>
        <w:t xml:space="preserve"> is an instrument designed to measure students’ reading literacy levels based on four key dimensions: proficiency, access, alternatives, and culture (</w:t>
      </w:r>
      <w:proofErr w:type="spellStart"/>
      <w:r>
        <w:rPr>
          <w:rFonts w:ascii="Times New Roman Regular" w:hAnsi="Times New Roman Regular"/>
          <w:sz w:val="22"/>
          <w:szCs w:val="22"/>
        </w:rPr>
        <w:t>Rustiarini</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Dewi</w:t>
      </w:r>
      <w:proofErr w:type="spellEnd"/>
      <w:r>
        <w:rPr>
          <w:rFonts w:ascii="Times New Roman Regular" w:hAnsi="Times New Roman Regular"/>
          <w:sz w:val="22"/>
          <w:szCs w:val="22"/>
        </w:rPr>
        <w:t>, 2021; Pratama et al., 2023). T</w:t>
      </w:r>
      <w:r>
        <w:rPr>
          <w:rFonts w:ascii="Times New Roman Regular" w:hAnsi="Times New Roman Regular"/>
          <w:sz w:val="22"/>
          <w:szCs w:val="22"/>
        </w:rPr>
        <w:t xml:space="preserve">he proficiency dimension reflects the ability to understand available reading materials; access refers to the availability of facilities such as libraries and books; alternatives encompass the use of digital tools to facilitate information access; and the </w:t>
      </w:r>
      <w:r>
        <w:rPr>
          <w:rFonts w:ascii="Times New Roman Regular" w:hAnsi="Times New Roman Regular"/>
          <w:sz w:val="22"/>
          <w:szCs w:val="22"/>
        </w:rPr>
        <w:t>culture dimension assesses reading habits and how they shape overall literacy behavior (</w:t>
      </w:r>
      <w:proofErr w:type="spellStart"/>
      <w:r>
        <w:rPr>
          <w:rFonts w:ascii="Times New Roman Regular" w:hAnsi="Times New Roman Regular"/>
          <w:sz w:val="22"/>
          <w:szCs w:val="22"/>
        </w:rPr>
        <w:t>Nasution</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Haswati</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Ilhamsyah</w:t>
      </w:r>
      <w:proofErr w:type="spellEnd"/>
      <w:r>
        <w:rPr>
          <w:rFonts w:ascii="Times New Roman Regular" w:hAnsi="Times New Roman Regular"/>
          <w:sz w:val="22"/>
          <w:szCs w:val="22"/>
        </w:rPr>
        <w:t xml:space="preserve">, 2020; </w:t>
      </w:r>
      <w:proofErr w:type="spellStart"/>
      <w:r>
        <w:rPr>
          <w:rFonts w:ascii="Times New Roman Regular" w:hAnsi="Times New Roman Regular"/>
          <w:sz w:val="22"/>
          <w:szCs w:val="22"/>
        </w:rPr>
        <w:t>Febriana</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Jatmika</w:t>
      </w:r>
      <w:proofErr w:type="spellEnd"/>
      <w:r>
        <w:rPr>
          <w:rFonts w:ascii="Times New Roman Regular" w:hAnsi="Times New Roman Regular"/>
          <w:sz w:val="22"/>
          <w:szCs w:val="22"/>
        </w:rPr>
        <w:t>, 2023).</w:t>
      </w:r>
    </w:p>
    <w:p w14:paraId="6BC93FA6"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 xml:space="preserve">These </w:t>
      </w:r>
      <w:proofErr w:type="spellStart"/>
      <w:r>
        <w:rPr>
          <w:rFonts w:ascii="Times New Roman Regular" w:hAnsi="Times New Roman Regular"/>
          <w:sz w:val="22"/>
          <w:szCs w:val="22"/>
        </w:rPr>
        <w:t>Alibaca</w:t>
      </w:r>
      <w:proofErr w:type="spellEnd"/>
      <w:r>
        <w:rPr>
          <w:rFonts w:ascii="Times New Roman Regular" w:hAnsi="Times New Roman Regular"/>
          <w:sz w:val="22"/>
          <w:szCs w:val="22"/>
        </w:rPr>
        <w:t xml:space="preserve"> indicators aim to offer a comprehensive overview of students' reading activities in Indone</w:t>
      </w:r>
      <w:r>
        <w:rPr>
          <w:rFonts w:ascii="Times New Roman Regular" w:hAnsi="Times New Roman Regular"/>
          <w:sz w:val="22"/>
          <w:szCs w:val="22"/>
        </w:rPr>
        <w:t>sia and serve as a reference for formulating more targeted literacy strategies. This approach not only highlights reading habits but also underscores the importance of fostering reading comprehension, particularly at the primary and secondary education lev</w:t>
      </w:r>
      <w:r>
        <w:rPr>
          <w:rFonts w:ascii="Times New Roman Regular" w:hAnsi="Times New Roman Regular"/>
          <w:sz w:val="22"/>
          <w:szCs w:val="22"/>
        </w:rPr>
        <w:t>els. Aligned with this initiative is the School Literacy Movement (</w:t>
      </w:r>
      <w:proofErr w:type="spellStart"/>
      <w:r>
        <w:rPr>
          <w:rFonts w:ascii="Times New Roman Regular" w:hAnsi="Times New Roman Regular"/>
          <w:sz w:val="22"/>
          <w:szCs w:val="22"/>
        </w:rPr>
        <w:t>Gerakan</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Literasi</w:t>
      </w:r>
      <w:proofErr w:type="spellEnd"/>
      <w:r>
        <w:rPr>
          <w:rFonts w:ascii="Times New Roman Regular" w:hAnsi="Times New Roman Regular"/>
          <w:sz w:val="22"/>
          <w:szCs w:val="22"/>
        </w:rPr>
        <w:t xml:space="preserve"> </w:t>
      </w:r>
      <w:proofErr w:type="spellStart"/>
      <w:r>
        <w:rPr>
          <w:rFonts w:ascii="Times New Roman Regular" w:hAnsi="Times New Roman Regular"/>
          <w:sz w:val="22"/>
          <w:szCs w:val="22"/>
        </w:rPr>
        <w:t>Sekolah</w:t>
      </w:r>
      <w:proofErr w:type="spellEnd"/>
      <w:r>
        <w:rPr>
          <w:rFonts w:ascii="Times New Roman Regular" w:hAnsi="Times New Roman Regular"/>
          <w:sz w:val="22"/>
          <w:szCs w:val="22"/>
        </w:rPr>
        <w:t xml:space="preserve">/GLS), which has been widely implemented in schools across the country (Wang et al., 2023; </w:t>
      </w:r>
      <w:proofErr w:type="spellStart"/>
      <w:r>
        <w:rPr>
          <w:rFonts w:ascii="Times New Roman Regular" w:hAnsi="Times New Roman Regular"/>
          <w:sz w:val="22"/>
          <w:szCs w:val="22"/>
        </w:rPr>
        <w:t>Oftiah</w:t>
      </w:r>
      <w:proofErr w:type="spellEnd"/>
      <w:r>
        <w:rPr>
          <w:rFonts w:ascii="Times New Roman Regular" w:hAnsi="Times New Roman Regular"/>
          <w:sz w:val="22"/>
          <w:szCs w:val="22"/>
        </w:rPr>
        <w:t xml:space="preserve"> et al., 2024). A key component of Indonesia’s literacy strategy, GL</w:t>
      </w:r>
      <w:r>
        <w:rPr>
          <w:rFonts w:ascii="Times New Roman Regular" w:hAnsi="Times New Roman Regular"/>
          <w:sz w:val="22"/>
          <w:szCs w:val="22"/>
        </w:rPr>
        <w:t>S is supported by national education policies such as the Ministry of Education and Culture Regulation No. 23 of 2015 on the Cultivation of Character. Section F VI of the regulation encourages teachers to allocate time before formal lessons begin for stude</w:t>
      </w:r>
      <w:r>
        <w:rPr>
          <w:rFonts w:ascii="Times New Roman Regular" w:hAnsi="Times New Roman Regular"/>
          <w:sz w:val="22"/>
          <w:szCs w:val="22"/>
        </w:rPr>
        <w:t xml:space="preserve">nts to read non-textbook materials that align with their interests. This routine has been </w:t>
      </w:r>
      <w:r>
        <w:rPr>
          <w:rFonts w:ascii="Times New Roman Regular" w:hAnsi="Times New Roman Regular"/>
          <w:sz w:val="22"/>
          <w:szCs w:val="22"/>
        </w:rPr>
        <w:lastRenderedPageBreak/>
        <w:t>institutionalized through GLS to foster reading habits, instill a love of reading, and ultimately enhance students’ literacy skills in a sustainable manner (</w:t>
      </w:r>
      <w:proofErr w:type="spellStart"/>
      <w:r>
        <w:rPr>
          <w:rFonts w:ascii="Times New Roman Regular" w:hAnsi="Times New Roman Regular"/>
          <w:sz w:val="22"/>
          <w:szCs w:val="22"/>
        </w:rPr>
        <w:t>Palupi</w:t>
      </w:r>
      <w:proofErr w:type="spellEnd"/>
      <w:r>
        <w:rPr>
          <w:rFonts w:ascii="Times New Roman Regular" w:hAnsi="Times New Roman Regular"/>
          <w:sz w:val="22"/>
          <w:szCs w:val="22"/>
        </w:rPr>
        <w:t xml:space="preserve"> et</w:t>
      </w:r>
      <w:r>
        <w:rPr>
          <w:rFonts w:ascii="Times New Roman Regular" w:hAnsi="Times New Roman Regular"/>
          <w:sz w:val="22"/>
          <w:szCs w:val="22"/>
        </w:rPr>
        <w:t xml:space="preserve"> al., 2020).</w:t>
      </w:r>
    </w:p>
    <w:p w14:paraId="229BBA71"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GLS is further reinforced by other policies, such as Law No. 3 of 2017 on the Book System, which recognizes books as vital instruments for promoting and strengthening literacy culture in Indonesia. It calls for concerted efforts from all stake</w:t>
      </w:r>
      <w:r>
        <w:rPr>
          <w:rFonts w:ascii="Times New Roman Regular" w:hAnsi="Times New Roman Regular"/>
          <w:sz w:val="22"/>
          <w:szCs w:val="22"/>
        </w:rPr>
        <w:t>holders to support a literate society capable of active participation in the global landscape (</w:t>
      </w:r>
      <w:proofErr w:type="spellStart"/>
      <w:r>
        <w:rPr>
          <w:rFonts w:ascii="Times New Roman Regular" w:hAnsi="Times New Roman Regular"/>
          <w:sz w:val="22"/>
          <w:szCs w:val="22"/>
        </w:rPr>
        <w:t>Husamah</w:t>
      </w:r>
      <w:proofErr w:type="spellEnd"/>
      <w:r>
        <w:rPr>
          <w:rFonts w:ascii="Times New Roman Regular" w:hAnsi="Times New Roman Regular"/>
          <w:sz w:val="22"/>
          <w:szCs w:val="22"/>
        </w:rPr>
        <w:t>, 2024). Since its launch in 2016, GLS has shown promising developments. According to the Ministry of Education and Culture (2019), over 5,360 schools hav</w:t>
      </w:r>
      <w:r>
        <w:rPr>
          <w:rFonts w:ascii="Times New Roman Regular" w:hAnsi="Times New Roman Regular"/>
          <w:sz w:val="22"/>
          <w:szCs w:val="22"/>
        </w:rPr>
        <w:t>e implemented 15-minute reading sessions prior to lessons. This figure does not include schools that initiated similar practices before the program was formalized, indicating growing awareness of literacy's importance despite existing challenges, such as l</w:t>
      </w:r>
      <w:r>
        <w:rPr>
          <w:rFonts w:ascii="Times New Roman Regular" w:hAnsi="Times New Roman Regular"/>
          <w:sz w:val="22"/>
          <w:szCs w:val="22"/>
        </w:rPr>
        <w:t>imited access to relevant reading materials, lack of teacher training, and uneven development of reading culture among students.</w:t>
      </w:r>
    </w:p>
    <w:p w14:paraId="4B4C53B2" w14:textId="77777777" w:rsidR="0081236B" w:rsidRDefault="0037599E">
      <w:pPr>
        <w:ind w:firstLine="420"/>
        <w:rPr>
          <w:rFonts w:ascii="Times New Roman Regular" w:hAnsi="Times New Roman Regular" w:hint="eastAsia"/>
          <w:sz w:val="22"/>
          <w:szCs w:val="22"/>
        </w:rPr>
      </w:pPr>
      <w:proofErr w:type="spellStart"/>
      <w:r>
        <w:rPr>
          <w:rFonts w:ascii="Times New Roman Regular" w:hAnsi="Times New Roman Regular"/>
          <w:sz w:val="22"/>
          <w:szCs w:val="22"/>
        </w:rPr>
        <w:t>Rokayah</w:t>
      </w:r>
      <w:proofErr w:type="spellEnd"/>
      <w:r>
        <w:rPr>
          <w:rFonts w:ascii="Times New Roman Regular" w:hAnsi="Times New Roman Regular"/>
          <w:sz w:val="22"/>
          <w:szCs w:val="22"/>
        </w:rPr>
        <w:t xml:space="preserve"> (2017) asserts that character building must begin with young learners by instilling literacy values, as literacy forms </w:t>
      </w:r>
      <w:r>
        <w:rPr>
          <w:rFonts w:ascii="Times New Roman Regular" w:hAnsi="Times New Roman Regular"/>
          <w:sz w:val="22"/>
          <w:szCs w:val="22"/>
        </w:rPr>
        <w:t xml:space="preserve">the foundation of critical thinking, communication skills, and social awareness. Furthermore, Indonesia’s persistently low performance in international assessments like the </w:t>
      </w:r>
      <w:proofErr w:type="spellStart"/>
      <w:r>
        <w:rPr>
          <w:rFonts w:ascii="Times New Roman Regular" w:hAnsi="Times New Roman Regular"/>
          <w:sz w:val="22"/>
          <w:szCs w:val="22"/>
        </w:rPr>
        <w:t>Programme</w:t>
      </w:r>
      <w:proofErr w:type="spellEnd"/>
      <w:r>
        <w:rPr>
          <w:rFonts w:ascii="Times New Roman Regular" w:hAnsi="Times New Roman Regular"/>
          <w:sz w:val="22"/>
          <w:szCs w:val="22"/>
        </w:rPr>
        <w:t xml:space="preserve"> for International Student Assessment (PISA) highlights the urgent need fo</w:t>
      </w:r>
      <w:r>
        <w:rPr>
          <w:rFonts w:ascii="Times New Roman Regular" w:hAnsi="Times New Roman Regular"/>
          <w:sz w:val="22"/>
          <w:szCs w:val="22"/>
        </w:rPr>
        <w:t>r systematic reform in literacy education (</w:t>
      </w:r>
      <w:proofErr w:type="spellStart"/>
      <w:r>
        <w:rPr>
          <w:rFonts w:ascii="Times New Roman Regular" w:hAnsi="Times New Roman Regular"/>
          <w:sz w:val="22"/>
          <w:szCs w:val="22"/>
        </w:rPr>
        <w:t>Vidiawati</w:t>
      </w:r>
      <w:proofErr w:type="spellEnd"/>
      <w:r>
        <w:rPr>
          <w:rFonts w:ascii="Times New Roman Regular" w:hAnsi="Times New Roman Regular"/>
          <w:sz w:val="22"/>
          <w:szCs w:val="22"/>
        </w:rPr>
        <w:t xml:space="preserve">, 2019; </w:t>
      </w:r>
      <w:proofErr w:type="spellStart"/>
      <w:r>
        <w:rPr>
          <w:rFonts w:ascii="Times New Roman Regular" w:hAnsi="Times New Roman Regular"/>
          <w:sz w:val="22"/>
          <w:szCs w:val="22"/>
        </w:rPr>
        <w:t>Husamah</w:t>
      </w:r>
      <w:proofErr w:type="spellEnd"/>
      <w:r>
        <w:rPr>
          <w:rFonts w:ascii="Times New Roman Regular" w:hAnsi="Times New Roman Regular"/>
          <w:sz w:val="22"/>
          <w:szCs w:val="22"/>
        </w:rPr>
        <w:t>, 2024). PISA results consistently show that Indonesian students rank low in reading, numeracy, and science, signaling the need for improved literacy strategies at the foundational level. I</w:t>
      </w:r>
      <w:r>
        <w:rPr>
          <w:rFonts w:ascii="Times New Roman Regular" w:hAnsi="Times New Roman Regular"/>
          <w:sz w:val="22"/>
          <w:szCs w:val="22"/>
        </w:rPr>
        <w:t>n response to these challenges, evaluating the effectiveness of literacy programs in schools is crucial. One comprehensive evaluation approach is the Kirkpatrick Evaluation Model, which assesses program outcomes across four levels: reaction, learning, beha</w:t>
      </w:r>
      <w:r>
        <w:rPr>
          <w:rFonts w:ascii="Times New Roman Regular" w:hAnsi="Times New Roman Regular"/>
          <w:sz w:val="22"/>
          <w:szCs w:val="22"/>
        </w:rPr>
        <w:t xml:space="preserve">vior, and results. This study employs the Kirkpatrick Model to evaluate the effectiveness of the reading and writing literacy program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a school implementing GLS. The findings aim to inform data-driven recommendations for future program i</w:t>
      </w:r>
      <w:r>
        <w:rPr>
          <w:rFonts w:ascii="Times New Roman Regular" w:hAnsi="Times New Roman Regular"/>
          <w:sz w:val="22"/>
          <w:szCs w:val="22"/>
        </w:rPr>
        <w:t>mprovement. Given the alignment of GLS with the Merdeka Curriculum, financial support is a critical factor for its optimal execution. Thus, collaboration among various stakeholders—including school committees, parents, alumni, and industry partners—is esse</w:t>
      </w:r>
      <w:r>
        <w:rPr>
          <w:rFonts w:ascii="Times New Roman Regular" w:hAnsi="Times New Roman Regular"/>
          <w:sz w:val="22"/>
          <w:szCs w:val="22"/>
        </w:rPr>
        <w:t>ntial (</w:t>
      </w:r>
      <w:proofErr w:type="spellStart"/>
      <w:r>
        <w:rPr>
          <w:rFonts w:ascii="Times New Roman Regular" w:hAnsi="Times New Roman Regular"/>
          <w:sz w:val="22"/>
          <w:szCs w:val="22"/>
        </w:rPr>
        <w:t>Ditjen</w:t>
      </w:r>
      <w:proofErr w:type="spellEnd"/>
      <w:r>
        <w:rPr>
          <w:rFonts w:ascii="Times New Roman Regular" w:hAnsi="Times New Roman Regular"/>
          <w:sz w:val="22"/>
          <w:szCs w:val="22"/>
        </w:rPr>
        <w:t xml:space="preserve"> SMP, 2019). Such cross-sector partnerships can enhance literacy development and expand its impact beyond the classroom.</w:t>
      </w:r>
    </w:p>
    <w:p w14:paraId="4A33BAEA"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In developed countries, reading is widely recognized as a strategic tool for acquiring knowledge and global insight. Altho</w:t>
      </w:r>
      <w:r>
        <w:rPr>
          <w:rFonts w:ascii="Times New Roman Regular" w:hAnsi="Times New Roman Regular"/>
          <w:sz w:val="22"/>
          <w:szCs w:val="22"/>
        </w:rPr>
        <w:t>ugh Indonesia has made progress in reducing illiteracy—from 1.78% (3,081,136 people) in 2019 to 1.71% (2,961,060 people) in 2020 (BPS, 2020)—the broader challenge of fostering a nationwide reading culture remains. One of the key barriers is inadequate infr</w:t>
      </w:r>
      <w:r>
        <w:rPr>
          <w:rFonts w:ascii="Times New Roman Regular" w:hAnsi="Times New Roman Regular"/>
          <w:sz w:val="22"/>
          <w:szCs w:val="22"/>
        </w:rPr>
        <w:t xml:space="preserve">astructure, especially school libraries and trained library personnel. Data from </w:t>
      </w:r>
      <w:proofErr w:type="spellStart"/>
      <w:r>
        <w:rPr>
          <w:rFonts w:ascii="Times New Roman Regular" w:hAnsi="Times New Roman Regular"/>
          <w:sz w:val="22"/>
          <w:szCs w:val="22"/>
        </w:rPr>
        <w:t>Kemendikbud</w:t>
      </w:r>
      <w:proofErr w:type="spellEnd"/>
      <w:r>
        <w:rPr>
          <w:rFonts w:ascii="Times New Roman Regular" w:hAnsi="Times New Roman Regular"/>
          <w:sz w:val="22"/>
          <w:szCs w:val="22"/>
        </w:rPr>
        <w:t xml:space="preserve"> (2017) reveal that only 19% of elementary schools with libraries were deemed to have functional facilities. Similar limitations are found in secondary schools, whi</w:t>
      </w:r>
      <w:r>
        <w:rPr>
          <w:rFonts w:ascii="Times New Roman Regular" w:hAnsi="Times New Roman Regular"/>
          <w:sz w:val="22"/>
          <w:szCs w:val="22"/>
        </w:rPr>
        <w:t>ch hinders the development of students’ reading and writing skills and, in turn, undermines Indonesia’s competitiveness in a global knowledge-based economy (</w:t>
      </w:r>
      <w:proofErr w:type="spellStart"/>
      <w:r>
        <w:rPr>
          <w:rFonts w:ascii="Times New Roman Regular" w:hAnsi="Times New Roman Regular"/>
          <w:sz w:val="22"/>
          <w:szCs w:val="22"/>
        </w:rPr>
        <w:t>Wandasari</w:t>
      </w:r>
      <w:proofErr w:type="spellEnd"/>
      <w:r>
        <w:rPr>
          <w:rFonts w:ascii="Times New Roman Regular" w:hAnsi="Times New Roman Regular"/>
          <w:sz w:val="22"/>
          <w:szCs w:val="22"/>
        </w:rPr>
        <w:t>, 2017).</w:t>
      </w:r>
    </w:p>
    <w:p w14:paraId="3D968863"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 xml:space="preserve">Despite the government’s strategic efforts to enhance literacy, significant gaps </w:t>
      </w:r>
      <w:r>
        <w:rPr>
          <w:rFonts w:ascii="Times New Roman Regular" w:hAnsi="Times New Roman Regular"/>
          <w:sz w:val="22"/>
          <w:szCs w:val="22"/>
        </w:rPr>
        <w:t>remain between policy formulation and implementation. At the school level, the effectiveness of literacy programs has yet to be systematically assessed. A comprehensive evaluation approach is therefore needed to measure literacy program success in terms of</w:t>
      </w:r>
      <w:r>
        <w:rPr>
          <w:rFonts w:ascii="Times New Roman Regular" w:hAnsi="Times New Roman Regular"/>
          <w:sz w:val="22"/>
          <w:szCs w:val="22"/>
        </w:rPr>
        <w:t xml:space="preserve"> execution, outcomes, and impact.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the GLS program is implemented with the goal of improving students' reading and writing skills. To assess its effectiveness, this study applies the Kirkpatrick Evaluation Model, renowned for its thoroug</w:t>
      </w:r>
      <w:r>
        <w:rPr>
          <w:rFonts w:ascii="Times New Roman Regular" w:hAnsi="Times New Roman Regular"/>
          <w:sz w:val="22"/>
          <w:szCs w:val="22"/>
        </w:rPr>
        <w:t>h assessment of training and educational interventions across four levels.</w:t>
      </w:r>
    </w:p>
    <w:p w14:paraId="52FB0E96"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This research is significant as it seeks to assess the effectiveness of the reading and writing literacy program using the Kirkpatrick Model, known for its tiered and in-depth evalu</w:t>
      </w:r>
      <w:r>
        <w:rPr>
          <w:rFonts w:ascii="Times New Roman Regular" w:hAnsi="Times New Roman Regular"/>
          <w:sz w:val="22"/>
          <w:szCs w:val="22"/>
        </w:rPr>
        <w:t xml:space="preserve">ation framework. By evaluating not only participant reactions and learning, but also behavioral change and program outcomes, this study provides a comprehensive </w:t>
      </w:r>
      <w:r>
        <w:rPr>
          <w:rFonts w:ascii="Times New Roman Regular" w:hAnsi="Times New Roman Regular"/>
          <w:sz w:val="22"/>
          <w:szCs w:val="22"/>
        </w:rPr>
        <w:lastRenderedPageBreak/>
        <w:t xml:space="preserve">understanding of program implementation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The findings are expected to offer </w:t>
      </w:r>
      <w:r>
        <w:rPr>
          <w:rFonts w:ascii="Times New Roman Regular" w:hAnsi="Times New Roman Regular"/>
          <w:sz w:val="22"/>
          <w:szCs w:val="22"/>
        </w:rPr>
        <w:t>strategic insights for the future development of GLS, contributing meaningfully to the continuous improvement of literacy and education quality in Indonesia.</w:t>
      </w:r>
    </w:p>
    <w:p w14:paraId="046B7B6B"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 xml:space="preserve">The main objective of this study is to evaluate the effectiveness of the School Literacy Movement </w:t>
      </w:r>
      <w:r>
        <w:rPr>
          <w:rFonts w:ascii="Times New Roman Regular" w:hAnsi="Times New Roman Regular"/>
          <w:sz w:val="22"/>
          <w:szCs w:val="22"/>
        </w:rPr>
        <w:t xml:space="preserve">program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xml:space="preserve"> using the Kirkpatrick Model. By applying this framework, the study aims to provide a clearer picture of how the program impacts students’ literacy skills and how it can be optimized for broader impact. The evaluation is also expe</w:t>
      </w:r>
      <w:r>
        <w:rPr>
          <w:rFonts w:ascii="Times New Roman Regular" w:hAnsi="Times New Roman Regular"/>
          <w:sz w:val="22"/>
          <w:szCs w:val="22"/>
        </w:rPr>
        <w:t>cted to inform policy and serve as a reference for the development of similar programs in other schools.</w:t>
      </w:r>
    </w:p>
    <w:p w14:paraId="2A6A7311" w14:textId="77777777" w:rsidR="0081236B" w:rsidRDefault="0081236B">
      <w:pPr>
        <w:rPr>
          <w:rFonts w:ascii="Times New Roman Regular" w:hAnsi="Times New Roman Regular" w:hint="eastAsia"/>
          <w:sz w:val="22"/>
          <w:szCs w:val="22"/>
        </w:rPr>
      </w:pPr>
    </w:p>
    <w:p w14:paraId="50CD19AF" w14:textId="77777777" w:rsidR="0081236B" w:rsidRDefault="0037599E">
      <w:pPr>
        <w:numPr>
          <w:ilvl w:val="0"/>
          <w:numId w:val="11"/>
        </w:numPr>
        <w:rPr>
          <w:rFonts w:ascii="Times New Roman Regular" w:hAnsi="Times New Roman Regular" w:hint="eastAsia"/>
          <w:b/>
          <w:bCs/>
          <w:sz w:val="22"/>
          <w:szCs w:val="22"/>
        </w:rPr>
      </w:pPr>
      <w:r>
        <w:rPr>
          <w:rFonts w:ascii="Times New Roman Regular" w:hAnsi="Times New Roman Regular"/>
          <w:b/>
          <w:bCs/>
          <w:sz w:val="22"/>
          <w:szCs w:val="22"/>
        </w:rPr>
        <w:t>Research Method</w:t>
      </w:r>
    </w:p>
    <w:p w14:paraId="675F257D"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This program evaluation research employed a quantitative method within the framework of the Kirkpatrick Evaluation Model. This approac</w:t>
      </w:r>
      <w:r>
        <w:rPr>
          <w:rFonts w:ascii="Times New Roman Regular" w:hAnsi="Times New Roman Regular"/>
          <w:sz w:val="22"/>
          <w:szCs w:val="22"/>
        </w:rPr>
        <w:t>h was chosen to obtain a comprehensive overview of the effectiveness of the School Literacy Movement Program implementation. The research design focused on collecting quantitative data to measure and confirm the program’s effectiveness based on predetermin</w:t>
      </w:r>
      <w:r>
        <w:rPr>
          <w:rFonts w:ascii="Times New Roman Regular" w:hAnsi="Times New Roman Regular"/>
          <w:sz w:val="22"/>
          <w:szCs w:val="22"/>
        </w:rPr>
        <w:t>ed indicators. Respondents were selected purposively, considering their direct involvement and experience in implementing the literacy program, including school principals, teachers, and literacy coordinators. Data were collected through the distribution o</w:t>
      </w:r>
      <w:r>
        <w:rPr>
          <w:rFonts w:ascii="Times New Roman Regular" w:hAnsi="Times New Roman Regular"/>
          <w:sz w:val="22"/>
          <w:szCs w:val="22"/>
        </w:rPr>
        <w:t>f closed-ended questionnaires to the selected respondents. The data were analyzed based on the four levels of the Kirkpatrick model—reaction, learning, behavior, and results—to assess the extent to which the program had an impact on both students and progr</w:t>
      </w:r>
      <w:r>
        <w:rPr>
          <w:rFonts w:ascii="Times New Roman Regular" w:hAnsi="Times New Roman Regular"/>
          <w:sz w:val="22"/>
          <w:szCs w:val="22"/>
        </w:rPr>
        <w:t>am implementers.</w:t>
      </w:r>
    </w:p>
    <w:p w14:paraId="482E2139" w14:textId="77777777" w:rsidR="0081236B" w:rsidRDefault="0081236B">
      <w:pPr>
        <w:rPr>
          <w:rFonts w:ascii="Times New Roman Regular" w:hAnsi="Times New Roman Regular" w:hint="eastAsia"/>
          <w:sz w:val="22"/>
          <w:szCs w:val="22"/>
        </w:rPr>
      </w:pPr>
    </w:p>
    <w:p w14:paraId="2CBD685E" w14:textId="77777777" w:rsidR="0081236B" w:rsidRDefault="0037599E">
      <w:pPr>
        <w:rPr>
          <w:rFonts w:ascii="Times New Roman Regular" w:hAnsi="Times New Roman Regular" w:hint="eastAsia"/>
          <w:b/>
          <w:bCs/>
          <w:sz w:val="22"/>
          <w:szCs w:val="22"/>
        </w:rPr>
      </w:pPr>
      <w:r>
        <w:rPr>
          <w:rFonts w:ascii="Times New Roman Regular" w:hAnsi="Times New Roman Regular"/>
          <w:b/>
          <w:bCs/>
          <w:sz w:val="22"/>
          <w:szCs w:val="22"/>
        </w:rPr>
        <w:t>2.1 Data Analysis Technique</w:t>
      </w:r>
    </w:p>
    <w:p w14:paraId="79599DC2"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 xml:space="preserve">This study used instruments developed according to the four levels of the Kirkpatrick Evaluation Model: reaction, learning, behavior, and results. The data were analyzed using multiple linear regression. This </w:t>
      </w:r>
      <w:r>
        <w:rPr>
          <w:rFonts w:ascii="Times New Roman Regular" w:hAnsi="Times New Roman Regular"/>
          <w:sz w:val="22"/>
          <w:szCs w:val="22"/>
        </w:rPr>
        <w:t>technique was chosen to determine the influence of two independent variables—reaction (X₁) and learning (X₂)—on the mediating variable behavior (Z), which in turn affects the dependent variable results (Y). This approach allows the researcher to understand</w:t>
      </w:r>
      <w:r>
        <w:rPr>
          <w:rFonts w:ascii="Times New Roman Regular" w:hAnsi="Times New Roman Regular"/>
          <w:sz w:val="22"/>
          <w:szCs w:val="22"/>
        </w:rPr>
        <w:t xml:space="preserve"> the contribution of each aspect of the Kirkpatrick model to the overall effectiveness of the program. Thus, the study not only focuses on the final outcomes but also traces the process of change experienced by students as a result of the reading and writi</w:t>
      </w:r>
      <w:r>
        <w:rPr>
          <w:rFonts w:ascii="Times New Roman Regular" w:hAnsi="Times New Roman Regular"/>
          <w:sz w:val="22"/>
          <w:szCs w:val="22"/>
        </w:rPr>
        <w:t>ng literacy program intervention.</w:t>
      </w:r>
    </w:p>
    <w:p w14:paraId="7E0623D8" w14:textId="77777777" w:rsidR="0081236B" w:rsidRDefault="0081236B">
      <w:pPr>
        <w:rPr>
          <w:rFonts w:ascii="Times New Roman Regular" w:hAnsi="Times New Roman Regular" w:hint="eastAsia"/>
          <w:sz w:val="22"/>
          <w:szCs w:val="22"/>
        </w:rPr>
      </w:pPr>
    </w:p>
    <w:p w14:paraId="4C9A05C9" w14:textId="77777777" w:rsidR="0081236B" w:rsidRDefault="0037599E">
      <w:pPr>
        <w:numPr>
          <w:ilvl w:val="0"/>
          <w:numId w:val="11"/>
        </w:numPr>
        <w:rPr>
          <w:rFonts w:ascii="Times New Roman Regular" w:hAnsi="Times New Roman Regular" w:hint="eastAsia"/>
          <w:b/>
          <w:bCs/>
          <w:sz w:val="22"/>
          <w:szCs w:val="22"/>
        </w:rPr>
      </w:pPr>
      <w:r>
        <w:rPr>
          <w:rFonts w:ascii="Times New Roman Regular" w:hAnsi="Times New Roman Regular"/>
          <w:b/>
          <w:bCs/>
          <w:sz w:val="22"/>
          <w:szCs w:val="22"/>
        </w:rPr>
        <w:t>Results and Discussion</w:t>
      </w:r>
    </w:p>
    <w:p w14:paraId="4BDCD4A6" w14:textId="77777777" w:rsidR="0081236B" w:rsidRDefault="0037599E">
      <w:pPr>
        <w:rPr>
          <w:rFonts w:ascii="Times New Roman Regular" w:hAnsi="Times New Roman Regular" w:hint="eastAsia"/>
          <w:b/>
          <w:bCs/>
          <w:sz w:val="22"/>
          <w:szCs w:val="22"/>
        </w:rPr>
      </w:pPr>
      <w:r>
        <w:rPr>
          <w:rFonts w:ascii="Times New Roman Regular" w:hAnsi="Times New Roman Regular"/>
          <w:b/>
          <w:bCs/>
          <w:sz w:val="22"/>
          <w:szCs w:val="22"/>
        </w:rPr>
        <w:t>3.1 Linear Regression</w:t>
      </w:r>
    </w:p>
    <w:p w14:paraId="71D6BBF8" w14:textId="77777777" w:rsidR="0081236B" w:rsidRDefault="0081236B">
      <w:pPr>
        <w:rPr>
          <w:rFonts w:ascii="Times New Roman Regular" w:hAnsi="Times New Roman Regular" w:hint="eastAsia"/>
          <w:sz w:val="22"/>
          <w:szCs w:val="22"/>
        </w:rPr>
      </w:pPr>
    </w:p>
    <w:tbl>
      <w:tblPr>
        <w:tblW w:w="0" w:type="auto"/>
        <w:jc w:val="center"/>
        <w:tblBorders>
          <w:top w:val="none" w:sz="0" w:space="0" w:color="808080"/>
          <w:left w:val="none" w:sz="0" w:space="0" w:color="808080"/>
          <w:bottom w:val="none" w:sz="0" w:space="0" w:color="808080"/>
          <w:right w:val="none" w:sz="0" w:space="0" w:color="808080"/>
        </w:tblBorders>
        <w:tblCellMar>
          <w:top w:w="15" w:type="dxa"/>
          <w:left w:w="15" w:type="dxa"/>
          <w:bottom w:w="15" w:type="dxa"/>
          <w:right w:w="15" w:type="dxa"/>
        </w:tblCellMar>
        <w:tblLook w:val="04A0" w:firstRow="1" w:lastRow="0" w:firstColumn="1" w:lastColumn="0" w:noHBand="0" w:noVBand="1"/>
      </w:tblPr>
      <w:tblGrid>
        <w:gridCol w:w="480"/>
        <w:gridCol w:w="73"/>
        <w:gridCol w:w="480"/>
        <w:gridCol w:w="36"/>
        <w:gridCol w:w="480"/>
        <w:gridCol w:w="36"/>
        <w:gridCol w:w="926"/>
        <w:gridCol w:w="70"/>
        <w:gridCol w:w="535"/>
        <w:gridCol w:w="40"/>
      </w:tblGrid>
      <w:tr w:rsidR="0081236B" w14:paraId="5A722A2B" w14:textId="77777777">
        <w:trPr>
          <w:tblHeader/>
          <w:jc w:val="center"/>
        </w:trPr>
        <w:tc>
          <w:tcPr>
            <w:tcW w:w="0" w:type="auto"/>
            <w:gridSpan w:val="10"/>
            <w:tcBorders>
              <w:top w:val="nil"/>
              <w:left w:val="nil"/>
              <w:bottom w:val="single" w:sz="8" w:space="0" w:color="000000"/>
              <w:right w:val="nil"/>
            </w:tcBorders>
            <w:vAlign w:val="center"/>
          </w:tcPr>
          <w:p w14:paraId="55F606DD" w14:textId="77777777" w:rsidR="0081236B" w:rsidRDefault="0037599E">
            <w:pPr>
              <w:widowControl/>
              <w:jc w:val="lef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 xml:space="preserve">Model Summary - Y </w:t>
            </w:r>
          </w:p>
        </w:tc>
      </w:tr>
      <w:tr w:rsidR="0081236B" w14:paraId="61801D7E" w14:textId="77777777">
        <w:trPr>
          <w:tblHeader/>
          <w:jc w:val="center"/>
        </w:trPr>
        <w:tc>
          <w:tcPr>
            <w:tcW w:w="0" w:type="auto"/>
            <w:gridSpan w:val="2"/>
            <w:tcBorders>
              <w:top w:val="nil"/>
              <w:left w:val="nil"/>
              <w:bottom w:val="single" w:sz="8" w:space="0" w:color="000000"/>
              <w:right w:val="nil"/>
            </w:tcBorders>
            <w:vAlign w:val="center"/>
          </w:tcPr>
          <w:p w14:paraId="68C8A450" w14:textId="77777777" w:rsidR="0081236B" w:rsidRDefault="0037599E">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Model</w:t>
            </w:r>
          </w:p>
        </w:tc>
        <w:tc>
          <w:tcPr>
            <w:tcW w:w="0" w:type="auto"/>
            <w:gridSpan w:val="2"/>
            <w:tcBorders>
              <w:top w:val="nil"/>
              <w:left w:val="nil"/>
              <w:bottom w:val="single" w:sz="8" w:space="0" w:color="000000"/>
              <w:right w:val="nil"/>
            </w:tcBorders>
            <w:vAlign w:val="center"/>
          </w:tcPr>
          <w:p w14:paraId="74547217" w14:textId="77777777" w:rsidR="0081236B" w:rsidRDefault="0037599E">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R</w:t>
            </w:r>
          </w:p>
        </w:tc>
        <w:tc>
          <w:tcPr>
            <w:tcW w:w="0" w:type="auto"/>
            <w:gridSpan w:val="2"/>
            <w:tcBorders>
              <w:top w:val="nil"/>
              <w:left w:val="nil"/>
              <w:bottom w:val="single" w:sz="8" w:space="0" w:color="000000"/>
              <w:right w:val="nil"/>
            </w:tcBorders>
            <w:vAlign w:val="center"/>
          </w:tcPr>
          <w:p w14:paraId="66A9E52C" w14:textId="77777777" w:rsidR="0081236B" w:rsidRDefault="0037599E">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R²</w:t>
            </w:r>
          </w:p>
        </w:tc>
        <w:tc>
          <w:tcPr>
            <w:tcW w:w="0" w:type="auto"/>
            <w:gridSpan w:val="2"/>
            <w:tcBorders>
              <w:top w:val="nil"/>
              <w:left w:val="nil"/>
              <w:bottom w:val="single" w:sz="8" w:space="0" w:color="000000"/>
              <w:right w:val="nil"/>
            </w:tcBorders>
            <w:vAlign w:val="center"/>
          </w:tcPr>
          <w:p w14:paraId="1EC9BCE7" w14:textId="77777777" w:rsidR="0081236B" w:rsidRDefault="0037599E">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Adjusted R²</w:t>
            </w:r>
          </w:p>
        </w:tc>
        <w:tc>
          <w:tcPr>
            <w:tcW w:w="0" w:type="auto"/>
            <w:gridSpan w:val="2"/>
            <w:tcBorders>
              <w:top w:val="nil"/>
              <w:left w:val="nil"/>
              <w:bottom w:val="single" w:sz="8" w:space="0" w:color="000000"/>
              <w:right w:val="nil"/>
            </w:tcBorders>
            <w:vAlign w:val="center"/>
          </w:tcPr>
          <w:p w14:paraId="3C609D52" w14:textId="77777777" w:rsidR="0081236B" w:rsidRDefault="0037599E">
            <w:pPr>
              <w:widowControl/>
              <w:jc w:val="center"/>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RMSE</w:t>
            </w:r>
          </w:p>
        </w:tc>
      </w:tr>
      <w:tr w:rsidR="0081236B" w14:paraId="14C3D962" w14:textId="77777777">
        <w:trPr>
          <w:jc w:val="center"/>
        </w:trPr>
        <w:tc>
          <w:tcPr>
            <w:tcW w:w="0" w:type="auto"/>
            <w:tcBorders>
              <w:top w:val="nil"/>
              <w:left w:val="nil"/>
              <w:bottom w:val="nil"/>
              <w:right w:val="nil"/>
            </w:tcBorders>
            <w:vAlign w:val="center"/>
          </w:tcPr>
          <w:p w14:paraId="0AF8484A" w14:textId="77777777" w:rsidR="0081236B" w:rsidRDefault="0037599E">
            <w:pPr>
              <w:widowControl/>
              <w:jc w:val="lef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H₀</w:t>
            </w:r>
          </w:p>
        </w:tc>
        <w:tc>
          <w:tcPr>
            <w:tcW w:w="0" w:type="auto"/>
            <w:tcBorders>
              <w:top w:val="nil"/>
              <w:left w:val="nil"/>
              <w:bottom w:val="nil"/>
              <w:right w:val="nil"/>
            </w:tcBorders>
            <w:vAlign w:val="center"/>
          </w:tcPr>
          <w:p w14:paraId="71F9E65E"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1B0799CA"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0.000</w:t>
            </w:r>
          </w:p>
        </w:tc>
        <w:tc>
          <w:tcPr>
            <w:tcW w:w="0" w:type="auto"/>
            <w:tcBorders>
              <w:top w:val="nil"/>
              <w:left w:val="nil"/>
              <w:bottom w:val="nil"/>
              <w:right w:val="nil"/>
            </w:tcBorders>
            <w:vAlign w:val="center"/>
          </w:tcPr>
          <w:p w14:paraId="0DA394C1"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578E76B2"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0.000</w:t>
            </w:r>
          </w:p>
        </w:tc>
        <w:tc>
          <w:tcPr>
            <w:tcW w:w="0" w:type="auto"/>
            <w:tcBorders>
              <w:top w:val="nil"/>
              <w:left w:val="nil"/>
              <w:bottom w:val="nil"/>
              <w:right w:val="nil"/>
            </w:tcBorders>
            <w:vAlign w:val="center"/>
          </w:tcPr>
          <w:p w14:paraId="0F6C688D"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4CF3B38D"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0.000</w:t>
            </w:r>
          </w:p>
        </w:tc>
        <w:tc>
          <w:tcPr>
            <w:tcW w:w="0" w:type="auto"/>
            <w:tcBorders>
              <w:top w:val="nil"/>
              <w:left w:val="nil"/>
              <w:bottom w:val="nil"/>
              <w:right w:val="nil"/>
            </w:tcBorders>
            <w:vAlign w:val="center"/>
          </w:tcPr>
          <w:p w14:paraId="3C3C0941"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663BE511"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2.855</w:t>
            </w:r>
          </w:p>
        </w:tc>
        <w:tc>
          <w:tcPr>
            <w:tcW w:w="0" w:type="auto"/>
            <w:tcBorders>
              <w:top w:val="nil"/>
              <w:left w:val="nil"/>
              <w:bottom w:val="nil"/>
              <w:right w:val="nil"/>
            </w:tcBorders>
            <w:vAlign w:val="center"/>
          </w:tcPr>
          <w:p w14:paraId="22CFB0F1" w14:textId="77777777" w:rsidR="0081236B" w:rsidRDefault="0081236B">
            <w:pPr>
              <w:jc w:val="left"/>
              <w:rPr>
                <w:rFonts w:ascii="Times New Roman Regular" w:hAnsi="Times New Roman Regular" w:cs="Times New Roman Regular" w:hint="eastAsia"/>
                <w:sz w:val="20"/>
                <w:szCs w:val="20"/>
              </w:rPr>
            </w:pPr>
          </w:p>
        </w:tc>
      </w:tr>
      <w:tr w:rsidR="0081236B" w14:paraId="31304A7A" w14:textId="77777777">
        <w:trPr>
          <w:jc w:val="center"/>
        </w:trPr>
        <w:tc>
          <w:tcPr>
            <w:tcW w:w="0" w:type="auto"/>
            <w:tcBorders>
              <w:top w:val="nil"/>
              <w:left w:val="nil"/>
              <w:bottom w:val="nil"/>
              <w:right w:val="nil"/>
            </w:tcBorders>
            <w:vAlign w:val="center"/>
          </w:tcPr>
          <w:p w14:paraId="3877312F" w14:textId="77777777" w:rsidR="0081236B" w:rsidRDefault="0037599E">
            <w:pPr>
              <w:widowControl/>
              <w:jc w:val="lef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H₁</w:t>
            </w:r>
          </w:p>
        </w:tc>
        <w:tc>
          <w:tcPr>
            <w:tcW w:w="0" w:type="auto"/>
            <w:tcBorders>
              <w:top w:val="nil"/>
              <w:left w:val="nil"/>
              <w:bottom w:val="nil"/>
              <w:right w:val="nil"/>
            </w:tcBorders>
            <w:vAlign w:val="center"/>
          </w:tcPr>
          <w:p w14:paraId="4FA6B4D6"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49744AA3"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shd w:val="clear" w:color="auto" w:fill="92D050"/>
                <w:lang w:bidi="ar"/>
              </w:rPr>
              <w:t>0.907</w:t>
            </w:r>
          </w:p>
        </w:tc>
        <w:tc>
          <w:tcPr>
            <w:tcW w:w="0" w:type="auto"/>
            <w:tcBorders>
              <w:top w:val="nil"/>
              <w:left w:val="nil"/>
              <w:bottom w:val="nil"/>
              <w:right w:val="nil"/>
            </w:tcBorders>
            <w:shd w:val="clear" w:color="auto" w:fill="FFFF00"/>
            <w:vAlign w:val="center"/>
          </w:tcPr>
          <w:p w14:paraId="0D602157"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shd w:val="clear" w:color="auto" w:fill="FFFF00"/>
            <w:vAlign w:val="center"/>
          </w:tcPr>
          <w:p w14:paraId="3BEBBD14"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shd w:val="clear" w:color="auto" w:fill="FFFF00"/>
                <w:lang w:bidi="ar"/>
              </w:rPr>
              <w:t>0.822</w:t>
            </w:r>
          </w:p>
        </w:tc>
        <w:tc>
          <w:tcPr>
            <w:tcW w:w="0" w:type="auto"/>
            <w:tcBorders>
              <w:top w:val="nil"/>
              <w:left w:val="nil"/>
              <w:bottom w:val="nil"/>
              <w:right w:val="nil"/>
            </w:tcBorders>
            <w:vAlign w:val="center"/>
          </w:tcPr>
          <w:p w14:paraId="5DC18420"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63F6B3FD"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0.818</w:t>
            </w:r>
          </w:p>
        </w:tc>
        <w:tc>
          <w:tcPr>
            <w:tcW w:w="0" w:type="auto"/>
            <w:tcBorders>
              <w:top w:val="nil"/>
              <w:left w:val="nil"/>
              <w:bottom w:val="nil"/>
              <w:right w:val="nil"/>
            </w:tcBorders>
            <w:vAlign w:val="center"/>
          </w:tcPr>
          <w:p w14:paraId="0A63CE20" w14:textId="77777777" w:rsidR="0081236B" w:rsidRDefault="0081236B">
            <w:pPr>
              <w:jc w:val="left"/>
              <w:rPr>
                <w:rFonts w:ascii="Times New Roman Regular" w:hAnsi="Times New Roman Regular" w:cs="Times New Roman Regular" w:hint="eastAsia"/>
                <w:sz w:val="20"/>
                <w:szCs w:val="20"/>
              </w:rPr>
            </w:pPr>
          </w:p>
        </w:tc>
        <w:tc>
          <w:tcPr>
            <w:tcW w:w="0" w:type="auto"/>
            <w:tcBorders>
              <w:top w:val="nil"/>
              <w:left w:val="nil"/>
              <w:bottom w:val="nil"/>
              <w:right w:val="nil"/>
            </w:tcBorders>
            <w:vAlign w:val="center"/>
          </w:tcPr>
          <w:p w14:paraId="31E7539A" w14:textId="77777777" w:rsidR="0081236B" w:rsidRDefault="0037599E">
            <w:pPr>
              <w:widowControl/>
              <w:jc w:val="right"/>
              <w:rPr>
                <w:rFonts w:ascii="Times New Roman Regular" w:hAnsi="Times New Roman Regular" w:cs="Times New Roman Regular" w:hint="eastAsia"/>
                <w:sz w:val="20"/>
                <w:szCs w:val="20"/>
              </w:rPr>
            </w:pPr>
            <w:r>
              <w:rPr>
                <w:rFonts w:ascii="Times New Roman Regular" w:eastAsia="SimSun" w:hAnsi="Times New Roman Regular" w:cs="Times New Roman Regular"/>
                <w:kern w:val="0"/>
                <w:sz w:val="20"/>
                <w:szCs w:val="20"/>
                <w:lang w:bidi="ar"/>
              </w:rPr>
              <w:t>1.218</w:t>
            </w:r>
          </w:p>
        </w:tc>
        <w:tc>
          <w:tcPr>
            <w:tcW w:w="0" w:type="auto"/>
            <w:tcBorders>
              <w:top w:val="nil"/>
              <w:left w:val="nil"/>
              <w:bottom w:val="nil"/>
              <w:right w:val="nil"/>
            </w:tcBorders>
            <w:vAlign w:val="center"/>
          </w:tcPr>
          <w:p w14:paraId="127F1AB5" w14:textId="77777777" w:rsidR="0081236B" w:rsidRDefault="0081236B">
            <w:pPr>
              <w:jc w:val="left"/>
              <w:rPr>
                <w:rFonts w:ascii="Times New Roman Regular" w:hAnsi="Times New Roman Regular" w:cs="Times New Roman Regular" w:hint="eastAsia"/>
                <w:sz w:val="20"/>
                <w:szCs w:val="20"/>
              </w:rPr>
            </w:pPr>
          </w:p>
        </w:tc>
      </w:tr>
      <w:tr w:rsidR="0081236B" w14:paraId="0D1D6B8C" w14:textId="77777777">
        <w:trPr>
          <w:jc w:val="center"/>
        </w:trPr>
        <w:tc>
          <w:tcPr>
            <w:tcW w:w="0" w:type="auto"/>
            <w:gridSpan w:val="10"/>
            <w:tcBorders>
              <w:top w:val="nil"/>
              <w:left w:val="nil"/>
              <w:bottom w:val="single" w:sz="18" w:space="0" w:color="000000"/>
              <w:right w:val="nil"/>
            </w:tcBorders>
            <w:vAlign w:val="center"/>
          </w:tcPr>
          <w:p w14:paraId="24A5F10E" w14:textId="77777777" w:rsidR="0081236B" w:rsidRDefault="0081236B">
            <w:pPr>
              <w:jc w:val="right"/>
              <w:rPr>
                <w:rFonts w:ascii="Times New Roman Regular" w:hAnsi="Times New Roman Regular" w:cs="Times New Roman Regular" w:hint="eastAsia"/>
                <w:sz w:val="20"/>
                <w:szCs w:val="20"/>
              </w:rPr>
            </w:pPr>
          </w:p>
        </w:tc>
      </w:tr>
    </w:tbl>
    <w:p w14:paraId="3CB39BF2" w14:textId="7C1248CD" w:rsidR="0081236B" w:rsidRDefault="00B75011">
      <w:pPr>
        <w:rPr>
          <w:rFonts w:ascii="Times New Roman Regular" w:hAnsi="Times New Roman Regular" w:hint="eastAsia"/>
          <w:sz w:val="22"/>
          <w:szCs w:val="22"/>
        </w:rPr>
      </w:pPr>
      <w:r>
        <w:rPr>
          <w:rFonts w:ascii="Times New Roman Regular" w:hAnsi="Times New Roman Regular" w:hint="eastAsia"/>
          <w:sz w:val="22"/>
          <w:szCs w:val="22"/>
        </w:rPr>
        <w:t>T</w:t>
      </w:r>
      <w:r>
        <w:rPr>
          <w:rFonts w:ascii="Times New Roman Regular" w:hAnsi="Times New Roman Regular"/>
          <w:sz w:val="22"/>
          <w:szCs w:val="22"/>
        </w:rPr>
        <w:t>able 1-</w:t>
      </w:r>
      <w:r w:rsidR="007D6998">
        <w:rPr>
          <w:rFonts w:ascii="Times New Roman Regular" w:hAnsi="Times New Roman Regular"/>
          <w:sz w:val="22"/>
          <w:szCs w:val="22"/>
        </w:rPr>
        <w:t xml:space="preserve"> </w:t>
      </w:r>
      <w:r w:rsidR="007D6998" w:rsidRPr="007D6998">
        <w:rPr>
          <w:rFonts w:ascii="Times New Roman Regular" w:hAnsi="Times New Roman Regular"/>
          <w:b/>
          <w:bCs/>
          <w:sz w:val="22"/>
          <w:szCs w:val="22"/>
        </w:rPr>
        <w:t xml:space="preserve">The table </w:t>
      </w:r>
      <w:r w:rsidR="007D6998" w:rsidRPr="007D6998">
        <w:rPr>
          <w:rFonts w:ascii="Times New Roman Regular" w:hAnsi="Times New Roman Regular" w:hint="eastAsia"/>
          <w:b/>
          <w:bCs/>
          <w:sz w:val="22"/>
          <w:szCs w:val="22"/>
        </w:rPr>
        <w:t>shows</w:t>
      </w:r>
      <w:r w:rsidR="007D6998" w:rsidRPr="007D6998">
        <w:rPr>
          <w:rFonts w:ascii="Times New Roman Regular" w:hAnsi="Times New Roman Regular"/>
          <w:b/>
          <w:bCs/>
          <w:sz w:val="22"/>
          <w:szCs w:val="22"/>
        </w:rPr>
        <w:t xml:space="preserve"> the Linear Regression</w:t>
      </w:r>
    </w:p>
    <w:p w14:paraId="517274B2"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The results of the regression analysis on the outcome variable (Y) indicate that in the initial model (H₀), the values for the correlation coefficient (R), coefficient of determination (R²), and adjusted R² were all 0.000, with a Root Mean Square Error (RM</w:t>
      </w:r>
      <w:r>
        <w:rPr>
          <w:rFonts w:ascii="Times New Roman Regular" w:hAnsi="Times New Roman Regular"/>
          <w:sz w:val="22"/>
          <w:szCs w:val="22"/>
        </w:rPr>
        <w:t>SE) of 2.855. This suggests that the model without predictor variables was unable to explain any variation in the outcome variable. However, when two independent variables—reaction (X₁) and learning (X₂)—were included through the mediating variable behavio</w:t>
      </w:r>
      <w:r>
        <w:rPr>
          <w:rFonts w:ascii="Times New Roman Regular" w:hAnsi="Times New Roman Regular"/>
          <w:sz w:val="22"/>
          <w:szCs w:val="22"/>
        </w:rPr>
        <w:t xml:space="preserve">r (Z) in the alternative model (H₁), a highly significant improvement was observed. The R value increased to 0.907, indicating a very strong correlation between the </w:t>
      </w:r>
      <w:r>
        <w:rPr>
          <w:rFonts w:ascii="Times New Roman Regular" w:hAnsi="Times New Roman Regular"/>
          <w:sz w:val="22"/>
          <w:szCs w:val="22"/>
        </w:rPr>
        <w:lastRenderedPageBreak/>
        <w:t>predictor variables and the outcome variable. Furthermore, an R² value of 0.822 indicates t</w:t>
      </w:r>
      <w:r>
        <w:rPr>
          <w:rFonts w:ascii="Times New Roman Regular" w:hAnsi="Times New Roman Regular"/>
          <w:sz w:val="22"/>
          <w:szCs w:val="22"/>
        </w:rPr>
        <w:t>hat 82.2% of the variation in the outcome (Y) can be explained by the model that includes reaction, learning, and behavior. The adjusted R² value of 0.818 suggests that the model remains robust and stable even after adjusting for the number of predictor va</w:t>
      </w:r>
      <w:r>
        <w:rPr>
          <w:rFonts w:ascii="Times New Roman Regular" w:hAnsi="Times New Roman Regular"/>
          <w:sz w:val="22"/>
          <w:szCs w:val="22"/>
        </w:rPr>
        <w:t>riables. Additionally, the decrease in RMSE from 2.855 to 1.218 reflects a substantial improvement in the model's accuracy in predicting the outcome variable. Therefore, model H₁ demonstrates that both reaction and learning, through behavior, have a signif</w:t>
      </w:r>
      <w:r>
        <w:rPr>
          <w:rFonts w:ascii="Times New Roman Regular" w:hAnsi="Times New Roman Regular"/>
          <w:sz w:val="22"/>
          <w:szCs w:val="22"/>
        </w:rPr>
        <w:t>icant and substantial influence on achieving results (Y), supporting the effectiveness of the evaluation approach based on the Kirkpatrick Model.</w:t>
      </w:r>
    </w:p>
    <w:p w14:paraId="2EF3AC14" w14:textId="77777777" w:rsidR="0081236B" w:rsidRDefault="0081236B">
      <w:pPr>
        <w:rPr>
          <w:rFonts w:ascii="Times New Roman Regular" w:hAnsi="Times New Roman Regular" w:hint="eastAsia"/>
          <w:sz w:val="22"/>
          <w:szCs w:val="22"/>
        </w:rPr>
      </w:pPr>
    </w:p>
    <w:p w14:paraId="551D45D1" w14:textId="77777777" w:rsidR="0081236B" w:rsidRDefault="0037599E">
      <w:pPr>
        <w:rPr>
          <w:rFonts w:ascii="Times New Roman Regular" w:hAnsi="Times New Roman Regular" w:hint="eastAsia"/>
          <w:b/>
          <w:bCs/>
          <w:sz w:val="22"/>
          <w:szCs w:val="22"/>
        </w:rPr>
      </w:pPr>
      <w:r>
        <w:rPr>
          <w:rFonts w:ascii="Times New Roman Regular" w:hAnsi="Times New Roman Regular"/>
          <w:b/>
          <w:bCs/>
          <w:sz w:val="22"/>
          <w:szCs w:val="22"/>
        </w:rPr>
        <w:t>3.2 ANOVA Test</w:t>
      </w:r>
    </w:p>
    <w:tbl>
      <w:tblPr>
        <w:tblW w:w="0" w:type="auto"/>
        <w:jc w:val="center"/>
        <w:tblBorders>
          <w:top w:val="none" w:sz="0" w:space="0" w:color="808080"/>
          <w:left w:val="none" w:sz="0" w:space="0" w:color="808080"/>
          <w:bottom w:val="none" w:sz="0" w:space="0" w:color="808080"/>
          <w:right w:val="none" w:sz="0" w:space="0" w:color="808080"/>
        </w:tblBorders>
        <w:tblCellMar>
          <w:top w:w="15" w:type="dxa"/>
          <w:left w:w="15" w:type="dxa"/>
          <w:bottom w:w="15" w:type="dxa"/>
          <w:right w:w="15" w:type="dxa"/>
        </w:tblCellMar>
        <w:tblLook w:val="04A0" w:firstRow="1" w:lastRow="0" w:firstColumn="1" w:lastColumn="0" w:noHBand="0" w:noVBand="1"/>
      </w:tblPr>
      <w:tblGrid>
        <w:gridCol w:w="451"/>
        <w:gridCol w:w="83"/>
        <w:gridCol w:w="884"/>
        <w:gridCol w:w="43"/>
        <w:gridCol w:w="1178"/>
        <w:gridCol w:w="67"/>
        <w:gridCol w:w="322"/>
        <w:gridCol w:w="43"/>
        <w:gridCol w:w="983"/>
        <w:gridCol w:w="64"/>
        <w:gridCol w:w="656"/>
        <w:gridCol w:w="43"/>
        <w:gridCol w:w="526"/>
        <w:gridCol w:w="43"/>
      </w:tblGrid>
      <w:tr w:rsidR="0081236B" w14:paraId="77B9EC60" w14:textId="77777777">
        <w:trPr>
          <w:tblHeader/>
          <w:jc w:val="center"/>
        </w:trPr>
        <w:tc>
          <w:tcPr>
            <w:tcW w:w="0" w:type="auto"/>
            <w:gridSpan w:val="14"/>
            <w:tcBorders>
              <w:top w:val="nil"/>
              <w:left w:val="nil"/>
              <w:bottom w:val="single" w:sz="8" w:space="0" w:color="000000"/>
              <w:right w:val="nil"/>
            </w:tcBorders>
            <w:vAlign w:val="center"/>
          </w:tcPr>
          <w:p w14:paraId="5F0C58DD" w14:textId="3BBBD0B1" w:rsidR="0081236B" w:rsidRDefault="00C451B8">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hint="eastAsia"/>
                <w:b/>
                <w:bCs/>
                <w:kern w:val="0"/>
                <w:sz w:val="16"/>
                <w:szCs w:val="16"/>
                <w:lang w:bidi="ar"/>
              </w:rPr>
              <w:t>T</w:t>
            </w:r>
            <w:r>
              <w:rPr>
                <w:rFonts w:ascii="Times New Roman Regular" w:eastAsia="SimSun" w:hAnsi="Times New Roman Regular" w:cs="Times New Roman Regular"/>
                <w:b/>
                <w:bCs/>
                <w:kern w:val="0"/>
                <w:sz w:val="16"/>
                <w:szCs w:val="16"/>
                <w:lang w:bidi="ar"/>
              </w:rPr>
              <w:t xml:space="preserve">able 2-ANOVA </w:t>
            </w:r>
          </w:p>
        </w:tc>
      </w:tr>
      <w:tr w:rsidR="0081236B" w14:paraId="3593C688" w14:textId="77777777">
        <w:trPr>
          <w:tblHeader/>
          <w:jc w:val="center"/>
        </w:trPr>
        <w:tc>
          <w:tcPr>
            <w:tcW w:w="0" w:type="auto"/>
            <w:gridSpan w:val="2"/>
            <w:tcBorders>
              <w:top w:val="nil"/>
              <w:left w:val="nil"/>
              <w:bottom w:val="single" w:sz="8" w:space="0" w:color="000000"/>
              <w:right w:val="nil"/>
            </w:tcBorders>
            <w:vAlign w:val="center"/>
          </w:tcPr>
          <w:p w14:paraId="32AE13C4"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Model</w:t>
            </w:r>
          </w:p>
        </w:tc>
        <w:tc>
          <w:tcPr>
            <w:tcW w:w="0" w:type="auto"/>
            <w:gridSpan w:val="2"/>
            <w:tcBorders>
              <w:top w:val="nil"/>
              <w:left w:val="nil"/>
              <w:bottom w:val="single" w:sz="8" w:space="0" w:color="000000"/>
              <w:right w:val="nil"/>
            </w:tcBorders>
            <w:vAlign w:val="center"/>
          </w:tcPr>
          <w:p w14:paraId="5B390777"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gridSpan w:val="2"/>
            <w:tcBorders>
              <w:top w:val="nil"/>
              <w:left w:val="nil"/>
              <w:bottom w:val="single" w:sz="8" w:space="0" w:color="000000"/>
              <w:right w:val="nil"/>
            </w:tcBorders>
            <w:vAlign w:val="center"/>
          </w:tcPr>
          <w:p w14:paraId="35E04216"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Sum of Squares</w:t>
            </w:r>
          </w:p>
        </w:tc>
        <w:tc>
          <w:tcPr>
            <w:tcW w:w="0" w:type="auto"/>
            <w:gridSpan w:val="2"/>
            <w:tcBorders>
              <w:top w:val="nil"/>
              <w:left w:val="nil"/>
              <w:bottom w:val="single" w:sz="8" w:space="0" w:color="000000"/>
              <w:right w:val="nil"/>
            </w:tcBorders>
            <w:vAlign w:val="center"/>
          </w:tcPr>
          <w:p w14:paraId="7754285F"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df</w:t>
            </w:r>
          </w:p>
        </w:tc>
        <w:tc>
          <w:tcPr>
            <w:tcW w:w="0" w:type="auto"/>
            <w:gridSpan w:val="2"/>
            <w:tcBorders>
              <w:top w:val="nil"/>
              <w:left w:val="nil"/>
              <w:bottom w:val="single" w:sz="8" w:space="0" w:color="000000"/>
              <w:right w:val="nil"/>
            </w:tcBorders>
            <w:vAlign w:val="center"/>
          </w:tcPr>
          <w:p w14:paraId="729DB14E"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Mean Square</w:t>
            </w:r>
          </w:p>
        </w:tc>
        <w:tc>
          <w:tcPr>
            <w:tcW w:w="0" w:type="auto"/>
            <w:gridSpan w:val="2"/>
            <w:tcBorders>
              <w:top w:val="nil"/>
              <w:left w:val="nil"/>
              <w:bottom w:val="single" w:sz="8" w:space="0" w:color="000000"/>
              <w:right w:val="nil"/>
            </w:tcBorders>
            <w:vAlign w:val="center"/>
          </w:tcPr>
          <w:p w14:paraId="26A7F3A6"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F</w:t>
            </w:r>
          </w:p>
        </w:tc>
        <w:tc>
          <w:tcPr>
            <w:tcW w:w="0" w:type="auto"/>
            <w:gridSpan w:val="2"/>
            <w:tcBorders>
              <w:top w:val="nil"/>
              <w:left w:val="nil"/>
              <w:bottom w:val="single" w:sz="8" w:space="0" w:color="000000"/>
              <w:right w:val="nil"/>
            </w:tcBorders>
            <w:vAlign w:val="center"/>
          </w:tcPr>
          <w:p w14:paraId="143AF9F4" w14:textId="77777777" w:rsidR="0081236B" w:rsidRDefault="0037599E">
            <w:pPr>
              <w:widowControl/>
              <w:jc w:val="center"/>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p</w:t>
            </w:r>
          </w:p>
        </w:tc>
      </w:tr>
      <w:tr w:rsidR="0081236B" w14:paraId="3F6631D0" w14:textId="77777777">
        <w:trPr>
          <w:jc w:val="center"/>
        </w:trPr>
        <w:tc>
          <w:tcPr>
            <w:tcW w:w="0" w:type="auto"/>
            <w:tcBorders>
              <w:top w:val="nil"/>
              <w:left w:val="nil"/>
              <w:bottom w:val="nil"/>
              <w:right w:val="nil"/>
            </w:tcBorders>
            <w:vAlign w:val="center"/>
          </w:tcPr>
          <w:p w14:paraId="01340E6D"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H₁</w:t>
            </w:r>
          </w:p>
        </w:tc>
        <w:tc>
          <w:tcPr>
            <w:tcW w:w="0" w:type="auto"/>
            <w:tcBorders>
              <w:top w:val="nil"/>
              <w:left w:val="nil"/>
              <w:bottom w:val="nil"/>
              <w:right w:val="nil"/>
            </w:tcBorders>
            <w:vAlign w:val="center"/>
          </w:tcPr>
          <w:p w14:paraId="451A15DB"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14C55D7C"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Regression</w:t>
            </w:r>
          </w:p>
        </w:tc>
        <w:tc>
          <w:tcPr>
            <w:tcW w:w="0" w:type="auto"/>
            <w:tcBorders>
              <w:top w:val="nil"/>
              <w:left w:val="nil"/>
              <w:bottom w:val="nil"/>
              <w:right w:val="nil"/>
            </w:tcBorders>
            <w:vAlign w:val="center"/>
          </w:tcPr>
          <w:p w14:paraId="72A024B4"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04ACF240"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1086.066</w:t>
            </w:r>
          </w:p>
        </w:tc>
        <w:tc>
          <w:tcPr>
            <w:tcW w:w="0" w:type="auto"/>
            <w:tcBorders>
              <w:top w:val="nil"/>
              <w:left w:val="nil"/>
              <w:bottom w:val="nil"/>
              <w:right w:val="nil"/>
            </w:tcBorders>
            <w:vAlign w:val="center"/>
          </w:tcPr>
          <w:p w14:paraId="79D6213E"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6C636DE"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w:t>
            </w:r>
          </w:p>
        </w:tc>
        <w:tc>
          <w:tcPr>
            <w:tcW w:w="0" w:type="auto"/>
            <w:tcBorders>
              <w:top w:val="nil"/>
              <w:left w:val="nil"/>
              <w:bottom w:val="nil"/>
              <w:right w:val="nil"/>
            </w:tcBorders>
            <w:vAlign w:val="center"/>
          </w:tcPr>
          <w:p w14:paraId="1D33B97E"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45FDE41"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271.517</w:t>
            </w:r>
          </w:p>
        </w:tc>
        <w:tc>
          <w:tcPr>
            <w:tcW w:w="0" w:type="auto"/>
            <w:tcBorders>
              <w:top w:val="nil"/>
              <w:left w:val="nil"/>
              <w:bottom w:val="nil"/>
              <w:right w:val="nil"/>
            </w:tcBorders>
            <w:vAlign w:val="center"/>
          </w:tcPr>
          <w:p w14:paraId="4CDE4864"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068C09EF"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shd w:val="clear" w:color="auto" w:fill="92D050"/>
                <w:lang w:bidi="ar"/>
              </w:rPr>
              <w:t>183.000</w:t>
            </w:r>
          </w:p>
        </w:tc>
        <w:tc>
          <w:tcPr>
            <w:tcW w:w="0" w:type="auto"/>
            <w:tcBorders>
              <w:top w:val="nil"/>
              <w:left w:val="nil"/>
              <w:bottom w:val="nil"/>
              <w:right w:val="nil"/>
            </w:tcBorders>
            <w:vAlign w:val="center"/>
          </w:tcPr>
          <w:p w14:paraId="4565D4FD"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EA8CC78"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shd w:val="clear" w:color="auto" w:fill="FFFF00"/>
                <w:lang w:bidi="ar"/>
              </w:rPr>
              <w:t>&lt; .001</w:t>
            </w:r>
          </w:p>
        </w:tc>
        <w:tc>
          <w:tcPr>
            <w:tcW w:w="0" w:type="auto"/>
            <w:tcBorders>
              <w:top w:val="nil"/>
              <w:left w:val="nil"/>
              <w:bottom w:val="nil"/>
              <w:right w:val="nil"/>
            </w:tcBorders>
            <w:vAlign w:val="center"/>
          </w:tcPr>
          <w:p w14:paraId="5CB8FA46" w14:textId="77777777" w:rsidR="0081236B" w:rsidRDefault="0081236B">
            <w:pPr>
              <w:jc w:val="left"/>
              <w:rPr>
                <w:rFonts w:ascii="Times New Roman Regular" w:hAnsi="Times New Roman Regular" w:cs="Times New Roman Regular" w:hint="eastAsia"/>
                <w:sz w:val="16"/>
                <w:szCs w:val="16"/>
              </w:rPr>
            </w:pPr>
          </w:p>
        </w:tc>
      </w:tr>
      <w:tr w:rsidR="0081236B" w14:paraId="033B65C7" w14:textId="77777777">
        <w:trPr>
          <w:jc w:val="center"/>
        </w:trPr>
        <w:tc>
          <w:tcPr>
            <w:tcW w:w="0" w:type="auto"/>
            <w:tcBorders>
              <w:top w:val="nil"/>
              <w:left w:val="nil"/>
              <w:bottom w:val="nil"/>
              <w:right w:val="nil"/>
            </w:tcBorders>
            <w:vAlign w:val="center"/>
          </w:tcPr>
          <w:p w14:paraId="4E91BEFF"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48590C96"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1B44A911"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Residual</w:t>
            </w:r>
          </w:p>
        </w:tc>
        <w:tc>
          <w:tcPr>
            <w:tcW w:w="0" w:type="auto"/>
            <w:tcBorders>
              <w:top w:val="nil"/>
              <w:left w:val="nil"/>
              <w:bottom w:val="nil"/>
              <w:right w:val="nil"/>
            </w:tcBorders>
            <w:vAlign w:val="center"/>
          </w:tcPr>
          <w:p w14:paraId="3416AB1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4AEA137"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234.424</w:t>
            </w:r>
          </w:p>
        </w:tc>
        <w:tc>
          <w:tcPr>
            <w:tcW w:w="0" w:type="auto"/>
            <w:tcBorders>
              <w:top w:val="nil"/>
              <w:left w:val="nil"/>
              <w:bottom w:val="nil"/>
              <w:right w:val="nil"/>
            </w:tcBorders>
            <w:vAlign w:val="center"/>
          </w:tcPr>
          <w:p w14:paraId="1A6BB198"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3088DC4D"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158</w:t>
            </w:r>
          </w:p>
        </w:tc>
        <w:tc>
          <w:tcPr>
            <w:tcW w:w="0" w:type="auto"/>
            <w:tcBorders>
              <w:top w:val="nil"/>
              <w:left w:val="nil"/>
              <w:bottom w:val="nil"/>
              <w:right w:val="nil"/>
            </w:tcBorders>
            <w:vAlign w:val="center"/>
          </w:tcPr>
          <w:p w14:paraId="0D7845C6"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A198190"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1.484</w:t>
            </w:r>
          </w:p>
        </w:tc>
        <w:tc>
          <w:tcPr>
            <w:tcW w:w="0" w:type="auto"/>
            <w:tcBorders>
              <w:top w:val="nil"/>
              <w:left w:val="nil"/>
              <w:bottom w:val="nil"/>
              <w:right w:val="nil"/>
            </w:tcBorders>
            <w:vAlign w:val="center"/>
          </w:tcPr>
          <w:p w14:paraId="1F8C59D7"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65F4F7D"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71796C10"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A33931A"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079F3EDD" w14:textId="77777777" w:rsidR="0081236B" w:rsidRDefault="0081236B">
            <w:pPr>
              <w:jc w:val="left"/>
              <w:rPr>
                <w:rFonts w:ascii="Times New Roman Regular" w:hAnsi="Times New Roman Regular" w:cs="Times New Roman Regular" w:hint="eastAsia"/>
                <w:sz w:val="16"/>
                <w:szCs w:val="16"/>
              </w:rPr>
            </w:pPr>
          </w:p>
        </w:tc>
      </w:tr>
      <w:tr w:rsidR="0081236B" w14:paraId="16EE8DD6" w14:textId="77777777">
        <w:trPr>
          <w:jc w:val="center"/>
        </w:trPr>
        <w:tc>
          <w:tcPr>
            <w:tcW w:w="0" w:type="auto"/>
            <w:tcBorders>
              <w:top w:val="nil"/>
              <w:left w:val="nil"/>
              <w:bottom w:val="nil"/>
              <w:right w:val="nil"/>
            </w:tcBorders>
            <w:vAlign w:val="center"/>
          </w:tcPr>
          <w:p w14:paraId="18BC2D55"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0623C58A"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55DF755"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Total</w:t>
            </w:r>
          </w:p>
        </w:tc>
        <w:tc>
          <w:tcPr>
            <w:tcW w:w="0" w:type="auto"/>
            <w:tcBorders>
              <w:top w:val="nil"/>
              <w:left w:val="nil"/>
              <w:bottom w:val="nil"/>
              <w:right w:val="nil"/>
            </w:tcBorders>
            <w:vAlign w:val="center"/>
          </w:tcPr>
          <w:p w14:paraId="20E63433"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3A6D4478"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1320.491</w:t>
            </w:r>
          </w:p>
        </w:tc>
        <w:tc>
          <w:tcPr>
            <w:tcW w:w="0" w:type="auto"/>
            <w:tcBorders>
              <w:top w:val="nil"/>
              <w:left w:val="nil"/>
              <w:bottom w:val="nil"/>
              <w:right w:val="nil"/>
            </w:tcBorders>
            <w:vAlign w:val="center"/>
          </w:tcPr>
          <w:p w14:paraId="0CE8956D"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1B9244E"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162</w:t>
            </w:r>
          </w:p>
        </w:tc>
        <w:tc>
          <w:tcPr>
            <w:tcW w:w="0" w:type="auto"/>
            <w:tcBorders>
              <w:top w:val="nil"/>
              <w:left w:val="nil"/>
              <w:bottom w:val="nil"/>
              <w:right w:val="nil"/>
            </w:tcBorders>
            <w:vAlign w:val="center"/>
          </w:tcPr>
          <w:p w14:paraId="46B29688"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4C45C336"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B5EC65C"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DEC85CB"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5D5BCCD"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13B8C849"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32E85AC2" w14:textId="77777777" w:rsidR="0081236B" w:rsidRDefault="0081236B">
            <w:pPr>
              <w:jc w:val="left"/>
              <w:rPr>
                <w:rFonts w:ascii="Times New Roman Regular" w:hAnsi="Times New Roman Regular" w:cs="Times New Roman Regular" w:hint="eastAsia"/>
                <w:sz w:val="16"/>
                <w:szCs w:val="16"/>
              </w:rPr>
            </w:pPr>
          </w:p>
        </w:tc>
      </w:tr>
      <w:tr w:rsidR="0081236B" w14:paraId="70FCA786" w14:textId="77777777">
        <w:trPr>
          <w:jc w:val="center"/>
        </w:trPr>
        <w:tc>
          <w:tcPr>
            <w:tcW w:w="0" w:type="auto"/>
            <w:gridSpan w:val="14"/>
            <w:tcBorders>
              <w:top w:val="nil"/>
              <w:left w:val="nil"/>
              <w:bottom w:val="single" w:sz="18" w:space="0" w:color="000000"/>
              <w:right w:val="nil"/>
            </w:tcBorders>
            <w:vAlign w:val="center"/>
          </w:tcPr>
          <w:p w14:paraId="58C3F78C" w14:textId="77777777" w:rsidR="0081236B" w:rsidRDefault="0081236B">
            <w:pPr>
              <w:jc w:val="right"/>
              <w:rPr>
                <w:rFonts w:ascii="Times New Roman Regular" w:hAnsi="Times New Roman Regular" w:cs="Times New Roman Regular" w:hint="eastAsia"/>
                <w:sz w:val="16"/>
                <w:szCs w:val="16"/>
              </w:rPr>
            </w:pPr>
          </w:p>
        </w:tc>
      </w:tr>
      <w:tr w:rsidR="0081236B" w14:paraId="333D10A6" w14:textId="77777777">
        <w:trPr>
          <w:jc w:val="center"/>
        </w:trPr>
        <w:tc>
          <w:tcPr>
            <w:tcW w:w="0" w:type="auto"/>
            <w:gridSpan w:val="14"/>
            <w:tcBorders>
              <w:top w:val="nil"/>
              <w:left w:val="nil"/>
              <w:bottom w:val="nil"/>
              <w:right w:val="nil"/>
            </w:tcBorders>
            <w:vAlign w:val="center"/>
          </w:tcPr>
          <w:p w14:paraId="27B3AE93" w14:textId="77777777" w:rsidR="0081236B" w:rsidRDefault="0037599E">
            <w:pPr>
              <w:widowControl/>
              <w:jc w:val="left"/>
              <w:rPr>
                <w:rFonts w:ascii="Times New Roman Regular" w:hAnsi="Times New Roman Regular" w:cs="Times New Roman Regular" w:hint="eastAsia"/>
                <w:sz w:val="16"/>
                <w:szCs w:val="16"/>
              </w:rPr>
            </w:pPr>
            <w:r>
              <w:rPr>
                <w:rStyle w:val="Emphasis"/>
                <w:rFonts w:ascii="Times New Roman Regular" w:eastAsia="SimSun" w:hAnsi="Times New Roman Regular" w:cs="Times New Roman Regular"/>
                <w:kern w:val="0"/>
                <w:sz w:val="16"/>
                <w:szCs w:val="16"/>
                <w:lang w:bidi="ar"/>
              </w:rPr>
              <w:t>Note.</w:t>
            </w:r>
            <w:r>
              <w:rPr>
                <w:rFonts w:ascii="Times New Roman Regular" w:eastAsia="SimSun" w:hAnsi="Times New Roman Regular" w:cs="Times New Roman Regular"/>
                <w:kern w:val="0"/>
                <w:sz w:val="16"/>
                <w:szCs w:val="16"/>
                <w:lang w:bidi="ar"/>
              </w:rPr>
              <w:t xml:space="preserve">  The intercept model is omitted, as no meaningful information can be shown.</w:t>
            </w:r>
          </w:p>
        </w:tc>
      </w:tr>
    </w:tbl>
    <w:p w14:paraId="48B48293" w14:textId="77777777" w:rsidR="0081236B" w:rsidRDefault="0081236B">
      <w:pPr>
        <w:rPr>
          <w:rFonts w:ascii="Times New Roman Regular" w:hAnsi="Times New Roman Regular" w:hint="eastAsia"/>
          <w:sz w:val="22"/>
          <w:szCs w:val="22"/>
        </w:rPr>
      </w:pPr>
    </w:p>
    <w:p w14:paraId="50022C2D"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 xml:space="preserve">The results of the ANOVA (Analysis of Variance) for model H₁ indicate </w:t>
      </w:r>
      <w:r>
        <w:rPr>
          <w:rFonts w:ascii="Times New Roman Regular" w:hAnsi="Times New Roman Regular"/>
          <w:sz w:val="22"/>
          <w:szCs w:val="22"/>
        </w:rPr>
        <w:t>that the overall regression model is statistically significant in explaining the dependent variable, outcome (Y). The Sum of Squares for the regression is 1086.066 with degrees of freedom (df) = 4, resulting in a Mean Square of 271.517. Meanwhile, the resi</w:t>
      </w:r>
      <w:r>
        <w:rPr>
          <w:rFonts w:ascii="Times New Roman Regular" w:hAnsi="Times New Roman Regular"/>
          <w:sz w:val="22"/>
          <w:szCs w:val="22"/>
        </w:rPr>
        <w:t>dual Sum of Squares is 234.424 with df = 158, and the Mean Square error is 1.484. The total variance explained by the model is 1320.491. The F-statistic is 183.000 with a significance value of p &lt; .001, indicating that the regression model involving the va</w:t>
      </w:r>
      <w:r>
        <w:rPr>
          <w:rFonts w:ascii="Times New Roman Regular" w:hAnsi="Times New Roman Regular"/>
          <w:sz w:val="22"/>
          <w:szCs w:val="22"/>
        </w:rPr>
        <w:t>riables reaction (X₁) and learning (X₂) (mediated by behavior/Z) is statistically significant in predicting the outcome (Y). The p-value, which is much lower than 0.05, confirms that the model’s predictive ability is not due to chance but has real statisti</w:t>
      </w:r>
      <w:r>
        <w:rPr>
          <w:rFonts w:ascii="Times New Roman Regular" w:hAnsi="Times New Roman Regular"/>
          <w:sz w:val="22"/>
          <w:szCs w:val="22"/>
        </w:rPr>
        <w:t>cal strength. Therefore, the ANOVA test reinforces the previous findings that the reaction and learning variables, mediated by behavior, collectively contribute significantly to the final outcomes of the program, in accordance with the Kirkpatrick Evaluati</w:t>
      </w:r>
      <w:r>
        <w:rPr>
          <w:rFonts w:ascii="Times New Roman Regular" w:hAnsi="Times New Roman Regular"/>
          <w:sz w:val="22"/>
          <w:szCs w:val="22"/>
        </w:rPr>
        <w:t>on Model framework.</w:t>
      </w:r>
    </w:p>
    <w:p w14:paraId="7E658DF7" w14:textId="77777777" w:rsidR="0081236B" w:rsidRDefault="0081236B">
      <w:pPr>
        <w:rPr>
          <w:rFonts w:ascii="Times New Roman Regular" w:hAnsi="Times New Roman Regular" w:hint="eastAsia"/>
          <w:sz w:val="22"/>
          <w:szCs w:val="22"/>
        </w:rPr>
      </w:pPr>
    </w:p>
    <w:tbl>
      <w:tblPr>
        <w:tblW w:w="7513" w:type="dxa"/>
        <w:jc w:val="center"/>
        <w:tblBorders>
          <w:top w:val="none" w:sz="0" w:space="0" w:color="808080"/>
          <w:left w:val="none" w:sz="0" w:space="0" w:color="808080"/>
          <w:bottom w:val="none" w:sz="0" w:space="0" w:color="808080"/>
          <w:right w:val="none" w:sz="0" w:space="0" w:color="808080"/>
        </w:tblBorders>
        <w:tblCellMar>
          <w:top w:w="15" w:type="dxa"/>
          <w:left w:w="15" w:type="dxa"/>
          <w:bottom w:w="15" w:type="dxa"/>
          <w:right w:w="15" w:type="dxa"/>
        </w:tblCellMar>
        <w:tblLook w:val="04A0" w:firstRow="1" w:lastRow="0" w:firstColumn="1" w:lastColumn="0" w:noHBand="0" w:noVBand="1"/>
      </w:tblPr>
      <w:tblGrid>
        <w:gridCol w:w="428"/>
        <w:gridCol w:w="79"/>
        <w:gridCol w:w="810"/>
        <w:gridCol w:w="41"/>
        <w:gridCol w:w="1127"/>
        <w:gridCol w:w="86"/>
        <w:gridCol w:w="1087"/>
        <w:gridCol w:w="101"/>
        <w:gridCol w:w="926"/>
        <w:gridCol w:w="85"/>
        <w:gridCol w:w="532"/>
        <w:gridCol w:w="41"/>
        <w:gridCol w:w="499"/>
        <w:gridCol w:w="41"/>
        <w:gridCol w:w="746"/>
        <w:gridCol w:w="69"/>
        <w:gridCol w:w="746"/>
        <w:gridCol w:w="69"/>
      </w:tblGrid>
      <w:tr w:rsidR="0081236B" w14:paraId="50F901B6" w14:textId="77777777">
        <w:trPr>
          <w:tblHeader/>
          <w:jc w:val="center"/>
        </w:trPr>
        <w:tc>
          <w:tcPr>
            <w:tcW w:w="0" w:type="auto"/>
            <w:gridSpan w:val="18"/>
            <w:tcBorders>
              <w:top w:val="nil"/>
              <w:left w:val="nil"/>
              <w:bottom w:val="single" w:sz="8" w:space="0" w:color="000000"/>
              <w:right w:val="nil"/>
            </w:tcBorders>
            <w:vAlign w:val="center"/>
          </w:tcPr>
          <w:p w14:paraId="190431D9" w14:textId="2C0B4799" w:rsidR="0081236B" w:rsidRDefault="00C451B8">
            <w:pPr>
              <w:widowControl/>
              <w:jc w:val="left"/>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hint="eastAsia"/>
                <w:b/>
                <w:bCs/>
                <w:i/>
                <w:iCs/>
                <w:kern w:val="0"/>
                <w:sz w:val="16"/>
                <w:szCs w:val="16"/>
                <w:lang w:bidi="ar"/>
              </w:rPr>
              <w:t>T</w:t>
            </w:r>
            <w:r>
              <w:rPr>
                <w:rFonts w:ascii="Times New Roman Bold Italic" w:eastAsia="SimSun" w:hAnsi="Times New Roman Bold Italic" w:cs="Times New Roman Bold Italic"/>
                <w:b/>
                <w:bCs/>
                <w:i/>
                <w:iCs/>
                <w:kern w:val="0"/>
                <w:sz w:val="16"/>
                <w:szCs w:val="16"/>
                <w:lang w:bidi="ar"/>
              </w:rPr>
              <w:t>able 3-Coefficients</w:t>
            </w:r>
            <w:r>
              <w:rPr>
                <w:rFonts w:ascii="Times New Roman Bold Italic" w:eastAsia="SimSun" w:hAnsi="Times New Roman Bold Italic" w:cs="Times New Roman Bold Italic"/>
                <w:i/>
                <w:iCs/>
                <w:kern w:val="0"/>
                <w:sz w:val="16"/>
                <w:szCs w:val="16"/>
                <w:lang w:bidi="ar"/>
              </w:rPr>
              <w:t xml:space="preserve"> </w:t>
            </w:r>
          </w:p>
        </w:tc>
      </w:tr>
      <w:tr w:rsidR="0081236B" w14:paraId="6CFE047C" w14:textId="77777777">
        <w:trPr>
          <w:tblHeader/>
          <w:jc w:val="center"/>
        </w:trPr>
        <w:tc>
          <w:tcPr>
            <w:tcW w:w="0" w:type="auto"/>
            <w:gridSpan w:val="14"/>
            <w:tcBorders>
              <w:top w:val="nil"/>
              <w:left w:val="nil"/>
              <w:bottom w:val="nil"/>
              <w:right w:val="nil"/>
            </w:tcBorders>
            <w:vAlign w:val="center"/>
          </w:tcPr>
          <w:p w14:paraId="7BC37F93" w14:textId="77777777" w:rsidR="0081236B" w:rsidRDefault="0081236B">
            <w:pPr>
              <w:jc w:val="center"/>
              <w:rPr>
                <w:rFonts w:ascii="Times New Roman Bold Italic" w:hAnsi="Times New Roman Bold Italic" w:cs="Times New Roman Bold Italic" w:hint="eastAsia"/>
                <w:i/>
                <w:iCs/>
                <w:sz w:val="16"/>
                <w:szCs w:val="16"/>
              </w:rPr>
            </w:pPr>
          </w:p>
        </w:tc>
        <w:tc>
          <w:tcPr>
            <w:tcW w:w="0" w:type="auto"/>
            <w:gridSpan w:val="4"/>
            <w:tcBorders>
              <w:top w:val="nil"/>
              <w:left w:val="nil"/>
              <w:bottom w:val="single" w:sz="8" w:space="0" w:color="000000"/>
              <w:right w:val="nil"/>
            </w:tcBorders>
            <w:vAlign w:val="center"/>
          </w:tcPr>
          <w:p w14:paraId="16023027"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Collinearity Statistics</w:t>
            </w:r>
          </w:p>
        </w:tc>
      </w:tr>
      <w:tr w:rsidR="0081236B" w14:paraId="1550273D" w14:textId="77777777">
        <w:trPr>
          <w:tblHeader/>
          <w:jc w:val="center"/>
        </w:trPr>
        <w:tc>
          <w:tcPr>
            <w:tcW w:w="0" w:type="auto"/>
            <w:gridSpan w:val="2"/>
            <w:tcBorders>
              <w:top w:val="nil"/>
              <w:left w:val="nil"/>
              <w:bottom w:val="single" w:sz="8" w:space="0" w:color="000000"/>
              <w:right w:val="nil"/>
            </w:tcBorders>
            <w:vAlign w:val="center"/>
          </w:tcPr>
          <w:p w14:paraId="67FEEB5A"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Model</w:t>
            </w:r>
          </w:p>
        </w:tc>
        <w:tc>
          <w:tcPr>
            <w:tcW w:w="0" w:type="auto"/>
            <w:gridSpan w:val="2"/>
            <w:tcBorders>
              <w:top w:val="nil"/>
              <w:left w:val="nil"/>
              <w:bottom w:val="single" w:sz="8" w:space="0" w:color="000000"/>
              <w:right w:val="nil"/>
            </w:tcBorders>
            <w:vAlign w:val="center"/>
          </w:tcPr>
          <w:p w14:paraId="3997C186"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 </w:t>
            </w:r>
          </w:p>
        </w:tc>
        <w:tc>
          <w:tcPr>
            <w:tcW w:w="0" w:type="auto"/>
            <w:gridSpan w:val="2"/>
            <w:tcBorders>
              <w:top w:val="nil"/>
              <w:left w:val="nil"/>
              <w:bottom w:val="single" w:sz="8" w:space="0" w:color="000000"/>
              <w:right w:val="nil"/>
            </w:tcBorders>
            <w:vAlign w:val="center"/>
          </w:tcPr>
          <w:p w14:paraId="0DE805C1"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Unstandardized</w:t>
            </w:r>
          </w:p>
        </w:tc>
        <w:tc>
          <w:tcPr>
            <w:tcW w:w="0" w:type="auto"/>
            <w:gridSpan w:val="2"/>
            <w:tcBorders>
              <w:top w:val="nil"/>
              <w:left w:val="nil"/>
              <w:bottom w:val="single" w:sz="8" w:space="0" w:color="000000"/>
              <w:right w:val="nil"/>
            </w:tcBorders>
            <w:vAlign w:val="center"/>
          </w:tcPr>
          <w:p w14:paraId="193168F3"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Standard Error</w:t>
            </w:r>
          </w:p>
        </w:tc>
        <w:tc>
          <w:tcPr>
            <w:tcW w:w="0" w:type="auto"/>
            <w:gridSpan w:val="2"/>
            <w:tcBorders>
              <w:top w:val="nil"/>
              <w:left w:val="nil"/>
              <w:bottom w:val="single" w:sz="8" w:space="0" w:color="000000"/>
              <w:right w:val="nil"/>
            </w:tcBorders>
            <w:vAlign w:val="center"/>
          </w:tcPr>
          <w:p w14:paraId="1793EFB9"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Standardized</w:t>
            </w:r>
          </w:p>
        </w:tc>
        <w:tc>
          <w:tcPr>
            <w:tcW w:w="0" w:type="auto"/>
            <w:gridSpan w:val="2"/>
            <w:tcBorders>
              <w:top w:val="nil"/>
              <w:left w:val="nil"/>
              <w:bottom w:val="single" w:sz="8" w:space="0" w:color="000000"/>
              <w:right w:val="nil"/>
            </w:tcBorders>
            <w:vAlign w:val="center"/>
          </w:tcPr>
          <w:p w14:paraId="21603D96"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t</w:t>
            </w:r>
          </w:p>
        </w:tc>
        <w:tc>
          <w:tcPr>
            <w:tcW w:w="0" w:type="auto"/>
            <w:gridSpan w:val="2"/>
            <w:tcBorders>
              <w:top w:val="nil"/>
              <w:left w:val="nil"/>
              <w:bottom w:val="single" w:sz="8" w:space="0" w:color="000000"/>
              <w:right w:val="nil"/>
            </w:tcBorders>
            <w:vAlign w:val="center"/>
          </w:tcPr>
          <w:p w14:paraId="042771DF"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p</w:t>
            </w:r>
          </w:p>
        </w:tc>
        <w:tc>
          <w:tcPr>
            <w:tcW w:w="0" w:type="auto"/>
            <w:gridSpan w:val="2"/>
            <w:tcBorders>
              <w:top w:val="nil"/>
              <w:left w:val="nil"/>
              <w:bottom w:val="single" w:sz="8" w:space="0" w:color="000000"/>
              <w:right w:val="nil"/>
            </w:tcBorders>
            <w:vAlign w:val="center"/>
          </w:tcPr>
          <w:p w14:paraId="78482B56"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Tolerance</w:t>
            </w:r>
          </w:p>
        </w:tc>
        <w:tc>
          <w:tcPr>
            <w:tcW w:w="0" w:type="auto"/>
            <w:gridSpan w:val="2"/>
            <w:tcBorders>
              <w:top w:val="nil"/>
              <w:left w:val="nil"/>
              <w:bottom w:val="single" w:sz="8" w:space="0" w:color="000000"/>
              <w:right w:val="nil"/>
            </w:tcBorders>
            <w:vAlign w:val="center"/>
          </w:tcPr>
          <w:p w14:paraId="03B36C58" w14:textId="77777777" w:rsidR="0081236B" w:rsidRDefault="0037599E">
            <w:pPr>
              <w:widowControl/>
              <w:jc w:val="center"/>
              <w:rPr>
                <w:rFonts w:ascii="Times New Roman Bold Italic" w:hAnsi="Times New Roman Bold Italic" w:cs="Times New Roman Bold Italic" w:hint="eastAsia"/>
                <w:i/>
                <w:iCs/>
                <w:sz w:val="16"/>
                <w:szCs w:val="16"/>
              </w:rPr>
            </w:pPr>
            <w:r>
              <w:rPr>
                <w:rFonts w:ascii="Times New Roman Bold Italic" w:eastAsia="SimSun" w:hAnsi="Times New Roman Bold Italic" w:cs="Times New Roman Bold Italic"/>
                <w:i/>
                <w:iCs/>
                <w:kern w:val="0"/>
                <w:sz w:val="16"/>
                <w:szCs w:val="16"/>
                <w:lang w:bidi="ar"/>
              </w:rPr>
              <w:t>VIF</w:t>
            </w:r>
          </w:p>
        </w:tc>
      </w:tr>
      <w:tr w:rsidR="0081236B" w14:paraId="3017D0AC" w14:textId="77777777">
        <w:trPr>
          <w:jc w:val="center"/>
        </w:trPr>
        <w:tc>
          <w:tcPr>
            <w:tcW w:w="0" w:type="auto"/>
            <w:tcBorders>
              <w:top w:val="nil"/>
              <w:left w:val="nil"/>
              <w:bottom w:val="nil"/>
              <w:right w:val="nil"/>
            </w:tcBorders>
            <w:vAlign w:val="center"/>
          </w:tcPr>
          <w:p w14:paraId="3EFE1CA3"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H₀</w:t>
            </w:r>
          </w:p>
        </w:tc>
        <w:tc>
          <w:tcPr>
            <w:tcW w:w="0" w:type="auto"/>
            <w:tcBorders>
              <w:top w:val="nil"/>
              <w:left w:val="nil"/>
              <w:bottom w:val="nil"/>
              <w:right w:val="nil"/>
            </w:tcBorders>
            <w:vAlign w:val="center"/>
          </w:tcPr>
          <w:p w14:paraId="359D6C03"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73457DE9" w14:textId="77777777" w:rsidR="0081236B" w:rsidRDefault="0037599E">
            <w:pPr>
              <w:widowControl/>
              <w:jc w:val="left"/>
              <w:rPr>
                <w:rFonts w:ascii="Times New Roman Italic" w:hAnsi="Times New Roman Italic" w:cs="Times New Roman Italic" w:hint="eastAsia"/>
                <w:i/>
                <w:iCs/>
                <w:sz w:val="16"/>
                <w:szCs w:val="16"/>
              </w:rPr>
            </w:pPr>
            <w:r>
              <w:rPr>
                <w:rFonts w:ascii="Times New Roman Italic" w:eastAsia="SimSun" w:hAnsi="Times New Roman Italic" w:cs="Times New Roman Italic"/>
                <w:i/>
                <w:iCs/>
                <w:kern w:val="0"/>
                <w:sz w:val="16"/>
                <w:szCs w:val="16"/>
                <w:lang w:bidi="ar"/>
              </w:rPr>
              <w:t>(Intercept)</w:t>
            </w:r>
          </w:p>
        </w:tc>
        <w:tc>
          <w:tcPr>
            <w:tcW w:w="0" w:type="auto"/>
            <w:tcBorders>
              <w:top w:val="nil"/>
              <w:left w:val="nil"/>
              <w:bottom w:val="nil"/>
              <w:right w:val="nil"/>
            </w:tcBorders>
            <w:vAlign w:val="center"/>
          </w:tcPr>
          <w:p w14:paraId="4BFC5725"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AA7F7E4"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17.460</w:t>
            </w:r>
          </w:p>
        </w:tc>
        <w:tc>
          <w:tcPr>
            <w:tcW w:w="0" w:type="auto"/>
            <w:tcBorders>
              <w:top w:val="nil"/>
              <w:left w:val="nil"/>
              <w:bottom w:val="nil"/>
              <w:right w:val="nil"/>
            </w:tcBorders>
            <w:vAlign w:val="center"/>
          </w:tcPr>
          <w:p w14:paraId="08DDAA51"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3ADB99A7"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0.224</w:t>
            </w:r>
          </w:p>
        </w:tc>
        <w:tc>
          <w:tcPr>
            <w:tcW w:w="0" w:type="auto"/>
            <w:tcBorders>
              <w:top w:val="nil"/>
              <w:left w:val="nil"/>
              <w:bottom w:val="nil"/>
              <w:right w:val="nil"/>
            </w:tcBorders>
            <w:vAlign w:val="center"/>
          </w:tcPr>
          <w:p w14:paraId="15A2664D"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123B4828"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074BD225"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02C97DFB"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78.078</w:t>
            </w:r>
          </w:p>
        </w:tc>
        <w:tc>
          <w:tcPr>
            <w:tcW w:w="0" w:type="auto"/>
            <w:tcBorders>
              <w:top w:val="nil"/>
              <w:left w:val="nil"/>
              <w:bottom w:val="nil"/>
              <w:right w:val="nil"/>
            </w:tcBorders>
            <w:vAlign w:val="center"/>
          </w:tcPr>
          <w:p w14:paraId="06F2C3EE"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A53285A"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&lt; .001</w:t>
            </w:r>
          </w:p>
        </w:tc>
        <w:tc>
          <w:tcPr>
            <w:tcW w:w="0" w:type="auto"/>
            <w:tcBorders>
              <w:top w:val="nil"/>
              <w:left w:val="nil"/>
              <w:bottom w:val="nil"/>
              <w:right w:val="nil"/>
            </w:tcBorders>
            <w:vAlign w:val="center"/>
          </w:tcPr>
          <w:p w14:paraId="533FD994"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38AEC00"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138CAD72"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16E6A20B"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8E3393E" w14:textId="77777777" w:rsidR="0081236B" w:rsidRDefault="0081236B">
            <w:pPr>
              <w:jc w:val="left"/>
              <w:rPr>
                <w:rFonts w:ascii="Times New Roman Regular" w:hAnsi="Times New Roman Regular" w:cs="Times New Roman Regular" w:hint="eastAsia"/>
                <w:sz w:val="16"/>
                <w:szCs w:val="16"/>
              </w:rPr>
            </w:pPr>
          </w:p>
        </w:tc>
      </w:tr>
      <w:tr w:rsidR="0081236B" w14:paraId="483E935D" w14:textId="77777777">
        <w:trPr>
          <w:jc w:val="center"/>
        </w:trPr>
        <w:tc>
          <w:tcPr>
            <w:tcW w:w="0" w:type="auto"/>
            <w:tcBorders>
              <w:top w:val="nil"/>
              <w:left w:val="nil"/>
              <w:bottom w:val="nil"/>
              <w:right w:val="nil"/>
            </w:tcBorders>
            <w:vAlign w:val="center"/>
          </w:tcPr>
          <w:p w14:paraId="1CAD2576"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H₁</w:t>
            </w:r>
          </w:p>
        </w:tc>
        <w:tc>
          <w:tcPr>
            <w:tcW w:w="0" w:type="auto"/>
            <w:tcBorders>
              <w:top w:val="nil"/>
              <w:left w:val="nil"/>
              <w:bottom w:val="nil"/>
              <w:right w:val="nil"/>
            </w:tcBorders>
            <w:vAlign w:val="center"/>
          </w:tcPr>
          <w:p w14:paraId="3982E494"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D87CAE5" w14:textId="77777777" w:rsidR="0081236B" w:rsidRDefault="0037599E">
            <w:pPr>
              <w:widowControl/>
              <w:jc w:val="left"/>
              <w:rPr>
                <w:rFonts w:ascii="Times New Roman Italic" w:hAnsi="Times New Roman Italic" w:cs="Times New Roman Italic" w:hint="eastAsia"/>
                <w:i/>
                <w:iCs/>
                <w:sz w:val="16"/>
                <w:szCs w:val="16"/>
              </w:rPr>
            </w:pPr>
            <w:r>
              <w:rPr>
                <w:rFonts w:ascii="Times New Roman Italic" w:eastAsia="SimSun" w:hAnsi="Times New Roman Italic" w:cs="Times New Roman Italic"/>
                <w:i/>
                <w:iCs/>
                <w:kern w:val="0"/>
                <w:sz w:val="16"/>
                <w:szCs w:val="16"/>
                <w:lang w:bidi="ar"/>
              </w:rPr>
              <w:t>(Intercept)</w:t>
            </w:r>
          </w:p>
        </w:tc>
        <w:tc>
          <w:tcPr>
            <w:tcW w:w="0" w:type="auto"/>
            <w:tcBorders>
              <w:top w:val="nil"/>
              <w:left w:val="nil"/>
              <w:bottom w:val="nil"/>
              <w:right w:val="nil"/>
            </w:tcBorders>
            <w:vAlign w:val="center"/>
          </w:tcPr>
          <w:p w14:paraId="0D7F97D3"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72F02B07"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2.013</w:t>
            </w:r>
          </w:p>
        </w:tc>
        <w:tc>
          <w:tcPr>
            <w:tcW w:w="0" w:type="auto"/>
            <w:tcBorders>
              <w:top w:val="nil"/>
              <w:left w:val="nil"/>
              <w:bottom w:val="nil"/>
              <w:right w:val="nil"/>
            </w:tcBorders>
            <w:vAlign w:val="center"/>
          </w:tcPr>
          <w:p w14:paraId="02AFA04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6A4C3FF"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0.660</w:t>
            </w:r>
          </w:p>
        </w:tc>
        <w:tc>
          <w:tcPr>
            <w:tcW w:w="0" w:type="auto"/>
            <w:tcBorders>
              <w:top w:val="nil"/>
              <w:left w:val="nil"/>
              <w:bottom w:val="nil"/>
              <w:right w:val="nil"/>
            </w:tcBorders>
            <w:vAlign w:val="center"/>
          </w:tcPr>
          <w:p w14:paraId="19FFDF50"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0826CA18"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323BFE0"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1D84E751"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3.052</w:t>
            </w:r>
          </w:p>
        </w:tc>
        <w:tc>
          <w:tcPr>
            <w:tcW w:w="0" w:type="auto"/>
            <w:tcBorders>
              <w:top w:val="nil"/>
              <w:left w:val="nil"/>
              <w:bottom w:val="nil"/>
              <w:right w:val="nil"/>
            </w:tcBorders>
            <w:vAlign w:val="center"/>
          </w:tcPr>
          <w:p w14:paraId="0EAADA55"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4B86A26E"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0.003</w:t>
            </w:r>
          </w:p>
        </w:tc>
        <w:tc>
          <w:tcPr>
            <w:tcW w:w="0" w:type="auto"/>
            <w:tcBorders>
              <w:top w:val="nil"/>
              <w:left w:val="nil"/>
              <w:bottom w:val="nil"/>
              <w:right w:val="nil"/>
            </w:tcBorders>
            <w:vAlign w:val="center"/>
          </w:tcPr>
          <w:p w14:paraId="07122E9B"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F929F36"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16F2CF95"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7C124F5B" w14:textId="77777777" w:rsidR="0081236B" w:rsidRDefault="0081236B">
            <w:pPr>
              <w:jc w:val="righ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657B5A28" w14:textId="77777777" w:rsidR="0081236B" w:rsidRDefault="0081236B">
            <w:pPr>
              <w:jc w:val="left"/>
              <w:rPr>
                <w:rFonts w:ascii="Times New Roman Regular" w:hAnsi="Times New Roman Regular" w:cs="Times New Roman Regular" w:hint="eastAsia"/>
                <w:sz w:val="16"/>
                <w:szCs w:val="16"/>
              </w:rPr>
            </w:pPr>
          </w:p>
        </w:tc>
      </w:tr>
      <w:tr w:rsidR="0081236B" w14:paraId="5D59CEC0" w14:textId="77777777">
        <w:trPr>
          <w:jc w:val="center"/>
        </w:trPr>
        <w:tc>
          <w:tcPr>
            <w:tcW w:w="0" w:type="auto"/>
            <w:tcBorders>
              <w:top w:val="nil"/>
              <w:left w:val="nil"/>
              <w:bottom w:val="nil"/>
              <w:right w:val="nil"/>
            </w:tcBorders>
            <w:vAlign w:val="center"/>
          </w:tcPr>
          <w:p w14:paraId="23A820AB"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03F9F75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792BFCA"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X1</w:t>
            </w:r>
          </w:p>
        </w:tc>
        <w:tc>
          <w:tcPr>
            <w:tcW w:w="0" w:type="auto"/>
            <w:tcBorders>
              <w:top w:val="nil"/>
              <w:left w:val="nil"/>
              <w:bottom w:val="nil"/>
              <w:right w:val="nil"/>
            </w:tcBorders>
            <w:vAlign w:val="center"/>
          </w:tcPr>
          <w:p w14:paraId="43D4738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48612FBA"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0.174</w:t>
            </w:r>
          </w:p>
        </w:tc>
        <w:tc>
          <w:tcPr>
            <w:tcW w:w="0" w:type="auto"/>
            <w:tcBorders>
              <w:top w:val="nil"/>
              <w:left w:val="nil"/>
              <w:bottom w:val="nil"/>
              <w:right w:val="nil"/>
            </w:tcBorders>
            <w:vAlign w:val="center"/>
          </w:tcPr>
          <w:p w14:paraId="5370CE0F"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99DE6F9"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0.065</w:t>
            </w:r>
          </w:p>
        </w:tc>
        <w:tc>
          <w:tcPr>
            <w:tcW w:w="0" w:type="auto"/>
            <w:tcBorders>
              <w:top w:val="nil"/>
              <w:left w:val="nil"/>
              <w:bottom w:val="nil"/>
              <w:right w:val="nil"/>
            </w:tcBorders>
            <w:vAlign w:val="center"/>
          </w:tcPr>
          <w:p w14:paraId="29B2A9E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462D261D"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0.207</w:t>
            </w:r>
          </w:p>
        </w:tc>
        <w:tc>
          <w:tcPr>
            <w:tcW w:w="0" w:type="auto"/>
            <w:tcBorders>
              <w:top w:val="nil"/>
              <w:left w:val="nil"/>
              <w:bottom w:val="nil"/>
              <w:right w:val="nil"/>
            </w:tcBorders>
            <w:vAlign w:val="center"/>
          </w:tcPr>
          <w:p w14:paraId="4D1BF18A"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440E0E27"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2.660</w:t>
            </w:r>
          </w:p>
        </w:tc>
        <w:tc>
          <w:tcPr>
            <w:tcW w:w="0" w:type="auto"/>
            <w:tcBorders>
              <w:top w:val="nil"/>
              <w:left w:val="nil"/>
              <w:bottom w:val="nil"/>
              <w:right w:val="nil"/>
            </w:tcBorders>
            <w:vAlign w:val="center"/>
          </w:tcPr>
          <w:p w14:paraId="6A41D1E5"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CC2E5"/>
            <w:vAlign w:val="center"/>
          </w:tcPr>
          <w:p w14:paraId="7A1E3553"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0.009</w:t>
            </w:r>
          </w:p>
        </w:tc>
        <w:tc>
          <w:tcPr>
            <w:tcW w:w="0" w:type="auto"/>
            <w:tcBorders>
              <w:top w:val="nil"/>
              <w:left w:val="nil"/>
              <w:bottom w:val="nil"/>
              <w:right w:val="nil"/>
            </w:tcBorders>
            <w:vAlign w:val="center"/>
          </w:tcPr>
          <w:p w14:paraId="73F0AA02"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72B70E7A"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0.185</w:t>
            </w:r>
          </w:p>
        </w:tc>
        <w:tc>
          <w:tcPr>
            <w:tcW w:w="0" w:type="auto"/>
            <w:tcBorders>
              <w:top w:val="nil"/>
              <w:left w:val="nil"/>
              <w:bottom w:val="nil"/>
              <w:right w:val="nil"/>
            </w:tcBorders>
            <w:vAlign w:val="center"/>
          </w:tcPr>
          <w:p w14:paraId="73B352FB"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2D050"/>
            <w:vAlign w:val="center"/>
          </w:tcPr>
          <w:p w14:paraId="41836058"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5.406</w:t>
            </w:r>
          </w:p>
        </w:tc>
        <w:tc>
          <w:tcPr>
            <w:tcW w:w="0" w:type="auto"/>
            <w:tcBorders>
              <w:top w:val="nil"/>
              <w:left w:val="nil"/>
              <w:bottom w:val="nil"/>
              <w:right w:val="nil"/>
            </w:tcBorders>
            <w:vAlign w:val="center"/>
          </w:tcPr>
          <w:p w14:paraId="6813DEDE" w14:textId="77777777" w:rsidR="0081236B" w:rsidRDefault="0081236B">
            <w:pPr>
              <w:jc w:val="left"/>
              <w:rPr>
                <w:rFonts w:ascii="Times New Roman Regular" w:hAnsi="Times New Roman Regular" w:cs="Times New Roman Regular" w:hint="eastAsia"/>
                <w:sz w:val="16"/>
                <w:szCs w:val="16"/>
              </w:rPr>
            </w:pPr>
          </w:p>
        </w:tc>
      </w:tr>
      <w:tr w:rsidR="0081236B" w14:paraId="703D58FC" w14:textId="77777777">
        <w:trPr>
          <w:jc w:val="center"/>
        </w:trPr>
        <w:tc>
          <w:tcPr>
            <w:tcW w:w="0" w:type="auto"/>
            <w:tcBorders>
              <w:top w:val="nil"/>
              <w:left w:val="nil"/>
              <w:bottom w:val="nil"/>
              <w:right w:val="nil"/>
            </w:tcBorders>
            <w:vAlign w:val="center"/>
          </w:tcPr>
          <w:p w14:paraId="595D8F5D"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7551C70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D4DA5D2"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xml:space="preserve">X2 </w:t>
            </w:r>
          </w:p>
        </w:tc>
        <w:tc>
          <w:tcPr>
            <w:tcW w:w="0" w:type="auto"/>
            <w:tcBorders>
              <w:top w:val="nil"/>
              <w:left w:val="nil"/>
              <w:bottom w:val="nil"/>
              <w:right w:val="nil"/>
            </w:tcBorders>
            <w:vAlign w:val="center"/>
          </w:tcPr>
          <w:p w14:paraId="06DF4561"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3E7556C8"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0.317</w:t>
            </w:r>
          </w:p>
        </w:tc>
        <w:tc>
          <w:tcPr>
            <w:tcW w:w="0" w:type="auto"/>
            <w:tcBorders>
              <w:top w:val="nil"/>
              <w:left w:val="nil"/>
              <w:bottom w:val="nil"/>
              <w:right w:val="nil"/>
            </w:tcBorders>
            <w:vAlign w:val="center"/>
          </w:tcPr>
          <w:p w14:paraId="368F0781"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81FB954"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0.064</w:t>
            </w:r>
          </w:p>
        </w:tc>
        <w:tc>
          <w:tcPr>
            <w:tcW w:w="0" w:type="auto"/>
            <w:tcBorders>
              <w:top w:val="nil"/>
              <w:left w:val="nil"/>
              <w:bottom w:val="nil"/>
              <w:right w:val="nil"/>
            </w:tcBorders>
            <w:vAlign w:val="center"/>
          </w:tcPr>
          <w:p w14:paraId="6415A0B5"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2CC32DC0"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0.337</w:t>
            </w:r>
          </w:p>
        </w:tc>
        <w:tc>
          <w:tcPr>
            <w:tcW w:w="0" w:type="auto"/>
            <w:tcBorders>
              <w:top w:val="nil"/>
              <w:left w:val="nil"/>
              <w:bottom w:val="nil"/>
              <w:right w:val="nil"/>
            </w:tcBorders>
            <w:vAlign w:val="center"/>
          </w:tcPr>
          <w:p w14:paraId="56BEEB1A"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754E21CE"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4.978</w:t>
            </w:r>
          </w:p>
        </w:tc>
        <w:tc>
          <w:tcPr>
            <w:tcW w:w="0" w:type="auto"/>
            <w:tcBorders>
              <w:top w:val="nil"/>
              <w:left w:val="nil"/>
              <w:bottom w:val="nil"/>
              <w:right w:val="nil"/>
            </w:tcBorders>
            <w:vAlign w:val="center"/>
          </w:tcPr>
          <w:p w14:paraId="5173C21D"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CC2E5"/>
            <w:vAlign w:val="center"/>
          </w:tcPr>
          <w:p w14:paraId="60EAAA20"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&lt; .001</w:t>
            </w:r>
          </w:p>
        </w:tc>
        <w:tc>
          <w:tcPr>
            <w:tcW w:w="0" w:type="auto"/>
            <w:tcBorders>
              <w:top w:val="nil"/>
              <w:left w:val="nil"/>
              <w:bottom w:val="nil"/>
              <w:right w:val="nil"/>
            </w:tcBorders>
            <w:vAlign w:val="center"/>
          </w:tcPr>
          <w:p w14:paraId="258D746E"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3EB85B88"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0.245</w:t>
            </w:r>
          </w:p>
        </w:tc>
        <w:tc>
          <w:tcPr>
            <w:tcW w:w="0" w:type="auto"/>
            <w:tcBorders>
              <w:top w:val="nil"/>
              <w:left w:val="nil"/>
              <w:bottom w:val="nil"/>
              <w:right w:val="nil"/>
            </w:tcBorders>
            <w:vAlign w:val="center"/>
          </w:tcPr>
          <w:p w14:paraId="419C3364"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2D050"/>
            <w:vAlign w:val="center"/>
          </w:tcPr>
          <w:p w14:paraId="206C6C01"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4.076</w:t>
            </w:r>
          </w:p>
        </w:tc>
        <w:tc>
          <w:tcPr>
            <w:tcW w:w="0" w:type="auto"/>
            <w:tcBorders>
              <w:top w:val="nil"/>
              <w:left w:val="nil"/>
              <w:bottom w:val="nil"/>
              <w:right w:val="nil"/>
            </w:tcBorders>
            <w:vAlign w:val="center"/>
          </w:tcPr>
          <w:p w14:paraId="7A7832AF" w14:textId="77777777" w:rsidR="0081236B" w:rsidRDefault="0081236B">
            <w:pPr>
              <w:jc w:val="left"/>
              <w:rPr>
                <w:rFonts w:ascii="Times New Roman Regular" w:hAnsi="Times New Roman Regular" w:cs="Times New Roman Regular" w:hint="eastAsia"/>
                <w:sz w:val="16"/>
                <w:szCs w:val="16"/>
              </w:rPr>
            </w:pPr>
          </w:p>
        </w:tc>
      </w:tr>
      <w:tr w:rsidR="0081236B" w14:paraId="6D0CAA7F" w14:textId="77777777">
        <w:trPr>
          <w:jc w:val="center"/>
        </w:trPr>
        <w:tc>
          <w:tcPr>
            <w:tcW w:w="0" w:type="auto"/>
            <w:tcBorders>
              <w:top w:val="nil"/>
              <w:left w:val="nil"/>
              <w:bottom w:val="nil"/>
              <w:right w:val="nil"/>
            </w:tcBorders>
            <w:vAlign w:val="center"/>
          </w:tcPr>
          <w:p w14:paraId="7C8BADA9"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 </w:t>
            </w:r>
          </w:p>
        </w:tc>
        <w:tc>
          <w:tcPr>
            <w:tcW w:w="0" w:type="auto"/>
            <w:tcBorders>
              <w:top w:val="nil"/>
              <w:left w:val="nil"/>
              <w:bottom w:val="nil"/>
              <w:right w:val="nil"/>
            </w:tcBorders>
            <w:vAlign w:val="center"/>
          </w:tcPr>
          <w:p w14:paraId="15921ED0"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21B4D320" w14:textId="77777777" w:rsidR="0081236B" w:rsidRDefault="0037599E">
            <w:pPr>
              <w:widowControl/>
              <w:jc w:val="left"/>
              <w:rPr>
                <w:rFonts w:ascii="Times New Roman Regular" w:hAnsi="Times New Roman Regular" w:cs="Times New Roman Regular" w:hint="eastAsia"/>
                <w:sz w:val="16"/>
                <w:szCs w:val="16"/>
              </w:rPr>
            </w:pPr>
            <w:r>
              <w:rPr>
                <w:rFonts w:ascii="Times New Roman Regular" w:hAnsi="Times New Roman Regular" w:cs="Times New Roman Regular"/>
                <w:sz w:val="16"/>
                <w:szCs w:val="16"/>
              </w:rPr>
              <w:t>Z</w:t>
            </w:r>
          </w:p>
        </w:tc>
        <w:tc>
          <w:tcPr>
            <w:tcW w:w="0" w:type="auto"/>
            <w:tcBorders>
              <w:top w:val="nil"/>
              <w:left w:val="nil"/>
              <w:bottom w:val="nil"/>
              <w:right w:val="nil"/>
            </w:tcBorders>
            <w:vAlign w:val="center"/>
          </w:tcPr>
          <w:p w14:paraId="311449FE"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7267672B"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0.355</w:t>
            </w:r>
          </w:p>
        </w:tc>
        <w:tc>
          <w:tcPr>
            <w:tcW w:w="0" w:type="auto"/>
            <w:tcBorders>
              <w:top w:val="nil"/>
              <w:left w:val="nil"/>
              <w:bottom w:val="nil"/>
              <w:right w:val="nil"/>
            </w:tcBorders>
            <w:vAlign w:val="center"/>
          </w:tcPr>
          <w:p w14:paraId="03EDCAEB"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548E5B3B"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0.060</w:t>
            </w:r>
          </w:p>
        </w:tc>
        <w:tc>
          <w:tcPr>
            <w:tcW w:w="0" w:type="auto"/>
            <w:tcBorders>
              <w:top w:val="nil"/>
              <w:left w:val="nil"/>
              <w:bottom w:val="nil"/>
              <w:right w:val="nil"/>
            </w:tcBorders>
            <w:vAlign w:val="center"/>
          </w:tcPr>
          <w:p w14:paraId="744ED9AC"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FFFF00"/>
            <w:vAlign w:val="center"/>
          </w:tcPr>
          <w:p w14:paraId="10018343"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0.422</w:t>
            </w:r>
          </w:p>
        </w:tc>
        <w:tc>
          <w:tcPr>
            <w:tcW w:w="0" w:type="auto"/>
            <w:tcBorders>
              <w:top w:val="nil"/>
              <w:left w:val="nil"/>
              <w:bottom w:val="nil"/>
              <w:right w:val="nil"/>
            </w:tcBorders>
            <w:vAlign w:val="center"/>
          </w:tcPr>
          <w:p w14:paraId="25156AD9"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41B0C193"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5.868</w:t>
            </w:r>
          </w:p>
        </w:tc>
        <w:tc>
          <w:tcPr>
            <w:tcW w:w="0" w:type="auto"/>
            <w:tcBorders>
              <w:top w:val="nil"/>
              <w:left w:val="nil"/>
              <w:bottom w:val="nil"/>
              <w:right w:val="nil"/>
            </w:tcBorders>
            <w:vAlign w:val="center"/>
          </w:tcPr>
          <w:p w14:paraId="34FF0DD4"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CC2E5"/>
            <w:vAlign w:val="center"/>
          </w:tcPr>
          <w:p w14:paraId="37C2474C"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&lt; .001</w:t>
            </w:r>
          </w:p>
        </w:tc>
        <w:tc>
          <w:tcPr>
            <w:tcW w:w="0" w:type="auto"/>
            <w:tcBorders>
              <w:top w:val="nil"/>
              <w:left w:val="nil"/>
              <w:bottom w:val="nil"/>
              <w:right w:val="nil"/>
            </w:tcBorders>
            <w:vAlign w:val="center"/>
          </w:tcPr>
          <w:p w14:paraId="3335FAD0"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vAlign w:val="center"/>
          </w:tcPr>
          <w:p w14:paraId="38E3CCFD"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0.217</w:t>
            </w:r>
          </w:p>
        </w:tc>
        <w:tc>
          <w:tcPr>
            <w:tcW w:w="0" w:type="auto"/>
            <w:tcBorders>
              <w:top w:val="nil"/>
              <w:left w:val="nil"/>
              <w:bottom w:val="nil"/>
              <w:right w:val="nil"/>
            </w:tcBorders>
            <w:vAlign w:val="center"/>
          </w:tcPr>
          <w:p w14:paraId="163BCE12" w14:textId="77777777" w:rsidR="0081236B" w:rsidRDefault="0081236B">
            <w:pPr>
              <w:jc w:val="left"/>
              <w:rPr>
                <w:rFonts w:ascii="Times New Roman Regular" w:hAnsi="Times New Roman Regular" w:cs="Times New Roman Regular" w:hint="eastAsia"/>
                <w:sz w:val="16"/>
                <w:szCs w:val="16"/>
              </w:rPr>
            </w:pPr>
          </w:p>
        </w:tc>
        <w:tc>
          <w:tcPr>
            <w:tcW w:w="0" w:type="auto"/>
            <w:tcBorders>
              <w:top w:val="nil"/>
              <w:left w:val="nil"/>
              <w:bottom w:val="nil"/>
              <w:right w:val="nil"/>
            </w:tcBorders>
            <w:shd w:val="clear" w:color="auto" w:fill="92D050"/>
            <w:vAlign w:val="center"/>
          </w:tcPr>
          <w:p w14:paraId="0F5D38F2" w14:textId="77777777" w:rsidR="0081236B" w:rsidRDefault="0037599E">
            <w:pPr>
              <w:widowControl/>
              <w:jc w:val="right"/>
              <w:rPr>
                <w:rFonts w:ascii="Times New Roman Regular" w:hAnsi="Times New Roman Regular" w:cs="Times New Roman Regular" w:hint="eastAsia"/>
                <w:sz w:val="16"/>
                <w:szCs w:val="16"/>
              </w:rPr>
            </w:pPr>
            <w:r>
              <w:rPr>
                <w:rFonts w:ascii="Times New Roman Regular" w:eastAsia="SimSun" w:hAnsi="Times New Roman Regular" w:cs="Times New Roman Regular"/>
                <w:kern w:val="0"/>
                <w:sz w:val="16"/>
                <w:szCs w:val="16"/>
                <w:lang w:bidi="ar"/>
              </w:rPr>
              <w:t>4.613</w:t>
            </w:r>
          </w:p>
        </w:tc>
        <w:tc>
          <w:tcPr>
            <w:tcW w:w="0" w:type="auto"/>
            <w:tcBorders>
              <w:top w:val="nil"/>
              <w:left w:val="nil"/>
              <w:bottom w:val="nil"/>
              <w:right w:val="nil"/>
            </w:tcBorders>
            <w:vAlign w:val="center"/>
          </w:tcPr>
          <w:p w14:paraId="065E5C6E" w14:textId="77777777" w:rsidR="0081236B" w:rsidRDefault="0081236B">
            <w:pPr>
              <w:jc w:val="left"/>
              <w:rPr>
                <w:rFonts w:ascii="Times New Roman Regular" w:hAnsi="Times New Roman Regular" w:cs="Times New Roman Regular" w:hint="eastAsia"/>
                <w:sz w:val="16"/>
                <w:szCs w:val="16"/>
              </w:rPr>
            </w:pPr>
          </w:p>
        </w:tc>
      </w:tr>
      <w:tr w:rsidR="0081236B" w14:paraId="01556BEA" w14:textId="77777777">
        <w:trPr>
          <w:jc w:val="center"/>
        </w:trPr>
        <w:tc>
          <w:tcPr>
            <w:tcW w:w="0" w:type="auto"/>
            <w:gridSpan w:val="18"/>
            <w:tcBorders>
              <w:top w:val="nil"/>
              <w:left w:val="nil"/>
              <w:bottom w:val="single" w:sz="18" w:space="0" w:color="000000"/>
              <w:right w:val="nil"/>
            </w:tcBorders>
            <w:vAlign w:val="center"/>
          </w:tcPr>
          <w:p w14:paraId="19F5AF5E" w14:textId="77777777" w:rsidR="0081236B" w:rsidRDefault="0081236B">
            <w:pPr>
              <w:jc w:val="right"/>
              <w:rPr>
                <w:rFonts w:ascii="Times New Roman Regular" w:hAnsi="Times New Roman Regular" w:cs="Times New Roman Regular" w:hint="eastAsia"/>
                <w:sz w:val="16"/>
                <w:szCs w:val="16"/>
              </w:rPr>
            </w:pPr>
          </w:p>
        </w:tc>
      </w:tr>
    </w:tbl>
    <w:p w14:paraId="45199D6A" w14:textId="77777777" w:rsidR="0081236B" w:rsidRDefault="0081236B">
      <w:pPr>
        <w:rPr>
          <w:rFonts w:ascii="Times New Roman Regular" w:hAnsi="Times New Roman Regular" w:hint="eastAsia"/>
          <w:sz w:val="22"/>
          <w:szCs w:val="22"/>
        </w:rPr>
      </w:pPr>
    </w:p>
    <w:p w14:paraId="02B8C833"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The regression analysis results show that all three predictor variables—reaction (X₁), learning (X₂), and behavior (Z)—significantly influence the outcome (Y). The model constant is 2.013 with a significance value of p = 0.003, indicating that even when al</w:t>
      </w:r>
      <w:r>
        <w:rPr>
          <w:rFonts w:ascii="Times New Roman Regular" w:hAnsi="Times New Roman Regular"/>
          <w:sz w:val="22"/>
          <w:szCs w:val="22"/>
        </w:rPr>
        <w:t>l predictor variables are at zero, the model still yields an initial value for the outcome variable. However, the main focus lies on the contribution of each variable to the improvement of outcomes. The reaction variable (X₁) has an unstandardized coeffici</w:t>
      </w:r>
      <w:r>
        <w:rPr>
          <w:rFonts w:ascii="Times New Roman Regular" w:hAnsi="Times New Roman Regular"/>
          <w:sz w:val="22"/>
          <w:szCs w:val="22"/>
        </w:rPr>
        <w:t>ent of 0.174 and a p-value of 0.009, suggesting that participants’ reactions to the program have a positive and significant impact on the final outcomes. Although its contribution is relatively smaller compared to other variables, the beta coefficient of 0</w:t>
      </w:r>
      <w:r>
        <w:rPr>
          <w:rFonts w:ascii="Times New Roman Regular" w:hAnsi="Times New Roman Regular"/>
          <w:sz w:val="22"/>
          <w:szCs w:val="22"/>
        </w:rPr>
        <w:t>.207 confirms that participants' initial responses to the activities still play a role in the program’s success.</w:t>
      </w:r>
    </w:p>
    <w:p w14:paraId="05E4FF8F"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 xml:space="preserve">Similarly, the learning variable (X₂) shows a greater impact, with a coefficient of 0.317 and a p-value &lt; 0.001. The beta coefficient of 0.337 </w:t>
      </w:r>
      <w:r>
        <w:rPr>
          <w:rFonts w:ascii="Times New Roman Regular" w:hAnsi="Times New Roman Regular"/>
          <w:sz w:val="22"/>
          <w:szCs w:val="22"/>
        </w:rPr>
        <w:t xml:space="preserve">indicates that improvements in </w:t>
      </w:r>
      <w:r>
        <w:rPr>
          <w:rFonts w:ascii="Times New Roman Regular" w:hAnsi="Times New Roman Regular"/>
          <w:sz w:val="22"/>
          <w:szCs w:val="22"/>
        </w:rPr>
        <w:lastRenderedPageBreak/>
        <w:t>participants’ understanding and knowledge contribute more substantially to the outcomes than reactions alone. The mediating variable, behavior (Z), emerges as the most dominant predictor in this model. With a coefficient of 0</w:t>
      </w:r>
      <w:r>
        <w:rPr>
          <w:rFonts w:ascii="Times New Roman Regular" w:hAnsi="Times New Roman Regular"/>
          <w:sz w:val="22"/>
          <w:szCs w:val="22"/>
        </w:rPr>
        <w:t>.355, a p-value &lt; 0.001, and the highest beta coefficient of 0.422, behavior plays a crucial role in bridging the effects of reaction and learning on the outcome. This means that behavioral changes in students, in response to their learning experiences, ar</w:t>
      </w:r>
      <w:r>
        <w:rPr>
          <w:rFonts w:ascii="Times New Roman Regular" w:hAnsi="Times New Roman Regular"/>
          <w:sz w:val="22"/>
          <w:szCs w:val="22"/>
        </w:rPr>
        <w:t xml:space="preserve">e a key determinant of the success of the literacy program. From a technical standpoint, the Tolerance and Variance Inflation Factor (VIF) values for all three variables indicate that no significant multicollinearity issues exist within the model. All VIF </w:t>
      </w:r>
      <w:r>
        <w:rPr>
          <w:rFonts w:ascii="Times New Roman Regular" w:hAnsi="Times New Roman Regular"/>
          <w:sz w:val="22"/>
          <w:szCs w:val="22"/>
        </w:rPr>
        <w:t>values are below the critical threshold of 10, and tolerance values exceed 0.1, supporting the stability and reliability of the regression model for drawing conclusions regarding program effectiveness based on the Kirkpatrick Four-Level Evaluation Model.</w:t>
      </w:r>
    </w:p>
    <w:p w14:paraId="3D2CB8D0" w14:textId="77777777" w:rsidR="0081236B" w:rsidRDefault="0037599E">
      <w:pPr>
        <w:ind w:firstLine="420"/>
        <w:rPr>
          <w:rFonts w:ascii="Times New Roman Regular" w:hAnsi="Times New Roman Regular" w:hint="eastAsia"/>
          <w:sz w:val="22"/>
          <w:szCs w:val="22"/>
        </w:rPr>
      </w:pPr>
      <w:r>
        <w:rPr>
          <w:rFonts w:ascii="Times New Roman Regular" w:hAnsi="Times New Roman Regular"/>
          <w:sz w:val="22"/>
          <w:szCs w:val="22"/>
        </w:rPr>
        <w:t>R</w:t>
      </w:r>
      <w:r>
        <w:rPr>
          <w:rFonts w:ascii="Times New Roman Regular" w:hAnsi="Times New Roman Regular"/>
          <w:sz w:val="22"/>
          <w:szCs w:val="22"/>
        </w:rPr>
        <w:t>eferring to the results of the regression analysis, ANOVA, and regression coefficients, it can be concluded that the Kirkpatrick evaluation model is empirically proven effective in measuring the success of the literacy program. The model, which incorporate</w:t>
      </w:r>
      <w:r>
        <w:rPr>
          <w:rFonts w:ascii="Times New Roman Regular" w:hAnsi="Times New Roman Regular"/>
          <w:sz w:val="22"/>
          <w:szCs w:val="22"/>
        </w:rPr>
        <w:t xml:space="preserve">s the variables of reaction (X₁), learning (X₂), and behavior (Z), explains 82.2% of the variance in the outcome variable (Y), with a very strong correlation (R = 0.907) and a high level of statistical significance (p &lt; 0.001). These findings suggest that </w:t>
      </w:r>
      <w:r>
        <w:rPr>
          <w:rFonts w:ascii="Times New Roman Regular" w:hAnsi="Times New Roman Regular"/>
          <w:sz w:val="22"/>
          <w:szCs w:val="22"/>
        </w:rPr>
        <w:t>these three evaluation levels jointly make a significant contribution to students’ final outcomes, aligning with the principles of the Kirkpatrick Four-Level Model. In particular, behavior (Z) emerges as the variable with the strongest influence on outcome</w:t>
      </w:r>
      <w:r>
        <w:rPr>
          <w:rFonts w:ascii="Times New Roman Regular" w:hAnsi="Times New Roman Regular"/>
          <w:sz w:val="22"/>
          <w:szCs w:val="22"/>
        </w:rPr>
        <w:t>s (Y), based on its beta coefficient of 0.422. This indicates that behavioral change following the learning process is a primary indicator of program success. Learning (X₂) also plays a key role, with a greater contribution than reaction (X₁), which—althou</w:t>
      </w:r>
      <w:r>
        <w:rPr>
          <w:rFonts w:ascii="Times New Roman Regular" w:hAnsi="Times New Roman Regular"/>
          <w:sz w:val="22"/>
          <w:szCs w:val="22"/>
        </w:rPr>
        <w:t>gh lower—still has a significant impact. Thus, these findings confirm that the effectiveness of a literacy program depends not only on initial reactions and cognitive understanding, but more importantly on the extent to which participants implement their l</w:t>
      </w:r>
      <w:r>
        <w:rPr>
          <w:rFonts w:ascii="Times New Roman Regular" w:hAnsi="Times New Roman Regular"/>
          <w:sz w:val="22"/>
          <w:szCs w:val="22"/>
        </w:rPr>
        <w:t>earning in real-life behavior.</w:t>
      </w:r>
    </w:p>
    <w:p w14:paraId="77BAE64E" w14:textId="77777777" w:rsidR="0081236B" w:rsidRDefault="0081236B">
      <w:pPr>
        <w:rPr>
          <w:rFonts w:ascii="Times New Roman Regular" w:hAnsi="Times New Roman Regular" w:hint="eastAsia"/>
          <w:sz w:val="22"/>
          <w:szCs w:val="22"/>
        </w:rPr>
      </w:pPr>
    </w:p>
    <w:p w14:paraId="58223EB0" w14:textId="77777777" w:rsidR="0081236B" w:rsidRDefault="0037599E">
      <w:pPr>
        <w:numPr>
          <w:ilvl w:val="0"/>
          <w:numId w:val="11"/>
        </w:numPr>
        <w:rPr>
          <w:rFonts w:ascii="Times New Roman Regular" w:hAnsi="Times New Roman Regular" w:hint="eastAsia"/>
          <w:b/>
          <w:bCs/>
          <w:sz w:val="22"/>
          <w:szCs w:val="22"/>
        </w:rPr>
      </w:pPr>
      <w:r>
        <w:rPr>
          <w:rFonts w:ascii="Times New Roman Regular" w:hAnsi="Times New Roman Regular"/>
          <w:b/>
          <w:bCs/>
          <w:sz w:val="22"/>
          <w:szCs w:val="22"/>
        </w:rPr>
        <w:t>Conclusion</w:t>
      </w:r>
    </w:p>
    <w:p w14:paraId="34CBC59F" w14:textId="77777777" w:rsidR="0081236B" w:rsidRDefault="0037599E">
      <w:pPr>
        <w:ind w:firstLine="420"/>
        <w:rPr>
          <w:rFonts w:ascii="Times New Roman Regular" w:hAnsi="Times New Roman Regular" w:cs="Times New Roman Regular" w:hint="eastAsia"/>
          <w:sz w:val="22"/>
          <w:szCs w:val="22"/>
        </w:rPr>
      </w:pPr>
      <w:r>
        <w:rPr>
          <w:rFonts w:ascii="Times New Roman Regular" w:hAnsi="Times New Roman Regular"/>
          <w:sz w:val="22"/>
          <w:szCs w:val="22"/>
        </w:rPr>
        <w:t xml:space="preserve">The findings of this study confirm that the Kirkpatrick Four-Level Evaluation Model is an effective framework for assessing the success of the School Literacy Movement Program at SMPN 1 </w:t>
      </w:r>
      <w:proofErr w:type="spellStart"/>
      <w:r>
        <w:rPr>
          <w:rFonts w:ascii="Times New Roman Regular" w:hAnsi="Times New Roman Regular"/>
          <w:sz w:val="22"/>
          <w:szCs w:val="22"/>
        </w:rPr>
        <w:t>Kuningan</w:t>
      </w:r>
      <w:proofErr w:type="spellEnd"/>
      <w:r>
        <w:rPr>
          <w:rFonts w:ascii="Times New Roman Regular" w:hAnsi="Times New Roman Regular"/>
          <w:sz w:val="22"/>
          <w:szCs w:val="22"/>
        </w:rPr>
        <w:t>. The final model (</w:t>
      </w:r>
      <w:r>
        <w:rPr>
          <w:rFonts w:ascii="Times New Roman Regular" w:hAnsi="Times New Roman Regular"/>
          <w:sz w:val="22"/>
          <w:szCs w:val="22"/>
        </w:rPr>
        <w:t xml:space="preserve">H₁), which integrates the variables of reaction (X₁), learning (X₂), and behavior (Z), demonstrates a strong predictive capacity, explaining 82.2% of the variance in the outcome variable (Y) with a high correlation (R = 0.907) and statistical significance </w:t>
      </w:r>
      <w:r>
        <w:rPr>
          <w:rFonts w:ascii="Times New Roman Regular" w:hAnsi="Times New Roman Regular"/>
          <w:sz w:val="22"/>
          <w:szCs w:val="22"/>
        </w:rPr>
        <w:t>(p &lt; .001). The ANOVA test further supports the model’s reliability, indicating that the regression as a whole is highly significant. Among the predictors, behavior (Z) is the most influential variable, with the highest beta coefficient (β = 0.422), emphas</w:t>
      </w:r>
      <w:r>
        <w:rPr>
          <w:rFonts w:ascii="Times New Roman Regular" w:hAnsi="Times New Roman Regular"/>
          <w:sz w:val="22"/>
          <w:szCs w:val="22"/>
        </w:rPr>
        <w:t>izing that behavioral change is a critical indicator of program effectiveness. Learning (X₂) also contributes substantially (β = 0.337), underscoring the importance of cognitive gains in supporting literacy outcomes. Although reaction (X₁) has a smaller ef</w:t>
      </w:r>
      <w:r>
        <w:rPr>
          <w:rFonts w:ascii="Times New Roman Regular" w:hAnsi="Times New Roman Regular"/>
          <w:sz w:val="22"/>
          <w:szCs w:val="22"/>
        </w:rPr>
        <w:t xml:space="preserve">fect (β = 0.207), it remains statistically significant, showing that participants’ initial responses to the program still play a role in determining its overall </w:t>
      </w:r>
      <w:proofErr w:type="spellStart"/>
      <w:proofErr w:type="gramStart"/>
      <w:r>
        <w:rPr>
          <w:rFonts w:ascii="Times New Roman Regular" w:hAnsi="Times New Roman Regular"/>
          <w:sz w:val="22"/>
          <w:szCs w:val="22"/>
        </w:rPr>
        <w:t>impact.In</w:t>
      </w:r>
      <w:proofErr w:type="spellEnd"/>
      <w:proofErr w:type="gramEnd"/>
      <w:r>
        <w:rPr>
          <w:rFonts w:ascii="Times New Roman Regular" w:hAnsi="Times New Roman Regular"/>
          <w:sz w:val="22"/>
          <w:szCs w:val="22"/>
        </w:rPr>
        <w:t xml:space="preserve"> summary, this study demonstrates that the effectiveness of a reading and writing lite</w:t>
      </w:r>
      <w:r>
        <w:rPr>
          <w:rFonts w:ascii="Times New Roman Regular" w:hAnsi="Times New Roman Regular"/>
          <w:sz w:val="22"/>
          <w:szCs w:val="22"/>
        </w:rPr>
        <w:t xml:space="preserve">racy program is not solely dependent on participants’ initial reactions or learning outcomes, but more importantly on how well these are translated into behavioral change. The integrated use of the Kirkpatrick model provides a valid and comprehensive tool </w:t>
      </w:r>
      <w:r>
        <w:rPr>
          <w:rFonts w:ascii="Times New Roman Regular" w:hAnsi="Times New Roman Regular"/>
          <w:sz w:val="22"/>
          <w:szCs w:val="22"/>
        </w:rPr>
        <w:t>for evaluating educational interventions, highlighting the importance of aligning reaction, learning, and behavior to achieve meaningful and measurable results.</w:t>
      </w:r>
    </w:p>
    <w:p w14:paraId="08693CE2" w14:textId="77777777" w:rsidR="0081236B" w:rsidRDefault="0037599E">
      <w:pPr>
        <w:rPr>
          <w:rFonts w:ascii="Times New Roman Regular" w:hAnsi="Times New Roman Regular" w:cs="Times New Roman Regular" w:hint="eastAsia"/>
          <w:b/>
          <w:bCs/>
          <w:sz w:val="22"/>
          <w:szCs w:val="22"/>
        </w:rPr>
      </w:pPr>
      <w:r>
        <w:rPr>
          <w:rFonts w:ascii="Times New Roman Regular" w:hAnsi="Times New Roman Regular" w:cs="Times New Roman Regular"/>
          <w:b/>
          <w:bCs/>
          <w:sz w:val="22"/>
          <w:szCs w:val="22"/>
        </w:rPr>
        <w:t>Reference</w:t>
      </w:r>
    </w:p>
    <w:p w14:paraId="48514E97" w14:textId="77777777" w:rsidR="0081236B" w:rsidRDefault="0037599E">
      <w:pPr>
        <w:widowControl/>
        <w:ind w:left="838" w:hangingChars="381" w:hanging="838"/>
        <w:rPr>
          <w:rFonts w:ascii="Times New Roman" w:eastAsia="SimSun" w:hAnsi="Times New Roman" w:cs="Times New Roman"/>
          <w:iCs/>
          <w:color w:val="222222"/>
          <w:kern w:val="0"/>
          <w:sz w:val="22"/>
          <w:szCs w:val="22"/>
          <w:shd w:val="clear" w:color="auto" w:fill="FFFFFF"/>
          <w:lang w:bidi="ar"/>
        </w:rPr>
      </w:pPr>
      <w:r>
        <w:rPr>
          <w:rFonts w:ascii="Times New Roman" w:eastAsia="SimSun" w:hAnsi="Times New Roman" w:cs="Times New Roman"/>
          <w:iCs/>
          <w:color w:val="222222"/>
          <w:kern w:val="0"/>
          <w:sz w:val="22"/>
          <w:szCs w:val="22"/>
          <w:shd w:val="clear" w:color="auto" w:fill="FFFFFF"/>
          <w:lang w:bidi="ar"/>
        </w:rPr>
        <w:t xml:space="preserve">Azzahra, S. F., &amp; </w:t>
      </w:r>
      <w:proofErr w:type="spellStart"/>
      <w:r>
        <w:rPr>
          <w:rFonts w:ascii="Times New Roman" w:eastAsia="SimSun" w:hAnsi="Times New Roman" w:cs="Times New Roman"/>
          <w:iCs/>
          <w:color w:val="222222"/>
          <w:kern w:val="0"/>
          <w:sz w:val="22"/>
          <w:szCs w:val="22"/>
          <w:shd w:val="clear" w:color="auto" w:fill="FFFFFF"/>
          <w:lang w:bidi="ar"/>
        </w:rPr>
        <w:t>Rahyasih</w:t>
      </w:r>
      <w:proofErr w:type="spellEnd"/>
      <w:r>
        <w:rPr>
          <w:rFonts w:ascii="Times New Roman" w:eastAsia="SimSun" w:hAnsi="Times New Roman" w:cs="Times New Roman"/>
          <w:iCs/>
          <w:color w:val="222222"/>
          <w:kern w:val="0"/>
          <w:sz w:val="22"/>
          <w:szCs w:val="22"/>
          <w:shd w:val="clear" w:color="auto" w:fill="FFFFFF"/>
          <w:lang w:bidi="ar"/>
        </w:rPr>
        <w:t xml:space="preserve">, Y. (2024). </w:t>
      </w:r>
      <w:proofErr w:type="spellStart"/>
      <w:r>
        <w:rPr>
          <w:rFonts w:ascii="Times New Roman" w:eastAsia="SimSun" w:hAnsi="Times New Roman" w:cs="Times New Roman"/>
          <w:iCs/>
          <w:color w:val="222222"/>
          <w:kern w:val="0"/>
          <w:sz w:val="22"/>
          <w:szCs w:val="22"/>
          <w:shd w:val="clear" w:color="auto" w:fill="FFFFFF"/>
          <w:lang w:bidi="ar"/>
        </w:rPr>
        <w:t>Strategi</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Peningkatan</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Mutu</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Sumber</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Daya</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Manusia</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melalui</w:t>
      </w:r>
      <w:proofErr w:type="spellEnd"/>
      <w:r>
        <w:rPr>
          <w:rFonts w:ascii="Times New Roman" w:eastAsia="SimSun" w:hAnsi="Times New Roman" w:cs="Times New Roman"/>
          <w:iCs/>
          <w:color w:val="222222"/>
          <w:kern w:val="0"/>
          <w:sz w:val="22"/>
          <w:szCs w:val="22"/>
          <w:shd w:val="clear" w:color="auto" w:fill="FFFFFF"/>
          <w:lang w:bidi="ar"/>
        </w:rPr>
        <w:t xml:space="preserve"> Program </w:t>
      </w:r>
      <w:proofErr w:type="spellStart"/>
      <w:r>
        <w:rPr>
          <w:rFonts w:ascii="Times New Roman" w:eastAsia="SimSun" w:hAnsi="Times New Roman" w:cs="Times New Roman"/>
          <w:iCs/>
          <w:color w:val="222222"/>
          <w:kern w:val="0"/>
          <w:sz w:val="22"/>
          <w:szCs w:val="22"/>
          <w:shd w:val="clear" w:color="auto" w:fill="FFFFFF"/>
          <w:lang w:bidi="ar"/>
        </w:rPr>
        <w:t>Literasi</w:t>
      </w:r>
      <w:proofErr w:type="spellEnd"/>
      <w:r>
        <w:rPr>
          <w:rFonts w:ascii="Times New Roman" w:eastAsia="SimSun" w:hAnsi="Times New Roman" w:cs="Times New Roman"/>
          <w:iCs/>
          <w:color w:val="222222"/>
          <w:kern w:val="0"/>
          <w:sz w:val="22"/>
          <w:szCs w:val="22"/>
          <w:shd w:val="clear" w:color="auto" w:fill="FFFFFF"/>
          <w:lang w:bidi="ar"/>
        </w:rPr>
        <w:t xml:space="preserve"> Digital di </w:t>
      </w:r>
      <w:proofErr w:type="spellStart"/>
      <w:r>
        <w:rPr>
          <w:rFonts w:ascii="Times New Roman" w:eastAsia="SimSun" w:hAnsi="Times New Roman" w:cs="Times New Roman"/>
          <w:iCs/>
          <w:color w:val="222222"/>
          <w:kern w:val="0"/>
          <w:sz w:val="22"/>
          <w:szCs w:val="22"/>
          <w:shd w:val="clear" w:color="auto" w:fill="FFFFFF"/>
          <w:lang w:bidi="ar"/>
        </w:rPr>
        <w:t>Sekolah</w:t>
      </w:r>
      <w:proofErr w:type="spellEnd"/>
      <w:r>
        <w:rPr>
          <w:rFonts w:ascii="Times New Roman" w:eastAsia="SimSun" w:hAnsi="Times New Roman" w:cs="Times New Roman"/>
          <w:iCs/>
          <w:color w:val="222222"/>
          <w:kern w:val="0"/>
          <w:sz w:val="22"/>
          <w:szCs w:val="22"/>
          <w:shd w:val="clear" w:color="auto" w:fill="FFFFFF"/>
          <w:lang w:bidi="ar"/>
        </w:rPr>
        <w:t>. </w:t>
      </w:r>
      <w:proofErr w:type="spellStart"/>
      <w:r>
        <w:rPr>
          <w:rFonts w:ascii="Times New Roman" w:eastAsia="SimSun" w:hAnsi="Times New Roman" w:cs="Times New Roman"/>
          <w:iCs/>
          <w:color w:val="222222"/>
          <w:kern w:val="0"/>
          <w:sz w:val="22"/>
          <w:szCs w:val="22"/>
          <w:lang w:bidi="ar"/>
        </w:rPr>
        <w:t>Pendekar</w:t>
      </w:r>
      <w:proofErr w:type="spellEnd"/>
      <w:r>
        <w:rPr>
          <w:rFonts w:ascii="Times New Roman" w:eastAsia="SimSun" w:hAnsi="Times New Roman" w:cs="Times New Roman"/>
          <w:iCs/>
          <w:color w:val="222222"/>
          <w:kern w:val="0"/>
          <w:sz w:val="22"/>
          <w:szCs w:val="22"/>
          <w:lang w:bidi="ar"/>
        </w:rPr>
        <w:t xml:space="preserve">: </w:t>
      </w:r>
      <w:proofErr w:type="spellStart"/>
      <w:r>
        <w:rPr>
          <w:rFonts w:ascii="Times New Roman" w:eastAsia="SimSun" w:hAnsi="Times New Roman" w:cs="Times New Roman"/>
          <w:iCs/>
          <w:color w:val="222222"/>
          <w:kern w:val="0"/>
          <w:sz w:val="22"/>
          <w:szCs w:val="22"/>
          <w:lang w:bidi="ar"/>
        </w:rPr>
        <w:t>Jurnal</w:t>
      </w:r>
      <w:proofErr w:type="spellEnd"/>
      <w:r>
        <w:rPr>
          <w:rFonts w:ascii="Times New Roman" w:eastAsia="SimSun" w:hAnsi="Times New Roman" w:cs="Times New Roman"/>
          <w:iCs/>
          <w:color w:val="222222"/>
          <w:kern w:val="0"/>
          <w:sz w:val="22"/>
          <w:szCs w:val="22"/>
          <w:lang w:bidi="ar"/>
        </w:rPr>
        <w:t xml:space="preserve"> Pendidikan </w:t>
      </w:r>
      <w:proofErr w:type="spellStart"/>
      <w:r>
        <w:rPr>
          <w:rFonts w:ascii="Times New Roman" w:eastAsia="SimSun" w:hAnsi="Times New Roman" w:cs="Times New Roman"/>
          <w:iCs/>
          <w:color w:val="222222"/>
          <w:kern w:val="0"/>
          <w:sz w:val="22"/>
          <w:szCs w:val="22"/>
          <w:lang w:bidi="ar"/>
        </w:rPr>
        <w:t>Berkarakter</w:t>
      </w:r>
      <w:proofErr w:type="spellEnd"/>
      <w:r>
        <w:rPr>
          <w:rFonts w:ascii="Times New Roman" w:eastAsia="SimSun" w:hAnsi="Times New Roman" w:cs="Times New Roman"/>
          <w:iCs/>
          <w:color w:val="222222"/>
          <w:kern w:val="0"/>
          <w:sz w:val="22"/>
          <w:szCs w:val="22"/>
          <w:shd w:val="clear" w:color="auto" w:fill="FFFFFF"/>
          <w:lang w:bidi="ar"/>
        </w:rPr>
        <w:t>, </w:t>
      </w:r>
      <w:r>
        <w:rPr>
          <w:rFonts w:ascii="Times New Roman" w:eastAsia="SimSun" w:hAnsi="Times New Roman" w:cs="Times New Roman"/>
          <w:iCs/>
          <w:color w:val="222222"/>
          <w:kern w:val="0"/>
          <w:sz w:val="22"/>
          <w:szCs w:val="22"/>
          <w:lang w:bidi="ar"/>
        </w:rPr>
        <w:t>7</w:t>
      </w:r>
      <w:r>
        <w:rPr>
          <w:rFonts w:ascii="Times New Roman" w:eastAsia="SimSun" w:hAnsi="Times New Roman" w:cs="Times New Roman"/>
          <w:iCs/>
          <w:color w:val="222222"/>
          <w:kern w:val="0"/>
          <w:sz w:val="22"/>
          <w:szCs w:val="22"/>
          <w:shd w:val="clear" w:color="auto" w:fill="FFFFFF"/>
          <w:lang w:bidi="ar"/>
        </w:rPr>
        <w:t>(2), 64-70.</w:t>
      </w:r>
      <w:hyperlink r:id="rId7" w:history="1">
        <w:r w:rsidR="0081236B">
          <w:rPr>
            <w:rStyle w:val="Hyperlink"/>
            <w:rFonts w:ascii="Times New Roman Regular" w:hAnsi="Times New Roman Regular" w:cs="Times New Roman Regular"/>
            <w:sz w:val="22"/>
            <w:szCs w:val="22"/>
          </w:rPr>
          <w:t>https://doi.org/10.31764/pendekar.v7i2.24032</w:t>
        </w:r>
      </w:hyperlink>
    </w:p>
    <w:p w14:paraId="7240E24D" w14:textId="77777777" w:rsidR="0081236B" w:rsidRDefault="0037599E">
      <w:pPr>
        <w:widowControl/>
        <w:ind w:left="838" w:hangingChars="381" w:hanging="838"/>
        <w:rPr>
          <w:rFonts w:ascii="Times New Roman Regular" w:hAnsi="Times New Roman Regular" w:cs="Times New Roman Regular" w:hint="eastAsia"/>
          <w:color w:val="212121"/>
          <w:sz w:val="22"/>
          <w:szCs w:val="22"/>
        </w:rPr>
      </w:pPr>
      <w:proofErr w:type="spellStart"/>
      <w:r>
        <w:rPr>
          <w:rFonts w:ascii="Times New Roman Regular" w:hAnsi="Times New Roman Regular" w:cs="Times New Roman Regular"/>
          <w:sz w:val="22"/>
          <w:szCs w:val="22"/>
        </w:rPr>
        <w:lastRenderedPageBreak/>
        <w:t>Direktorat</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Pembinaan</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Menengah</w:t>
      </w:r>
      <w:proofErr w:type="spellEnd"/>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Pertama</w:t>
      </w:r>
      <w:proofErr w:type="spellEnd"/>
      <w:r>
        <w:rPr>
          <w:rFonts w:ascii="Times New Roman Regular" w:hAnsi="Times New Roman Regular" w:cs="Times New Roman Regular"/>
          <w:sz w:val="22"/>
          <w:szCs w:val="22"/>
        </w:rPr>
        <w:t>,</w:t>
      </w:r>
      <w:r>
        <w:rPr>
          <w:rFonts w:ascii="Times New Roman Regular" w:hAnsi="Times New Roman Regular" w:cs="Times New Roman Regular"/>
          <w:spacing w:val="1"/>
          <w:sz w:val="22"/>
          <w:szCs w:val="22"/>
        </w:rPr>
        <w:t xml:space="preserve"> </w:t>
      </w:r>
      <w:proofErr w:type="spellStart"/>
      <w:r>
        <w:rPr>
          <w:rFonts w:ascii="Times New Roman Regular" w:hAnsi="Times New Roman Regular" w:cs="Times New Roman Regular"/>
          <w:sz w:val="22"/>
          <w:szCs w:val="22"/>
        </w:rPr>
        <w:t>Direktorat</w:t>
      </w:r>
      <w:proofErr w:type="spellEnd"/>
      <w:r>
        <w:rPr>
          <w:rFonts w:ascii="Times New Roman Regular" w:hAnsi="Times New Roman Regular" w:cs="Times New Roman Regular"/>
          <w:spacing w:val="61"/>
          <w:sz w:val="22"/>
          <w:szCs w:val="22"/>
        </w:rPr>
        <w:t xml:space="preserve"> </w:t>
      </w:r>
      <w:proofErr w:type="spellStart"/>
      <w:r>
        <w:rPr>
          <w:rFonts w:ascii="Times New Roman Regular" w:hAnsi="Times New Roman Regular" w:cs="Times New Roman Regular"/>
          <w:sz w:val="22"/>
          <w:szCs w:val="22"/>
        </w:rPr>
        <w:t>Jenderal</w:t>
      </w:r>
      <w:proofErr w:type="spellEnd"/>
      <w:r>
        <w:rPr>
          <w:rFonts w:ascii="Times New Roman Regular" w:hAnsi="Times New Roman Regular" w:cs="Times New Roman Regular"/>
          <w:spacing w:val="-57"/>
          <w:sz w:val="22"/>
          <w:szCs w:val="22"/>
        </w:rPr>
        <w:t xml:space="preserve"> </w:t>
      </w:r>
      <w:r>
        <w:rPr>
          <w:rFonts w:ascii="Times New Roman Regular" w:hAnsi="Times New Roman Regular" w:cs="Times New Roman Regular"/>
          <w:sz w:val="22"/>
          <w:szCs w:val="22"/>
        </w:rPr>
        <w:t xml:space="preserve">Pendidikan Dasar dan </w:t>
      </w:r>
      <w:proofErr w:type="spellStart"/>
      <w:r>
        <w:rPr>
          <w:rFonts w:ascii="Times New Roman Regular" w:hAnsi="Times New Roman Regular" w:cs="Times New Roman Regular"/>
          <w:sz w:val="22"/>
          <w:szCs w:val="22"/>
        </w:rPr>
        <w:t>Menengah</w:t>
      </w:r>
      <w:proofErr w:type="spellEnd"/>
      <w:r>
        <w:rPr>
          <w:rFonts w:ascii="Times New Roman Regular" w:hAnsi="Times New Roman Regular" w:cs="Times New Roman Regular"/>
          <w:sz w:val="22"/>
          <w:szCs w:val="22"/>
        </w:rPr>
        <w:t xml:space="preserve">, Kementerian Pendidikan dan </w:t>
      </w:r>
      <w:proofErr w:type="spellStart"/>
      <w:r>
        <w:rPr>
          <w:rFonts w:ascii="Times New Roman Regular" w:hAnsi="Times New Roman Regular" w:cs="Times New Roman Regular"/>
          <w:sz w:val="22"/>
          <w:szCs w:val="22"/>
        </w:rPr>
        <w:t>Kebudayaan</w:t>
      </w:r>
      <w:proofErr w:type="spellEnd"/>
      <w:r>
        <w:rPr>
          <w:rFonts w:ascii="Times New Roman Regular" w:hAnsi="Times New Roman Regular" w:cs="Times New Roman Regular"/>
          <w:sz w:val="22"/>
          <w:szCs w:val="22"/>
        </w:rPr>
        <w:t>.</w:t>
      </w:r>
      <w:r>
        <w:rPr>
          <w:rFonts w:ascii="Times New Roman Regular" w:hAnsi="Times New Roman Regular" w:cs="Times New Roman Regular"/>
          <w:spacing w:val="1"/>
          <w:sz w:val="22"/>
          <w:szCs w:val="22"/>
        </w:rPr>
        <w:t xml:space="preserve"> </w:t>
      </w:r>
      <w:r>
        <w:rPr>
          <w:rFonts w:ascii="Times New Roman Regular" w:hAnsi="Times New Roman Regular" w:cs="Times New Roman Regular"/>
          <w:sz w:val="22"/>
          <w:szCs w:val="22"/>
        </w:rPr>
        <w:t>(2019).</w:t>
      </w:r>
      <w:r>
        <w:rPr>
          <w:rFonts w:ascii="Times New Roman Regular" w:hAnsi="Times New Roman Regular" w:cs="Times New Roman Regular"/>
          <w:spacing w:val="-2"/>
          <w:sz w:val="22"/>
          <w:szCs w:val="22"/>
        </w:rPr>
        <w:t xml:space="preserve"> </w:t>
      </w:r>
      <w:r>
        <w:rPr>
          <w:rFonts w:ascii="Times New Roman Regular" w:hAnsi="Times New Roman Regular" w:cs="Times New Roman Regular"/>
          <w:color w:val="212121"/>
          <w:sz w:val="22"/>
          <w:szCs w:val="22"/>
        </w:rPr>
        <w:t>Panduan</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Gerakan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 xml:space="preserve">Di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Menengah</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Pertama</w:t>
      </w:r>
      <w:proofErr w:type="spellEnd"/>
      <w:r>
        <w:rPr>
          <w:rFonts w:ascii="Times New Roman Regular" w:hAnsi="Times New Roman Regular" w:cs="Times New Roman Regular"/>
          <w:color w:val="212121"/>
          <w:sz w:val="22"/>
          <w:szCs w:val="22"/>
        </w:rPr>
        <w:t>.</w:t>
      </w:r>
    </w:p>
    <w:p w14:paraId="3E368FF2"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w:hAnsi="Times New Roman" w:cs="Times New Roman"/>
          <w:iCs/>
          <w:sz w:val="22"/>
          <w:szCs w:val="22"/>
        </w:rPr>
        <w:t>Febriana</w:t>
      </w:r>
      <w:proofErr w:type="spellEnd"/>
      <w:r>
        <w:rPr>
          <w:rFonts w:ascii="Times New Roman" w:hAnsi="Times New Roman" w:cs="Times New Roman"/>
          <w:iCs/>
          <w:sz w:val="22"/>
          <w:szCs w:val="22"/>
        </w:rPr>
        <w:t xml:space="preserve">, A. A., &amp; Jatmika, S. (2023). </w:t>
      </w:r>
      <w:proofErr w:type="spellStart"/>
      <w:r>
        <w:rPr>
          <w:rFonts w:ascii="Times New Roman" w:hAnsi="Times New Roman" w:cs="Times New Roman"/>
          <w:iCs/>
          <w:sz w:val="22"/>
          <w:szCs w:val="22"/>
        </w:rPr>
        <w:t>Implementasi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Gerakan</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Literasi</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Sekolah</w:t>
      </w:r>
      <w:proofErr w:type="spellEnd"/>
      <w:r>
        <w:rPr>
          <w:rFonts w:ascii="Times New Roman" w:hAnsi="Times New Roman" w:cs="Times New Roman"/>
          <w:iCs/>
          <w:sz w:val="22"/>
          <w:szCs w:val="22"/>
        </w:rPr>
        <w:t xml:space="preserve"> (GLS) di SMK Batik 2 Surakarta. SUMIKOLAH: </w:t>
      </w:r>
      <w:proofErr w:type="spellStart"/>
      <w:r>
        <w:rPr>
          <w:rFonts w:ascii="Times New Roman" w:hAnsi="Times New Roman" w:cs="Times New Roman"/>
          <w:iCs/>
          <w:sz w:val="22"/>
          <w:szCs w:val="22"/>
        </w:rPr>
        <w:t>Jurnal</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Ilmu</w:t>
      </w:r>
      <w:proofErr w:type="spellEnd"/>
      <w:r>
        <w:rPr>
          <w:rFonts w:ascii="Times New Roman" w:hAnsi="Times New Roman" w:cs="Times New Roman"/>
          <w:iCs/>
          <w:sz w:val="22"/>
          <w:szCs w:val="22"/>
        </w:rPr>
        <w:t xml:space="preserve"> Pendidikan, 1(1), 13-20. </w:t>
      </w:r>
      <w:r>
        <w:rPr>
          <w:rFonts w:ascii="Times New Roman Regular" w:hAnsi="Times New Roman Regular" w:cs="Times New Roman Regular"/>
          <w:iCs/>
          <w:sz w:val="22"/>
          <w:szCs w:val="22"/>
        </w:rPr>
        <w:t xml:space="preserve">DOI: </w:t>
      </w:r>
      <w:r>
        <w:rPr>
          <w:rFonts w:ascii="Times New Roman Regular" w:eastAsia="SimSun" w:hAnsi="Times New Roman Regular" w:cs="Times New Roman Regular"/>
          <w:color w:val="000000"/>
          <w:kern w:val="0"/>
          <w:sz w:val="22"/>
          <w:szCs w:val="22"/>
          <w:lang w:bidi="ar"/>
        </w:rPr>
        <w:t>prefix 10.31958/</w:t>
      </w:r>
      <w:proofErr w:type="spellStart"/>
      <w:r>
        <w:rPr>
          <w:rFonts w:ascii="Times New Roman Regular" w:eastAsia="SimSun" w:hAnsi="Times New Roman Regular" w:cs="Times New Roman Regular"/>
          <w:color w:val="000000"/>
          <w:kern w:val="0"/>
          <w:sz w:val="22"/>
          <w:szCs w:val="22"/>
          <w:lang w:bidi="ar"/>
        </w:rPr>
        <w:t>jipis</w:t>
      </w:r>
      <w:proofErr w:type="spellEnd"/>
      <w:r>
        <w:rPr>
          <w:rFonts w:ascii="Times New Roman Regular" w:eastAsia="SimSun" w:hAnsi="Times New Roman Regular" w:cs="Times New Roman Regular"/>
          <w:color w:val="000000"/>
          <w:kern w:val="0"/>
          <w:sz w:val="22"/>
          <w:szCs w:val="22"/>
          <w:lang w:bidi="ar"/>
        </w:rPr>
        <w:t xml:space="preserve">   </w:t>
      </w:r>
    </w:p>
    <w:p w14:paraId="4E3D0703"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Husamah</w:t>
      </w:r>
      <w:proofErr w:type="spellEnd"/>
      <w:r>
        <w:rPr>
          <w:rFonts w:ascii="Times New Roman Regular" w:hAnsi="Times New Roman Regular" w:cs="Times New Roman Regular"/>
          <w:sz w:val="22"/>
          <w:szCs w:val="22"/>
        </w:rPr>
        <w:t xml:space="preserve">, H. (2024). LITERASI </w:t>
      </w:r>
      <w:proofErr w:type="spellStart"/>
      <w:r>
        <w:rPr>
          <w:rFonts w:ascii="Times New Roman Regular" w:hAnsi="Times New Roman Regular" w:cs="Times New Roman Regular"/>
          <w:sz w:val="22"/>
          <w:szCs w:val="22"/>
        </w:rPr>
        <w:t>Urgensi</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Mewujudkan</w:t>
      </w:r>
      <w:proofErr w:type="spellEnd"/>
      <w:r>
        <w:rPr>
          <w:rFonts w:ascii="Times New Roman Regular" w:hAnsi="Times New Roman Regular" w:cs="Times New Roman Regular"/>
          <w:sz w:val="22"/>
          <w:szCs w:val="22"/>
        </w:rPr>
        <w:t xml:space="preserve"> Pembangunan </w:t>
      </w:r>
      <w:proofErr w:type="spellStart"/>
      <w:r>
        <w:rPr>
          <w:rFonts w:ascii="Times New Roman Regular" w:hAnsi="Times New Roman Regular" w:cs="Times New Roman Regular"/>
          <w:sz w:val="22"/>
          <w:szCs w:val="22"/>
        </w:rPr>
        <w:t>Berkelanjutan</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Pendidikan </w:t>
      </w:r>
      <w:proofErr w:type="spellStart"/>
      <w:r>
        <w:rPr>
          <w:rFonts w:ascii="Times New Roman Regular" w:hAnsi="Times New Roman Regular" w:cs="Times New Roman Regular"/>
          <w:sz w:val="22"/>
          <w:szCs w:val="22"/>
        </w:rPr>
        <w:t>Profesi</w:t>
      </w:r>
      <w:proofErr w:type="spellEnd"/>
      <w:r>
        <w:rPr>
          <w:rFonts w:ascii="Times New Roman Regular" w:hAnsi="Times New Roman Regular" w:cs="Times New Roman Regular"/>
          <w:sz w:val="22"/>
          <w:szCs w:val="22"/>
        </w:rPr>
        <w:t xml:space="preserve"> Guru. </w:t>
      </w:r>
      <w:proofErr w:type="gramStart"/>
      <w:r>
        <w:rPr>
          <w:rFonts w:ascii="Times New Roman Regular" w:hAnsi="Times New Roman Regular" w:cs="Times New Roman Regular"/>
          <w:sz w:val="22"/>
          <w:szCs w:val="22"/>
        </w:rPr>
        <w:t>DOI:https://jurnal.pen</w:t>
      </w:r>
      <w:r>
        <w:rPr>
          <w:rFonts w:ascii="Times New Roman Regular" w:hAnsi="Times New Roman Regular" w:cs="Times New Roman Regular"/>
          <w:sz w:val="22"/>
          <w:szCs w:val="22"/>
        </w:rPr>
        <w:t>eliti.net/index.php/JIWP/article/view/11496</w:t>
      </w:r>
      <w:proofErr w:type="gramEnd"/>
      <w:r>
        <w:rPr>
          <w:rFonts w:ascii="Times New Roman Regular" w:hAnsi="Times New Roman Regular" w:cs="Times New Roman Regular"/>
          <w:sz w:val="22"/>
          <w:szCs w:val="22"/>
        </w:rPr>
        <w:t xml:space="preserve"> </w:t>
      </w:r>
    </w:p>
    <w:p w14:paraId="1642DE9A" w14:textId="77777777" w:rsidR="0081236B" w:rsidRDefault="0037599E">
      <w:pPr>
        <w:widowControl/>
        <w:ind w:left="838" w:hangingChars="381" w:hanging="838"/>
        <w:rPr>
          <w:rFonts w:ascii="Times New Roman Regular" w:hAnsi="Times New Roman Regular" w:cs="Times New Roman Regular" w:hint="eastAsia"/>
          <w:sz w:val="22"/>
          <w:szCs w:val="22"/>
        </w:rPr>
      </w:pPr>
      <w:r>
        <w:rPr>
          <w:rFonts w:ascii="Times New Roman Regular" w:hAnsi="Times New Roman Regular" w:cs="Times New Roman Regular"/>
          <w:sz w:val="22"/>
          <w:szCs w:val="22"/>
        </w:rPr>
        <w:t xml:space="preserve">Nasution, A. S., </w:t>
      </w:r>
      <w:proofErr w:type="spellStart"/>
      <w:r>
        <w:rPr>
          <w:rFonts w:ascii="Times New Roman Regular" w:hAnsi="Times New Roman Regular" w:cs="Times New Roman Regular"/>
          <w:sz w:val="22"/>
          <w:szCs w:val="22"/>
        </w:rPr>
        <w:t>Haswati</w:t>
      </w:r>
      <w:proofErr w:type="spellEnd"/>
      <w:r>
        <w:rPr>
          <w:rFonts w:ascii="Times New Roman Regular" w:hAnsi="Times New Roman Regular" w:cs="Times New Roman Regular"/>
          <w:sz w:val="22"/>
          <w:szCs w:val="22"/>
        </w:rPr>
        <w:t xml:space="preserve">, S. M. B., &amp; </w:t>
      </w:r>
      <w:proofErr w:type="spellStart"/>
      <w:r>
        <w:rPr>
          <w:rFonts w:ascii="Times New Roman Regular" w:hAnsi="Times New Roman Regular" w:cs="Times New Roman Regular"/>
          <w:sz w:val="22"/>
          <w:szCs w:val="22"/>
        </w:rPr>
        <w:t>Ilhamsyah</w:t>
      </w:r>
      <w:proofErr w:type="spellEnd"/>
      <w:r>
        <w:rPr>
          <w:rFonts w:ascii="Times New Roman Regular" w:hAnsi="Times New Roman Regular" w:cs="Times New Roman Regular"/>
          <w:sz w:val="22"/>
          <w:szCs w:val="22"/>
        </w:rPr>
        <w:t xml:space="preserve">, I. (2020). </w:t>
      </w:r>
      <w:proofErr w:type="spellStart"/>
      <w:r>
        <w:rPr>
          <w:rFonts w:ascii="Times New Roman Regular" w:hAnsi="Times New Roman Regular" w:cs="Times New Roman Regular"/>
          <w:sz w:val="22"/>
          <w:szCs w:val="22"/>
        </w:rPr>
        <w:t>Perancangan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Promosi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Umkm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Layanan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Jasa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Peminjaman</w:t>
      </w:r>
      <w:proofErr w:type="spellEnd"/>
      <w:r>
        <w:rPr>
          <w:rFonts w:ascii="Times New Roman Regular" w:hAnsi="Times New Roman Regular" w:cs="Times New Roman Regular"/>
          <w:sz w:val="22"/>
          <w:szCs w:val="22"/>
        </w:rPr>
        <w:t xml:space="preserve"> Dan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Buku'pitimoss</w:t>
      </w:r>
      <w:proofErr w:type="spellEnd"/>
      <w:r>
        <w:rPr>
          <w:rFonts w:ascii="Times New Roman Regular" w:hAnsi="Times New Roman Regular" w:cs="Times New Roman Regular"/>
          <w:sz w:val="22"/>
          <w:szCs w:val="22"/>
        </w:rPr>
        <w:t xml:space="preserve"> Fun </w:t>
      </w:r>
      <w:proofErr w:type="spellStart"/>
      <w:r>
        <w:rPr>
          <w:rFonts w:ascii="Times New Roman Regular" w:hAnsi="Times New Roman Regular" w:cs="Times New Roman Regular"/>
          <w:sz w:val="22"/>
          <w:szCs w:val="22"/>
        </w:rPr>
        <w:t>Library'Di</w:t>
      </w:r>
      <w:proofErr w:type="spellEnd"/>
      <w:r>
        <w:rPr>
          <w:rFonts w:ascii="Times New Roman Regular" w:hAnsi="Times New Roman Regular" w:cs="Times New Roman Regular"/>
          <w:sz w:val="22"/>
          <w:szCs w:val="22"/>
        </w:rPr>
        <w:t xml:space="preserve"> Bandung. </w:t>
      </w:r>
      <w:proofErr w:type="spellStart"/>
      <w:r>
        <w:rPr>
          <w:rFonts w:ascii="Times New Roman Regular" w:hAnsi="Times New Roman Regular" w:cs="Times New Roman Regular"/>
          <w:sz w:val="22"/>
          <w:szCs w:val="22"/>
        </w:rPr>
        <w:t>eProceedings</w:t>
      </w:r>
      <w:proofErr w:type="spellEnd"/>
      <w:r>
        <w:rPr>
          <w:rFonts w:ascii="Times New Roman Regular" w:hAnsi="Times New Roman Regular" w:cs="Times New Roman Regular"/>
          <w:sz w:val="22"/>
          <w:szCs w:val="22"/>
        </w:rPr>
        <w:t xml:space="preserve"> of Art &amp; Design, 7(2). </w:t>
      </w:r>
      <w:hyperlink r:id="rId8" w:history="1">
        <w:r w:rsidR="0081236B">
          <w:rPr>
            <w:rStyle w:val="Hyperlink"/>
            <w:rFonts w:ascii="Times New Roman Regular" w:eastAsia="SimSun" w:hAnsi="Times New Roman Regular" w:cs="Times New Roman Regular"/>
            <w:kern w:val="0"/>
            <w:sz w:val="22"/>
            <w:szCs w:val="22"/>
            <w:lang w:bidi="ar"/>
          </w:rPr>
          <w:t>https://openlibrarypublications.telkomuniversity.ac.id/index.php/artdesign/article/view/12894</w:t>
        </w:r>
      </w:hyperlink>
      <w:r>
        <w:rPr>
          <w:rFonts w:ascii="Times New Roman Regular" w:eastAsia="SimSun" w:hAnsi="Times New Roman Regular" w:cs="Times New Roman Regular"/>
          <w:kern w:val="0"/>
          <w:sz w:val="22"/>
          <w:szCs w:val="22"/>
          <w:lang w:bidi="ar"/>
        </w:rPr>
        <w:t xml:space="preserve"> </w:t>
      </w:r>
    </w:p>
    <w:p w14:paraId="1E626BA0"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Oftiah</w:t>
      </w:r>
      <w:proofErr w:type="spellEnd"/>
      <w:r>
        <w:rPr>
          <w:rFonts w:ascii="Times New Roman Regular" w:hAnsi="Times New Roman Regular" w:cs="Times New Roman Regular"/>
          <w:sz w:val="22"/>
          <w:szCs w:val="22"/>
        </w:rPr>
        <w:t xml:space="preserve">, S., </w:t>
      </w:r>
      <w:proofErr w:type="spellStart"/>
      <w:r>
        <w:rPr>
          <w:rFonts w:ascii="Times New Roman Regular" w:hAnsi="Times New Roman Regular" w:cs="Times New Roman Regular"/>
          <w:sz w:val="22"/>
          <w:szCs w:val="22"/>
        </w:rPr>
        <w:t>Hayusti</w:t>
      </w:r>
      <w:proofErr w:type="spellEnd"/>
      <w:r>
        <w:rPr>
          <w:rFonts w:ascii="Times New Roman Regular" w:hAnsi="Times New Roman Regular" w:cs="Times New Roman Regular"/>
          <w:sz w:val="22"/>
          <w:szCs w:val="22"/>
        </w:rPr>
        <w:t xml:space="preserve">, A., </w:t>
      </w:r>
      <w:proofErr w:type="spellStart"/>
      <w:r>
        <w:rPr>
          <w:rFonts w:ascii="Times New Roman Regular" w:hAnsi="Times New Roman Regular" w:cs="Times New Roman Regular"/>
          <w:sz w:val="22"/>
          <w:szCs w:val="22"/>
        </w:rPr>
        <w:t>Rahmania</w:t>
      </w:r>
      <w:proofErr w:type="spellEnd"/>
      <w:r>
        <w:rPr>
          <w:rFonts w:ascii="Times New Roman Regular" w:hAnsi="Times New Roman Regular" w:cs="Times New Roman Regular"/>
          <w:sz w:val="22"/>
          <w:szCs w:val="22"/>
        </w:rPr>
        <w:t xml:space="preserve">, E. A., Supriyadi, S., &amp; </w:t>
      </w:r>
      <w:proofErr w:type="spellStart"/>
      <w:r>
        <w:rPr>
          <w:rFonts w:ascii="Times New Roman Regular" w:hAnsi="Times New Roman Regular" w:cs="Times New Roman Regular"/>
          <w:sz w:val="22"/>
          <w:szCs w:val="22"/>
        </w:rPr>
        <w:t>Izzatika</w:t>
      </w:r>
      <w:proofErr w:type="spellEnd"/>
      <w:r>
        <w:rPr>
          <w:rFonts w:ascii="Times New Roman Regular" w:hAnsi="Times New Roman Regular" w:cs="Times New Roman Regular"/>
          <w:sz w:val="22"/>
          <w:szCs w:val="22"/>
        </w:rPr>
        <w:t xml:space="preserve">, A. (2024). </w:t>
      </w:r>
      <w:proofErr w:type="spellStart"/>
      <w:r>
        <w:rPr>
          <w:rFonts w:ascii="Times New Roman Regular" w:hAnsi="Times New Roman Regular" w:cs="Times New Roman Regular"/>
          <w:sz w:val="22"/>
          <w:szCs w:val="22"/>
        </w:rPr>
        <w:t>Analisis</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Implementasi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Proyek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Penguatan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Profil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Pelajar</w:t>
      </w:r>
      <w:proofErr w:type="spellEnd"/>
      <w:r>
        <w:rPr>
          <w:rFonts w:ascii="Times New Roman Regular" w:hAnsi="Times New Roman Regular" w:cs="Times New Roman Regular"/>
          <w:sz w:val="22"/>
          <w:szCs w:val="22"/>
        </w:rPr>
        <w:t xml:space="preserve"> Pancasila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Mengembangkan</w:t>
      </w:r>
      <w:proofErr w:type="spellEnd"/>
      <w:r>
        <w:rPr>
          <w:rFonts w:ascii="Times New Roman Regular" w:hAnsi="Times New Roman Regular" w:cs="Times New Roman Regular"/>
          <w:sz w:val="22"/>
          <w:szCs w:val="22"/>
        </w:rPr>
        <w:t xml:space="preserve"> Pendidikan </w:t>
      </w:r>
      <w:proofErr w:type="spellStart"/>
      <w:r>
        <w:rPr>
          <w:rFonts w:ascii="Times New Roman Regular" w:hAnsi="Times New Roman Regular" w:cs="Times New Roman Regular"/>
          <w:sz w:val="22"/>
          <w:szCs w:val="22"/>
        </w:rPr>
        <w:t>Karakter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Siswa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Dasar. Indonesian Research Journal on Education, 4(4), 2577-2582. </w:t>
      </w:r>
      <w:r>
        <w:rPr>
          <w:rFonts w:ascii="Times New Roman Regular" w:hAnsi="Times New Roman Regular" w:cs="Times New Roman Regular"/>
          <w:sz w:val="22"/>
          <w:szCs w:val="28"/>
        </w:rPr>
        <w:t>DOI: </w:t>
      </w:r>
      <w:hyperlink r:id="rId9" w:history="1">
        <w:r w:rsidR="0081236B">
          <w:rPr>
            <w:rFonts w:ascii="Times New Roman Regular" w:hAnsi="Times New Roman Regular" w:cs="Times New Roman Regular"/>
            <w:sz w:val="22"/>
            <w:szCs w:val="28"/>
          </w:rPr>
          <w:t>https://doi.org/10.31004/irje.v4i4.1352</w:t>
        </w:r>
      </w:hyperlink>
    </w:p>
    <w:p w14:paraId="40C79D03"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Palupi</w:t>
      </w:r>
      <w:proofErr w:type="spellEnd"/>
      <w:r>
        <w:rPr>
          <w:rFonts w:ascii="Times New Roman Regular" w:hAnsi="Times New Roman Regular" w:cs="Times New Roman Regular"/>
          <w:sz w:val="22"/>
          <w:szCs w:val="22"/>
        </w:rPr>
        <w:t xml:space="preserve">, A. N., </w:t>
      </w:r>
      <w:proofErr w:type="spellStart"/>
      <w:r>
        <w:rPr>
          <w:rFonts w:ascii="Times New Roman Regular" w:hAnsi="Times New Roman Regular" w:cs="Times New Roman Regular"/>
          <w:sz w:val="22"/>
          <w:szCs w:val="22"/>
        </w:rPr>
        <w:t>Widiastuti</w:t>
      </w:r>
      <w:proofErr w:type="spellEnd"/>
      <w:r>
        <w:rPr>
          <w:rFonts w:ascii="Times New Roman Regular" w:hAnsi="Times New Roman Regular" w:cs="Times New Roman Regular"/>
          <w:sz w:val="22"/>
          <w:szCs w:val="22"/>
        </w:rPr>
        <w:t xml:space="preserve">, D. E., </w:t>
      </w:r>
      <w:proofErr w:type="spellStart"/>
      <w:r>
        <w:rPr>
          <w:rFonts w:ascii="Times New Roman Regular" w:hAnsi="Times New Roman Regular" w:cs="Times New Roman Regular"/>
          <w:sz w:val="22"/>
          <w:szCs w:val="22"/>
        </w:rPr>
        <w:t>Hidhayah</w:t>
      </w:r>
      <w:proofErr w:type="spellEnd"/>
      <w:r>
        <w:rPr>
          <w:rFonts w:ascii="Times New Roman Regular" w:hAnsi="Times New Roman Regular" w:cs="Times New Roman Regular"/>
          <w:sz w:val="22"/>
          <w:szCs w:val="22"/>
        </w:rPr>
        <w:t>, F. N., Utami, F. D. W., &amp; Wana, P. R. (2020). </w:t>
      </w:r>
      <w:proofErr w:type="spellStart"/>
      <w:r>
        <w:rPr>
          <w:rFonts w:ascii="Times New Roman Regular" w:hAnsi="Times New Roman Regular" w:cs="Times New Roman Regular"/>
          <w:sz w:val="22"/>
          <w:szCs w:val="22"/>
        </w:rPr>
        <w:t>Peningkatan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Literasi</w:t>
      </w:r>
      <w:proofErr w:type="spellEnd"/>
      <w:r>
        <w:rPr>
          <w:rFonts w:ascii="Times New Roman Regular" w:hAnsi="Times New Roman Regular" w:cs="Times New Roman Regular"/>
          <w:sz w:val="22"/>
          <w:szCs w:val="22"/>
        </w:rPr>
        <w:t xml:space="preserve"> di </w:t>
      </w:r>
      <w:proofErr w:type="spellStart"/>
      <w:r>
        <w:rPr>
          <w:rFonts w:ascii="Times New Roman Regular" w:hAnsi="Times New Roman Regular" w:cs="Times New Roman Regular"/>
          <w:sz w:val="22"/>
          <w:szCs w:val="22"/>
        </w:rPr>
        <w:t>Sekolah</w:t>
      </w:r>
      <w:proofErr w:type="spellEnd"/>
      <w:r>
        <w:rPr>
          <w:rFonts w:ascii="Times New Roman Regular" w:hAnsi="Times New Roman Regular" w:cs="Times New Roman Regular"/>
          <w:sz w:val="22"/>
          <w:szCs w:val="22"/>
        </w:rPr>
        <w:t xml:space="preserve"> Dasar. </w:t>
      </w:r>
      <w:proofErr w:type="spellStart"/>
      <w:r>
        <w:rPr>
          <w:rFonts w:ascii="Times New Roman Regular" w:hAnsi="Times New Roman Regular" w:cs="Times New Roman Regular"/>
          <w:sz w:val="22"/>
          <w:szCs w:val="22"/>
        </w:rPr>
        <w:t>Bayfa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Cendekia</w:t>
      </w:r>
      <w:proofErr w:type="spellEnd"/>
      <w:r>
        <w:rPr>
          <w:rFonts w:ascii="Times New Roman Regular" w:hAnsi="Times New Roman Regular" w:cs="Times New Roman Regular"/>
          <w:sz w:val="22"/>
          <w:szCs w:val="22"/>
        </w:rPr>
        <w:t xml:space="preserve"> Indonesia.</w:t>
      </w:r>
    </w:p>
    <w:p w14:paraId="44DF454B" w14:textId="77777777" w:rsidR="0081236B" w:rsidRDefault="0037599E">
      <w:pPr>
        <w:widowControl/>
        <w:ind w:left="838" w:hangingChars="381" w:hanging="838"/>
        <w:rPr>
          <w:rFonts w:ascii="Times New Roman Regular" w:hAnsi="Times New Roman Regular" w:cs="Times New Roman Regular" w:hint="eastAsia"/>
          <w:sz w:val="22"/>
          <w:szCs w:val="22"/>
        </w:rPr>
      </w:pPr>
      <w:r>
        <w:rPr>
          <w:rFonts w:ascii="Times New Roman Regular" w:hAnsi="Times New Roman Regular" w:cs="Times New Roman Regular"/>
          <w:sz w:val="22"/>
          <w:szCs w:val="22"/>
        </w:rPr>
        <w:t xml:space="preserve">Pratama, A. N., </w:t>
      </w:r>
      <w:proofErr w:type="spellStart"/>
      <w:r>
        <w:rPr>
          <w:rFonts w:ascii="Times New Roman Regular" w:hAnsi="Times New Roman Regular" w:cs="Times New Roman Regular"/>
          <w:sz w:val="22"/>
          <w:szCs w:val="22"/>
        </w:rPr>
        <w:t>Tisnasari</w:t>
      </w:r>
      <w:proofErr w:type="spellEnd"/>
      <w:r>
        <w:rPr>
          <w:rFonts w:ascii="Times New Roman Regular" w:hAnsi="Times New Roman Regular" w:cs="Times New Roman Regular"/>
          <w:sz w:val="22"/>
          <w:szCs w:val="22"/>
        </w:rPr>
        <w:t xml:space="preserve">, S., &amp; Yuliana, R. (2023). Proses </w:t>
      </w:r>
      <w:proofErr w:type="spellStart"/>
      <w:r>
        <w:rPr>
          <w:rFonts w:ascii="Times New Roman Regular" w:hAnsi="Times New Roman Regular" w:cs="Times New Roman Regular"/>
          <w:sz w:val="22"/>
          <w:szCs w:val="22"/>
        </w:rPr>
        <w:t>Penguatan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Karakter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Gemar</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Pada </w:t>
      </w:r>
      <w:proofErr w:type="spellStart"/>
      <w:r>
        <w:rPr>
          <w:rFonts w:ascii="Times New Roman Regular" w:hAnsi="Times New Roman Regular" w:cs="Times New Roman Regular"/>
          <w:sz w:val="22"/>
          <w:szCs w:val="22"/>
        </w:rPr>
        <w:t>Peserta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Didik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Dengan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Memanfaatkan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Teknologi</w:t>
      </w:r>
      <w:proofErr w:type="spellEnd"/>
      <w:r>
        <w:rPr>
          <w:rFonts w:ascii="Times New Roman Regular" w:hAnsi="Times New Roman Regular" w:cs="Times New Roman Regular"/>
          <w:sz w:val="22"/>
          <w:szCs w:val="22"/>
        </w:rPr>
        <w:t xml:space="preserve"> Internet </w:t>
      </w:r>
      <w:proofErr w:type="spellStart"/>
      <w:r>
        <w:rPr>
          <w:rFonts w:ascii="Times New Roman Regular" w:hAnsi="Times New Roman Regular" w:cs="Times New Roman Regular"/>
          <w:sz w:val="22"/>
          <w:szCs w:val="22"/>
        </w:rPr>
        <w:t>Sebagai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Sarana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Belajar</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Metodik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Didaktik</w:t>
      </w:r>
      <w:proofErr w:type="spellEnd"/>
      <w:r>
        <w:rPr>
          <w:rFonts w:ascii="Times New Roman Regular" w:hAnsi="Times New Roman Regular" w:cs="Times New Roman Regular"/>
          <w:sz w:val="22"/>
          <w:szCs w:val="22"/>
        </w:rPr>
        <w:t>, 19(1), 21-30.</w:t>
      </w:r>
    </w:p>
    <w:p w14:paraId="447239D8" w14:textId="77777777" w:rsidR="0081236B" w:rsidRDefault="0037599E">
      <w:pPr>
        <w:widowControl/>
        <w:ind w:left="838" w:hangingChars="381" w:hanging="838"/>
        <w:rPr>
          <w:rFonts w:ascii="Times New Roman Regular" w:hAnsi="Times New Roman Regular" w:cs="Times New Roman Regular" w:hint="eastAsia"/>
          <w:color w:val="212121"/>
          <w:sz w:val="22"/>
          <w:szCs w:val="22"/>
        </w:rPr>
      </w:pPr>
      <w:proofErr w:type="spellStart"/>
      <w:r>
        <w:rPr>
          <w:rFonts w:ascii="Times New Roman Regular" w:hAnsi="Times New Roman Regular" w:cs="Times New Roman Regular"/>
          <w:color w:val="212121"/>
          <w:sz w:val="22"/>
          <w:szCs w:val="22"/>
        </w:rPr>
        <w:t>Rokayah</w:t>
      </w:r>
      <w:proofErr w:type="spellEnd"/>
      <w:r>
        <w:rPr>
          <w:rFonts w:ascii="Times New Roman Regular" w:hAnsi="Times New Roman Regular" w:cs="Times New Roman Regular"/>
          <w:color w:val="212121"/>
          <w:sz w:val="22"/>
          <w:szCs w:val="22"/>
        </w:rPr>
        <w:t xml:space="preserve">, R. (2019). </w:t>
      </w:r>
      <w:proofErr w:type="spellStart"/>
      <w:r>
        <w:rPr>
          <w:rFonts w:ascii="Times New Roman Regular" w:hAnsi="Times New Roman Regular" w:cs="Times New Roman Regular"/>
          <w:color w:val="212121"/>
          <w:sz w:val="22"/>
          <w:szCs w:val="22"/>
        </w:rPr>
        <w:t>Profil</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Kemampuan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Ilmu</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Pengetahuan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Sosial</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Ips</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Peserta</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Didik</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z w:val="22"/>
          <w:szCs w:val="22"/>
        </w:rPr>
        <w:t xml:space="preserve"> Dasar Kelas 4 &amp; 5 </w:t>
      </w:r>
      <w:proofErr w:type="spellStart"/>
      <w:r>
        <w:rPr>
          <w:rFonts w:ascii="Times New Roman Regular" w:hAnsi="Times New Roman Regular" w:cs="Times New Roman Regular"/>
          <w:color w:val="212121"/>
          <w:sz w:val="22"/>
          <w:szCs w:val="22"/>
        </w:rPr>
        <w:t>Dalam</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Rangka</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Gerakan</w:t>
      </w:r>
      <w:proofErr w:type="spellEnd"/>
      <w:r>
        <w:rPr>
          <w:rFonts w:ascii="Times New Roman Regular" w:hAnsi="Times New Roman Regular" w:cs="Times New Roman Regular"/>
          <w:color w:val="21212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Jurnal</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Wahana</w:t>
      </w:r>
      <w:proofErr w:type="spellEnd"/>
      <w:r>
        <w:rPr>
          <w:rFonts w:ascii="Times New Roman Regular" w:hAnsi="Times New Roman Regular" w:cs="Times New Roman Regular"/>
          <w:color w:val="212121"/>
          <w:spacing w:val="-2"/>
          <w:sz w:val="22"/>
          <w:szCs w:val="22"/>
        </w:rPr>
        <w:t xml:space="preserve"> </w:t>
      </w:r>
      <w:r>
        <w:rPr>
          <w:rFonts w:ascii="Times New Roman Regular" w:hAnsi="Times New Roman Regular" w:cs="Times New Roman Regular"/>
          <w:color w:val="212121"/>
          <w:sz w:val="22"/>
          <w:szCs w:val="22"/>
        </w:rPr>
        <w:t xml:space="preserve">Pendidikan, </w:t>
      </w:r>
      <w:r>
        <w:rPr>
          <w:rFonts w:ascii="Times New Roman Regular" w:hAnsi="Times New Roman Regular" w:cs="Times New Roman Regular"/>
          <w:i/>
          <w:color w:val="212121"/>
          <w:sz w:val="22"/>
          <w:szCs w:val="22"/>
        </w:rPr>
        <w:t>4</w:t>
      </w:r>
      <w:r>
        <w:rPr>
          <w:rFonts w:ascii="Times New Roman Regular" w:hAnsi="Times New Roman Regular" w:cs="Times New Roman Regular"/>
          <w:color w:val="212121"/>
          <w:sz w:val="22"/>
          <w:szCs w:val="22"/>
        </w:rPr>
        <w:t>(1), 34-53.</w:t>
      </w:r>
    </w:p>
    <w:p w14:paraId="6D21E703"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Rustiarini</w:t>
      </w:r>
      <w:proofErr w:type="spellEnd"/>
      <w:r>
        <w:rPr>
          <w:rFonts w:ascii="Times New Roman Regular" w:hAnsi="Times New Roman Regular" w:cs="Times New Roman Regular"/>
          <w:sz w:val="22"/>
          <w:szCs w:val="22"/>
        </w:rPr>
        <w:t xml:space="preserve">, N. W., &amp; Dewi, N. K. C. (2021). </w:t>
      </w:r>
      <w:proofErr w:type="spellStart"/>
      <w:r>
        <w:rPr>
          <w:rFonts w:ascii="Times New Roman Regular" w:hAnsi="Times New Roman Regular" w:cs="Times New Roman Regular"/>
          <w:sz w:val="22"/>
          <w:szCs w:val="22"/>
        </w:rPr>
        <w:t>Penataan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Perpustakaan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Desa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untuk</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Meningkatkan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Literasi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LOSARI: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Pengabdi</w:t>
      </w:r>
      <w:r>
        <w:rPr>
          <w:rFonts w:ascii="Times New Roman Regular" w:hAnsi="Times New Roman Regular" w:cs="Times New Roman Regular"/>
          <w:sz w:val="22"/>
          <w:szCs w:val="22"/>
        </w:rPr>
        <w:t>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Kepada</w:t>
      </w:r>
      <w:proofErr w:type="spellEnd"/>
      <w:r>
        <w:rPr>
          <w:rFonts w:ascii="Times New Roman Regular" w:hAnsi="Times New Roman Regular" w:cs="Times New Roman Regular"/>
          <w:sz w:val="22"/>
          <w:szCs w:val="22"/>
        </w:rPr>
        <w:t xml:space="preserve"> Masyarakat, 3(1), 8-15. </w:t>
      </w:r>
      <w:hyperlink r:id="rId10" w:history="1">
        <w:r w:rsidR="0081236B">
          <w:rPr>
            <w:rFonts w:ascii="Times New Roman Regular" w:hAnsi="Times New Roman Regular" w:cs="Times New Roman Regular"/>
            <w:sz w:val="22"/>
            <w:szCs w:val="22"/>
          </w:rPr>
          <w:t>https://doi.org/10.53860/losari.v3i1.35</w:t>
        </w:r>
      </w:hyperlink>
    </w:p>
    <w:p w14:paraId="48A84C3C"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Tahmidaten</w:t>
      </w:r>
      <w:proofErr w:type="spellEnd"/>
      <w:r>
        <w:rPr>
          <w:rFonts w:ascii="Times New Roman Regular" w:hAnsi="Times New Roman Regular" w:cs="Times New Roman Regular"/>
          <w:sz w:val="22"/>
          <w:szCs w:val="22"/>
        </w:rPr>
        <w:t xml:space="preserve">, L., &amp; </w:t>
      </w:r>
      <w:proofErr w:type="spellStart"/>
      <w:r>
        <w:rPr>
          <w:rFonts w:ascii="Times New Roman Regular" w:hAnsi="Times New Roman Regular" w:cs="Times New Roman Regular"/>
          <w:sz w:val="22"/>
          <w:szCs w:val="22"/>
        </w:rPr>
        <w:t>Krismanto</w:t>
      </w:r>
      <w:proofErr w:type="spellEnd"/>
      <w:r>
        <w:rPr>
          <w:rFonts w:ascii="Times New Roman Regular" w:hAnsi="Times New Roman Regular" w:cs="Times New Roman Regular"/>
          <w:sz w:val="22"/>
          <w:szCs w:val="22"/>
        </w:rPr>
        <w:t xml:space="preserve">, W. (2020). </w:t>
      </w:r>
      <w:proofErr w:type="spellStart"/>
      <w:r>
        <w:rPr>
          <w:rFonts w:ascii="Times New Roman Regular" w:hAnsi="Times New Roman Regular" w:cs="Times New Roman Regular"/>
          <w:sz w:val="22"/>
          <w:szCs w:val="22"/>
        </w:rPr>
        <w:t>Permasalahan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budaya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membaca</w:t>
      </w:r>
      <w:proofErr w:type="spellEnd"/>
      <w:r>
        <w:rPr>
          <w:rFonts w:ascii="Times New Roman Regular" w:hAnsi="Times New Roman Regular" w:cs="Times New Roman Regular"/>
          <w:sz w:val="22"/>
          <w:szCs w:val="22"/>
        </w:rPr>
        <w:t xml:space="preserve"> di Indonesia (</w:t>
      </w:r>
      <w:proofErr w:type="spellStart"/>
      <w:r>
        <w:rPr>
          <w:rFonts w:ascii="Times New Roman Regular" w:hAnsi="Times New Roman Regular" w:cs="Times New Roman Regular"/>
          <w:sz w:val="22"/>
          <w:szCs w:val="22"/>
        </w:rPr>
        <w:t>Studi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pustaka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tentang</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problematika</w:t>
      </w:r>
      <w:proofErr w:type="spellEnd"/>
      <w:r>
        <w:rPr>
          <w:rFonts w:ascii="Times New Roman Regular" w:hAnsi="Times New Roman Regular" w:cs="Times New Roman Regular"/>
          <w:sz w:val="22"/>
          <w:szCs w:val="22"/>
        </w:rPr>
        <w:t xml:space="preserve"> &amp; </w:t>
      </w:r>
      <w:proofErr w:type="spellStart"/>
      <w:r>
        <w:rPr>
          <w:rFonts w:ascii="Times New Roman Regular" w:hAnsi="Times New Roman Regular" w:cs="Times New Roman Regular"/>
          <w:sz w:val="22"/>
          <w:szCs w:val="22"/>
        </w:rPr>
        <w:t>solusin</w:t>
      </w:r>
      <w:r>
        <w:rPr>
          <w:rFonts w:ascii="Times New Roman Regular" w:hAnsi="Times New Roman Regular" w:cs="Times New Roman Regular"/>
          <w:sz w:val="22"/>
          <w:szCs w:val="22"/>
        </w:rPr>
        <w:t>ya</w:t>
      </w:r>
      <w:proofErr w:type="spellEnd"/>
      <w:r>
        <w:rPr>
          <w:rFonts w:ascii="Times New Roman Regular" w:hAnsi="Times New Roman Regular" w:cs="Times New Roman Regular"/>
          <w:sz w:val="22"/>
          <w:szCs w:val="22"/>
        </w:rPr>
        <w:t>). </w:t>
      </w:r>
      <w:proofErr w:type="spellStart"/>
      <w:r>
        <w:rPr>
          <w:rFonts w:ascii="Times New Roman Regular" w:hAnsi="Times New Roman Regular" w:cs="Times New Roman Regular"/>
          <w:sz w:val="22"/>
          <w:szCs w:val="22"/>
        </w:rPr>
        <w:t>Scholaria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Jurnal</w:t>
      </w:r>
      <w:proofErr w:type="spellEnd"/>
      <w:r>
        <w:rPr>
          <w:rFonts w:ascii="Times New Roman Regular" w:hAnsi="Times New Roman Regular" w:cs="Times New Roman Regular"/>
          <w:sz w:val="22"/>
          <w:szCs w:val="22"/>
        </w:rPr>
        <w:t xml:space="preserve"> Pendidikan Dan </w:t>
      </w:r>
      <w:proofErr w:type="spellStart"/>
      <w:r>
        <w:rPr>
          <w:rFonts w:ascii="Times New Roman Regular" w:hAnsi="Times New Roman Regular" w:cs="Times New Roman Regular"/>
          <w:sz w:val="22"/>
          <w:szCs w:val="22"/>
        </w:rPr>
        <w:t>Kebudayaan</w:t>
      </w:r>
      <w:proofErr w:type="spellEnd"/>
      <w:r>
        <w:rPr>
          <w:rFonts w:ascii="Times New Roman Regular" w:hAnsi="Times New Roman Regular" w:cs="Times New Roman Regular"/>
          <w:sz w:val="22"/>
          <w:szCs w:val="22"/>
        </w:rPr>
        <w:t xml:space="preserve">, 10(1), 22-33. </w:t>
      </w:r>
      <w:r>
        <w:rPr>
          <w:rFonts w:ascii="Times New Roman Regular" w:hAnsi="Times New Roman Regular" w:cs="Times New Roman Regular"/>
          <w:sz w:val="22"/>
          <w:szCs w:val="28"/>
        </w:rPr>
        <w:t>DOI: </w:t>
      </w:r>
      <w:hyperlink r:id="rId11" w:history="1">
        <w:r w:rsidR="0081236B">
          <w:rPr>
            <w:rFonts w:ascii="Times New Roman Regular" w:hAnsi="Times New Roman Regular" w:cs="Times New Roman Regular"/>
            <w:sz w:val="22"/>
            <w:szCs w:val="28"/>
          </w:rPr>
          <w:t>https://doi.org/10.24246/j.js.2020.v10.i1.p22-33</w:t>
        </w:r>
      </w:hyperlink>
    </w:p>
    <w:p w14:paraId="7B81743B" w14:textId="77777777" w:rsidR="0081236B" w:rsidRDefault="0037599E">
      <w:pPr>
        <w:widowControl/>
        <w:ind w:left="838" w:hangingChars="381" w:hanging="838"/>
        <w:rPr>
          <w:rFonts w:ascii="Times New Roman" w:eastAsia="SimSun" w:hAnsi="Times New Roman" w:cs="Times New Roman"/>
          <w:iCs/>
          <w:color w:val="222222"/>
          <w:kern w:val="0"/>
          <w:sz w:val="22"/>
          <w:szCs w:val="22"/>
          <w:shd w:val="clear" w:color="auto" w:fill="FFFFFF"/>
          <w:lang w:bidi="ar"/>
        </w:rPr>
      </w:pPr>
      <w:r>
        <w:rPr>
          <w:rFonts w:ascii="Times New Roman" w:eastAsia="SimSun" w:hAnsi="Times New Roman" w:cs="Times New Roman"/>
          <w:iCs/>
          <w:color w:val="222222"/>
          <w:kern w:val="0"/>
          <w:sz w:val="22"/>
          <w:szCs w:val="22"/>
          <w:shd w:val="clear" w:color="auto" w:fill="FFFFFF"/>
          <w:lang w:bidi="ar"/>
        </w:rPr>
        <w:t xml:space="preserve">Utami, W. S., Rahmawati, D. D., </w:t>
      </w:r>
      <w:proofErr w:type="spellStart"/>
      <w:r>
        <w:rPr>
          <w:rFonts w:ascii="Times New Roman" w:eastAsia="SimSun" w:hAnsi="Times New Roman" w:cs="Times New Roman"/>
          <w:iCs/>
          <w:color w:val="222222"/>
          <w:kern w:val="0"/>
          <w:sz w:val="22"/>
          <w:szCs w:val="22"/>
          <w:shd w:val="clear" w:color="auto" w:fill="FFFFFF"/>
          <w:lang w:bidi="ar"/>
        </w:rPr>
        <w:t>Ubaidillah</w:t>
      </w:r>
      <w:proofErr w:type="spellEnd"/>
      <w:r>
        <w:rPr>
          <w:rFonts w:ascii="Times New Roman" w:eastAsia="SimSun" w:hAnsi="Times New Roman" w:cs="Times New Roman"/>
          <w:iCs/>
          <w:color w:val="222222"/>
          <w:kern w:val="0"/>
          <w:sz w:val="22"/>
          <w:szCs w:val="22"/>
          <w:shd w:val="clear" w:color="auto" w:fill="FFFFFF"/>
          <w:lang w:bidi="ar"/>
        </w:rPr>
        <w:t xml:space="preserve">, R. N., &amp; Putri, D. (2024). </w:t>
      </w:r>
      <w:proofErr w:type="spellStart"/>
      <w:r>
        <w:rPr>
          <w:rFonts w:ascii="Times New Roman" w:eastAsia="SimSun" w:hAnsi="Times New Roman" w:cs="Times New Roman"/>
          <w:iCs/>
          <w:color w:val="222222"/>
          <w:kern w:val="0"/>
          <w:sz w:val="22"/>
          <w:szCs w:val="22"/>
          <w:shd w:val="clear" w:color="auto" w:fill="FFFFFF"/>
          <w:lang w:bidi="ar"/>
        </w:rPr>
        <w:t>Analisis</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Kemampuan</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Literasi</w:t>
      </w:r>
      <w:proofErr w:type="spellEnd"/>
      <w:r>
        <w:rPr>
          <w:rFonts w:ascii="Times New Roman" w:eastAsia="SimSun" w:hAnsi="Times New Roman" w:cs="Times New Roman"/>
          <w:iCs/>
          <w:color w:val="222222"/>
          <w:kern w:val="0"/>
          <w:sz w:val="22"/>
          <w:szCs w:val="22"/>
          <w:shd w:val="clear" w:color="auto" w:fill="FFFFFF"/>
          <w:lang w:bidi="ar"/>
        </w:rPr>
        <w:t xml:space="preserve"> Baca </w:t>
      </w:r>
      <w:proofErr w:type="spellStart"/>
      <w:r>
        <w:rPr>
          <w:rFonts w:ascii="Times New Roman" w:eastAsia="SimSun" w:hAnsi="Times New Roman" w:cs="Times New Roman"/>
          <w:iCs/>
          <w:color w:val="222222"/>
          <w:kern w:val="0"/>
          <w:sz w:val="22"/>
          <w:szCs w:val="22"/>
          <w:shd w:val="clear" w:color="auto" w:fill="FFFFFF"/>
          <w:lang w:bidi="ar"/>
        </w:rPr>
        <w:t>Tulis</w:t>
      </w:r>
      <w:proofErr w:type="spellEnd"/>
      <w:r>
        <w:rPr>
          <w:rFonts w:ascii="Times New Roman" w:eastAsia="SimSun" w:hAnsi="Times New Roman" w:cs="Times New Roman"/>
          <w:iCs/>
          <w:color w:val="222222"/>
          <w:kern w:val="0"/>
          <w:sz w:val="22"/>
          <w:szCs w:val="22"/>
          <w:shd w:val="clear" w:color="auto" w:fill="FFFFFF"/>
          <w:lang w:bidi="ar"/>
        </w:rPr>
        <w:t xml:space="preserve"> </w:t>
      </w:r>
      <w:proofErr w:type="spellStart"/>
      <w:r>
        <w:rPr>
          <w:rFonts w:ascii="Times New Roman" w:eastAsia="SimSun" w:hAnsi="Times New Roman" w:cs="Times New Roman"/>
          <w:iCs/>
          <w:color w:val="222222"/>
          <w:kern w:val="0"/>
          <w:sz w:val="22"/>
          <w:szCs w:val="22"/>
          <w:shd w:val="clear" w:color="auto" w:fill="FFFFFF"/>
          <w:lang w:bidi="ar"/>
        </w:rPr>
        <w:t>Siswa</w:t>
      </w:r>
      <w:proofErr w:type="spellEnd"/>
      <w:r>
        <w:rPr>
          <w:rFonts w:ascii="Times New Roman" w:eastAsia="SimSun" w:hAnsi="Times New Roman" w:cs="Times New Roman"/>
          <w:iCs/>
          <w:color w:val="222222"/>
          <w:kern w:val="0"/>
          <w:sz w:val="22"/>
          <w:szCs w:val="22"/>
          <w:shd w:val="clear" w:color="auto" w:fill="FFFFFF"/>
          <w:lang w:bidi="ar"/>
        </w:rPr>
        <w:t xml:space="preserve"> Kelas 1 SD Negeri 039/IX Tantan. </w:t>
      </w:r>
      <w:r>
        <w:rPr>
          <w:rFonts w:ascii="Times New Roman" w:eastAsia="SimSun" w:hAnsi="Times New Roman" w:cs="Times New Roman"/>
          <w:iCs/>
          <w:color w:val="222222"/>
          <w:kern w:val="0"/>
          <w:sz w:val="22"/>
          <w:szCs w:val="22"/>
          <w:lang w:bidi="ar"/>
        </w:rPr>
        <w:t>Journal of Education Research</w:t>
      </w:r>
      <w:r>
        <w:rPr>
          <w:rFonts w:ascii="Times New Roman" w:eastAsia="SimSun" w:hAnsi="Times New Roman" w:cs="Times New Roman"/>
          <w:iCs/>
          <w:color w:val="222222"/>
          <w:kern w:val="0"/>
          <w:sz w:val="22"/>
          <w:szCs w:val="22"/>
          <w:shd w:val="clear" w:color="auto" w:fill="FFFFFF"/>
          <w:lang w:bidi="ar"/>
        </w:rPr>
        <w:t>, </w:t>
      </w:r>
      <w:r>
        <w:rPr>
          <w:rFonts w:ascii="Times New Roman" w:eastAsia="SimSun" w:hAnsi="Times New Roman" w:cs="Times New Roman"/>
          <w:iCs/>
          <w:color w:val="222222"/>
          <w:kern w:val="0"/>
          <w:sz w:val="22"/>
          <w:szCs w:val="22"/>
          <w:lang w:bidi="ar"/>
        </w:rPr>
        <w:t>5</w:t>
      </w:r>
      <w:r>
        <w:rPr>
          <w:rFonts w:ascii="Times New Roman" w:eastAsia="SimSun" w:hAnsi="Times New Roman" w:cs="Times New Roman"/>
          <w:iCs/>
          <w:color w:val="222222"/>
          <w:kern w:val="0"/>
          <w:sz w:val="22"/>
          <w:szCs w:val="22"/>
          <w:shd w:val="clear" w:color="auto" w:fill="FFFFFF"/>
          <w:lang w:bidi="ar"/>
        </w:rPr>
        <w:t>(4), 6583-6588.</w:t>
      </w:r>
    </w:p>
    <w:p w14:paraId="305504DA" w14:textId="77777777" w:rsidR="0081236B" w:rsidRDefault="0037599E">
      <w:pPr>
        <w:widowControl/>
        <w:ind w:left="838" w:hangingChars="381" w:hanging="838"/>
        <w:rPr>
          <w:rFonts w:ascii="Times New Roman Regular" w:hAnsi="Times New Roman Regular" w:cs="Times New Roman Regular" w:hint="eastAsia"/>
          <w:sz w:val="22"/>
          <w:szCs w:val="22"/>
        </w:rPr>
      </w:pPr>
      <w:proofErr w:type="spellStart"/>
      <w:r>
        <w:rPr>
          <w:rFonts w:ascii="Times New Roman Regular" w:hAnsi="Times New Roman Regular" w:cs="Times New Roman Regular"/>
          <w:sz w:val="22"/>
          <w:szCs w:val="22"/>
        </w:rPr>
        <w:t>Vidiawati</w:t>
      </w:r>
      <w:proofErr w:type="spellEnd"/>
      <w:r>
        <w:rPr>
          <w:rFonts w:ascii="Times New Roman Regular" w:hAnsi="Times New Roman Regular" w:cs="Times New Roman Regular"/>
          <w:sz w:val="22"/>
          <w:szCs w:val="22"/>
        </w:rPr>
        <w:t>, V. (2019). </w:t>
      </w:r>
      <w:proofErr w:type="spellStart"/>
      <w:r>
        <w:rPr>
          <w:rFonts w:ascii="Times New Roman Regular" w:hAnsi="Times New Roman Regular" w:cs="Times New Roman Regular"/>
          <w:sz w:val="22"/>
          <w:szCs w:val="22"/>
        </w:rPr>
        <w:t>Implementasi</w:t>
      </w:r>
      <w:proofErr w:type="spellEnd"/>
      <w:r>
        <w:rPr>
          <w:rFonts w:ascii="Times New Roman Regular" w:hAnsi="Times New Roman Regular" w:cs="Times New Roman Regular"/>
          <w:sz w:val="22"/>
          <w:szCs w:val="22"/>
        </w:rPr>
        <w:t xml:space="preserve"> Program </w:t>
      </w:r>
      <w:proofErr w:type="spellStart"/>
      <w:r>
        <w:rPr>
          <w:rFonts w:ascii="Times New Roman Regular" w:hAnsi="Times New Roman Regular" w:cs="Times New Roman Regular"/>
          <w:sz w:val="22"/>
          <w:szCs w:val="22"/>
        </w:rPr>
        <w:t>Literasi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Meningkatkan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Minat</w:t>
      </w:r>
      <w:proofErr w:type="spellEnd"/>
      <w:r>
        <w:rPr>
          <w:rFonts w:ascii="Times New Roman Regular" w:hAnsi="Times New Roman Regular" w:cs="Times New Roman Regular"/>
          <w:sz w:val="22"/>
          <w:szCs w:val="22"/>
        </w:rPr>
        <w:t xml:space="preserve"> Baca </w:t>
      </w:r>
      <w:proofErr w:type="spellStart"/>
      <w:r>
        <w:rPr>
          <w:rFonts w:ascii="Times New Roman Regular" w:hAnsi="Times New Roman Regular" w:cs="Times New Roman Regular"/>
          <w:sz w:val="22"/>
          <w:szCs w:val="22"/>
        </w:rPr>
        <w:t>Peserta</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Didik</w:t>
      </w:r>
      <w:proofErr w:type="spellEnd"/>
      <w:r>
        <w:rPr>
          <w:rFonts w:ascii="Times New Roman Regular" w:hAnsi="Times New Roman Regular" w:cs="Times New Roman Regular"/>
          <w:sz w:val="22"/>
          <w:szCs w:val="22"/>
        </w:rPr>
        <w:t xml:space="preserve"> Madrasah </w:t>
      </w:r>
      <w:proofErr w:type="spellStart"/>
      <w:r>
        <w:rPr>
          <w:rFonts w:ascii="Times New Roman Regular" w:hAnsi="Times New Roman Regular" w:cs="Times New Roman Regular"/>
          <w:sz w:val="22"/>
          <w:szCs w:val="22"/>
        </w:rPr>
        <w:t>Ibtidaiyah</w:t>
      </w:r>
      <w:proofErr w:type="spellEnd"/>
      <w:r>
        <w:rPr>
          <w:rFonts w:ascii="Times New Roman Regular" w:hAnsi="Times New Roman Regular" w:cs="Times New Roman Regular"/>
          <w:sz w:val="22"/>
          <w:szCs w:val="22"/>
        </w:rPr>
        <w:t xml:space="preserve"> Negeri 4 </w:t>
      </w:r>
      <w:proofErr w:type="spellStart"/>
      <w:r>
        <w:rPr>
          <w:rFonts w:ascii="Times New Roman Regular" w:hAnsi="Times New Roman Regular" w:cs="Times New Roman Regular"/>
          <w:sz w:val="22"/>
          <w:szCs w:val="22"/>
        </w:rPr>
        <w:t>Pondo</w:t>
      </w:r>
      <w:r>
        <w:rPr>
          <w:rFonts w:ascii="Times New Roman Regular" w:hAnsi="Times New Roman Regular" w:cs="Times New Roman Regular"/>
          <w:sz w:val="22"/>
          <w:szCs w:val="22"/>
        </w:rPr>
        <w:t>k</w:t>
      </w:r>
      <w:proofErr w:type="spellEnd"/>
      <w:r>
        <w:rPr>
          <w:rFonts w:ascii="Times New Roman Regular" w:hAnsi="Times New Roman Regular" w:cs="Times New Roman Regular"/>
          <w:sz w:val="22"/>
          <w:szCs w:val="22"/>
        </w:rPr>
        <w:t xml:space="preserve"> Pinang Jakarta Selatan (</w:t>
      </w:r>
      <w:proofErr w:type="spellStart"/>
      <w:r>
        <w:rPr>
          <w:rFonts w:ascii="Times New Roman Regular" w:hAnsi="Times New Roman Regular" w:cs="Times New Roman Regular"/>
          <w:sz w:val="22"/>
          <w:szCs w:val="22"/>
        </w:rPr>
        <w:t>Institut</w:t>
      </w:r>
      <w:proofErr w:type="spellEnd"/>
      <w:r>
        <w:rPr>
          <w:rFonts w:ascii="Times New Roman Regular" w:hAnsi="Times New Roman Regular" w:cs="Times New Roman Regular"/>
          <w:sz w:val="22"/>
          <w:szCs w:val="22"/>
        </w:rPr>
        <w:t xml:space="preserve"> PTIQ Jakarta).</w:t>
      </w:r>
    </w:p>
    <w:p w14:paraId="48A7FE21" w14:textId="77777777" w:rsidR="0081236B" w:rsidRDefault="0037599E">
      <w:pPr>
        <w:widowControl/>
        <w:ind w:left="838" w:hangingChars="381" w:hanging="838"/>
        <w:rPr>
          <w:rFonts w:ascii="Times New Roman Regular" w:hAnsi="Times New Roman Regular" w:cs="Times New Roman Regular" w:hint="eastAsia"/>
          <w:color w:val="212121"/>
          <w:sz w:val="22"/>
          <w:szCs w:val="22"/>
        </w:rPr>
      </w:pPr>
      <w:proofErr w:type="spellStart"/>
      <w:r>
        <w:rPr>
          <w:rFonts w:ascii="Times New Roman Regular" w:hAnsi="Times New Roman Regular" w:cs="Times New Roman Regular"/>
          <w:color w:val="212121"/>
          <w:sz w:val="22"/>
          <w:szCs w:val="22"/>
        </w:rPr>
        <w:t>Wandasari</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Y.</w:t>
      </w:r>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(2017).</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Implementasi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gerakan</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literasi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sekolah</w:t>
      </w:r>
      <w:proofErr w:type="spellEnd"/>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color w:val="212121"/>
          <w:sz w:val="22"/>
          <w:szCs w:val="22"/>
        </w:rPr>
        <w:t>(GLS)</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sebagai</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pembentuk</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pendidikan</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berkarakter</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r>
        <w:rPr>
          <w:rFonts w:ascii="Times New Roman Regular" w:hAnsi="Times New Roman Regular" w:cs="Times New Roman Regular"/>
          <w:i/>
          <w:color w:val="212121"/>
          <w:sz w:val="22"/>
          <w:szCs w:val="22"/>
        </w:rPr>
        <w:t>JMKSP</w:t>
      </w:r>
      <w:r>
        <w:rPr>
          <w:rFonts w:ascii="Times New Roman Regular" w:hAnsi="Times New Roman Regular" w:cs="Times New Roman Regular"/>
          <w:i/>
          <w:color w:val="212121"/>
          <w:spacing w:val="1"/>
          <w:sz w:val="22"/>
          <w:szCs w:val="22"/>
        </w:rPr>
        <w:t xml:space="preserve"> </w:t>
      </w:r>
      <w:r>
        <w:rPr>
          <w:rFonts w:ascii="Times New Roman Regular" w:hAnsi="Times New Roman Regular" w:cs="Times New Roman Regular"/>
          <w:i/>
          <w:color w:val="212121"/>
          <w:sz w:val="22"/>
          <w:szCs w:val="22"/>
        </w:rPr>
        <w:t>(</w:t>
      </w:r>
      <w:proofErr w:type="spellStart"/>
      <w:r>
        <w:rPr>
          <w:rFonts w:ascii="Times New Roman Regular" w:hAnsi="Times New Roman Regular" w:cs="Times New Roman Regular"/>
          <w:color w:val="212121"/>
          <w:sz w:val="22"/>
          <w:szCs w:val="22"/>
        </w:rPr>
        <w:t>Jurnal</w:t>
      </w:r>
      <w:proofErr w:type="spellEnd"/>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Manajemen</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Kepemimpinan</w:t>
      </w:r>
      <w:proofErr w:type="spellEnd"/>
      <w:r>
        <w:rPr>
          <w:rFonts w:ascii="Times New Roman Regular" w:hAnsi="Times New Roman Regular" w:cs="Times New Roman Regular"/>
          <w:color w:val="212121"/>
          <w:sz w:val="22"/>
          <w:szCs w:val="22"/>
        </w:rPr>
        <w:t>,</w:t>
      </w:r>
      <w:r>
        <w:rPr>
          <w:rFonts w:ascii="Times New Roman Regular" w:hAnsi="Times New Roman Regular" w:cs="Times New Roman Regular"/>
          <w:color w:val="212121"/>
          <w:spacing w:val="-3"/>
          <w:sz w:val="22"/>
          <w:szCs w:val="22"/>
        </w:rPr>
        <w:t xml:space="preserve"> </w:t>
      </w:r>
      <w:r>
        <w:rPr>
          <w:rFonts w:ascii="Times New Roman Regular" w:hAnsi="Times New Roman Regular" w:cs="Times New Roman Regular"/>
          <w:color w:val="212121"/>
          <w:sz w:val="22"/>
          <w:szCs w:val="22"/>
        </w:rPr>
        <w:t>dan</w:t>
      </w:r>
      <w:r>
        <w:rPr>
          <w:rFonts w:ascii="Times New Roman Regular" w:hAnsi="Times New Roman Regular" w:cs="Times New Roman Regular"/>
          <w:color w:val="212121"/>
          <w:spacing w:val="-1"/>
          <w:sz w:val="22"/>
          <w:szCs w:val="22"/>
        </w:rPr>
        <w:t xml:space="preserve"> </w:t>
      </w:r>
      <w:proofErr w:type="spellStart"/>
      <w:r>
        <w:rPr>
          <w:rFonts w:ascii="Times New Roman Regular" w:hAnsi="Times New Roman Regular" w:cs="Times New Roman Regular"/>
          <w:color w:val="212121"/>
          <w:sz w:val="22"/>
          <w:szCs w:val="22"/>
        </w:rPr>
        <w:t>Supervisi</w:t>
      </w:r>
      <w:proofErr w:type="spellEnd"/>
      <w:r>
        <w:rPr>
          <w:rFonts w:ascii="Times New Roman Regular" w:hAnsi="Times New Roman Regular" w:cs="Times New Roman Regular"/>
          <w:color w:val="212121"/>
          <w:sz w:val="22"/>
          <w:szCs w:val="22"/>
        </w:rPr>
        <w:t xml:space="preserve"> Pendidikan</w:t>
      </w:r>
      <w:r>
        <w:rPr>
          <w:rFonts w:ascii="Times New Roman Regular" w:hAnsi="Times New Roman Regular" w:cs="Times New Roman Regular"/>
          <w:i/>
          <w:color w:val="212121"/>
          <w:sz w:val="22"/>
          <w:szCs w:val="22"/>
        </w:rPr>
        <w:t>)</w:t>
      </w:r>
      <w:r>
        <w:rPr>
          <w:rFonts w:ascii="Times New Roman Regular" w:hAnsi="Times New Roman Regular" w:cs="Times New Roman Regular"/>
          <w:color w:val="212121"/>
          <w:sz w:val="22"/>
          <w:szCs w:val="22"/>
        </w:rPr>
        <w:t xml:space="preserve">, </w:t>
      </w:r>
      <w:r>
        <w:rPr>
          <w:rFonts w:ascii="Times New Roman Regular" w:hAnsi="Times New Roman Regular" w:cs="Times New Roman Regular"/>
          <w:i/>
          <w:color w:val="212121"/>
          <w:sz w:val="22"/>
          <w:szCs w:val="22"/>
        </w:rPr>
        <w:t>2</w:t>
      </w:r>
      <w:r>
        <w:rPr>
          <w:rFonts w:ascii="Times New Roman Regular" w:hAnsi="Times New Roman Regular" w:cs="Times New Roman Regular"/>
          <w:color w:val="212121"/>
          <w:sz w:val="22"/>
          <w:szCs w:val="22"/>
        </w:rPr>
        <w:t>(2), 325-342.</w:t>
      </w:r>
    </w:p>
    <w:p w14:paraId="6FCD1725" w14:textId="77777777" w:rsidR="0081236B" w:rsidRDefault="0037599E">
      <w:pPr>
        <w:widowControl/>
        <w:ind w:left="838" w:hangingChars="381" w:hanging="838"/>
        <w:rPr>
          <w:rFonts w:ascii="Times New Roman Regular" w:hAnsi="Times New Roman Regular" w:cs="Times New Roman Regular" w:hint="eastAsia"/>
          <w:sz w:val="22"/>
          <w:szCs w:val="28"/>
        </w:rPr>
      </w:pPr>
      <w:r>
        <w:rPr>
          <w:rFonts w:ascii="Times New Roman Regular" w:hAnsi="Times New Roman Regular" w:cs="Times New Roman Regular"/>
          <w:sz w:val="22"/>
          <w:szCs w:val="22"/>
        </w:rPr>
        <w:t xml:space="preserve">Wang, C., Zhang, M., </w:t>
      </w:r>
      <w:proofErr w:type="spellStart"/>
      <w:r>
        <w:rPr>
          <w:rFonts w:ascii="Times New Roman Regular" w:hAnsi="Times New Roman Regular" w:cs="Times New Roman Regular"/>
          <w:sz w:val="22"/>
          <w:szCs w:val="22"/>
        </w:rPr>
        <w:t>Sesunan</w:t>
      </w:r>
      <w:proofErr w:type="spellEnd"/>
      <w:r>
        <w:rPr>
          <w:rFonts w:ascii="Times New Roman Regular" w:hAnsi="Times New Roman Regular" w:cs="Times New Roman Regular"/>
          <w:sz w:val="22"/>
          <w:szCs w:val="22"/>
        </w:rPr>
        <w:t xml:space="preserve">, A., &amp; Yolanda, L. (2023). </w:t>
      </w:r>
      <w:proofErr w:type="spellStart"/>
      <w:r>
        <w:rPr>
          <w:rFonts w:ascii="Times New Roman Regular" w:hAnsi="Times New Roman Regular" w:cs="Times New Roman Regular"/>
          <w:sz w:val="22"/>
          <w:szCs w:val="22"/>
        </w:rPr>
        <w:t>Peran</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teknologi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dalam</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transformasi</w:t>
      </w:r>
      <w:proofErr w:type="spellEnd"/>
      <w:r>
        <w:rPr>
          <w:rFonts w:ascii="Times New Roman Regular" w:hAnsi="Times New Roman Regular" w:cs="Times New Roman Regular"/>
          <w:sz w:val="22"/>
          <w:szCs w:val="22"/>
        </w:rPr>
        <w:t xml:space="preserve"> </w:t>
      </w:r>
      <w:proofErr w:type="spellStart"/>
      <w:r>
        <w:rPr>
          <w:rFonts w:ascii="Times New Roman Regular" w:hAnsi="Times New Roman Regular" w:cs="Times New Roman Regular"/>
          <w:sz w:val="22"/>
          <w:szCs w:val="22"/>
        </w:rPr>
        <w:t>pendidikan</w:t>
      </w:r>
      <w:proofErr w:type="spellEnd"/>
      <w:r>
        <w:rPr>
          <w:rFonts w:ascii="Times New Roman Regular" w:hAnsi="Times New Roman Regular" w:cs="Times New Roman Regular"/>
          <w:sz w:val="22"/>
          <w:szCs w:val="22"/>
        </w:rPr>
        <w:t xml:space="preserve"> di Indonesia. </w:t>
      </w:r>
      <w:proofErr w:type="spellStart"/>
      <w:r>
        <w:rPr>
          <w:rFonts w:ascii="Times New Roman Regular" w:hAnsi="Times New Roman Regular" w:cs="Times New Roman Regular"/>
          <w:sz w:val="22"/>
          <w:szCs w:val="22"/>
        </w:rPr>
        <w:t>Kemdikbud</w:t>
      </w:r>
      <w:proofErr w:type="spellEnd"/>
      <w:r>
        <w:rPr>
          <w:rFonts w:ascii="Times New Roman Regular" w:hAnsi="Times New Roman Regular" w:cs="Times New Roman Regular"/>
          <w:sz w:val="22"/>
          <w:szCs w:val="22"/>
        </w:rPr>
        <w:t xml:space="preserve">, 4(2), 1-7. </w:t>
      </w:r>
      <w:hyperlink r:id="rId12" w:history="1">
        <w:r w:rsidR="0081236B">
          <w:rPr>
            <w:rStyle w:val="Hyperlink"/>
            <w:rFonts w:ascii="Times New Roman Regular" w:hAnsi="Times New Roman Regular" w:cs="Times New Roman Regular"/>
            <w:sz w:val="22"/>
            <w:szCs w:val="28"/>
          </w:rPr>
          <w:t>https://static.skm.kemdikbud.go.id/announcements/28942fb9-334d-4fb5-9ce2-56f7ddce4d48-Indonesias-K-12-Education-Quality-Improvement-Bahasa-05122023.pdf</w:t>
        </w:r>
      </w:hyperlink>
      <w:r>
        <w:rPr>
          <w:rFonts w:ascii="Times New Roman Regular" w:hAnsi="Times New Roman Regular" w:cs="Times New Roman Regular"/>
          <w:sz w:val="22"/>
          <w:szCs w:val="28"/>
        </w:rPr>
        <w:t xml:space="preserve"> </w:t>
      </w:r>
    </w:p>
    <w:p w14:paraId="29FDDA82" w14:textId="77777777" w:rsidR="0081236B" w:rsidRDefault="0081236B">
      <w:pPr>
        <w:rPr>
          <w:rFonts w:ascii="Times New Roman Regular" w:hAnsi="Times New Roman Regular" w:cs="Times New Roman Regular" w:hint="eastAsia"/>
          <w:sz w:val="22"/>
          <w:szCs w:val="28"/>
        </w:rPr>
      </w:pPr>
    </w:p>
    <w:sectPr w:rsidR="0081236B">
      <w:headerReference w:type="even" r:id="rId13"/>
      <w:headerReference w:type="default" r:id="rId14"/>
      <w:footerReference w:type="even" r:id="rId15"/>
      <w:footerReference w:type="default" r:id="rId16"/>
      <w:headerReference w:type="first" r:id="rId17"/>
      <w:footerReference w:type="first" r:id="rId18"/>
      <w:pgSz w:w="11910" w:h="16840"/>
      <w:pgMar w:top="1699" w:right="1699" w:bottom="1699" w:left="2261"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D046" w14:textId="77777777" w:rsidR="0037599E" w:rsidRDefault="0037599E" w:rsidP="00563CBA">
      <w:r>
        <w:separator/>
      </w:r>
    </w:p>
  </w:endnote>
  <w:endnote w:type="continuationSeparator" w:id="0">
    <w:p w14:paraId="569C35F0" w14:textId="77777777" w:rsidR="0037599E" w:rsidRDefault="0037599E" w:rsidP="0056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Times New Roman Bold Italic">
    <w:panose1 w:val="02020703060505090304"/>
    <w:charset w:val="00"/>
    <w:family w:val="auto"/>
    <w:pitch w:val="default"/>
  </w:font>
  <w:font w:name="Times New Roman Italic">
    <w:panose1 w:val="02020503050405090304"/>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D9B5" w14:textId="77777777" w:rsidR="00563CBA" w:rsidRDefault="00563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84CA" w14:textId="77777777" w:rsidR="00563CBA" w:rsidRDefault="00563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991D" w14:textId="77777777" w:rsidR="00563CBA" w:rsidRDefault="0056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066C7" w14:textId="77777777" w:rsidR="0037599E" w:rsidRDefault="0037599E" w:rsidP="00563CBA">
      <w:r>
        <w:separator/>
      </w:r>
    </w:p>
  </w:footnote>
  <w:footnote w:type="continuationSeparator" w:id="0">
    <w:p w14:paraId="3BD224F3" w14:textId="77777777" w:rsidR="0037599E" w:rsidRDefault="0037599E" w:rsidP="00563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E05B4" w14:textId="5C4B45C3" w:rsidR="00563CBA" w:rsidRDefault="00563CBA">
    <w:pPr>
      <w:pStyle w:val="Header"/>
    </w:pPr>
    <w:r>
      <w:rPr>
        <w:noProof/>
      </w:rPr>
      <w:pict w14:anchorId="4E598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8532" o:spid="_x0000_s2050" type="#_x0000_t136" style="position:absolute;left:0;text-align:left;margin-left:0;margin-top:0;width:471.95pt;height:8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03F9" w14:textId="1E11C9CF" w:rsidR="00563CBA" w:rsidRDefault="00563CBA">
    <w:pPr>
      <w:pStyle w:val="Header"/>
    </w:pPr>
    <w:r>
      <w:rPr>
        <w:noProof/>
      </w:rPr>
      <w:pict w14:anchorId="14550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8533" o:spid="_x0000_s2051" type="#_x0000_t136" style="position:absolute;left:0;text-align:left;margin-left:0;margin-top:0;width:471.95pt;height:8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88C1" w14:textId="3094891A" w:rsidR="00563CBA" w:rsidRDefault="00563CBA">
    <w:pPr>
      <w:pStyle w:val="Header"/>
    </w:pPr>
    <w:r>
      <w:rPr>
        <w:noProof/>
      </w:rPr>
      <w:pict w14:anchorId="54613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8531" o:spid="_x0000_s2049" type="#_x0000_t136" style="position:absolute;left:0;text-align:left;margin-left:0;margin-top:0;width:471.95pt;height:8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A64DF6"/>
    <w:multiLevelType w:val="singleLevel"/>
    <w:tmpl w:val="DFA64DF6"/>
    <w:lvl w:ilvl="0">
      <w:start w:val="1"/>
      <w:numFmt w:val="decimal"/>
      <w:suff w:val="space"/>
      <w:lvlText w:val="%1."/>
      <w:lvlJc w:val="left"/>
      <w:rPr>
        <w:rFonts w:hint="default"/>
        <w:b/>
        <w:bCs/>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sjS1NDc2MDQzNTNS0lEKTi0uzszPAykwrAUAfNr1FCwAAAA="/>
  </w:docVars>
  <w:rsids>
    <w:rsidRoot w:val="6F2E3939"/>
    <w:rsid w:val="007A4F17"/>
    <w:rsid w:val="6F2E3939"/>
    <w:rsid w:val="B77E84F0"/>
    <w:rsid w:val="DCECF8CB"/>
    <w:rsid w:val="EF5F3B1D"/>
    <w:rsid w:val="EFF25256"/>
    <w:rsid w:val="FBF5B398"/>
    <w:rsid w:val="FDBB47CD"/>
    <w:rsid w:val="FDE43025"/>
    <w:rsid w:val="FFDD07A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599E"/>
    <w:rsid w:val="00377186"/>
    <w:rsid w:val="003A1C03"/>
    <w:rsid w:val="00414627"/>
    <w:rsid w:val="00416DFF"/>
    <w:rsid w:val="00425D63"/>
    <w:rsid w:val="004643D8"/>
    <w:rsid w:val="00497C24"/>
    <w:rsid w:val="004C7BA5"/>
    <w:rsid w:val="004E7628"/>
    <w:rsid w:val="004F48F2"/>
    <w:rsid w:val="005149B1"/>
    <w:rsid w:val="00563CBA"/>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7D6998"/>
    <w:rsid w:val="00801F23"/>
    <w:rsid w:val="0081236B"/>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2819"/>
    <w:rsid w:val="00B13A52"/>
    <w:rsid w:val="00B24CF4"/>
    <w:rsid w:val="00B26993"/>
    <w:rsid w:val="00B4570C"/>
    <w:rsid w:val="00B5208C"/>
    <w:rsid w:val="00B74876"/>
    <w:rsid w:val="00B75011"/>
    <w:rsid w:val="00BA7078"/>
    <w:rsid w:val="00BB7C2B"/>
    <w:rsid w:val="00BC1664"/>
    <w:rsid w:val="00BC2546"/>
    <w:rsid w:val="00C05085"/>
    <w:rsid w:val="00C1593D"/>
    <w:rsid w:val="00C451B8"/>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FFB23D7"/>
    <w:rsid w:val="1FFE2FFF"/>
    <w:rsid w:val="3F3FFF55"/>
    <w:rsid w:val="3F77FE7A"/>
    <w:rsid w:val="3FEF6A78"/>
    <w:rsid w:val="4FEDE463"/>
    <w:rsid w:val="547FAED1"/>
    <w:rsid w:val="6F2E3939"/>
    <w:rsid w:val="6FB93C85"/>
    <w:rsid w:val="6FD7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0E04D6"/>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UnresolvedMention">
    <w:name w:val="Unresolved Mention"/>
    <w:basedOn w:val="DefaultParagraphFont"/>
    <w:uiPriority w:val="99"/>
    <w:semiHidden/>
    <w:unhideWhenUsed/>
    <w:rsid w:val="00416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enlibrarypublications.telkomuniversity.ac.id/index.php/artdesign/article/view/128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1764/pendekar.v7i2.24032" TargetMode="External"/><Relationship Id="rId12" Type="http://schemas.openxmlformats.org/officeDocument/2006/relationships/hyperlink" Target="https://static.skm.kemdikbud.go.id/announcements/28942fb9-334d-4fb5-9ce2-56f7ddce4d48-Indonesias-K-12-Education-Quality-Improvement-Bahasa-05122023.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246/j.js.2020.v10.i1.p22-3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3860/losari.v3i1.3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004/irje.v4i4.1352"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6</Pages>
  <Words>3437</Words>
  <Characters>19593</Characters>
  <Application>Microsoft Office Word</Application>
  <DocSecurity>0</DocSecurity>
  <Lines>163</Lines>
  <Paragraphs>45</Paragraphs>
  <ScaleCrop>false</ScaleCrop>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1084</cp:lastModifiedBy>
  <cp:revision>7</cp:revision>
  <dcterms:created xsi:type="dcterms:W3CDTF">2025-06-16T02:03:00Z</dcterms:created>
  <dcterms:modified xsi:type="dcterms:W3CDTF">2025-08-07T11:36:00Z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y fmtid="{D5CDD505-2E9C-101B-9397-08002B2CF9AE}" pid="3" name="GrammarlyDocumentId">
    <vt:lpwstr>9db743e2-4657-4d69-8b09-1bb3a3071875</vt:lpwstr>
  </property>
</Properties>
</file>