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BD84A" w14:textId="5D6F634B" w:rsidR="00754C9A" w:rsidRDefault="0091773E" w:rsidP="00441B6F">
      <w:pPr>
        <w:pStyle w:val="Title"/>
        <w:spacing w:after="0"/>
        <w:jc w:val="both"/>
        <w:rPr>
          <w:rFonts w:ascii="Arial" w:hAnsi="Arial" w:cs="Arial"/>
        </w:rPr>
      </w:pPr>
      <w:r w:rsidRPr="0091773E">
        <w:rPr>
          <w:rFonts w:ascii="Arial" w:hAnsi="Arial" w:cs="Arial"/>
        </w:rPr>
        <w:t>Original Research Article</w:t>
      </w:r>
    </w:p>
    <w:p w14:paraId="2A3938A2" w14:textId="77777777" w:rsidR="0091773E" w:rsidRDefault="0091773E" w:rsidP="00441B6F">
      <w:pPr>
        <w:pStyle w:val="Title"/>
        <w:spacing w:after="0"/>
        <w:jc w:val="both"/>
        <w:rPr>
          <w:rFonts w:ascii="Arial" w:hAnsi="Arial" w:cs="Arial"/>
        </w:rPr>
      </w:pPr>
    </w:p>
    <w:p w14:paraId="6335869E" w14:textId="5E6784A0" w:rsidR="00163BC4" w:rsidRPr="00163BC4" w:rsidRDefault="00FE362F" w:rsidP="00441B6F">
      <w:pPr>
        <w:pStyle w:val="Author"/>
        <w:spacing w:line="240" w:lineRule="auto"/>
        <w:rPr>
          <w:rFonts w:ascii="Arial" w:hAnsi="Arial" w:cs="Arial"/>
          <w:bCs/>
          <w:iCs/>
          <w:kern w:val="28"/>
          <w:sz w:val="36"/>
        </w:rPr>
      </w:pPr>
      <w:r w:rsidRPr="005309E9">
        <w:rPr>
          <w:rFonts w:ascii="Arial" w:hAnsi="Arial" w:cs="Arial"/>
          <w:bCs/>
          <w:iCs/>
          <w:kern w:val="28"/>
          <w:sz w:val="36"/>
        </w:rPr>
        <w:t>An Exploratory</w:t>
      </w:r>
      <w:r>
        <w:rPr>
          <w:rFonts w:ascii="Arial" w:hAnsi="Arial" w:cs="Arial"/>
          <w:bCs/>
          <w:iCs/>
          <w:kern w:val="28"/>
          <w:sz w:val="36"/>
        </w:rPr>
        <w:t xml:space="preserve"> Study of the Philippine Licensure Examination for Professional Teachers: Secondary Level Rating</w:t>
      </w:r>
      <w:r w:rsidR="005309E9">
        <w:rPr>
          <w:rFonts w:ascii="Arial" w:hAnsi="Arial" w:cs="Arial"/>
          <w:bCs/>
          <w:iCs/>
          <w:kern w:val="28"/>
          <w:sz w:val="36"/>
        </w:rPr>
        <w:t>s</w:t>
      </w:r>
      <w:r>
        <w:rPr>
          <w:rFonts w:ascii="Arial" w:hAnsi="Arial" w:cs="Arial"/>
          <w:bCs/>
          <w:iCs/>
          <w:kern w:val="28"/>
          <w:sz w:val="36"/>
        </w:rPr>
        <w:t xml:space="preserve"> under the Enhanced Table of Specifications </w:t>
      </w:r>
    </w:p>
    <w:p w14:paraId="177A3F6E" w14:textId="77777777" w:rsidR="00A258C3" w:rsidRPr="00790ADA" w:rsidRDefault="00A258C3" w:rsidP="00441B6F">
      <w:pPr>
        <w:pStyle w:val="Author"/>
        <w:spacing w:line="240" w:lineRule="auto"/>
        <w:jc w:val="both"/>
        <w:rPr>
          <w:rFonts w:ascii="Arial" w:hAnsi="Arial" w:cs="Arial"/>
          <w:sz w:val="36"/>
        </w:rPr>
      </w:pPr>
    </w:p>
    <w:p w14:paraId="413DFBC5" w14:textId="77777777" w:rsidR="002C57D2" w:rsidRPr="00FB3A86" w:rsidRDefault="002C57D2" w:rsidP="00441B6F">
      <w:pPr>
        <w:pStyle w:val="Affiliation"/>
        <w:spacing w:after="0" w:line="240" w:lineRule="auto"/>
        <w:jc w:val="both"/>
        <w:rPr>
          <w:rFonts w:ascii="Arial" w:hAnsi="Arial" w:cs="Arial"/>
        </w:rPr>
      </w:pPr>
    </w:p>
    <w:p w14:paraId="01F07FF3" w14:textId="76B6999E" w:rsidR="00B01FCD" w:rsidRPr="00FB3A86" w:rsidRDefault="005A2A4A" w:rsidP="00441B6F">
      <w:pPr>
        <w:pStyle w:val="Copyright"/>
        <w:spacing w:after="0" w:line="240" w:lineRule="auto"/>
        <w:jc w:val="both"/>
        <w:rPr>
          <w:rFonts w:ascii="Arial" w:hAnsi="Arial" w:cs="Arial"/>
        </w:rPr>
        <w:sectPr w:rsidR="00B01FCD" w:rsidRPr="00FB3A86" w:rsidSect="007C52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F88339" wp14:editId="1E3BC9BA">
                <wp:extent cx="5303520" cy="635"/>
                <wp:effectExtent l="13335" t="13335" r="17145" b="15240"/>
                <wp:docPr id="15073492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D65E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69366B" w14:textId="6306B972" w:rsidR="00B01FCD" w:rsidRDefault="00B01FCD" w:rsidP="00D215A9">
      <w:pPr>
        <w:pStyle w:val="AbstHead"/>
        <w:spacing w:after="0"/>
        <w:jc w:val="center"/>
        <w:rPr>
          <w:rFonts w:ascii="Arial" w:hAnsi="Arial" w:cs="Arial"/>
        </w:rPr>
      </w:pPr>
      <w:r w:rsidRPr="00FB3A86">
        <w:rPr>
          <w:rFonts w:ascii="Arial" w:hAnsi="Arial" w:cs="Arial"/>
        </w:rPr>
        <w:t>ABSTRACT</w:t>
      </w:r>
      <w:r w:rsidR="0066510A">
        <w:rPr>
          <w:rFonts w:ascii="Arial" w:hAnsi="Arial" w:cs="Arial"/>
        </w:rPr>
        <w:t xml:space="preserve"> </w:t>
      </w:r>
    </w:p>
    <w:p w14:paraId="19594FA3" w14:textId="77777777" w:rsidR="00790ADA" w:rsidRPr="00FB3A86" w:rsidRDefault="00790ADA" w:rsidP="00D215A9">
      <w:pPr>
        <w:pStyle w:val="AbstHead"/>
        <w:spacing w:after="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01F464" w14:textId="77777777" w:rsidTr="001E44FE">
        <w:tc>
          <w:tcPr>
            <w:tcW w:w="9576" w:type="dxa"/>
            <w:shd w:val="clear" w:color="auto" w:fill="F2F2F2"/>
          </w:tcPr>
          <w:p w14:paraId="5B4E96F4" w14:textId="0A66424B" w:rsidR="00505F06" w:rsidRPr="0091773E" w:rsidRDefault="00DF58CA" w:rsidP="00385173">
            <w:pPr>
              <w:pStyle w:val="Body"/>
              <w:spacing w:after="0"/>
              <w:rPr>
                <w:rFonts w:ascii="Arial" w:eastAsia="Calibri" w:hAnsi="Arial" w:cs="Arial"/>
                <w:sz w:val="22"/>
                <w:szCs w:val="22"/>
              </w:rPr>
            </w:pPr>
            <w:r w:rsidRPr="0091773E">
              <w:rPr>
                <w:rFonts w:ascii="Arial" w:eastAsia="Calibri" w:hAnsi="Arial" w:cs="Arial"/>
                <w:sz w:val="22"/>
                <w:szCs w:val="22"/>
              </w:rPr>
              <w:t xml:space="preserve">This study examined the </w:t>
            </w:r>
            <w:r w:rsidR="00385173" w:rsidRPr="0091773E">
              <w:rPr>
                <w:rFonts w:ascii="Arial" w:eastAsia="Calibri" w:hAnsi="Arial" w:cs="Arial"/>
                <w:sz w:val="22"/>
                <w:szCs w:val="22"/>
              </w:rPr>
              <w:t xml:space="preserve">Philippine </w:t>
            </w:r>
            <w:r w:rsidRPr="0091773E">
              <w:rPr>
                <w:rFonts w:ascii="Arial" w:eastAsia="Calibri" w:hAnsi="Arial" w:cs="Arial"/>
                <w:sz w:val="22"/>
                <w:szCs w:val="22"/>
              </w:rPr>
              <w:t>Licensure Examination for Professional Teachers (LEPT)</w:t>
            </w:r>
            <w:r w:rsidR="00386A05" w:rsidRPr="0091773E">
              <w:rPr>
                <w:rFonts w:ascii="Arial" w:eastAsia="Calibri" w:hAnsi="Arial" w:cs="Arial"/>
                <w:sz w:val="22"/>
                <w:szCs w:val="22"/>
              </w:rPr>
              <w:t xml:space="preserve"> s</w:t>
            </w:r>
            <w:r w:rsidRPr="0091773E">
              <w:rPr>
                <w:rFonts w:ascii="Arial" w:eastAsia="Calibri" w:hAnsi="Arial" w:cs="Arial"/>
                <w:sz w:val="22"/>
                <w:szCs w:val="22"/>
              </w:rPr>
              <w:t xml:space="preserve">econdary </w:t>
            </w:r>
            <w:r w:rsidR="00386A05" w:rsidRPr="0091773E">
              <w:rPr>
                <w:rFonts w:ascii="Arial" w:eastAsia="Calibri" w:hAnsi="Arial" w:cs="Arial"/>
                <w:sz w:val="22"/>
                <w:szCs w:val="22"/>
              </w:rPr>
              <w:t>l</w:t>
            </w:r>
            <w:r w:rsidRPr="0091773E">
              <w:rPr>
                <w:rFonts w:ascii="Arial" w:eastAsia="Calibri" w:hAnsi="Arial" w:cs="Arial"/>
                <w:sz w:val="22"/>
                <w:szCs w:val="22"/>
              </w:rPr>
              <w:t xml:space="preserve">evel ratings of education and non-education graduates under the </w:t>
            </w:r>
            <w:r w:rsidR="006A30D6" w:rsidRPr="0091773E">
              <w:rPr>
                <w:rFonts w:ascii="Arial" w:eastAsia="Calibri" w:hAnsi="Arial" w:cs="Arial"/>
                <w:sz w:val="22"/>
                <w:szCs w:val="22"/>
              </w:rPr>
              <w:t>e</w:t>
            </w:r>
            <w:r w:rsidRPr="0091773E">
              <w:rPr>
                <w:rFonts w:ascii="Arial" w:eastAsia="Calibri" w:hAnsi="Arial" w:cs="Arial"/>
                <w:sz w:val="22"/>
                <w:szCs w:val="22"/>
              </w:rPr>
              <w:t xml:space="preserve">nhanced </w:t>
            </w:r>
            <w:r w:rsidR="006A30D6" w:rsidRPr="0091773E">
              <w:rPr>
                <w:rFonts w:ascii="Arial" w:eastAsia="Calibri" w:hAnsi="Arial" w:cs="Arial"/>
                <w:sz w:val="22"/>
                <w:szCs w:val="22"/>
              </w:rPr>
              <w:t>t</w:t>
            </w:r>
            <w:r w:rsidRPr="0091773E">
              <w:rPr>
                <w:rFonts w:ascii="Arial" w:eastAsia="Calibri" w:hAnsi="Arial" w:cs="Arial"/>
                <w:sz w:val="22"/>
                <w:szCs w:val="22"/>
              </w:rPr>
              <w:t xml:space="preserve">able of </w:t>
            </w:r>
            <w:r w:rsidR="006A30D6" w:rsidRPr="0091773E">
              <w:rPr>
                <w:rFonts w:ascii="Arial" w:eastAsia="Calibri" w:hAnsi="Arial" w:cs="Arial"/>
                <w:sz w:val="22"/>
                <w:szCs w:val="22"/>
              </w:rPr>
              <w:t>s</w:t>
            </w:r>
            <w:r w:rsidRPr="0091773E">
              <w:rPr>
                <w:rFonts w:ascii="Arial" w:eastAsia="Calibri" w:hAnsi="Arial" w:cs="Arial"/>
                <w:sz w:val="22"/>
                <w:szCs w:val="22"/>
              </w:rPr>
              <w:t xml:space="preserve">pecifications introduced by the Professional Regulation Commission (PRC) </w:t>
            </w:r>
            <w:r w:rsidR="00385173" w:rsidRPr="0091773E">
              <w:rPr>
                <w:rFonts w:ascii="Arial" w:eastAsia="Calibri" w:hAnsi="Arial" w:cs="Arial"/>
                <w:sz w:val="22"/>
                <w:szCs w:val="22"/>
              </w:rPr>
              <w:t>thr</w:t>
            </w:r>
            <w:r w:rsidRPr="0091773E">
              <w:rPr>
                <w:rFonts w:ascii="Arial" w:eastAsia="Calibri" w:hAnsi="Arial" w:cs="Arial"/>
                <w:sz w:val="22"/>
                <w:szCs w:val="22"/>
              </w:rPr>
              <w:t xml:space="preserve">ough Board Resolution No. 11, series of 2022. </w:t>
            </w:r>
            <w:r w:rsidR="002B5054" w:rsidRPr="0091773E">
              <w:rPr>
                <w:rFonts w:ascii="Arial" w:eastAsia="Calibri" w:hAnsi="Arial" w:cs="Arial"/>
                <w:sz w:val="22"/>
                <w:szCs w:val="22"/>
              </w:rPr>
              <w:t>Using the documentary research</w:t>
            </w:r>
            <w:r w:rsidR="00385173" w:rsidRPr="0091773E">
              <w:rPr>
                <w:rFonts w:ascii="Arial" w:eastAsia="Calibri" w:hAnsi="Arial" w:cs="Arial"/>
                <w:sz w:val="22"/>
                <w:szCs w:val="22"/>
              </w:rPr>
              <w:t xml:space="preserve"> </w:t>
            </w:r>
            <w:r w:rsidR="002B5054" w:rsidRPr="0091773E">
              <w:rPr>
                <w:rFonts w:ascii="Arial" w:eastAsia="Calibri" w:hAnsi="Arial" w:cs="Arial"/>
                <w:sz w:val="22"/>
                <w:szCs w:val="22"/>
              </w:rPr>
              <w:t>design, t</w:t>
            </w:r>
            <w:r w:rsidRPr="0091773E">
              <w:rPr>
                <w:rFonts w:ascii="Arial" w:eastAsia="Calibri" w:hAnsi="Arial" w:cs="Arial"/>
                <w:sz w:val="22"/>
                <w:szCs w:val="22"/>
              </w:rPr>
              <w:t>he study analyzed the performance of 3</w:t>
            </w:r>
            <w:r w:rsidR="00E76B58" w:rsidRPr="0091773E">
              <w:rPr>
                <w:rFonts w:ascii="Arial" w:eastAsia="Calibri" w:hAnsi="Arial" w:cs="Arial"/>
                <w:sz w:val="22"/>
                <w:szCs w:val="22"/>
              </w:rPr>
              <w:t>49</w:t>
            </w:r>
            <w:r w:rsidR="00385173" w:rsidRPr="0091773E">
              <w:rPr>
                <w:rFonts w:ascii="Arial" w:eastAsia="Calibri" w:hAnsi="Arial" w:cs="Arial"/>
                <w:sz w:val="22"/>
                <w:szCs w:val="22"/>
              </w:rPr>
              <w:t xml:space="preserve"> sample of</w:t>
            </w:r>
            <w:r w:rsidRPr="0091773E">
              <w:rPr>
                <w:rFonts w:ascii="Arial" w:eastAsia="Calibri" w:hAnsi="Arial" w:cs="Arial"/>
                <w:sz w:val="22"/>
                <w:szCs w:val="22"/>
              </w:rPr>
              <w:t xml:space="preserve"> LEPT </w:t>
            </w:r>
            <w:r w:rsidR="005E525C" w:rsidRPr="0091773E">
              <w:rPr>
                <w:rFonts w:ascii="Arial" w:eastAsia="Calibri" w:hAnsi="Arial" w:cs="Arial"/>
                <w:sz w:val="22"/>
                <w:szCs w:val="22"/>
              </w:rPr>
              <w:t>data</w:t>
            </w:r>
            <w:r w:rsidR="005946AA" w:rsidRPr="0091773E">
              <w:rPr>
                <w:rFonts w:ascii="Arial" w:eastAsia="Calibri" w:hAnsi="Arial" w:cs="Arial"/>
                <w:sz w:val="22"/>
                <w:szCs w:val="22"/>
              </w:rPr>
              <w:t xml:space="preserve"> </w:t>
            </w:r>
            <w:r w:rsidRPr="0091773E">
              <w:rPr>
                <w:rFonts w:ascii="Arial" w:eastAsia="Calibri" w:hAnsi="Arial" w:cs="Arial"/>
                <w:sz w:val="22"/>
                <w:szCs w:val="22"/>
              </w:rPr>
              <w:t>from the March 2024 exam</w:t>
            </w:r>
            <w:r w:rsidR="00D95E11" w:rsidRPr="0091773E">
              <w:rPr>
                <w:rFonts w:ascii="Arial" w:eastAsia="Calibri" w:hAnsi="Arial" w:cs="Arial"/>
                <w:sz w:val="22"/>
                <w:szCs w:val="22"/>
              </w:rPr>
              <w:t>.</w:t>
            </w:r>
            <w:r w:rsidRPr="0091773E">
              <w:rPr>
                <w:rFonts w:ascii="Arial" w:eastAsia="Calibri" w:hAnsi="Arial" w:cs="Arial"/>
                <w:sz w:val="22"/>
                <w:szCs w:val="22"/>
              </w:rPr>
              <w:t xml:space="preserve"> Findings showed that </w:t>
            </w:r>
            <w:r w:rsidR="00385173" w:rsidRPr="0091773E">
              <w:rPr>
                <w:rFonts w:ascii="Arial" w:eastAsia="Calibri" w:hAnsi="Arial" w:cs="Arial"/>
                <w:sz w:val="22"/>
                <w:szCs w:val="22"/>
              </w:rPr>
              <w:t xml:space="preserve">there is a significant difference when the examinees were grouped according to type of school, the academic program and the field of specialization. Further, a combination of the type of school, the academic program and the specialization attribute to 10% of the variation in the LEPT result. </w:t>
            </w:r>
          </w:p>
        </w:tc>
      </w:tr>
    </w:tbl>
    <w:p w14:paraId="730993CA" w14:textId="77777777" w:rsidR="00636EB2" w:rsidRDefault="00636EB2" w:rsidP="00441B6F">
      <w:pPr>
        <w:pStyle w:val="Body"/>
        <w:spacing w:after="0"/>
        <w:rPr>
          <w:rFonts w:ascii="Arial" w:hAnsi="Arial" w:cs="Arial"/>
          <w:i/>
        </w:rPr>
      </w:pPr>
    </w:p>
    <w:p w14:paraId="5177A923" w14:textId="7B19D07F" w:rsidR="00A24E7E" w:rsidRDefault="00A24E7E" w:rsidP="00441B6F">
      <w:pPr>
        <w:pStyle w:val="Body"/>
        <w:spacing w:after="0"/>
        <w:rPr>
          <w:rFonts w:ascii="Arial" w:hAnsi="Arial" w:cs="Arial"/>
          <w:i/>
        </w:rPr>
      </w:pPr>
      <w:r>
        <w:rPr>
          <w:rFonts w:ascii="Arial" w:hAnsi="Arial" w:cs="Arial"/>
          <w:i/>
        </w:rPr>
        <w:t xml:space="preserve">Keywords: </w:t>
      </w:r>
      <w:r w:rsidR="00A878ED" w:rsidRPr="00A878ED">
        <w:rPr>
          <w:rFonts w:ascii="Arial" w:hAnsi="Arial" w:cs="Arial"/>
          <w:i/>
        </w:rPr>
        <w:t>Licensure Examination for Professional Teachers (LEPT), Enhanced Table of Specifications (TOS), Exam Ratin</w:t>
      </w:r>
      <w:r w:rsidR="00A878ED">
        <w:rPr>
          <w:rFonts w:ascii="Arial" w:hAnsi="Arial" w:cs="Arial"/>
          <w:i/>
        </w:rPr>
        <w:t>g</w:t>
      </w:r>
      <w:r w:rsidR="00E60BAB">
        <w:rPr>
          <w:rFonts w:ascii="Arial" w:hAnsi="Arial" w:cs="Arial"/>
          <w:i/>
        </w:rPr>
        <w:t xml:space="preserve">, </w:t>
      </w:r>
      <w:r w:rsidR="002B5054">
        <w:rPr>
          <w:rFonts w:ascii="Arial" w:hAnsi="Arial" w:cs="Arial"/>
          <w:i/>
        </w:rPr>
        <w:t>exploratory</w:t>
      </w:r>
      <w:r w:rsidR="00E60BAB">
        <w:rPr>
          <w:rFonts w:ascii="Arial" w:hAnsi="Arial" w:cs="Arial"/>
          <w:i/>
        </w:rPr>
        <w:t xml:space="preserve"> study</w:t>
      </w:r>
      <w:r w:rsidR="00A878ED">
        <w:rPr>
          <w:rFonts w:ascii="Arial" w:hAnsi="Arial" w:cs="Arial"/>
          <w:i/>
        </w:rPr>
        <w:t xml:space="preserve"> </w:t>
      </w:r>
    </w:p>
    <w:p w14:paraId="76A08E2F" w14:textId="77777777" w:rsidR="00790ADA" w:rsidRDefault="00790ADA" w:rsidP="00441B6F">
      <w:pPr>
        <w:pStyle w:val="Body"/>
        <w:spacing w:after="0"/>
        <w:rPr>
          <w:rFonts w:ascii="Arial" w:hAnsi="Arial" w:cs="Arial"/>
          <w:i/>
        </w:rPr>
      </w:pPr>
    </w:p>
    <w:p w14:paraId="387140FC" w14:textId="7BE3ACA8" w:rsidR="00790ADA" w:rsidRDefault="00B01FCD" w:rsidP="00F41982">
      <w:pPr>
        <w:pStyle w:val="AbstHead"/>
        <w:numPr>
          <w:ilvl w:val="0"/>
          <w:numId w:val="31"/>
        </w:numPr>
        <w:spacing w:after="0"/>
        <w:jc w:val="center"/>
        <w:rPr>
          <w:rFonts w:ascii="Arial" w:hAnsi="Arial" w:cs="Arial"/>
        </w:rPr>
      </w:pPr>
      <w:r w:rsidRPr="00FB3A86">
        <w:rPr>
          <w:rFonts w:ascii="Arial" w:hAnsi="Arial" w:cs="Arial"/>
        </w:rPr>
        <w:t>INTRODUCTION</w:t>
      </w:r>
      <w:r w:rsidR="007F7B32">
        <w:rPr>
          <w:rFonts w:ascii="Arial" w:hAnsi="Arial" w:cs="Arial"/>
        </w:rPr>
        <w:t xml:space="preserve"> </w:t>
      </w:r>
    </w:p>
    <w:p w14:paraId="73245B36" w14:textId="77777777" w:rsidR="00F41982" w:rsidRPr="00FB3A86" w:rsidRDefault="00F41982" w:rsidP="00F41982">
      <w:pPr>
        <w:pStyle w:val="AbstHead"/>
        <w:spacing w:after="0"/>
        <w:ind w:left="720"/>
        <w:rPr>
          <w:rFonts w:ascii="Arial" w:hAnsi="Arial" w:cs="Arial"/>
        </w:rPr>
      </w:pPr>
    </w:p>
    <w:p w14:paraId="73B77B7F" w14:textId="77777777" w:rsidR="009275B3" w:rsidRDefault="002874F3" w:rsidP="002874F3">
      <w:pPr>
        <w:pStyle w:val="Body"/>
        <w:rPr>
          <w:rFonts w:ascii="Arial" w:hAnsi="Arial" w:cs="Arial"/>
        </w:rPr>
      </w:pPr>
      <w:r>
        <w:rPr>
          <w:rFonts w:ascii="Arial" w:hAnsi="Arial" w:cs="Arial"/>
        </w:rPr>
        <w:tab/>
      </w:r>
      <w:r w:rsidRPr="002874F3">
        <w:rPr>
          <w:rFonts w:ascii="Arial" w:hAnsi="Arial" w:cs="Arial"/>
        </w:rPr>
        <w:t xml:space="preserve">The licensure examination has long been regarded as an imperative benchmark in assessing the competence and preparedness of aspiring professionals. In the field of education, the Licensure Examination for Professional Teachers (LEPT) serves as a standardized measure of an individual’s qualifications to enter the teaching profession. This examination not only evaluates subject-matter proficiency but also reflects the quality of education and teaching methodologies employed by academic institutions in the Philippines. </w:t>
      </w:r>
    </w:p>
    <w:p w14:paraId="2919F621" w14:textId="13677A09" w:rsidR="009275B3" w:rsidRDefault="009275B3" w:rsidP="009275B3">
      <w:pPr>
        <w:pStyle w:val="Body"/>
        <w:ind w:firstLine="720"/>
        <w:rPr>
          <w:rFonts w:ascii="Arial" w:hAnsi="Arial" w:cs="Arial"/>
        </w:rPr>
      </w:pPr>
      <w:r w:rsidRPr="00FF674D">
        <w:rPr>
          <w:rFonts w:ascii="Arial" w:hAnsi="Arial" w:cs="Arial"/>
        </w:rPr>
        <w:t>The L</w:t>
      </w:r>
      <w:r w:rsidRPr="009275B3">
        <w:rPr>
          <w:rFonts w:ascii="Arial" w:hAnsi="Arial" w:cs="Arial"/>
        </w:rPr>
        <w:t>icensure Examination for Professional Teachers (LEPT) in the Philippines plays a crucial role in ensuring that qualified individuals enter the teaching profession. The LEPT has been a key gateway for Filipinos with bachelor degrees and professional education units to pursue careers in teaching, which plays a significant role in addressing the country’s persistent teacher shortage. The P</w:t>
      </w:r>
      <w:r w:rsidR="00CD2A67">
        <w:rPr>
          <w:rFonts w:ascii="Arial" w:hAnsi="Arial" w:cs="Arial"/>
        </w:rPr>
        <w:t xml:space="preserve">rofessional </w:t>
      </w:r>
      <w:r w:rsidRPr="009275B3">
        <w:rPr>
          <w:rFonts w:ascii="Arial" w:hAnsi="Arial" w:cs="Arial"/>
        </w:rPr>
        <w:t>R</w:t>
      </w:r>
      <w:r w:rsidR="00CD2A67">
        <w:rPr>
          <w:rFonts w:ascii="Arial" w:hAnsi="Arial" w:cs="Arial"/>
        </w:rPr>
        <w:t xml:space="preserve">egulation </w:t>
      </w:r>
      <w:r w:rsidRPr="009275B3">
        <w:rPr>
          <w:rFonts w:ascii="Arial" w:hAnsi="Arial" w:cs="Arial"/>
        </w:rPr>
        <w:t>C</w:t>
      </w:r>
      <w:r w:rsidR="00CD2A67">
        <w:rPr>
          <w:rFonts w:ascii="Arial" w:hAnsi="Arial" w:cs="Arial"/>
        </w:rPr>
        <w:t xml:space="preserve">ommission (PRC) </w:t>
      </w:r>
      <w:r w:rsidRPr="009275B3">
        <w:rPr>
          <w:rFonts w:ascii="Arial" w:hAnsi="Arial" w:cs="Arial"/>
        </w:rPr>
        <w:t>through the Republic Act 7836, otherwise known as the Philippine Teachers Professionalization Act of 1994 as amended by RA 9293, strengthened the supervision and regulation of the teaching profession. This act prescribes that no person shall practice or offer to practice the teaching profession without having previously obtained a valid certificate of registration and a valid professional license from the Commission (Visco, 2015).</w:t>
      </w:r>
      <w:r>
        <w:rPr>
          <w:rFonts w:ascii="Arial" w:hAnsi="Arial" w:cs="Arial"/>
        </w:rPr>
        <w:t xml:space="preserve"> </w:t>
      </w:r>
      <w:r w:rsidRPr="009275B3">
        <w:rPr>
          <w:rFonts w:ascii="Arial" w:hAnsi="Arial" w:cs="Arial"/>
        </w:rPr>
        <w:t>The licensure exam evaluates the competencies of these individuals in the areas of general education, professional education, and specialization (PRC</w:t>
      </w:r>
      <w:r w:rsidR="00D8196A">
        <w:rPr>
          <w:rFonts w:ascii="Arial" w:hAnsi="Arial" w:cs="Arial"/>
        </w:rPr>
        <w:t>,</w:t>
      </w:r>
      <w:r w:rsidRPr="009275B3">
        <w:rPr>
          <w:rFonts w:ascii="Arial" w:hAnsi="Arial" w:cs="Arial"/>
        </w:rPr>
        <w:t xml:space="preserve"> 2022). Passing the LEPT is a mandatory requirement for aspiring </w:t>
      </w:r>
      <w:r w:rsidRPr="009275B3">
        <w:rPr>
          <w:rFonts w:ascii="Arial" w:hAnsi="Arial" w:cs="Arial"/>
        </w:rPr>
        <w:lastRenderedPageBreak/>
        <w:t>teachers, both education graduates and non-education graduates who seek a career in teaching. The general average passing rate for the LEPT is 75%.</w:t>
      </w:r>
    </w:p>
    <w:p w14:paraId="50404E99" w14:textId="5B9045B2" w:rsidR="009275B3" w:rsidRPr="009275B3" w:rsidRDefault="009275B3" w:rsidP="009275B3">
      <w:pPr>
        <w:pStyle w:val="Body"/>
        <w:ind w:firstLine="720"/>
        <w:rPr>
          <w:rFonts w:ascii="Arial" w:hAnsi="Arial" w:cs="Arial"/>
        </w:rPr>
      </w:pPr>
      <w:r w:rsidRPr="00FF674D">
        <w:rPr>
          <w:rFonts w:ascii="Arial" w:hAnsi="Arial" w:cs="Arial"/>
          <w:i/>
          <w:iCs/>
        </w:rPr>
        <w:t>Qualifica</w:t>
      </w:r>
      <w:r w:rsidRPr="009275B3">
        <w:rPr>
          <w:rFonts w:ascii="Arial" w:hAnsi="Arial" w:cs="Arial"/>
          <w:i/>
          <w:iCs/>
        </w:rPr>
        <w:t>tion for Education Graduate.</w:t>
      </w:r>
      <w:r>
        <w:rPr>
          <w:rFonts w:ascii="Arial" w:hAnsi="Arial" w:cs="Arial"/>
        </w:rPr>
        <w:t xml:space="preserve"> </w:t>
      </w:r>
      <w:r w:rsidRPr="009275B3">
        <w:rPr>
          <w:rFonts w:ascii="Arial" w:hAnsi="Arial" w:cs="Arial"/>
        </w:rPr>
        <w:t>In the Philippines, a Bachelor’s degree in Education typically requires four years of study. The Bachelor of Secondary Education (</w:t>
      </w:r>
      <w:proofErr w:type="spellStart"/>
      <w:r w:rsidRPr="009275B3">
        <w:rPr>
          <w:rFonts w:ascii="Arial" w:hAnsi="Arial" w:cs="Arial"/>
        </w:rPr>
        <w:t>BSEd</w:t>
      </w:r>
      <w:proofErr w:type="spellEnd"/>
      <w:r w:rsidRPr="009275B3">
        <w:rPr>
          <w:rFonts w:ascii="Arial" w:hAnsi="Arial" w:cs="Arial"/>
        </w:rPr>
        <w:t>) program is designed to equip students with comprehensive knowledge and skills necessary for effective teaching at the secondary level. The first two years of the program focus on general education courses, covering foundational subjects such as</w:t>
      </w:r>
      <w:r>
        <w:rPr>
          <w:rFonts w:ascii="Arial" w:hAnsi="Arial" w:cs="Arial"/>
        </w:rPr>
        <w:t xml:space="preserve"> </w:t>
      </w:r>
      <w:r w:rsidRPr="009275B3">
        <w:rPr>
          <w:rFonts w:ascii="Arial" w:hAnsi="Arial" w:cs="Arial"/>
        </w:rPr>
        <w:t>English, Mathematics, Social Sciences, and Natural Sciences. These courses provide a broad academic background that supports subject-matter proficiency. In the latter half of the program, students engage in professional education courses, which cover pedagogical theories, instructional strategies, classroom management, and curriculum development. Additionally, students specialize in a major subject area, such as Mathematics, English, Science, or Social Studies, where they undertake subject-specific methodologies and advanced coursework. The program culminates in a student teaching practicum, where aspiring educators apply their theoretical learning in real classroom settings under the supervision of experienced mentors. This hands-on experience is essential for developing practical teaching competencies, ensuring that graduates are well- prepared to enter the profession upon completing their degree.</w:t>
      </w:r>
    </w:p>
    <w:p w14:paraId="71549D9F" w14:textId="10579C1F" w:rsidR="009275B3" w:rsidRDefault="009275B3" w:rsidP="009275B3">
      <w:pPr>
        <w:pStyle w:val="Body"/>
        <w:ind w:firstLine="720"/>
        <w:rPr>
          <w:rFonts w:ascii="Arial" w:hAnsi="Arial" w:cs="Arial"/>
        </w:rPr>
      </w:pPr>
      <w:r w:rsidRPr="00DA6B75">
        <w:rPr>
          <w:rFonts w:ascii="Arial" w:hAnsi="Arial" w:cs="Arial"/>
          <w:i/>
          <w:iCs/>
        </w:rPr>
        <w:t>Qualifica</w:t>
      </w:r>
      <w:r w:rsidRPr="009275B3">
        <w:rPr>
          <w:rFonts w:ascii="Arial" w:hAnsi="Arial" w:cs="Arial"/>
          <w:i/>
          <w:iCs/>
        </w:rPr>
        <w:t>tion for Non-Education Graduate.</w:t>
      </w:r>
      <w:r>
        <w:rPr>
          <w:rFonts w:ascii="Arial" w:hAnsi="Arial" w:cs="Arial"/>
        </w:rPr>
        <w:t xml:space="preserve"> </w:t>
      </w:r>
      <w:r w:rsidRPr="009275B3">
        <w:rPr>
          <w:rFonts w:ascii="Arial" w:hAnsi="Arial" w:cs="Arial"/>
        </w:rPr>
        <w:t>Individuals who did not complete a Bachelor of Secondary Education (</w:t>
      </w:r>
      <w:proofErr w:type="spellStart"/>
      <w:r w:rsidRPr="009275B3">
        <w:rPr>
          <w:rFonts w:ascii="Arial" w:hAnsi="Arial" w:cs="Arial"/>
        </w:rPr>
        <w:t>BSEd</w:t>
      </w:r>
      <w:proofErr w:type="spellEnd"/>
      <w:r w:rsidRPr="009275B3">
        <w:rPr>
          <w:rFonts w:ascii="Arial" w:hAnsi="Arial" w:cs="Arial"/>
        </w:rPr>
        <w:t xml:space="preserve">) or relevant education-aligned degree but wish to pursue teaching and qualify for the Licensure Examination for Professional Teachers (LEPT) are required to complete at least 18 units of professional education coursework. This requirement is intended to provide a foundational understanding of pedagogy and the essential competencies in teaching. </w:t>
      </w:r>
      <w:r w:rsidR="00052F4C">
        <w:rPr>
          <w:rFonts w:ascii="Arial" w:hAnsi="Arial" w:cs="Arial"/>
        </w:rPr>
        <w:t>These graduates</w:t>
      </w:r>
      <w:r w:rsidRPr="009275B3">
        <w:rPr>
          <w:rFonts w:ascii="Arial" w:hAnsi="Arial" w:cs="Arial"/>
        </w:rPr>
        <w:t xml:space="preserve"> must undertake supplementary courses that cover educational theory, classroom management, and instructional strategies to develop their teaching proficiency.</w:t>
      </w:r>
      <w:r>
        <w:rPr>
          <w:rFonts w:ascii="Arial" w:hAnsi="Arial" w:cs="Arial"/>
        </w:rPr>
        <w:t xml:space="preserve"> </w:t>
      </w:r>
      <w:r w:rsidRPr="009275B3">
        <w:rPr>
          <w:rFonts w:ascii="Arial" w:hAnsi="Arial" w:cs="Arial"/>
        </w:rPr>
        <w:t>Of the 18 required professional education units, 12 units must be completed across four key subject clusters: Growth and Development of Children and</w:t>
      </w:r>
      <w:r w:rsidR="00F962D5">
        <w:rPr>
          <w:rFonts w:ascii="Arial" w:hAnsi="Arial" w:cs="Arial"/>
        </w:rPr>
        <w:t xml:space="preserve"> </w:t>
      </w:r>
      <w:r w:rsidRPr="009275B3">
        <w:rPr>
          <w:rFonts w:ascii="Arial" w:hAnsi="Arial" w:cs="Arial"/>
        </w:rPr>
        <w:t>Youth, The Science and Methods of Teaching, The Teaching and Learning Environment, and Determining the Indicators of Student Learning Outcomes. The remaining six (6) units may be met by completing any two of the following professional education subjects under the fifth cluster, which is Application of Theories</w:t>
      </w:r>
      <w:r w:rsidR="00C560C0">
        <w:rPr>
          <w:rFonts w:ascii="Arial" w:hAnsi="Arial" w:cs="Arial"/>
        </w:rPr>
        <w:t xml:space="preserve"> </w:t>
      </w:r>
      <w:r w:rsidRPr="009275B3">
        <w:rPr>
          <w:rFonts w:ascii="Arial" w:hAnsi="Arial" w:cs="Arial"/>
        </w:rPr>
        <w:t>(</w:t>
      </w:r>
      <w:r w:rsidR="006D0F7B">
        <w:rPr>
          <w:rFonts w:ascii="Arial" w:hAnsi="Arial" w:cs="Arial"/>
        </w:rPr>
        <w:t>PRC</w:t>
      </w:r>
      <w:r w:rsidRPr="009275B3">
        <w:rPr>
          <w:rFonts w:ascii="Arial" w:hAnsi="Arial" w:cs="Arial"/>
        </w:rPr>
        <w:t>, 2022). These academic requirements ensure that non-education graduates acquire the fundamental skills and knowledge necessary for effective teaching, thereby enhancing their readiness for the licensure examination</w:t>
      </w:r>
      <w:r>
        <w:rPr>
          <w:rFonts w:ascii="Arial" w:hAnsi="Arial" w:cs="Arial"/>
        </w:rPr>
        <w:t xml:space="preserve">. </w:t>
      </w:r>
    </w:p>
    <w:p w14:paraId="0BCB824F" w14:textId="03AAB896" w:rsidR="009275B3" w:rsidRDefault="009275B3" w:rsidP="009275B3">
      <w:pPr>
        <w:pStyle w:val="Body"/>
        <w:ind w:firstLine="720"/>
        <w:rPr>
          <w:rFonts w:ascii="Arial" w:hAnsi="Arial" w:cs="Arial"/>
        </w:rPr>
      </w:pPr>
      <w:r w:rsidRPr="009275B3">
        <w:rPr>
          <w:rFonts w:ascii="Arial" w:hAnsi="Arial" w:cs="Arial"/>
        </w:rPr>
        <w:t xml:space="preserve"> </w:t>
      </w:r>
      <w:r w:rsidRPr="00DA6B75">
        <w:rPr>
          <w:rFonts w:ascii="Arial" w:hAnsi="Arial" w:cs="Arial"/>
          <w:i/>
          <w:iCs/>
        </w:rPr>
        <w:t>Curric</w:t>
      </w:r>
      <w:r w:rsidRPr="009275B3">
        <w:rPr>
          <w:rFonts w:ascii="Arial" w:hAnsi="Arial" w:cs="Arial"/>
          <w:i/>
          <w:iCs/>
        </w:rPr>
        <w:t>ulum Content in Schools.</w:t>
      </w:r>
      <w:r>
        <w:rPr>
          <w:rFonts w:ascii="Arial" w:hAnsi="Arial" w:cs="Arial"/>
        </w:rPr>
        <w:t xml:space="preserve"> </w:t>
      </w:r>
      <w:r w:rsidRPr="009275B3">
        <w:rPr>
          <w:rFonts w:ascii="Arial" w:hAnsi="Arial" w:cs="Arial"/>
        </w:rPr>
        <w:t>Public school curricula tend to follow more standardized pedagogical models, which may offer better alignment with licensure exams like the LEPT.</w:t>
      </w:r>
      <w:r w:rsidR="000F4FAB" w:rsidRPr="000F4FAB">
        <w:t xml:space="preserve"> </w:t>
      </w:r>
      <w:r w:rsidR="000F4FAB" w:rsidRPr="000F4FAB">
        <w:rPr>
          <w:rFonts w:ascii="Arial" w:hAnsi="Arial" w:cs="Arial"/>
        </w:rPr>
        <w:t>According to Ladia and Nool (2012), the widespread offering of teacher education in SUCs serves as a key indicator of teaching quality and licensure exam results influence government funding allocations.</w:t>
      </w:r>
      <w:r w:rsidR="000F4FAB">
        <w:rPr>
          <w:rFonts w:ascii="Arial" w:hAnsi="Arial" w:cs="Arial"/>
        </w:rPr>
        <w:t xml:space="preserve"> </w:t>
      </w:r>
      <w:r w:rsidRPr="009275B3">
        <w:rPr>
          <w:rFonts w:ascii="Arial" w:hAnsi="Arial" w:cs="Arial"/>
        </w:rPr>
        <w:t xml:space="preserve"> Meanwhile, private schools, especially those with diverse teaching approaches, may not always align as closely with standardized tests, leading to variability in LEPT performance.</w:t>
      </w:r>
      <w:r>
        <w:rPr>
          <w:rFonts w:ascii="Arial" w:hAnsi="Arial" w:cs="Arial"/>
        </w:rPr>
        <w:t xml:space="preserve"> </w:t>
      </w:r>
      <w:r w:rsidRPr="009275B3">
        <w:rPr>
          <w:rFonts w:ascii="Arial" w:hAnsi="Arial" w:cs="Arial"/>
        </w:rPr>
        <w:t xml:space="preserve">Among private Higher-Education Institutions (HEIs), high performances in licensure examinations are used as bragging rights to attract prospective enrollees. </w:t>
      </w:r>
      <w:r w:rsidRPr="00F962D5">
        <w:rPr>
          <w:rFonts w:ascii="Arial" w:hAnsi="Arial" w:cs="Arial"/>
        </w:rPr>
        <w:t>Moreover</w:t>
      </w:r>
      <w:r w:rsidRPr="009275B3">
        <w:rPr>
          <w:rFonts w:ascii="Arial" w:hAnsi="Arial" w:cs="Arial"/>
        </w:rPr>
        <w:t>, recent studies examined the differences in educational quality between public and private institutions in terms of teacher preparation, resources, and instructional quality. Public school curricula tend to follow more standardized pedagogical models, which may offer better alignment with licensure exams like the LEPT. Meanwhile, private schools, especially those with diverse teaching approaches, may not always align as closely with standardized tests, leading to variability in LEPT performance (</w:t>
      </w:r>
      <w:proofErr w:type="spellStart"/>
      <w:r w:rsidRPr="009275B3">
        <w:rPr>
          <w:rFonts w:ascii="Arial" w:hAnsi="Arial" w:cs="Arial"/>
        </w:rPr>
        <w:t>Laguador</w:t>
      </w:r>
      <w:proofErr w:type="spellEnd"/>
      <w:r w:rsidRPr="009275B3">
        <w:rPr>
          <w:rFonts w:ascii="Arial" w:hAnsi="Arial" w:cs="Arial"/>
        </w:rPr>
        <w:t xml:space="preserve"> and </w:t>
      </w:r>
      <w:proofErr w:type="spellStart"/>
      <w:r w:rsidRPr="009275B3">
        <w:rPr>
          <w:rFonts w:ascii="Arial" w:hAnsi="Arial" w:cs="Arial"/>
        </w:rPr>
        <w:t>Refozar</w:t>
      </w:r>
      <w:proofErr w:type="spellEnd"/>
      <w:r w:rsidRPr="009275B3">
        <w:rPr>
          <w:rFonts w:ascii="Arial" w:hAnsi="Arial" w:cs="Arial"/>
        </w:rPr>
        <w:t xml:space="preserve">, </w:t>
      </w:r>
      <w:r w:rsidR="009253D7">
        <w:rPr>
          <w:rFonts w:ascii="Arial" w:hAnsi="Arial" w:cs="Arial"/>
        </w:rPr>
        <w:t xml:space="preserve">2020). </w:t>
      </w:r>
    </w:p>
    <w:p w14:paraId="6D96BD53" w14:textId="3DB6BE8B" w:rsidR="009275B3" w:rsidRDefault="009275B3" w:rsidP="009275B3">
      <w:pPr>
        <w:pStyle w:val="Body"/>
        <w:ind w:firstLine="720"/>
        <w:rPr>
          <w:rFonts w:ascii="Arial" w:hAnsi="Arial" w:cs="Arial"/>
        </w:rPr>
      </w:pPr>
      <w:r w:rsidRPr="00ED43E2">
        <w:rPr>
          <w:rFonts w:ascii="Arial" w:hAnsi="Arial" w:cs="Arial"/>
          <w:i/>
          <w:iCs/>
        </w:rPr>
        <w:t>Pedag</w:t>
      </w:r>
      <w:r w:rsidRPr="009275B3">
        <w:rPr>
          <w:rFonts w:ascii="Arial" w:hAnsi="Arial" w:cs="Arial"/>
          <w:i/>
          <w:iCs/>
        </w:rPr>
        <w:t>ogical Aspects of Academic Programs.</w:t>
      </w:r>
      <w:r>
        <w:rPr>
          <w:rFonts w:ascii="Arial" w:hAnsi="Arial" w:cs="Arial"/>
        </w:rPr>
        <w:t xml:space="preserve"> </w:t>
      </w:r>
      <w:r w:rsidRPr="009275B3">
        <w:rPr>
          <w:rFonts w:ascii="Arial" w:hAnsi="Arial" w:cs="Arial"/>
        </w:rPr>
        <w:t xml:space="preserve">In the study of </w:t>
      </w:r>
      <w:proofErr w:type="spellStart"/>
      <w:r w:rsidRPr="009275B3">
        <w:rPr>
          <w:rFonts w:ascii="Arial" w:hAnsi="Arial" w:cs="Arial"/>
        </w:rPr>
        <w:t>Caup</w:t>
      </w:r>
      <w:proofErr w:type="spellEnd"/>
      <w:r w:rsidRPr="009275B3">
        <w:rPr>
          <w:rFonts w:ascii="Arial" w:hAnsi="Arial" w:cs="Arial"/>
        </w:rPr>
        <w:t xml:space="preserve">, D. and Buda, A. (2017), the </w:t>
      </w:r>
      <w:r w:rsidR="000F4FAB">
        <w:rPr>
          <w:rFonts w:ascii="Arial" w:hAnsi="Arial" w:cs="Arial"/>
        </w:rPr>
        <w:t>Department of Education (</w:t>
      </w:r>
      <w:r w:rsidRPr="009275B3">
        <w:rPr>
          <w:rFonts w:ascii="Arial" w:hAnsi="Arial" w:cs="Arial"/>
        </w:rPr>
        <w:t>DepEd</w:t>
      </w:r>
      <w:r w:rsidR="000F4FAB">
        <w:rPr>
          <w:rFonts w:ascii="Arial" w:hAnsi="Arial" w:cs="Arial"/>
        </w:rPr>
        <w:t>)</w:t>
      </w:r>
      <w:r w:rsidRPr="009275B3">
        <w:rPr>
          <w:rFonts w:ascii="Arial" w:hAnsi="Arial" w:cs="Arial"/>
        </w:rPr>
        <w:t xml:space="preserve"> lays high confidence on the K-12 Program in providing better quality of education that is based on spirally progressing curriculum starting </w:t>
      </w:r>
      <w:r w:rsidRPr="009275B3">
        <w:rPr>
          <w:rFonts w:ascii="Arial" w:hAnsi="Arial" w:cs="Arial"/>
        </w:rPr>
        <w:lastRenderedPageBreak/>
        <w:t>with simple topics moving toward increasing complexity in order for the learners to gain mastery of concepts and skills. Graduates of the K-12 program are therefore envisioned as better prepared to compete globally for employment opportunities. This change on basic education cycle caused the conduct of stakeholder consultations, policy discourses, and education summits to gather inputs and feedback on the educational reform.</w:t>
      </w:r>
      <w:r w:rsidR="000F4FAB">
        <w:rPr>
          <w:rFonts w:ascii="Arial" w:hAnsi="Arial" w:cs="Arial"/>
        </w:rPr>
        <w:t xml:space="preserve"> Although the main pedagogical aspects between private and public schools are the </w:t>
      </w:r>
      <w:proofErr w:type="gramStart"/>
      <w:r w:rsidR="000F4FAB">
        <w:rPr>
          <w:rFonts w:ascii="Arial" w:hAnsi="Arial" w:cs="Arial"/>
        </w:rPr>
        <w:t xml:space="preserve">similar, </w:t>
      </w:r>
      <w:r w:rsidR="0054304A">
        <w:rPr>
          <w:rFonts w:ascii="Arial" w:hAnsi="Arial" w:cs="Arial"/>
        </w:rPr>
        <w:t xml:space="preserve"> </w:t>
      </w:r>
      <w:r w:rsidR="000F4FAB" w:rsidRPr="00FF674D">
        <w:rPr>
          <w:rFonts w:ascii="Arial" w:hAnsi="Arial" w:cs="Arial"/>
        </w:rPr>
        <w:t>t</w:t>
      </w:r>
      <w:r w:rsidRPr="00FF674D">
        <w:rPr>
          <w:rFonts w:ascii="Arial" w:hAnsi="Arial" w:cs="Arial"/>
        </w:rPr>
        <w:t>he</w:t>
      </w:r>
      <w:r w:rsidR="00840075" w:rsidRPr="00FF674D">
        <w:rPr>
          <w:rFonts w:ascii="Arial" w:hAnsi="Arial" w:cs="Arial"/>
        </w:rPr>
        <w:t>re</w:t>
      </w:r>
      <w:proofErr w:type="gramEnd"/>
      <w:r w:rsidR="00840075" w:rsidRPr="00FF674D">
        <w:rPr>
          <w:rFonts w:ascii="Arial" w:hAnsi="Arial" w:cs="Arial"/>
        </w:rPr>
        <w:t xml:space="preserve"> seems to be a</w:t>
      </w:r>
      <w:r w:rsidRPr="00FF674D">
        <w:rPr>
          <w:rFonts w:ascii="Arial" w:hAnsi="Arial" w:cs="Arial"/>
        </w:rPr>
        <w:t xml:space="preserve"> disparity between the performance of education and non-education graduates in the LEPT</w:t>
      </w:r>
      <w:r w:rsidR="00840075" w:rsidRPr="00FF674D">
        <w:rPr>
          <w:rFonts w:ascii="Arial" w:hAnsi="Arial" w:cs="Arial"/>
        </w:rPr>
        <w:t xml:space="preserve">. </w:t>
      </w:r>
      <w:proofErr w:type="spellStart"/>
      <w:r w:rsidR="00840075" w:rsidRPr="00FF674D">
        <w:rPr>
          <w:rFonts w:ascii="Arial" w:hAnsi="Arial" w:cs="Arial"/>
        </w:rPr>
        <w:t>Salunduguit</w:t>
      </w:r>
      <w:proofErr w:type="spellEnd"/>
      <w:r w:rsidR="00840075" w:rsidRPr="00FF674D">
        <w:rPr>
          <w:rFonts w:ascii="Arial" w:hAnsi="Arial" w:cs="Arial"/>
        </w:rPr>
        <w:t xml:space="preserve"> (2019) studie</w:t>
      </w:r>
      <w:r w:rsidR="000F4FAB" w:rsidRPr="00FF674D">
        <w:rPr>
          <w:rFonts w:ascii="Arial" w:hAnsi="Arial" w:cs="Arial"/>
        </w:rPr>
        <w:t>d</w:t>
      </w:r>
      <w:r w:rsidR="00840075" w:rsidRPr="00FF674D">
        <w:rPr>
          <w:rFonts w:ascii="Arial" w:hAnsi="Arial" w:cs="Arial"/>
        </w:rPr>
        <w:t xml:space="preserve"> on education, second-courser, and non-college of education graduates</w:t>
      </w:r>
      <w:proofErr w:type="gramStart"/>
      <w:r w:rsidR="00840075" w:rsidRPr="00FF674D">
        <w:rPr>
          <w:rFonts w:ascii="Arial" w:hAnsi="Arial" w:cs="Arial"/>
        </w:rPr>
        <w:t>’  performance</w:t>
      </w:r>
      <w:proofErr w:type="gramEnd"/>
      <w:r w:rsidR="00840075" w:rsidRPr="00FF674D">
        <w:rPr>
          <w:rFonts w:ascii="Arial" w:hAnsi="Arial" w:cs="Arial"/>
        </w:rPr>
        <w:t xml:space="preserve"> in the licensure examination for teachers in 2019. A comparison between the education and non-education passing percentages against the national passing percentage indicate that combining the passing percentages of education first time takers and repeaters still exceeded the national passing percentage in </w:t>
      </w:r>
      <w:proofErr w:type="gramStart"/>
      <w:r w:rsidR="00840075" w:rsidRPr="00FF674D">
        <w:rPr>
          <w:rFonts w:ascii="Arial" w:hAnsi="Arial" w:cs="Arial"/>
        </w:rPr>
        <w:t>most</w:t>
      </w:r>
      <w:proofErr w:type="gramEnd"/>
      <w:r w:rsidR="00840075" w:rsidRPr="00FF674D">
        <w:rPr>
          <w:rFonts w:ascii="Arial" w:hAnsi="Arial" w:cs="Arial"/>
        </w:rPr>
        <w:t xml:space="preserve"> number of school years covered in the study. However</w:t>
      </w:r>
      <w:r w:rsidR="00CE31BA" w:rsidRPr="00FF674D">
        <w:rPr>
          <w:rFonts w:ascii="Arial" w:hAnsi="Arial" w:cs="Arial"/>
        </w:rPr>
        <w:t>, among the</w:t>
      </w:r>
      <w:r w:rsidR="00840075" w:rsidRPr="00FF674D">
        <w:rPr>
          <w:rFonts w:ascii="Arial" w:hAnsi="Arial" w:cs="Arial"/>
        </w:rPr>
        <w:t xml:space="preserve"> non-education test takers, their passing percentage only exceeded the national passing in </w:t>
      </w:r>
      <w:r w:rsidR="00CE31BA" w:rsidRPr="00FF674D">
        <w:rPr>
          <w:rFonts w:ascii="Arial" w:hAnsi="Arial" w:cs="Arial"/>
        </w:rPr>
        <w:t xml:space="preserve">one cycle. </w:t>
      </w:r>
      <w:r w:rsidR="00840075" w:rsidRPr="00FF674D">
        <w:rPr>
          <w:rFonts w:ascii="Arial" w:hAnsi="Arial" w:cs="Arial"/>
        </w:rPr>
        <w:t xml:space="preserve"> Further, </w:t>
      </w:r>
      <w:r w:rsidR="00905C3F" w:rsidRPr="00FF674D">
        <w:rPr>
          <w:rFonts w:ascii="Arial" w:hAnsi="Arial" w:cs="Arial"/>
        </w:rPr>
        <w:t>as</w:t>
      </w:r>
      <w:r w:rsidR="00905C3F">
        <w:rPr>
          <w:rFonts w:ascii="Arial" w:hAnsi="Arial" w:cs="Arial"/>
        </w:rPr>
        <w:t xml:space="preserve"> </w:t>
      </w:r>
      <w:r w:rsidR="00840075">
        <w:rPr>
          <w:rFonts w:ascii="Arial" w:hAnsi="Arial" w:cs="Arial"/>
        </w:rPr>
        <w:t>n</w:t>
      </w:r>
      <w:r w:rsidRPr="00F962D5">
        <w:rPr>
          <w:rFonts w:ascii="Arial" w:hAnsi="Arial" w:cs="Arial"/>
        </w:rPr>
        <w:t>on-education</w:t>
      </w:r>
      <w:r w:rsidRPr="009275B3">
        <w:rPr>
          <w:rFonts w:ascii="Arial" w:hAnsi="Arial" w:cs="Arial"/>
        </w:rPr>
        <w:t xml:space="preserve"> graduates enter the teaching profession through alternative pathways, </w:t>
      </w:r>
      <w:r w:rsidR="00E145CB">
        <w:rPr>
          <w:rFonts w:ascii="Arial" w:hAnsi="Arial" w:cs="Arial"/>
        </w:rPr>
        <w:t>thus presumably, the</w:t>
      </w:r>
      <w:r w:rsidRPr="009275B3">
        <w:rPr>
          <w:rFonts w:ascii="Arial" w:hAnsi="Arial" w:cs="Arial"/>
        </w:rPr>
        <w:t xml:space="preserve"> lack</w:t>
      </w:r>
      <w:r w:rsidR="00E145CB">
        <w:rPr>
          <w:rFonts w:ascii="Arial" w:hAnsi="Arial" w:cs="Arial"/>
        </w:rPr>
        <w:t xml:space="preserve"> of</w:t>
      </w:r>
      <w:r w:rsidRPr="009275B3">
        <w:rPr>
          <w:rFonts w:ascii="Arial" w:hAnsi="Arial" w:cs="Arial"/>
        </w:rPr>
        <w:t xml:space="preserve"> formal preparation in the pedagogical aspects of teaching. While </w:t>
      </w:r>
      <w:r w:rsidR="005F3C3D">
        <w:rPr>
          <w:rFonts w:ascii="Arial" w:hAnsi="Arial" w:cs="Arial"/>
        </w:rPr>
        <w:t xml:space="preserve">they </w:t>
      </w:r>
      <w:r w:rsidRPr="009275B3">
        <w:rPr>
          <w:rFonts w:ascii="Arial" w:hAnsi="Arial" w:cs="Arial"/>
        </w:rPr>
        <w:t>may exhibit strong content knowledge in their chosen field of specialization, their academic curriculum typically lacks formal coursework in teaching methodologies, classroom management, and educational theory. This pedagogical gap often results in lower performance in the LEPT, where competencies related to instructional strategies and educational principles are assessed (De Guzman, 2021).</w:t>
      </w:r>
      <w:r w:rsidR="0079075F">
        <w:rPr>
          <w:rFonts w:ascii="Arial" w:hAnsi="Arial" w:cs="Arial"/>
        </w:rPr>
        <w:t xml:space="preserve"> </w:t>
      </w:r>
      <w:r w:rsidRPr="009275B3">
        <w:rPr>
          <w:rFonts w:ascii="Arial" w:hAnsi="Arial" w:cs="Arial"/>
        </w:rPr>
        <w:t xml:space="preserve">Similarly, </w:t>
      </w:r>
      <w:r w:rsidR="0079075F">
        <w:rPr>
          <w:rFonts w:ascii="Arial" w:hAnsi="Arial" w:cs="Arial"/>
        </w:rPr>
        <w:t xml:space="preserve">a </w:t>
      </w:r>
      <w:r w:rsidRPr="009275B3">
        <w:rPr>
          <w:rFonts w:ascii="Arial" w:hAnsi="Arial" w:cs="Arial"/>
        </w:rPr>
        <w:t xml:space="preserve">research conducted by </w:t>
      </w:r>
      <w:proofErr w:type="spellStart"/>
      <w:r w:rsidRPr="009275B3">
        <w:rPr>
          <w:rFonts w:ascii="Arial" w:hAnsi="Arial" w:cs="Arial"/>
        </w:rPr>
        <w:t>Amanonce</w:t>
      </w:r>
      <w:proofErr w:type="spellEnd"/>
      <w:r w:rsidRPr="009275B3">
        <w:rPr>
          <w:rFonts w:ascii="Arial" w:hAnsi="Arial" w:cs="Arial"/>
        </w:rPr>
        <w:t xml:space="preserve"> and </w:t>
      </w:r>
      <w:proofErr w:type="spellStart"/>
      <w:r w:rsidRPr="009275B3">
        <w:rPr>
          <w:rFonts w:ascii="Arial" w:hAnsi="Arial" w:cs="Arial"/>
        </w:rPr>
        <w:t>Maramag</w:t>
      </w:r>
      <w:proofErr w:type="spellEnd"/>
      <w:r w:rsidRPr="009275B3">
        <w:rPr>
          <w:rFonts w:ascii="Arial" w:hAnsi="Arial" w:cs="Arial"/>
        </w:rPr>
        <w:t xml:space="preserve"> (2020) found a significant correlation between academic success in teacher education programs and licensure examination performance, emphasizing the role of formal pedagogical training in achieving higher exam scores. Teacher preparation programs play a crucial role in determining LEPT outcomes, particularly in terms of professional education scores. Education graduates benefit from a systematic curriculum designed to develop both content knowledge and pedagogical skills, providing them with the competencies required to pass the LEPT. By contrast, non-education graduates often enter the teaching profession through shorter, alternative certification programs that may not provide the same depth of preparation in teaching methods or classroom management. De Guzman (2021) contended that although these alternative pathways are beneficial for increasing the number of teachers, they may not provide aspiring professionals with the same degree of pedagogical expertise.</w:t>
      </w:r>
      <w:r w:rsidR="00013B55">
        <w:rPr>
          <w:rFonts w:ascii="Arial" w:hAnsi="Arial" w:cs="Arial"/>
        </w:rPr>
        <w:t xml:space="preserve"> </w:t>
      </w:r>
      <w:r w:rsidRPr="009275B3">
        <w:rPr>
          <w:rFonts w:ascii="Arial" w:hAnsi="Arial" w:cs="Arial"/>
        </w:rPr>
        <w:t>This could result in lower LEPT scores and possibly diminish their effectiveness in the teaching environment.</w:t>
      </w:r>
      <w:r w:rsidR="00FA08EC">
        <w:rPr>
          <w:rFonts w:ascii="Arial" w:hAnsi="Arial" w:cs="Arial"/>
        </w:rPr>
        <w:t xml:space="preserve"> </w:t>
      </w:r>
    </w:p>
    <w:p w14:paraId="6018A1FD" w14:textId="2DA722B2" w:rsidR="00D37DB3" w:rsidRDefault="00AC0892" w:rsidP="00013B55">
      <w:pPr>
        <w:pStyle w:val="Body"/>
        <w:ind w:firstLine="720"/>
        <w:rPr>
          <w:rFonts w:ascii="Arial" w:hAnsi="Arial" w:cs="Arial"/>
        </w:rPr>
      </w:pPr>
      <w:r>
        <w:rPr>
          <w:rFonts w:ascii="Arial" w:hAnsi="Arial" w:cs="Arial"/>
        </w:rPr>
        <w:t>Several s</w:t>
      </w:r>
      <w:r w:rsidR="00013B55" w:rsidRPr="00FD1407">
        <w:rPr>
          <w:rFonts w:ascii="Arial" w:hAnsi="Arial" w:cs="Arial"/>
        </w:rPr>
        <w:t>tudies</w:t>
      </w:r>
      <w:r w:rsidR="00013B55" w:rsidRPr="00013B55">
        <w:rPr>
          <w:rFonts w:ascii="Arial" w:hAnsi="Arial" w:cs="Arial"/>
        </w:rPr>
        <w:t xml:space="preserve"> highlight this issue, demonstrating that individuals who enter teaching through alternative pathways without substantial pedagogical preparation tend to face challenges (Darling- Hammond, 2006; Smith &amp; Ingersoll, 2004). </w:t>
      </w:r>
      <w:r w:rsidR="00965115" w:rsidRPr="00FF674D">
        <w:rPr>
          <w:rFonts w:ascii="Arial" w:hAnsi="Arial" w:cs="Arial"/>
        </w:rPr>
        <w:t>T</w:t>
      </w:r>
      <w:r w:rsidR="00FA08EC" w:rsidRPr="00FF674D">
        <w:rPr>
          <w:rFonts w:ascii="Arial" w:hAnsi="Arial" w:cs="Arial"/>
        </w:rPr>
        <w:t xml:space="preserve">he study of </w:t>
      </w:r>
      <w:proofErr w:type="spellStart"/>
      <w:r w:rsidR="00FA08EC" w:rsidRPr="00FF674D">
        <w:rPr>
          <w:rFonts w:ascii="Arial" w:hAnsi="Arial" w:cs="Arial"/>
        </w:rPr>
        <w:t>Balinario</w:t>
      </w:r>
      <w:proofErr w:type="spellEnd"/>
      <w:r w:rsidR="00236D9B" w:rsidRPr="00FF674D">
        <w:rPr>
          <w:rFonts w:ascii="Arial" w:hAnsi="Arial" w:cs="Arial"/>
        </w:rPr>
        <w:t xml:space="preserve">, </w:t>
      </w:r>
      <w:proofErr w:type="spellStart"/>
      <w:r w:rsidR="00FA08EC" w:rsidRPr="00FF674D">
        <w:rPr>
          <w:rFonts w:ascii="Arial" w:hAnsi="Arial" w:cs="Arial"/>
        </w:rPr>
        <w:t>Ofqueria</w:t>
      </w:r>
      <w:proofErr w:type="spellEnd"/>
      <w:r w:rsidR="00236D9B" w:rsidRPr="00FF674D">
        <w:rPr>
          <w:rFonts w:ascii="Arial" w:hAnsi="Arial" w:cs="Arial"/>
        </w:rPr>
        <w:t xml:space="preserve"> and </w:t>
      </w:r>
      <w:proofErr w:type="spellStart"/>
      <w:r w:rsidR="00236D9B" w:rsidRPr="00FF674D">
        <w:rPr>
          <w:rFonts w:ascii="Arial" w:hAnsi="Arial" w:cs="Arial"/>
        </w:rPr>
        <w:t>Arca</w:t>
      </w:r>
      <w:proofErr w:type="spellEnd"/>
      <w:r w:rsidR="00236D9B" w:rsidRPr="00FF674D">
        <w:rPr>
          <w:rFonts w:ascii="Arial" w:hAnsi="Arial" w:cs="Arial"/>
        </w:rPr>
        <w:t xml:space="preserve"> (2023)</w:t>
      </w:r>
      <w:r w:rsidR="00FA08EC" w:rsidRPr="00FF674D">
        <w:rPr>
          <w:rFonts w:ascii="Arial" w:hAnsi="Arial" w:cs="Arial"/>
        </w:rPr>
        <w:t xml:space="preserve"> showed that BS</w:t>
      </w:r>
      <w:r w:rsidR="00236D9B" w:rsidRPr="00FF674D">
        <w:rPr>
          <w:rFonts w:ascii="Arial" w:hAnsi="Arial" w:cs="Arial"/>
        </w:rPr>
        <w:t xml:space="preserve"> education</w:t>
      </w:r>
      <w:r w:rsidR="00FA08EC" w:rsidRPr="00FF674D">
        <w:rPr>
          <w:rFonts w:ascii="Arial" w:hAnsi="Arial" w:cs="Arial"/>
        </w:rPr>
        <w:t xml:space="preserve"> graduates have a </w:t>
      </w:r>
      <w:r w:rsidR="009B686D" w:rsidRPr="00FF674D">
        <w:rPr>
          <w:rFonts w:ascii="Arial" w:hAnsi="Arial" w:cs="Arial"/>
        </w:rPr>
        <w:t>“</w:t>
      </w:r>
      <w:r w:rsidR="00FA08EC" w:rsidRPr="00FF674D">
        <w:rPr>
          <w:rFonts w:ascii="Arial" w:hAnsi="Arial" w:cs="Arial"/>
        </w:rPr>
        <w:t>passed</w:t>
      </w:r>
      <w:r w:rsidR="009B686D" w:rsidRPr="00FF674D">
        <w:rPr>
          <w:rFonts w:ascii="Arial" w:hAnsi="Arial" w:cs="Arial"/>
        </w:rPr>
        <w:t>”</w:t>
      </w:r>
      <w:r w:rsidR="00FA08EC" w:rsidRPr="00FF674D">
        <w:rPr>
          <w:rFonts w:ascii="Arial" w:hAnsi="Arial" w:cs="Arial"/>
        </w:rPr>
        <w:t xml:space="preserve"> result in the 3 major areas which</w:t>
      </w:r>
      <w:r w:rsidR="009D421B" w:rsidRPr="00FF674D">
        <w:rPr>
          <w:rFonts w:ascii="Arial" w:hAnsi="Arial" w:cs="Arial"/>
        </w:rPr>
        <w:t xml:space="preserve">: </w:t>
      </w:r>
      <w:r w:rsidR="00FA08EC" w:rsidRPr="00FF674D">
        <w:rPr>
          <w:rFonts w:ascii="Arial" w:hAnsi="Arial" w:cs="Arial"/>
        </w:rPr>
        <w:t xml:space="preserve">General Education, Professional Education, </w:t>
      </w:r>
      <w:r w:rsidR="009D421B" w:rsidRPr="00FF674D">
        <w:rPr>
          <w:rFonts w:ascii="Arial" w:hAnsi="Arial" w:cs="Arial"/>
        </w:rPr>
        <w:t>and S</w:t>
      </w:r>
      <w:r w:rsidR="00FA08EC" w:rsidRPr="00FF674D">
        <w:rPr>
          <w:rFonts w:ascii="Arial" w:hAnsi="Arial" w:cs="Arial"/>
        </w:rPr>
        <w:t>pecialization</w:t>
      </w:r>
      <w:r w:rsidR="009D421B" w:rsidRPr="00FF674D">
        <w:rPr>
          <w:rFonts w:ascii="Arial" w:hAnsi="Arial" w:cs="Arial"/>
        </w:rPr>
        <w:t>.</w:t>
      </w:r>
      <w:r w:rsidR="00FA08EC" w:rsidRPr="00FF674D">
        <w:rPr>
          <w:rFonts w:ascii="Arial" w:hAnsi="Arial" w:cs="Arial"/>
        </w:rPr>
        <w:t xml:space="preserve">  </w:t>
      </w:r>
      <w:r w:rsidR="009D421B" w:rsidRPr="00FF674D">
        <w:rPr>
          <w:rFonts w:ascii="Arial" w:hAnsi="Arial" w:cs="Arial"/>
        </w:rPr>
        <w:t>C</w:t>
      </w:r>
      <w:r w:rsidR="00FA08EC" w:rsidRPr="00FF674D">
        <w:rPr>
          <w:rFonts w:ascii="Arial" w:hAnsi="Arial" w:cs="Arial"/>
        </w:rPr>
        <w:t>ompar</w:t>
      </w:r>
      <w:r w:rsidR="009D421B" w:rsidRPr="00FF674D">
        <w:rPr>
          <w:rFonts w:ascii="Arial" w:hAnsi="Arial" w:cs="Arial"/>
        </w:rPr>
        <w:t>ing</w:t>
      </w:r>
      <w:r w:rsidR="00FA08EC" w:rsidRPr="00FF674D">
        <w:rPr>
          <w:rFonts w:ascii="Arial" w:hAnsi="Arial" w:cs="Arial"/>
        </w:rPr>
        <w:t xml:space="preserve"> to non-education graduates</w:t>
      </w:r>
      <w:r w:rsidR="00376996" w:rsidRPr="00FF674D">
        <w:rPr>
          <w:rFonts w:ascii="Arial" w:hAnsi="Arial" w:cs="Arial"/>
        </w:rPr>
        <w:t xml:space="preserve"> the said 3 major areas were of lower scores and an overall</w:t>
      </w:r>
      <w:r w:rsidR="00FA08EC" w:rsidRPr="00FF674D">
        <w:rPr>
          <w:rFonts w:ascii="Arial" w:hAnsi="Arial" w:cs="Arial"/>
        </w:rPr>
        <w:t xml:space="preserve"> rating</w:t>
      </w:r>
      <w:r w:rsidR="00376996" w:rsidRPr="00FF674D">
        <w:rPr>
          <w:rFonts w:ascii="Arial" w:hAnsi="Arial" w:cs="Arial"/>
        </w:rPr>
        <w:t xml:space="preserve"> of “</w:t>
      </w:r>
      <w:r w:rsidR="00FA08EC" w:rsidRPr="00FF674D">
        <w:rPr>
          <w:rFonts w:ascii="Arial" w:hAnsi="Arial" w:cs="Arial"/>
        </w:rPr>
        <w:t>failed</w:t>
      </w:r>
      <w:r w:rsidR="00376996" w:rsidRPr="00FF674D">
        <w:rPr>
          <w:rFonts w:ascii="Arial" w:hAnsi="Arial" w:cs="Arial"/>
        </w:rPr>
        <w:t xml:space="preserve">”. </w:t>
      </w:r>
      <w:r w:rsidR="00FA08EC" w:rsidRPr="00FF674D">
        <w:rPr>
          <w:rFonts w:ascii="Arial" w:hAnsi="Arial" w:cs="Arial"/>
        </w:rPr>
        <w:t xml:space="preserve">This below-passing </w:t>
      </w:r>
      <w:r w:rsidR="00376996" w:rsidRPr="00FF674D">
        <w:rPr>
          <w:rFonts w:ascii="Arial" w:hAnsi="Arial" w:cs="Arial"/>
        </w:rPr>
        <w:t xml:space="preserve">of </w:t>
      </w:r>
      <w:r w:rsidR="00FA08EC" w:rsidRPr="00FF674D">
        <w:rPr>
          <w:rFonts w:ascii="Arial" w:hAnsi="Arial" w:cs="Arial"/>
        </w:rPr>
        <w:t>non-</w:t>
      </w:r>
      <w:r w:rsidR="00376996" w:rsidRPr="00FF674D">
        <w:rPr>
          <w:rFonts w:ascii="Arial" w:hAnsi="Arial" w:cs="Arial"/>
        </w:rPr>
        <w:t xml:space="preserve">education </w:t>
      </w:r>
      <w:proofErr w:type="gramStart"/>
      <w:r w:rsidR="00FA08EC" w:rsidRPr="00FF674D">
        <w:rPr>
          <w:rFonts w:ascii="Arial" w:hAnsi="Arial" w:cs="Arial"/>
        </w:rPr>
        <w:t>graduates'</w:t>
      </w:r>
      <w:proofErr w:type="gramEnd"/>
      <w:r w:rsidR="00FA08EC" w:rsidRPr="00FF674D">
        <w:rPr>
          <w:rFonts w:ascii="Arial" w:hAnsi="Arial" w:cs="Arial"/>
        </w:rPr>
        <w:t xml:space="preserve"> c</w:t>
      </w:r>
      <w:r w:rsidR="00376996" w:rsidRPr="00FF674D">
        <w:rPr>
          <w:rFonts w:ascii="Arial" w:hAnsi="Arial" w:cs="Arial"/>
        </w:rPr>
        <w:t>ould</w:t>
      </w:r>
      <w:r w:rsidR="00FA08EC" w:rsidRPr="00FF674D">
        <w:rPr>
          <w:rFonts w:ascii="Arial" w:hAnsi="Arial" w:cs="Arial"/>
        </w:rPr>
        <w:t xml:space="preserve"> be attributed to the lack of mastery of competencies and lack of preparation for the licensure examination on the part of the LET takers. This finding can be supported by a study conducted by </w:t>
      </w:r>
      <w:proofErr w:type="spellStart"/>
      <w:r w:rsidR="00FA08EC" w:rsidRPr="00FF674D">
        <w:rPr>
          <w:rFonts w:ascii="Arial" w:hAnsi="Arial" w:cs="Arial"/>
        </w:rPr>
        <w:t>Ofqueria</w:t>
      </w:r>
      <w:proofErr w:type="spellEnd"/>
      <w:r w:rsidR="00FA08EC" w:rsidRPr="00FF674D">
        <w:rPr>
          <w:rFonts w:ascii="Arial" w:hAnsi="Arial" w:cs="Arial"/>
        </w:rPr>
        <w:t xml:space="preserve"> </w:t>
      </w:r>
      <w:r w:rsidR="007C79ED" w:rsidRPr="00FF674D">
        <w:rPr>
          <w:rFonts w:ascii="Arial" w:hAnsi="Arial" w:cs="Arial"/>
        </w:rPr>
        <w:t>in</w:t>
      </w:r>
      <w:r w:rsidR="00960717" w:rsidRPr="00FF674D">
        <w:rPr>
          <w:rFonts w:ascii="Arial" w:hAnsi="Arial" w:cs="Arial"/>
        </w:rPr>
        <w:t xml:space="preserve"> 202</w:t>
      </w:r>
      <w:r w:rsidR="00E23DE1" w:rsidRPr="00FF674D">
        <w:rPr>
          <w:rFonts w:ascii="Arial" w:hAnsi="Arial" w:cs="Arial"/>
        </w:rPr>
        <w:t xml:space="preserve">0 </w:t>
      </w:r>
      <w:r w:rsidR="00960717" w:rsidRPr="00FF674D">
        <w:rPr>
          <w:rFonts w:ascii="Arial" w:hAnsi="Arial" w:cs="Arial"/>
        </w:rPr>
        <w:t>as cited by</w:t>
      </w:r>
      <w:r w:rsidR="007C79ED" w:rsidRPr="00FF674D">
        <w:rPr>
          <w:rFonts w:ascii="Arial" w:hAnsi="Arial" w:cs="Arial"/>
        </w:rPr>
        <w:t xml:space="preserve"> </w:t>
      </w:r>
      <w:proofErr w:type="spellStart"/>
      <w:r w:rsidR="007C79ED" w:rsidRPr="00FF674D">
        <w:rPr>
          <w:rFonts w:ascii="Arial" w:hAnsi="Arial" w:cs="Arial"/>
        </w:rPr>
        <w:t>Balinario</w:t>
      </w:r>
      <w:proofErr w:type="spellEnd"/>
      <w:r w:rsidR="007C79ED" w:rsidRPr="00FF674D">
        <w:rPr>
          <w:rFonts w:ascii="Arial" w:hAnsi="Arial" w:cs="Arial"/>
        </w:rPr>
        <w:t xml:space="preserve"> et al </w:t>
      </w:r>
      <w:r w:rsidR="00960717" w:rsidRPr="00FF674D">
        <w:rPr>
          <w:rFonts w:ascii="Arial" w:hAnsi="Arial" w:cs="Arial"/>
        </w:rPr>
        <w:t xml:space="preserve">in </w:t>
      </w:r>
      <w:r w:rsidR="00FA08EC" w:rsidRPr="00FF674D">
        <w:rPr>
          <w:rFonts w:ascii="Arial" w:hAnsi="Arial" w:cs="Arial"/>
        </w:rPr>
        <w:t>202</w:t>
      </w:r>
      <w:r w:rsidR="007C79ED" w:rsidRPr="00FF674D">
        <w:rPr>
          <w:rFonts w:ascii="Arial" w:hAnsi="Arial" w:cs="Arial"/>
        </w:rPr>
        <w:t>3</w:t>
      </w:r>
      <w:r w:rsidR="00FA08EC" w:rsidRPr="00FF674D">
        <w:rPr>
          <w:rFonts w:ascii="Arial" w:hAnsi="Arial" w:cs="Arial"/>
        </w:rPr>
        <w:t xml:space="preserve">, where the lack of mastery in the 3 areas in general, professional, and specialization in the examination will lead to a failing performance.  </w:t>
      </w:r>
      <w:r w:rsidR="00F453D3" w:rsidRPr="00FF674D">
        <w:rPr>
          <w:rFonts w:ascii="Arial" w:hAnsi="Arial" w:cs="Arial"/>
        </w:rPr>
        <w:t>Also</w:t>
      </w:r>
      <w:r w:rsidR="00D37DB3" w:rsidRPr="00FF674D">
        <w:rPr>
          <w:rFonts w:ascii="Arial" w:hAnsi="Arial" w:cs="Arial"/>
        </w:rPr>
        <w:t>,</w:t>
      </w:r>
      <w:r w:rsidR="00D37DB3" w:rsidRPr="00FF674D">
        <w:t xml:space="preserve"> </w:t>
      </w:r>
      <w:proofErr w:type="spellStart"/>
      <w:r w:rsidR="00D37DB3" w:rsidRPr="00FF674D">
        <w:rPr>
          <w:rFonts w:ascii="Arial" w:hAnsi="Arial" w:cs="Arial"/>
        </w:rPr>
        <w:t>Abao</w:t>
      </w:r>
      <w:proofErr w:type="spellEnd"/>
      <w:r w:rsidR="00D37DB3" w:rsidRPr="00FF674D">
        <w:rPr>
          <w:rFonts w:ascii="Arial" w:hAnsi="Arial" w:cs="Arial"/>
        </w:rPr>
        <w:t xml:space="preserve">, </w:t>
      </w:r>
      <w:proofErr w:type="spellStart"/>
      <w:r w:rsidR="00D37DB3" w:rsidRPr="00FF674D">
        <w:rPr>
          <w:rFonts w:ascii="Arial" w:hAnsi="Arial" w:cs="Arial"/>
        </w:rPr>
        <w:t>Petancio</w:t>
      </w:r>
      <w:proofErr w:type="spellEnd"/>
      <w:r w:rsidR="00D37DB3" w:rsidRPr="00FF674D">
        <w:rPr>
          <w:rFonts w:ascii="Arial" w:hAnsi="Arial" w:cs="Arial"/>
        </w:rPr>
        <w:t xml:space="preserve">, Sanchez and </w:t>
      </w:r>
      <w:proofErr w:type="spellStart"/>
      <w:r w:rsidR="00D37DB3" w:rsidRPr="00FF674D">
        <w:rPr>
          <w:rFonts w:ascii="Arial" w:hAnsi="Arial" w:cs="Arial"/>
        </w:rPr>
        <w:t>Sumalinog</w:t>
      </w:r>
      <w:proofErr w:type="spellEnd"/>
      <w:r w:rsidR="00D37DB3" w:rsidRPr="00FF674D">
        <w:rPr>
          <w:rFonts w:ascii="Arial" w:hAnsi="Arial" w:cs="Arial"/>
        </w:rPr>
        <w:t xml:space="preserve"> (2023) </w:t>
      </w:r>
      <w:r w:rsidR="002313A4" w:rsidRPr="00FF674D">
        <w:rPr>
          <w:rFonts w:ascii="Arial" w:hAnsi="Arial" w:cs="Arial"/>
        </w:rPr>
        <w:t>found out in their</w:t>
      </w:r>
      <w:r w:rsidR="00D37DB3" w:rsidRPr="00FF674D">
        <w:rPr>
          <w:rFonts w:ascii="Arial" w:hAnsi="Arial" w:cs="Arial"/>
        </w:rPr>
        <w:t xml:space="preserve"> comparative analysis </w:t>
      </w:r>
      <w:proofErr w:type="gramStart"/>
      <w:r w:rsidR="00D37DB3" w:rsidRPr="00FF674D">
        <w:rPr>
          <w:rFonts w:ascii="Arial" w:hAnsi="Arial" w:cs="Arial"/>
        </w:rPr>
        <w:t>that  LET</w:t>
      </w:r>
      <w:proofErr w:type="gramEnd"/>
      <w:r w:rsidR="00D37DB3" w:rsidRPr="00FF674D">
        <w:rPr>
          <w:rFonts w:ascii="Arial" w:hAnsi="Arial" w:cs="Arial"/>
        </w:rPr>
        <w:t xml:space="preserve"> performances significantly vary in examination year, degree program, specializations, examination components, locale, and type of higher education institution. </w:t>
      </w:r>
      <w:r w:rsidR="003C583F" w:rsidRPr="00FF674D">
        <w:rPr>
          <w:rFonts w:ascii="Arial" w:hAnsi="Arial" w:cs="Arial"/>
        </w:rPr>
        <w:t>Additionally,</w:t>
      </w:r>
      <w:r w:rsidR="00D37DB3" w:rsidRPr="00FF674D">
        <w:rPr>
          <w:rFonts w:ascii="Arial" w:hAnsi="Arial" w:cs="Arial"/>
        </w:rPr>
        <w:t xml:space="preserve"> the</w:t>
      </w:r>
      <w:r w:rsidR="00B218FE" w:rsidRPr="00FF674D">
        <w:rPr>
          <w:rFonts w:ascii="Arial" w:hAnsi="Arial" w:cs="Arial"/>
        </w:rPr>
        <w:t>ir</w:t>
      </w:r>
      <w:r w:rsidR="00D37DB3" w:rsidRPr="00FF674D">
        <w:rPr>
          <w:rFonts w:ascii="Arial" w:hAnsi="Arial" w:cs="Arial"/>
        </w:rPr>
        <w:t xml:space="preserve"> performance could be attributed to test-taking time, college preparation and grade point average.</w:t>
      </w:r>
      <w:r w:rsidR="006F6BC5" w:rsidRPr="00FF674D">
        <w:rPr>
          <w:rFonts w:ascii="Arial" w:hAnsi="Arial" w:cs="Arial"/>
        </w:rPr>
        <w:t xml:space="preserve"> </w:t>
      </w:r>
      <w:r w:rsidR="00370BB8" w:rsidRPr="00FF674D">
        <w:rPr>
          <w:rFonts w:ascii="Arial" w:hAnsi="Arial" w:cs="Arial"/>
        </w:rPr>
        <w:t>Further</w:t>
      </w:r>
      <w:r w:rsidR="006F6BC5" w:rsidRPr="00FF674D">
        <w:rPr>
          <w:rFonts w:ascii="Arial" w:hAnsi="Arial" w:cs="Arial"/>
        </w:rPr>
        <w:t xml:space="preserve">, Delos Angeles in </w:t>
      </w:r>
      <w:proofErr w:type="spellStart"/>
      <w:r w:rsidR="006F6BC5" w:rsidRPr="00FF674D">
        <w:rPr>
          <w:rFonts w:ascii="Arial" w:hAnsi="Arial" w:cs="Arial"/>
        </w:rPr>
        <w:t>Cadosales</w:t>
      </w:r>
      <w:proofErr w:type="spellEnd"/>
      <w:r w:rsidR="006F6BC5" w:rsidRPr="00FF674D">
        <w:rPr>
          <w:rFonts w:ascii="Arial" w:hAnsi="Arial" w:cs="Arial"/>
        </w:rPr>
        <w:t xml:space="preserve">, Sanchez, Cordova, Merin, </w:t>
      </w:r>
      <w:proofErr w:type="gramStart"/>
      <w:r w:rsidR="006F6BC5" w:rsidRPr="00FF674D">
        <w:rPr>
          <w:rFonts w:ascii="Arial" w:hAnsi="Arial" w:cs="Arial"/>
        </w:rPr>
        <w:t>Augusto(</w:t>
      </w:r>
      <w:proofErr w:type="gramEnd"/>
      <w:r w:rsidR="006F6BC5" w:rsidRPr="00FF674D">
        <w:rPr>
          <w:rFonts w:ascii="Arial" w:hAnsi="Arial" w:cs="Arial"/>
        </w:rPr>
        <w:t xml:space="preserve">2023) cited variables that correlate significantly to BLEPT performance were age, high school, and </w:t>
      </w:r>
      <w:r w:rsidR="006F6BC5" w:rsidRPr="00FF674D">
        <w:rPr>
          <w:rFonts w:ascii="Arial" w:hAnsi="Arial" w:cs="Arial"/>
        </w:rPr>
        <w:lastRenderedPageBreak/>
        <w:t>college academic performances, and performance in a comprehensive review increase the chances of the graduates in passing the board examination.</w:t>
      </w:r>
    </w:p>
    <w:p w14:paraId="124DBF90" w14:textId="2D3DC32C" w:rsidR="00013B55" w:rsidRDefault="00013B55" w:rsidP="00013B55">
      <w:pPr>
        <w:pStyle w:val="Body"/>
        <w:ind w:firstLine="720"/>
        <w:rPr>
          <w:rFonts w:ascii="Arial" w:hAnsi="Arial" w:cs="Arial"/>
        </w:rPr>
      </w:pPr>
      <w:r w:rsidRPr="00013B55">
        <w:rPr>
          <w:rFonts w:ascii="Arial" w:hAnsi="Arial" w:cs="Arial"/>
        </w:rPr>
        <w:t xml:space="preserve">According to </w:t>
      </w:r>
      <w:proofErr w:type="spellStart"/>
      <w:r w:rsidRPr="00013B55">
        <w:rPr>
          <w:rFonts w:ascii="Arial" w:hAnsi="Arial" w:cs="Arial"/>
        </w:rPr>
        <w:t>Dagdagui</w:t>
      </w:r>
      <w:proofErr w:type="spellEnd"/>
      <w:r w:rsidRPr="00013B55">
        <w:rPr>
          <w:rFonts w:ascii="Arial" w:hAnsi="Arial" w:cs="Arial"/>
        </w:rPr>
        <w:t xml:space="preserve"> and </w:t>
      </w:r>
      <w:proofErr w:type="spellStart"/>
      <w:r w:rsidRPr="00013B55">
        <w:rPr>
          <w:rFonts w:ascii="Arial" w:hAnsi="Arial" w:cs="Arial"/>
        </w:rPr>
        <w:t>Mang</w:t>
      </w:r>
      <w:proofErr w:type="spellEnd"/>
      <w:r w:rsidRPr="00013B55">
        <w:rPr>
          <w:rFonts w:ascii="Arial" w:hAnsi="Arial" w:cs="Arial"/>
        </w:rPr>
        <w:t xml:space="preserve">- </w:t>
      </w:r>
      <w:proofErr w:type="spellStart"/>
      <w:r w:rsidRPr="00013B55">
        <w:rPr>
          <w:rFonts w:ascii="Arial" w:hAnsi="Arial" w:cs="Arial"/>
        </w:rPr>
        <w:t>usan</w:t>
      </w:r>
      <w:proofErr w:type="spellEnd"/>
      <w:r w:rsidRPr="00013B55">
        <w:rPr>
          <w:rFonts w:ascii="Arial" w:hAnsi="Arial" w:cs="Arial"/>
        </w:rPr>
        <w:t xml:space="preserve"> (2022) there is a need to strengthen the licensure examination performance of teacher education graduates across all disciplines through considering improvements in the instructional planning and pedagogy that address students’ academic performance. The literatures imply that passing the licensure</w:t>
      </w:r>
      <w:r>
        <w:rPr>
          <w:rFonts w:ascii="Arial" w:hAnsi="Arial" w:cs="Arial"/>
        </w:rPr>
        <w:t xml:space="preserve"> </w:t>
      </w:r>
      <w:r w:rsidRPr="00013B55">
        <w:rPr>
          <w:rFonts w:ascii="Arial" w:hAnsi="Arial" w:cs="Arial"/>
        </w:rPr>
        <w:t xml:space="preserve">examination is not only a requirement to practice the teaching profession but also a guarantee that teachers in the basic education sector possess the necessary competence and professional accountability. </w:t>
      </w:r>
    </w:p>
    <w:p w14:paraId="1FA207D9" w14:textId="03A29D7D" w:rsidR="00EA2C3D" w:rsidRDefault="002874F3" w:rsidP="0054304A">
      <w:pPr>
        <w:pStyle w:val="Body"/>
        <w:ind w:firstLine="720"/>
        <w:rPr>
          <w:rFonts w:ascii="Arial" w:hAnsi="Arial" w:cs="Arial"/>
        </w:rPr>
      </w:pPr>
      <w:r w:rsidRPr="00FF674D">
        <w:rPr>
          <w:rFonts w:ascii="Arial" w:hAnsi="Arial" w:cs="Arial"/>
        </w:rPr>
        <w:t>The sig</w:t>
      </w:r>
      <w:r w:rsidRPr="00F962D5">
        <w:rPr>
          <w:rFonts w:ascii="Arial" w:hAnsi="Arial" w:cs="Arial"/>
        </w:rPr>
        <w:t>nificance</w:t>
      </w:r>
      <w:r w:rsidRPr="002874F3">
        <w:rPr>
          <w:rFonts w:ascii="Arial" w:hAnsi="Arial" w:cs="Arial"/>
        </w:rPr>
        <w:t xml:space="preserve"> of LEPT </w:t>
      </w:r>
      <w:r w:rsidR="004D1CD2">
        <w:rPr>
          <w:rFonts w:ascii="Arial" w:hAnsi="Arial" w:cs="Arial"/>
        </w:rPr>
        <w:t>is</w:t>
      </w:r>
      <w:r w:rsidRPr="002874F3">
        <w:rPr>
          <w:rFonts w:ascii="Arial" w:hAnsi="Arial" w:cs="Arial"/>
        </w:rPr>
        <w:t xml:space="preserve"> further emphasized in light of recent curricular reforms aimed at aligning the Philippine education system with international standards. Recognizing the evolving demands of the education sector, the government has enacted various policies and reforms aimed at enhancing the</w:t>
      </w:r>
      <w:r>
        <w:rPr>
          <w:rFonts w:ascii="Arial" w:hAnsi="Arial" w:cs="Arial"/>
        </w:rPr>
        <w:t xml:space="preserve"> </w:t>
      </w:r>
      <w:r w:rsidRPr="002874F3">
        <w:rPr>
          <w:rFonts w:ascii="Arial" w:hAnsi="Arial" w:cs="Arial"/>
        </w:rPr>
        <w:t>quality of teacher education and licensure standards. These initiatives are aligned with broader efforts to strengthen Higher Education Institutions (HEIs) and ensure that graduates are well-prepared for licensure examinations. By continuously refining standards and instructional practices, the Philippine education system aspires to cultivate a learning environment that promotes excellence, innovation, and global competitiveness.</w:t>
      </w:r>
      <w:r w:rsidR="0058737C">
        <w:rPr>
          <w:rFonts w:ascii="Arial" w:hAnsi="Arial" w:cs="Arial"/>
        </w:rPr>
        <w:t xml:space="preserve"> </w:t>
      </w:r>
      <w:r w:rsidRPr="002874F3">
        <w:rPr>
          <w:rFonts w:ascii="Arial" w:hAnsi="Arial" w:cs="Arial"/>
        </w:rPr>
        <w:t xml:space="preserve">Conventional methodologies were modified to conform to international standards, </w:t>
      </w:r>
      <w:r w:rsidR="00F91C63">
        <w:rPr>
          <w:rFonts w:ascii="Arial" w:hAnsi="Arial" w:cs="Arial"/>
        </w:rPr>
        <w:t xml:space="preserve">also </w:t>
      </w:r>
      <w:r w:rsidRPr="002874F3">
        <w:rPr>
          <w:rFonts w:ascii="Arial" w:hAnsi="Arial" w:cs="Arial"/>
        </w:rPr>
        <w:t xml:space="preserve">highlighting </w:t>
      </w:r>
      <w:r w:rsidR="00F91C63">
        <w:rPr>
          <w:rFonts w:ascii="Arial" w:hAnsi="Arial" w:cs="Arial"/>
        </w:rPr>
        <w:t>t</w:t>
      </w:r>
      <w:r w:rsidRPr="002874F3">
        <w:rPr>
          <w:rFonts w:ascii="Arial" w:hAnsi="Arial" w:cs="Arial"/>
        </w:rPr>
        <w:t>he cultivation of critical thinking, creativity, and adaptable learning abilities. New guidelines and policies were adopted to guide educators across the country in implementing these changes.</w:t>
      </w:r>
      <w:r>
        <w:rPr>
          <w:rFonts w:ascii="Arial" w:hAnsi="Arial" w:cs="Arial"/>
        </w:rPr>
        <w:t xml:space="preserve"> </w:t>
      </w:r>
      <w:r w:rsidRPr="002874F3">
        <w:rPr>
          <w:rFonts w:ascii="Arial" w:hAnsi="Arial" w:cs="Arial"/>
        </w:rPr>
        <w:t>Thus, this has led to a nationwide recalibration of academic programs, teaching practices, and assessments.</w:t>
      </w:r>
      <w:r w:rsidR="0054304A">
        <w:rPr>
          <w:rFonts w:ascii="Arial" w:hAnsi="Arial" w:cs="Arial"/>
        </w:rPr>
        <w:t xml:space="preserve"> </w:t>
      </w:r>
      <w:r>
        <w:rPr>
          <w:rFonts w:ascii="Arial" w:hAnsi="Arial" w:cs="Arial"/>
        </w:rPr>
        <w:tab/>
      </w:r>
      <w:r w:rsidRPr="002874F3">
        <w:rPr>
          <w:rFonts w:ascii="Arial" w:hAnsi="Arial" w:cs="Arial"/>
        </w:rPr>
        <w:t>According to the</w:t>
      </w:r>
      <w:r w:rsidR="006C2964">
        <w:rPr>
          <w:rFonts w:ascii="Arial" w:hAnsi="Arial" w:cs="Arial"/>
        </w:rPr>
        <w:t xml:space="preserve"> Philippine</w:t>
      </w:r>
      <w:r w:rsidRPr="002874F3">
        <w:rPr>
          <w:rFonts w:ascii="Arial" w:hAnsi="Arial" w:cs="Arial"/>
        </w:rPr>
        <w:t xml:space="preserve"> </w:t>
      </w:r>
      <w:r w:rsidR="005905BF">
        <w:rPr>
          <w:rFonts w:ascii="Arial" w:hAnsi="Arial" w:cs="Arial"/>
        </w:rPr>
        <w:t>P</w:t>
      </w:r>
      <w:r w:rsidR="00541E40">
        <w:rPr>
          <w:rFonts w:ascii="Arial" w:hAnsi="Arial" w:cs="Arial"/>
        </w:rPr>
        <w:t>rofessional</w:t>
      </w:r>
      <w:r w:rsidR="005905BF">
        <w:rPr>
          <w:rFonts w:ascii="Arial" w:hAnsi="Arial" w:cs="Arial"/>
        </w:rPr>
        <w:t xml:space="preserve"> Regulatory Commission </w:t>
      </w:r>
      <w:r w:rsidRPr="002D52BF">
        <w:rPr>
          <w:rFonts w:ascii="Arial" w:hAnsi="Arial" w:cs="Arial"/>
        </w:rPr>
        <w:t>PRC</w:t>
      </w:r>
      <w:r w:rsidRPr="002874F3">
        <w:rPr>
          <w:rFonts w:ascii="Arial" w:hAnsi="Arial" w:cs="Arial"/>
        </w:rPr>
        <w:t xml:space="preserve"> (2022)</w:t>
      </w:r>
      <w:r w:rsidR="00541E40">
        <w:rPr>
          <w:rFonts w:ascii="Arial" w:hAnsi="Arial" w:cs="Arial"/>
        </w:rPr>
        <w:t xml:space="preserve">, </w:t>
      </w:r>
      <w:r w:rsidRPr="002874F3">
        <w:rPr>
          <w:rFonts w:ascii="Arial" w:hAnsi="Arial" w:cs="Arial"/>
        </w:rPr>
        <w:t>the Board of Professional Teachers acknowledges the issuance of CHED Memorandum Order (CMO) Nos. 74 and 75 (s. 2017) for elementary and secondary level respectively, which calls for an update to the Table of Specifications. In line with this, the Board of Professional Teachers released Resolution No. 11, Series of 2022, titled "Issuance of the Enhanced Table of Specifications (TOS) for the Subjects of the Licensure Examination for Professional Teachers (LEPT)" to align with the new policies, standards, and guidelines. The new Enhanced TOS embodies the topics and learning outcomes expected from graduates of the teaching education curricula as stipulated in the aforementioned CMOs. As part of this development, the same Board also issued Resolution No. 34, series of 2022, “Guidelines on the Evaluation of the Educational Qualifications of Applicants for the Licensure Examination for Professional Teachers (LEPT) Secondary Level starting 2023 onwards”, which mandates that teacher education programs of the secondary level and individuals pursuing professional education units must complete at least 60 units in major subjects as prescribed in the Enhanced TOS and CMO</w:t>
      </w:r>
      <w:r w:rsidR="002B1CCD">
        <w:rPr>
          <w:rFonts w:ascii="Arial" w:hAnsi="Arial" w:cs="Arial"/>
        </w:rPr>
        <w:t xml:space="preserve"> </w:t>
      </w:r>
      <w:r w:rsidRPr="002874F3">
        <w:rPr>
          <w:rFonts w:ascii="Arial" w:hAnsi="Arial" w:cs="Arial"/>
        </w:rPr>
        <w:t>75-2017. However, during the implementation of the additional 60 major unit requirement for secondary level teachers, several public concerns emerged, prompting the Board of Professional Teachers to suspend its enforcement pending a policy review for evaluation and improvement. Effective LEPT March 2024 onwards, the additional 60 major unit requirement for Professional Teachers – Secondary Level was suspended until further notice (PRC, 2024).</w:t>
      </w:r>
      <w:r w:rsidR="00A17807">
        <w:rPr>
          <w:rFonts w:ascii="Arial" w:hAnsi="Arial" w:cs="Arial"/>
        </w:rPr>
        <w:t xml:space="preserve"> </w:t>
      </w:r>
    </w:p>
    <w:p w14:paraId="5EEFB2F4" w14:textId="71C87374" w:rsidR="002874F3" w:rsidRPr="002874F3" w:rsidRDefault="003B28A9" w:rsidP="00EA2C3D">
      <w:pPr>
        <w:pStyle w:val="Body"/>
        <w:ind w:firstLine="720"/>
        <w:rPr>
          <w:rFonts w:ascii="Arial" w:hAnsi="Arial" w:cs="Arial"/>
        </w:rPr>
      </w:pPr>
      <w:r>
        <w:rPr>
          <w:rFonts w:ascii="Arial" w:hAnsi="Arial" w:cs="Arial"/>
        </w:rPr>
        <w:t xml:space="preserve">Therefore, this </w:t>
      </w:r>
      <w:r w:rsidR="00EA2C3D">
        <w:rPr>
          <w:rFonts w:ascii="Arial" w:hAnsi="Arial" w:cs="Arial"/>
        </w:rPr>
        <w:t>paper</w:t>
      </w:r>
      <w:r w:rsidR="002874F3" w:rsidRPr="002874F3">
        <w:rPr>
          <w:rFonts w:ascii="Arial" w:hAnsi="Arial" w:cs="Arial"/>
        </w:rPr>
        <w:t xml:space="preserve"> explores the LEPT Secondary Level performance ratings of exam takers </w:t>
      </w:r>
      <w:r w:rsidR="009F5DA6">
        <w:rPr>
          <w:rFonts w:ascii="Arial" w:hAnsi="Arial" w:cs="Arial"/>
        </w:rPr>
        <w:t xml:space="preserve">of </w:t>
      </w:r>
      <w:r w:rsidR="002874F3" w:rsidRPr="002874F3">
        <w:rPr>
          <w:rFonts w:ascii="Arial" w:hAnsi="Arial" w:cs="Arial"/>
        </w:rPr>
        <w:t xml:space="preserve">March 2024 </w:t>
      </w:r>
      <w:r w:rsidR="009F5DA6">
        <w:rPr>
          <w:rFonts w:ascii="Arial" w:hAnsi="Arial" w:cs="Arial"/>
        </w:rPr>
        <w:t xml:space="preserve">in Cagayan de Oro City, Philippines </w:t>
      </w:r>
      <w:r w:rsidR="002874F3" w:rsidRPr="002874F3">
        <w:rPr>
          <w:rFonts w:ascii="Arial" w:hAnsi="Arial" w:cs="Arial"/>
        </w:rPr>
        <w:t>following the suspension of the 60-unit major requirement</w:t>
      </w:r>
      <w:r w:rsidR="009F5DA6">
        <w:rPr>
          <w:rFonts w:ascii="Arial" w:hAnsi="Arial" w:cs="Arial"/>
        </w:rPr>
        <w:t>,</w:t>
      </w:r>
      <w:r w:rsidR="002874F3" w:rsidRPr="002874F3">
        <w:rPr>
          <w:rFonts w:ascii="Arial" w:hAnsi="Arial" w:cs="Arial"/>
        </w:rPr>
        <w:t xml:space="preserve"> in light of the new policies, standards, and guidelines introduced under the Enhanced Table of Specifications. Specifically, the study compared the board exam ratings of education graduates</w:t>
      </w:r>
      <w:r w:rsidR="009F5DA6">
        <w:rPr>
          <w:rFonts w:ascii="Arial" w:hAnsi="Arial" w:cs="Arial"/>
        </w:rPr>
        <w:t xml:space="preserve"> and </w:t>
      </w:r>
      <w:r w:rsidR="002874F3" w:rsidRPr="002874F3">
        <w:rPr>
          <w:rFonts w:ascii="Arial" w:hAnsi="Arial" w:cs="Arial"/>
        </w:rPr>
        <w:t>non-education graduates considering their type of school</w:t>
      </w:r>
      <w:r w:rsidR="00A43BC2">
        <w:rPr>
          <w:rFonts w:ascii="Arial" w:hAnsi="Arial" w:cs="Arial"/>
        </w:rPr>
        <w:t xml:space="preserve"> and their specialization. </w:t>
      </w:r>
      <w:r w:rsidR="002874F3" w:rsidRPr="002874F3">
        <w:rPr>
          <w:rFonts w:ascii="Arial" w:hAnsi="Arial" w:cs="Arial"/>
        </w:rPr>
        <w:t xml:space="preserve">The difference in academic background raises important questions: Does the specialized training in teaching practices provided to education graduates give them an advantage in the licensure exam, or do non-education graduates </w:t>
      </w:r>
      <w:r w:rsidR="002874F3" w:rsidRPr="002874F3">
        <w:rPr>
          <w:rFonts w:ascii="Arial" w:hAnsi="Arial" w:cs="Arial"/>
        </w:rPr>
        <w:lastRenderedPageBreak/>
        <w:t>perform similarly despite their different academic</w:t>
      </w:r>
      <w:r w:rsidR="00A17807">
        <w:rPr>
          <w:rFonts w:ascii="Arial" w:hAnsi="Arial" w:cs="Arial"/>
        </w:rPr>
        <w:t xml:space="preserve"> </w:t>
      </w:r>
      <w:r w:rsidR="002874F3" w:rsidRPr="002874F3">
        <w:rPr>
          <w:rFonts w:ascii="Arial" w:hAnsi="Arial" w:cs="Arial"/>
        </w:rPr>
        <w:t>experiences? Additionally, is there a difference in success rates between private and public schools under the Enhanced TOS?</w:t>
      </w:r>
    </w:p>
    <w:p w14:paraId="22F52721" w14:textId="7176B2CD" w:rsidR="002874F3" w:rsidRDefault="00FA3A73" w:rsidP="00420768">
      <w:pPr>
        <w:pStyle w:val="Body"/>
        <w:ind w:firstLine="720"/>
        <w:rPr>
          <w:rFonts w:ascii="Arial" w:hAnsi="Arial" w:cs="Arial"/>
        </w:rPr>
      </w:pPr>
      <w:r>
        <w:rPr>
          <w:rFonts w:ascii="Arial" w:hAnsi="Arial" w:cs="Arial"/>
        </w:rPr>
        <w:t>Theref</w:t>
      </w:r>
      <w:r w:rsidR="002874F3" w:rsidRPr="002874F3">
        <w:rPr>
          <w:rFonts w:ascii="Arial" w:hAnsi="Arial" w:cs="Arial"/>
        </w:rPr>
        <w:t xml:space="preserve">ore, the purpose of this study </w:t>
      </w:r>
      <w:proofErr w:type="gramStart"/>
      <w:r w:rsidR="002874F3" w:rsidRPr="002874F3">
        <w:rPr>
          <w:rFonts w:ascii="Arial" w:hAnsi="Arial" w:cs="Arial"/>
        </w:rPr>
        <w:t>i</w:t>
      </w:r>
      <w:r>
        <w:rPr>
          <w:rFonts w:ascii="Arial" w:hAnsi="Arial" w:cs="Arial"/>
        </w:rPr>
        <w:t>nclude</w:t>
      </w:r>
      <w:proofErr w:type="gramEnd"/>
      <w:r>
        <w:rPr>
          <w:rFonts w:ascii="Arial" w:hAnsi="Arial" w:cs="Arial"/>
        </w:rPr>
        <w:t>: an</w:t>
      </w:r>
      <w:r w:rsidR="002874F3" w:rsidRPr="002874F3">
        <w:rPr>
          <w:rFonts w:ascii="Arial" w:hAnsi="Arial" w:cs="Arial"/>
        </w:rPr>
        <w:t xml:space="preserve"> examin</w:t>
      </w:r>
      <w:r>
        <w:rPr>
          <w:rFonts w:ascii="Arial" w:hAnsi="Arial" w:cs="Arial"/>
        </w:rPr>
        <w:t>ation on</w:t>
      </w:r>
      <w:r w:rsidR="002874F3" w:rsidRPr="002874F3">
        <w:rPr>
          <w:rFonts w:ascii="Arial" w:hAnsi="Arial" w:cs="Arial"/>
        </w:rPr>
        <w:t xml:space="preserve"> whether there is a significant difference between the overall exam ratings </w:t>
      </w:r>
      <w:r>
        <w:rPr>
          <w:rFonts w:ascii="Arial" w:hAnsi="Arial" w:cs="Arial"/>
        </w:rPr>
        <w:t xml:space="preserve">when LEPT overall scores were grouped according to type of </w:t>
      </w:r>
      <w:r w:rsidR="002874F3" w:rsidRPr="002874F3">
        <w:rPr>
          <w:rFonts w:ascii="Arial" w:hAnsi="Arial" w:cs="Arial"/>
        </w:rPr>
        <w:t>school</w:t>
      </w:r>
      <w:r>
        <w:rPr>
          <w:rFonts w:ascii="Arial" w:hAnsi="Arial" w:cs="Arial"/>
        </w:rPr>
        <w:t xml:space="preserve">, academic program and area of specialization. </w:t>
      </w:r>
      <w:r w:rsidR="002874F3" w:rsidRPr="002874F3">
        <w:rPr>
          <w:rFonts w:ascii="Arial" w:hAnsi="Arial" w:cs="Arial"/>
        </w:rPr>
        <w:t xml:space="preserve"> </w:t>
      </w:r>
      <w:r>
        <w:rPr>
          <w:rFonts w:ascii="Arial" w:hAnsi="Arial" w:cs="Arial"/>
        </w:rPr>
        <w:t xml:space="preserve">Also, whether, </w:t>
      </w:r>
      <w:r w:rsidR="00B42C3F">
        <w:rPr>
          <w:rFonts w:ascii="Arial" w:hAnsi="Arial" w:cs="Arial"/>
        </w:rPr>
        <w:t xml:space="preserve">in combination the </w:t>
      </w:r>
      <w:r>
        <w:rPr>
          <w:rFonts w:ascii="Arial" w:hAnsi="Arial" w:cs="Arial"/>
        </w:rPr>
        <w:t>type of school, academic program and the area of specialization predict the graduates’ overall LEPT ratings. T</w:t>
      </w:r>
      <w:r w:rsidR="002874F3" w:rsidRPr="002874F3">
        <w:rPr>
          <w:rFonts w:ascii="Arial" w:hAnsi="Arial" w:cs="Arial"/>
        </w:rPr>
        <w:t>his study's primary hypothesis posits that differences in exam ratings may be attributable to various factors, such as the type of school, the type of academic program, and the area of specialization.</w:t>
      </w:r>
    </w:p>
    <w:p w14:paraId="6ED858EF" w14:textId="77777777" w:rsidR="0054304A" w:rsidRDefault="008435DA" w:rsidP="0054304A">
      <w:pPr>
        <w:pStyle w:val="Body"/>
      </w:pPr>
      <w:r>
        <w:rPr>
          <w:rFonts w:ascii="Arial" w:hAnsi="Arial" w:cs="Arial"/>
        </w:rPr>
        <w:t>Hyp</w:t>
      </w:r>
      <w:r>
        <w:t>otheses:</w:t>
      </w:r>
      <w:bookmarkStart w:id="0" w:name="_Hlk204680030"/>
    </w:p>
    <w:p w14:paraId="2E9FB4EF" w14:textId="3C5DA038" w:rsidR="008435DA" w:rsidRPr="008435DA" w:rsidRDefault="008435DA" w:rsidP="0054304A">
      <w:pPr>
        <w:pStyle w:val="Body"/>
        <w:rPr>
          <w:rFonts w:ascii="Arial" w:hAnsi="Arial" w:cs="Arial"/>
        </w:rPr>
      </w:pPr>
      <w:r w:rsidRPr="008435DA">
        <w:rPr>
          <w:rFonts w:ascii="Arial" w:hAnsi="Arial" w:cs="Arial"/>
        </w:rPr>
        <w:t>H</w:t>
      </w:r>
      <w:r w:rsidRPr="00240A8E">
        <w:rPr>
          <w:rFonts w:ascii="Arial" w:hAnsi="Arial" w:cs="Arial"/>
          <w:vertAlign w:val="subscript"/>
        </w:rPr>
        <w:t>0</w:t>
      </w:r>
      <w:r w:rsidRPr="00F33CF6">
        <w:rPr>
          <w:rFonts w:ascii="Arial" w:hAnsi="Arial" w:cs="Arial"/>
          <w:vertAlign w:val="subscript"/>
        </w:rPr>
        <w:t>1</w:t>
      </w:r>
      <w:r w:rsidRPr="008435DA">
        <w:rPr>
          <w:rFonts w:ascii="Arial" w:hAnsi="Arial" w:cs="Arial"/>
        </w:rPr>
        <w:t>: There is no significant difference in the LEPT ratings of graduates between public and private school.</w:t>
      </w:r>
    </w:p>
    <w:p w14:paraId="3FECF94F" w14:textId="74D2A00E" w:rsidR="008435DA" w:rsidRPr="008435DA" w:rsidRDefault="008435DA" w:rsidP="00A05274">
      <w:pPr>
        <w:pStyle w:val="Body"/>
        <w:spacing w:after="0"/>
        <w:rPr>
          <w:rFonts w:ascii="Arial" w:hAnsi="Arial" w:cs="Arial"/>
        </w:rPr>
      </w:pPr>
      <w:bookmarkStart w:id="1" w:name="_Hlk204680750"/>
      <w:bookmarkEnd w:id="0"/>
      <w:r w:rsidRPr="008435DA">
        <w:rPr>
          <w:rFonts w:ascii="Arial" w:hAnsi="Arial" w:cs="Arial"/>
        </w:rPr>
        <w:t>H</w:t>
      </w:r>
      <w:r w:rsidRPr="00240A8E">
        <w:rPr>
          <w:rFonts w:ascii="Arial" w:hAnsi="Arial" w:cs="Arial"/>
          <w:vertAlign w:val="subscript"/>
        </w:rPr>
        <w:t>0</w:t>
      </w:r>
      <w:r w:rsidRPr="00F33CF6">
        <w:rPr>
          <w:rFonts w:ascii="Arial" w:hAnsi="Arial" w:cs="Arial"/>
          <w:vertAlign w:val="subscript"/>
        </w:rPr>
        <w:t>2</w:t>
      </w:r>
      <w:r w:rsidRPr="008435DA">
        <w:rPr>
          <w:rFonts w:ascii="Arial" w:hAnsi="Arial" w:cs="Arial"/>
        </w:rPr>
        <w:t>: There is no significant difference in the LEPT ratings between education and non-education graduates</w:t>
      </w:r>
      <w:bookmarkEnd w:id="1"/>
      <w:r w:rsidRPr="008435DA">
        <w:rPr>
          <w:rFonts w:ascii="Arial" w:hAnsi="Arial" w:cs="Arial"/>
        </w:rPr>
        <w:t>.</w:t>
      </w:r>
    </w:p>
    <w:p w14:paraId="0125264B" w14:textId="7E9D1AD6" w:rsidR="008435DA" w:rsidRPr="008435DA" w:rsidRDefault="008435DA" w:rsidP="00A05274">
      <w:pPr>
        <w:pStyle w:val="Body"/>
        <w:spacing w:after="0"/>
        <w:rPr>
          <w:rFonts w:ascii="Arial" w:hAnsi="Arial" w:cs="Arial"/>
        </w:rPr>
      </w:pPr>
      <w:r w:rsidRPr="008435DA">
        <w:rPr>
          <w:rFonts w:ascii="Arial" w:hAnsi="Arial" w:cs="Arial"/>
        </w:rPr>
        <w:t>H</w:t>
      </w:r>
      <w:r w:rsidRPr="00240A8E">
        <w:rPr>
          <w:rFonts w:ascii="Arial" w:hAnsi="Arial" w:cs="Arial"/>
          <w:vertAlign w:val="subscript"/>
        </w:rPr>
        <w:t>0</w:t>
      </w:r>
      <w:r w:rsidRPr="00F33CF6">
        <w:rPr>
          <w:rFonts w:ascii="Arial" w:hAnsi="Arial" w:cs="Arial"/>
          <w:vertAlign w:val="subscript"/>
        </w:rPr>
        <w:t>3</w:t>
      </w:r>
      <w:r w:rsidRPr="008435DA">
        <w:rPr>
          <w:rFonts w:ascii="Arial" w:hAnsi="Arial" w:cs="Arial"/>
        </w:rPr>
        <w:t>: There is no significant difference in the LEPT ratings of graduates across areas of specialization.</w:t>
      </w:r>
    </w:p>
    <w:p w14:paraId="30B7A222" w14:textId="60E25A2B" w:rsidR="008435DA" w:rsidRDefault="008435DA" w:rsidP="00A05274">
      <w:pPr>
        <w:pStyle w:val="Body"/>
        <w:spacing w:after="0"/>
        <w:rPr>
          <w:rFonts w:ascii="Arial" w:hAnsi="Arial" w:cs="Arial"/>
        </w:rPr>
      </w:pPr>
      <w:r w:rsidRPr="008435DA">
        <w:rPr>
          <w:rFonts w:ascii="Arial" w:hAnsi="Arial" w:cs="Arial"/>
        </w:rPr>
        <w:t>H</w:t>
      </w:r>
      <w:r w:rsidRPr="00F6398A">
        <w:rPr>
          <w:rFonts w:ascii="Arial" w:hAnsi="Arial" w:cs="Arial"/>
          <w:vertAlign w:val="subscript"/>
        </w:rPr>
        <w:t>0</w:t>
      </w:r>
      <w:r w:rsidRPr="00F33CF6">
        <w:rPr>
          <w:rFonts w:ascii="Arial" w:hAnsi="Arial" w:cs="Arial"/>
          <w:vertAlign w:val="subscript"/>
        </w:rPr>
        <w:t>4</w:t>
      </w:r>
      <w:r w:rsidRPr="008435DA">
        <w:rPr>
          <w:rFonts w:ascii="Arial" w:hAnsi="Arial" w:cs="Arial"/>
        </w:rPr>
        <w:t xml:space="preserve">: </w:t>
      </w:r>
      <w:r w:rsidR="00DB01BC">
        <w:rPr>
          <w:rFonts w:ascii="Arial" w:hAnsi="Arial" w:cs="Arial"/>
        </w:rPr>
        <w:t>In combination, t</w:t>
      </w:r>
      <w:r w:rsidRPr="008435DA">
        <w:rPr>
          <w:rFonts w:ascii="Arial" w:hAnsi="Arial" w:cs="Arial"/>
        </w:rPr>
        <w:t>he type of school, academic program, and area of specialization do not significantly predict the overall LEPT ratings.</w:t>
      </w:r>
    </w:p>
    <w:p w14:paraId="6F05A74E" w14:textId="77777777" w:rsidR="00790ADA" w:rsidRPr="00FB3A86" w:rsidRDefault="00790ADA" w:rsidP="00441B6F">
      <w:pPr>
        <w:pStyle w:val="Body"/>
        <w:spacing w:after="0"/>
        <w:rPr>
          <w:rFonts w:ascii="Arial" w:hAnsi="Arial" w:cs="Arial"/>
        </w:rPr>
      </w:pPr>
    </w:p>
    <w:p w14:paraId="46F052B2" w14:textId="2E6D688B" w:rsidR="007F7B32" w:rsidRDefault="00902823" w:rsidP="00D215A9">
      <w:pPr>
        <w:pStyle w:val="AbstHead"/>
        <w:spacing w:after="0"/>
        <w:jc w:val="center"/>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CA15E25" w14:textId="77777777" w:rsidR="00790ADA" w:rsidRPr="00FB3A86" w:rsidRDefault="00790ADA" w:rsidP="00441B6F">
      <w:pPr>
        <w:pStyle w:val="AbstHead"/>
        <w:spacing w:after="0"/>
        <w:jc w:val="both"/>
        <w:rPr>
          <w:rFonts w:ascii="Arial" w:hAnsi="Arial" w:cs="Arial"/>
        </w:rPr>
      </w:pPr>
    </w:p>
    <w:p w14:paraId="23DC5C27" w14:textId="60A51EB7" w:rsidR="00420768" w:rsidRDefault="00820A04" w:rsidP="00441B6F">
      <w:pPr>
        <w:pStyle w:val="Body"/>
        <w:spacing w:after="0"/>
        <w:rPr>
          <w:rFonts w:ascii="Arial" w:hAnsi="Arial" w:cs="Arial"/>
        </w:rPr>
      </w:pPr>
      <w:r w:rsidRPr="00820A04">
        <w:rPr>
          <w:rFonts w:ascii="Arial" w:hAnsi="Arial" w:cs="Arial"/>
        </w:rPr>
        <w:t>Th</w:t>
      </w:r>
      <w:r w:rsidR="00F074AD">
        <w:rPr>
          <w:rFonts w:ascii="Arial" w:hAnsi="Arial" w:cs="Arial"/>
        </w:rPr>
        <w:t>e</w:t>
      </w:r>
      <w:r w:rsidRPr="00820A04">
        <w:rPr>
          <w:rFonts w:ascii="Arial" w:hAnsi="Arial" w:cs="Arial"/>
        </w:rPr>
        <w:t xml:space="preserve"> study employ</w:t>
      </w:r>
      <w:r w:rsidR="00F074AD">
        <w:rPr>
          <w:rFonts w:ascii="Arial" w:hAnsi="Arial" w:cs="Arial"/>
        </w:rPr>
        <w:t>ed</w:t>
      </w:r>
      <w:r w:rsidRPr="00820A04">
        <w:rPr>
          <w:rFonts w:ascii="Arial" w:hAnsi="Arial" w:cs="Arial"/>
        </w:rPr>
        <w:t xml:space="preserve"> a quantitative documentary analysis research design to examine performance differences between education graduates and non- education graduates on the LEPT under the enhanced table of specifications</w:t>
      </w:r>
      <w:r w:rsidR="00FD195C">
        <w:rPr>
          <w:rFonts w:ascii="Arial" w:hAnsi="Arial" w:cs="Arial"/>
        </w:rPr>
        <w:t xml:space="preserve">. </w:t>
      </w:r>
      <w:r w:rsidR="00B91878">
        <w:rPr>
          <w:rFonts w:ascii="Arial" w:hAnsi="Arial" w:cs="Arial"/>
        </w:rPr>
        <w:t>The method wa</w:t>
      </w:r>
      <w:r w:rsidR="00FD195C" w:rsidRPr="00FD195C">
        <w:rPr>
          <w:rFonts w:ascii="Arial" w:hAnsi="Arial" w:cs="Arial"/>
        </w:rPr>
        <w:t xml:space="preserve">s used to extract and examine quantitative data from </w:t>
      </w:r>
      <w:r w:rsidR="00B91878">
        <w:rPr>
          <w:rFonts w:ascii="Arial" w:hAnsi="Arial" w:cs="Arial"/>
        </w:rPr>
        <w:t>PRC, Cagayan de Oro City</w:t>
      </w:r>
      <w:r w:rsidR="00EA4841">
        <w:rPr>
          <w:rFonts w:ascii="Arial" w:hAnsi="Arial" w:cs="Arial"/>
        </w:rPr>
        <w:t>’s</w:t>
      </w:r>
      <w:r w:rsidR="00B91878">
        <w:rPr>
          <w:rFonts w:ascii="Arial" w:hAnsi="Arial" w:cs="Arial"/>
        </w:rPr>
        <w:t xml:space="preserve"> </w:t>
      </w:r>
      <w:r w:rsidR="00FD195C" w:rsidRPr="00FD195C">
        <w:rPr>
          <w:rFonts w:ascii="Arial" w:hAnsi="Arial" w:cs="Arial"/>
        </w:rPr>
        <w:t>official records</w:t>
      </w:r>
      <w:r w:rsidR="00B91878">
        <w:rPr>
          <w:rFonts w:ascii="Arial" w:hAnsi="Arial" w:cs="Arial"/>
        </w:rPr>
        <w:t>.</w:t>
      </w:r>
      <w:r w:rsidR="00FD195C" w:rsidRPr="00FD195C">
        <w:rPr>
          <w:rFonts w:ascii="Arial" w:hAnsi="Arial" w:cs="Arial"/>
        </w:rPr>
        <w:t xml:space="preserve"> Th</w:t>
      </w:r>
      <w:r w:rsidR="00B91878">
        <w:rPr>
          <w:rFonts w:ascii="Arial" w:hAnsi="Arial" w:cs="Arial"/>
        </w:rPr>
        <w:t>e</w:t>
      </w:r>
      <w:r w:rsidR="00FD195C" w:rsidRPr="00FD195C">
        <w:rPr>
          <w:rFonts w:ascii="Arial" w:hAnsi="Arial" w:cs="Arial"/>
        </w:rPr>
        <w:t xml:space="preserve"> analysis involve</w:t>
      </w:r>
      <w:r w:rsidR="00B91878">
        <w:rPr>
          <w:rFonts w:ascii="Arial" w:hAnsi="Arial" w:cs="Arial"/>
        </w:rPr>
        <w:t>d a</w:t>
      </w:r>
      <w:r w:rsidR="00FD195C" w:rsidRPr="00FD195C">
        <w:rPr>
          <w:rFonts w:ascii="Arial" w:hAnsi="Arial" w:cs="Arial"/>
        </w:rPr>
        <w:t xml:space="preserve"> systematic review </w:t>
      </w:r>
      <w:r w:rsidR="00402E84">
        <w:rPr>
          <w:rFonts w:ascii="Arial" w:hAnsi="Arial" w:cs="Arial"/>
        </w:rPr>
        <w:t xml:space="preserve">of </w:t>
      </w:r>
      <w:r w:rsidR="00FD195C" w:rsidRPr="00FD195C">
        <w:rPr>
          <w:rFonts w:ascii="Arial" w:hAnsi="Arial" w:cs="Arial"/>
        </w:rPr>
        <w:t xml:space="preserve">LEPT scores </w:t>
      </w:r>
      <w:r w:rsidR="00FD195C">
        <w:rPr>
          <w:rFonts w:ascii="Arial" w:hAnsi="Arial" w:cs="Arial"/>
        </w:rPr>
        <w:t xml:space="preserve">of a sample of 349 </w:t>
      </w:r>
      <w:r w:rsidR="00FD195C" w:rsidRPr="00FD195C">
        <w:rPr>
          <w:rFonts w:ascii="Arial" w:hAnsi="Arial" w:cs="Arial"/>
        </w:rPr>
        <w:t>examinees</w:t>
      </w:r>
      <w:r w:rsidR="00FD195C">
        <w:rPr>
          <w:rFonts w:ascii="Arial" w:hAnsi="Arial" w:cs="Arial"/>
        </w:rPr>
        <w:t xml:space="preserve"> from the 3,579 population</w:t>
      </w:r>
      <w:r w:rsidR="00C57CDA">
        <w:rPr>
          <w:rFonts w:ascii="Arial" w:hAnsi="Arial" w:cs="Arial"/>
        </w:rPr>
        <w:t xml:space="preserve"> from the March 2024 exam</w:t>
      </w:r>
      <w:r w:rsidR="00FD195C">
        <w:rPr>
          <w:rFonts w:ascii="Arial" w:hAnsi="Arial" w:cs="Arial"/>
        </w:rPr>
        <w:t xml:space="preserve">. </w:t>
      </w:r>
      <w:r w:rsidR="00106239">
        <w:rPr>
          <w:rFonts w:ascii="Arial" w:hAnsi="Arial" w:cs="Arial"/>
        </w:rPr>
        <w:t>Table 1 is</w:t>
      </w:r>
      <w:r w:rsidR="001B448B">
        <w:rPr>
          <w:rFonts w:ascii="Arial" w:hAnsi="Arial" w:cs="Arial"/>
        </w:rPr>
        <w:t xml:space="preserve"> distribution of sample.</w:t>
      </w:r>
    </w:p>
    <w:p w14:paraId="0849076D" w14:textId="77777777" w:rsidR="00FD6944" w:rsidRDefault="00FD6944" w:rsidP="00441B6F">
      <w:pPr>
        <w:pStyle w:val="Body"/>
        <w:spacing w:after="0"/>
        <w:rPr>
          <w:rFonts w:ascii="Arial" w:hAnsi="Arial" w:cs="Arial"/>
          <w:b/>
          <w:bCs/>
        </w:rPr>
      </w:pPr>
    </w:p>
    <w:p w14:paraId="43D514F9" w14:textId="1083B64C" w:rsidR="00BE1DE3" w:rsidRPr="008869C1" w:rsidRDefault="00106239" w:rsidP="00441B6F">
      <w:pPr>
        <w:pStyle w:val="Body"/>
        <w:spacing w:after="0"/>
        <w:rPr>
          <w:rFonts w:ascii="Arial" w:hAnsi="Arial" w:cs="Arial"/>
          <w:b/>
          <w:bCs/>
        </w:rPr>
      </w:pPr>
      <w:r w:rsidRPr="008869C1">
        <w:rPr>
          <w:rFonts w:ascii="Arial" w:hAnsi="Arial" w:cs="Arial"/>
          <w:b/>
          <w:bCs/>
        </w:rPr>
        <w:t xml:space="preserve">Table 1. Data </w:t>
      </w:r>
      <w:r w:rsidR="008869C1" w:rsidRPr="008869C1">
        <w:rPr>
          <w:rFonts w:ascii="Arial" w:hAnsi="Arial" w:cs="Arial"/>
          <w:b/>
          <w:bCs/>
        </w:rPr>
        <w:t>p</w:t>
      </w:r>
      <w:r w:rsidRPr="008869C1">
        <w:rPr>
          <w:rFonts w:ascii="Arial" w:hAnsi="Arial" w:cs="Arial"/>
          <w:b/>
          <w:bCs/>
        </w:rPr>
        <w:t xml:space="preserve">roportion of </w:t>
      </w:r>
      <w:r w:rsidR="008869C1" w:rsidRPr="008869C1">
        <w:rPr>
          <w:rFonts w:ascii="Arial" w:hAnsi="Arial" w:cs="Arial"/>
          <w:b/>
          <w:bCs/>
        </w:rPr>
        <w:t>s</w:t>
      </w:r>
      <w:r w:rsidRPr="008869C1">
        <w:rPr>
          <w:rFonts w:ascii="Arial" w:hAnsi="Arial" w:cs="Arial"/>
          <w:b/>
          <w:bCs/>
        </w:rPr>
        <w:t xml:space="preserve">ample </w:t>
      </w:r>
      <w:r w:rsidR="008869C1" w:rsidRPr="008869C1">
        <w:rPr>
          <w:rFonts w:ascii="Arial" w:hAnsi="Arial" w:cs="Arial"/>
          <w:b/>
          <w:bCs/>
        </w:rPr>
        <w:t>s</w:t>
      </w:r>
      <w:r w:rsidRPr="008869C1">
        <w:rPr>
          <w:rFonts w:ascii="Arial" w:hAnsi="Arial" w:cs="Arial"/>
          <w:b/>
          <w:bCs/>
        </w:rPr>
        <w:t xml:space="preserve">ize </w:t>
      </w:r>
      <w:r w:rsidR="008869C1" w:rsidRPr="008869C1">
        <w:rPr>
          <w:rFonts w:ascii="Arial" w:hAnsi="Arial" w:cs="Arial"/>
          <w:b/>
          <w:bCs/>
        </w:rPr>
        <w:t>m</w:t>
      </w:r>
      <w:r w:rsidRPr="008869C1">
        <w:rPr>
          <w:rFonts w:ascii="Arial" w:hAnsi="Arial" w:cs="Arial"/>
          <w:b/>
          <w:bCs/>
        </w:rPr>
        <w:t>atrix</w:t>
      </w:r>
    </w:p>
    <w:p w14:paraId="2A12B1F8" w14:textId="19B50563" w:rsidR="00420768" w:rsidRDefault="001B448B" w:rsidP="00441B6F">
      <w:pPr>
        <w:pStyle w:val="Body"/>
        <w:spacing w:after="0"/>
        <w:rPr>
          <w:rFonts w:ascii="Arial" w:hAnsi="Arial" w:cs="Arial"/>
        </w:rPr>
      </w:pPr>
      <w:r>
        <w:rPr>
          <w:rFonts w:ascii="Arial" w:hAnsi="Arial" w:cs="Arial"/>
          <w:noProof/>
        </w:rPr>
        <w:drawing>
          <wp:inline distT="0" distB="0" distL="0" distR="0" wp14:anchorId="028EB59F" wp14:editId="2D4058FE">
            <wp:extent cx="5008410" cy="2389517"/>
            <wp:effectExtent l="0" t="0" r="1905" b="0"/>
            <wp:docPr id="1684195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4916" cy="2392621"/>
                    </a:xfrm>
                    <a:prstGeom prst="rect">
                      <a:avLst/>
                    </a:prstGeom>
                    <a:noFill/>
                  </pic:spPr>
                </pic:pic>
              </a:graphicData>
            </a:graphic>
          </wp:inline>
        </w:drawing>
      </w:r>
    </w:p>
    <w:p w14:paraId="681284EF" w14:textId="77777777" w:rsidR="00FD6944" w:rsidRDefault="00FD6944" w:rsidP="0054304A">
      <w:pPr>
        <w:pStyle w:val="Body"/>
        <w:spacing w:after="0"/>
        <w:ind w:firstLine="720"/>
        <w:rPr>
          <w:rFonts w:ascii="Arial" w:hAnsi="Arial" w:cs="Arial"/>
        </w:rPr>
      </w:pPr>
    </w:p>
    <w:p w14:paraId="631C331C" w14:textId="70E02086" w:rsidR="00BE1DE3" w:rsidRDefault="0054304A" w:rsidP="0054304A">
      <w:pPr>
        <w:pStyle w:val="Body"/>
        <w:spacing w:after="0"/>
        <w:ind w:firstLine="720"/>
        <w:rPr>
          <w:rFonts w:ascii="Arial" w:hAnsi="Arial" w:cs="Arial"/>
        </w:rPr>
      </w:pPr>
      <w:r w:rsidRPr="0054304A">
        <w:rPr>
          <w:rFonts w:ascii="Arial" w:hAnsi="Arial" w:cs="Arial"/>
        </w:rPr>
        <w:t>The sample size was computed using the Cochran formula</w:t>
      </w:r>
      <w:r w:rsidR="00FE53FE">
        <w:rPr>
          <w:rFonts w:ascii="Arial" w:hAnsi="Arial" w:cs="Arial"/>
        </w:rPr>
        <w:t xml:space="preserve"> using the </w:t>
      </w:r>
      <w:r w:rsidRPr="0054304A">
        <w:rPr>
          <w:rFonts w:ascii="Arial" w:hAnsi="Arial" w:cs="Arial"/>
        </w:rPr>
        <w:t xml:space="preserve">stratified sampling procedure to ensure that key subgroups of examinees were adequately represented </w:t>
      </w:r>
      <w:r w:rsidRPr="0054304A">
        <w:rPr>
          <w:rFonts w:ascii="Arial" w:hAnsi="Arial" w:cs="Arial"/>
        </w:rPr>
        <w:lastRenderedPageBreak/>
        <w:t>in the sample. Stratification was based on three main variables: the type of school, the type of academic program (education or non-education), and their area of specialization.</w:t>
      </w:r>
    </w:p>
    <w:p w14:paraId="7632DD5D" w14:textId="77777777" w:rsidR="00991916" w:rsidRDefault="00991916" w:rsidP="00441B6F">
      <w:pPr>
        <w:pStyle w:val="Body"/>
        <w:spacing w:after="0"/>
        <w:rPr>
          <w:rFonts w:ascii="Arial" w:hAnsi="Arial" w:cs="Arial"/>
        </w:rPr>
      </w:pPr>
    </w:p>
    <w:p w14:paraId="47327A8B" w14:textId="5BFBA790" w:rsidR="004B5BEF" w:rsidRDefault="00991916" w:rsidP="004B5BEF">
      <w:pPr>
        <w:pStyle w:val="Body"/>
        <w:ind w:firstLine="720"/>
        <w:rPr>
          <w:rFonts w:ascii="Arial" w:hAnsi="Arial" w:cs="Arial"/>
        </w:rPr>
      </w:pPr>
      <w:r w:rsidRPr="00991916">
        <w:rPr>
          <w:rFonts w:ascii="Arial" w:hAnsi="Arial" w:cs="Arial"/>
        </w:rPr>
        <w:t xml:space="preserve">The study utilized statistical tools including frequency distribution, mean, percentages, and standard deviation for descriptive analysis. </w:t>
      </w:r>
      <w:r w:rsidR="004B5BEF" w:rsidRPr="004B5BEF">
        <w:rPr>
          <w:rFonts w:ascii="Arial" w:hAnsi="Arial" w:cs="Arial"/>
        </w:rPr>
        <w:t xml:space="preserve">Independent Samples </w:t>
      </w:r>
      <w:r w:rsidR="004B5BEF">
        <w:rPr>
          <w:rFonts w:ascii="Arial" w:hAnsi="Arial" w:cs="Arial"/>
        </w:rPr>
        <w:t>T</w:t>
      </w:r>
      <w:r w:rsidR="004B5BEF" w:rsidRPr="004B5BEF">
        <w:rPr>
          <w:rFonts w:ascii="Arial" w:hAnsi="Arial" w:cs="Arial"/>
        </w:rPr>
        <w:t>-</w:t>
      </w:r>
      <w:r w:rsidR="004B5BEF">
        <w:rPr>
          <w:rFonts w:ascii="Arial" w:hAnsi="Arial" w:cs="Arial"/>
        </w:rPr>
        <w:t>t</w:t>
      </w:r>
      <w:r w:rsidR="004B5BEF" w:rsidRPr="004B5BEF">
        <w:rPr>
          <w:rFonts w:ascii="Arial" w:hAnsi="Arial" w:cs="Arial"/>
        </w:rPr>
        <w:t xml:space="preserve">est was used for </w:t>
      </w:r>
      <w:r w:rsidR="00FE5781">
        <w:rPr>
          <w:rFonts w:ascii="Arial" w:hAnsi="Arial" w:cs="Arial"/>
        </w:rPr>
        <w:t>hypothes</w:t>
      </w:r>
      <w:r w:rsidR="00B3616C">
        <w:rPr>
          <w:rFonts w:ascii="Arial" w:hAnsi="Arial" w:cs="Arial"/>
        </w:rPr>
        <w:t>es</w:t>
      </w:r>
      <w:r w:rsidR="004B5BEF" w:rsidRPr="004B5BEF">
        <w:rPr>
          <w:rFonts w:ascii="Arial" w:hAnsi="Arial" w:cs="Arial"/>
        </w:rPr>
        <w:t xml:space="preserve"> 1 and 2 to determine whether there was a statistically significant difference between groups. One-Way ANOVA was used to examine the significant differences in the LEPT performance ratings across multiple groups, such as the area of specialization. If significant, Tukey’s HSD was used to identify which groups differed. Moreover, Multiple Linear Regression was used to analyze the relationship of the combined effects of school type, academic program, and area of specialization to the LEPT ratings dependent variable.</w:t>
      </w:r>
      <w:r w:rsidR="00554DE7">
        <w:rPr>
          <w:rFonts w:ascii="Arial" w:hAnsi="Arial" w:cs="Arial"/>
        </w:rPr>
        <w:t xml:space="preserve">  </w:t>
      </w:r>
      <w:r w:rsidR="004B5BEF" w:rsidRPr="004B5BEF">
        <w:rPr>
          <w:rFonts w:ascii="Arial" w:hAnsi="Arial" w:cs="Arial"/>
        </w:rPr>
        <w:t>Prior to conducting ANOVA, assumptions of normality, homogeneity of variance, and independence of observations were tested. The Shapiro-Wilk test was used to assess the normality of test scores, while Levene’s Test was employed to examine the equality of variances across groups. In the case of violations of these assumptions, appropriate non-parametric alternatives (such as the Kruskal-Wallis test for ANOVA) were considered. Moreover, for the Multiple Linear Regression, assumptions of linearity, normality, and multicollinearity were also conducted to derive accurate results and reliable conclusions.</w:t>
      </w:r>
    </w:p>
    <w:p w14:paraId="46C7983F" w14:textId="1AD3B77A" w:rsidR="00DB05EC" w:rsidRDefault="00991916" w:rsidP="00991916">
      <w:pPr>
        <w:pStyle w:val="Body"/>
        <w:ind w:firstLine="720"/>
        <w:rPr>
          <w:rFonts w:ascii="Arial" w:hAnsi="Arial" w:cs="Arial"/>
        </w:rPr>
      </w:pPr>
      <w:r w:rsidRPr="00991916">
        <w:rPr>
          <w:rFonts w:ascii="Arial" w:hAnsi="Arial" w:cs="Arial"/>
        </w:rPr>
        <w:t xml:space="preserve">All statistical analyses were primarily conducted using </w:t>
      </w:r>
      <w:proofErr w:type="spellStart"/>
      <w:r w:rsidRPr="00991916">
        <w:rPr>
          <w:rFonts w:ascii="Arial" w:hAnsi="Arial" w:cs="Arial"/>
        </w:rPr>
        <w:t>Jamovi</w:t>
      </w:r>
      <w:proofErr w:type="spellEnd"/>
      <w:r w:rsidRPr="00991916">
        <w:rPr>
          <w:rFonts w:ascii="Arial" w:hAnsi="Arial" w:cs="Arial"/>
        </w:rPr>
        <w:t xml:space="preserve">, an open- source statistical software platform. </w:t>
      </w:r>
      <w:proofErr w:type="spellStart"/>
      <w:r w:rsidRPr="00991916">
        <w:rPr>
          <w:rFonts w:ascii="Arial" w:hAnsi="Arial" w:cs="Arial"/>
        </w:rPr>
        <w:t>Jamovi</w:t>
      </w:r>
      <w:proofErr w:type="spellEnd"/>
      <w:r w:rsidRPr="00991916">
        <w:rPr>
          <w:rFonts w:ascii="Arial" w:hAnsi="Arial" w:cs="Arial"/>
        </w:rPr>
        <w:t xml:space="preserve"> was suitable for conducting basic descriptive quantitative tests, t-tests, ANOVA, and regression due to its user- friendly interface and robust data analysis capabilities (The </w:t>
      </w:r>
      <w:proofErr w:type="spellStart"/>
      <w:r w:rsidRPr="00991916">
        <w:rPr>
          <w:rFonts w:ascii="Arial" w:hAnsi="Arial" w:cs="Arial"/>
        </w:rPr>
        <w:t>Jamovi</w:t>
      </w:r>
      <w:proofErr w:type="spellEnd"/>
      <w:r w:rsidRPr="00991916">
        <w:rPr>
          <w:rFonts w:ascii="Arial" w:hAnsi="Arial" w:cs="Arial"/>
        </w:rPr>
        <w:t xml:space="preserve"> Project, 2021). Alternatively, Excel was also used as an option for running these tests and verifying calculations. A statistician was engaged to validate data sources, check for errors, confirm whether the findings were supported by the data, and ensure that the interpretations were logical and justified</w:t>
      </w:r>
      <w:r>
        <w:rPr>
          <w:rFonts w:ascii="Arial" w:hAnsi="Arial" w:cs="Arial"/>
        </w:rPr>
        <w:t>.</w:t>
      </w:r>
    </w:p>
    <w:p w14:paraId="71A88711" w14:textId="5A140638" w:rsidR="00B01FCD" w:rsidRDefault="00487591" w:rsidP="00D00CC8">
      <w:pPr>
        <w:pStyle w:val="Body"/>
        <w:ind w:firstLine="720"/>
        <w:rPr>
          <w:rFonts w:ascii="Arial" w:hAnsi="Arial" w:cs="Arial"/>
        </w:rPr>
      </w:pPr>
      <w:r>
        <w:rPr>
          <w:rFonts w:ascii="Arial" w:hAnsi="Arial" w:cs="Arial"/>
        </w:rPr>
        <w:t>No human partic</w:t>
      </w:r>
      <w:r w:rsidR="00D00CC8">
        <w:rPr>
          <w:rFonts w:ascii="Arial" w:hAnsi="Arial" w:cs="Arial"/>
        </w:rPr>
        <w:t>i</w:t>
      </w:r>
      <w:r>
        <w:rPr>
          <w:rFonts w:ascii="Arial" w:hAnsi="Arial" w:cs="Arial"/>
        </w:rPr>
        <w:t>pants were involved in the study, nonetheless, c</w:t>
      </w:r>
      <w:r w:rsidR="00B179B8">
        <w:rPr>
          <w:rFonts w:ascii="Arial" w:hAnsi="Arial" w:cs="Arial"/>
        </w:rPr>
        <w:t xml:space="preserve">onsent from the head of agency was acquired before the </w:t>
      </w:r>
      <w:r>
        <w:rPr>
          <w:rFonts w:ascii="Arial" w:hAnsi="Arial" w:cs="Arial"/>
        </w:rPr>
        <w:t>acquisition</w:t>
      </w:r>
      <w:r w:rsidR="00B179B8">
        <w:rPr>
          <w:rFonts w:ascii="Arial" w:hAnsi="Arial" w:cs="Arial"/>
        </w:rPr>
        <w:t xml:space="preserve"> of data. Further</w:t>
      </w:r>
      <w:r w:rsidR="00D00CC8">
        <w:rPr>
          <w:rFonts w:ascii="Arial" w:hAnsi="Arial" w:cs="Arial"/>
        </w:rPr>
        <w:t>more</w:t>
      </w:r>
      <w:r w:rsidR="00B179B8">
        <w:rPr>
          <w:rFonts w:ascii="Arial" w:hAnsi="Arial" w:cs="Arial"/>
        </w:rPr>
        <w:t xml:space="preserve">, in </w:t>
      </w:r>
      <w:r w:rsidR="008A4A90">
        <w:rPr>
          <w:rFonts w:ascii="Arial" w:hAnsi="Arial" w:cs="Arial"/>
        </w:rPr>
        <w:t>accordance,</w:t>
      </w:r>
      <w:r w:rsidR="00B179B8">
        <w:rPr>
          <w:rFonts w:ascii="Arial" w:hAnsi="Arial" w:cs="Arial"/>
        </w:rPr>
        <w:t xml:space="preserve"> with the Philippine </w:t>
      </w:r>
      <w:r w:rsidR="008A4A90">
        <w:rPr>
          <w:rFonts w:ascii="Arial" w:hAnsi="Arial" w:cs="Arial"/>
        </w:rPr>
        <w:t>D</w:t>
      </w:r>
      <w:r w:rsidR="00B179B8">
        <w:rPr>
          <w:rFonts w:ascii="Arial" w:hAnsi="Arial" w:cs="Arial"/>
        </w:rPr>
        <w:t xml:space="preserve">ata </w:t>
      </w:r>
      <w:r w:rsidR="008A4A90">
        <w:rPr>
          <w:rFonts w:ascii="Arial" w:hAnsi="Arial" w:cs="Arial"/>
        </w:rPr>
        <w:t>P</w:t>
      </w:r>
      <w:r w:rsidR="00B179B8">
        <w:rPr>
          <w:rFonts w:ascii="Arial" w:hAnsi="Arial" w:cs="Arial"/>
        </w:rPr>
        <w:t xml:space="preserve">rivacy </w:t>
      </w:r>
      <w:r w:rsidR="008A4A90">
        <w:rPr>
          <w:rFonts w:ascii="Arial" w:hAnsi="Arial" w:cs="Arial"/>
        </w:rPr>
        <w:t>A</w:t>
      </w:r>
      <w:r w:rsidR="00B179B8">
        <w:rPr>
          <w:rFonts w:ascii="Arial" w:hAnsi="Arial" w:cs="Arial"/>
        </w:rPr>
        <w:t>ct of 2012, only the list of courses, type</w:t>
      </w:r>
      <w:r w:rsidR="00796789">
        <w:rPr>
          <w:rFonts w:ascii="Arial" w:hAnsi="Arial" w:cs="Arial"/>
        </w:rPr>
        <w:t>s</w:t>
      </w:r>
      <w:r w:rsidR="00B179B8">
        <w:rPr>
          <w:rFonts w:ascii="Arial" w:hAnsi="Arial" w:cs="Arial"/>
        </w:rPr>
        <w:t xml:space="preserve"> of school</w:t>
      </w:r>
      <w:r w:rsidR="00D00CC8">
        <w:rPr>
          <w:rFonts w:ascii="Arial" w:hAnsi="Arial" w:cs="Arial"/>
        </w:rPr>
        <w:t>,</w:t>
      </w:r>
      <w:r w:rsidR="00B179B8">
        <w:rPr>
          <w:rFonts w:ascii="Arial" w:hAnsi="Arial" w:cs="Arial"/>
        </w:rPr>
        <w:t xml:space="preserve"> and exam ratings from</w:t>
      </w:r>
      <w:r w:rsidR="00D00CC8">
        <w:rPr>
          <w:rFonts w:ascii="Arial" w:hAnsi="Arial" w:cs="Arial"/>
        </w:rPr>
        <w:t xml:space="preserve"> the</w:t>
      </w:r>
      <w:r w:rsidR="00B179B8">
        <w:rPr>
          <w:rFonts w:ascii="Arial" w:hAnsi="Arial" w:cs="Arial"/>
        </w:rPr>
        <w:t xml:space="preserve"> March 2024 </w:t>
      </w:r>
      <w:r w:rsidR="00C841F4">
        <w:rPr>
          <w:rFonts w:ascii="Arial" w:hAnsi="Arial" w:cs="Arial"/>
        </w:rPr>
        <w:t xml:space="preserve">LEPT </w:t>
      </w:r>
      <w:r w:rsidR="00D00CC8" w:rsidRPr="00D00CC8">
        <w:rPr>
          <w:rFonts w:ascii="Arial" w:hAnsi="Arial" w:cs="Arial"/>
        </w:rPr>
        <w:t>who took the exam at the</w:t>
      </w:r>
      <w:r w:rsidR="00D00CC8">
        <w:rPr>
          <w:rFonts w:ascii="Arial" w:hAnsi="Arial" w:cs="Arial"/>
        </w:rPr>
        <w:t xml:space="preserve"> designated testing venues in</w:t>
      </w:r>
      <w:r w:rsidR="00D00CC8" w:rsidRPr="00D00CC8">
        <w:rPr>
          <w:rFonts w:ascii="Arial" w:hAnsi="Arial" w:cs="Arial"/>
        </w:rPr>
        <w:t xml:space="preserve"> Cagayan de Oro were provided.</w:t>
      </w:r>
    </w:p>
    <w:p w14:paraId="7DCEBC8C" w14:textId="77777777" w:rsidR="00902823" w:rsidRDefault="00000F8F" w:rsidP="00B5199A">
      <w:pPr>
        <w:pStyle w:val="Head1"/>
        <w:spacing w:after="0"/>
        <w:jc w:val="center"/>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9419C9" w14:textId="141FE8CE" w:rsidR="00051073" w:rsidRPr="007C71DC" w:rsidRDefault="00051073" w:rsidP="00441B6F">
      <w:pPr>
        <w:pStyle w:val="Head1"/>
        <w:spacing w:after="0"/>
        <w:jc w:val="both"/>
        <w:rPr>
          <w:rFonts w:ascii="Arial" w:hAnsi="Arial" w:cs="Arial"/>
          <w:caps w:val="0"/>
          <w:sz w:val="20"/>
        </w:rPr>
      </w:pPr>
      <w:r w:rsidRPr="007C71DC">
        <w:rPr>
          <w:rFonts w:ascii="Arial" w:hAnsi="Arial" w:cs="Arial"/>
          <w:caps w:val="0"/>
          <w:sz w:val="20"/>
        </w:rPr>
        <w:t>H</w:t>
      </w:r>
      <w:r w:rsidRPr="007C71DC">
        <w:rPr>
          <w:rFonts w:ascii="Arial" w:hAnsi="Arial" w:cs="Arial"/>
          <w:caps w:val="0"/>
          <w:sz w:val="20"/>
          <w:vertAlign w:val="subscript"/>
        </w:rPr>
        <w:t>01</w:t>
      </w:r>
      <w:r w:rsidRPr="007C71DC">
        <w:rPr>
          <w:rFonts w:ascii="Arial" w:hAnsi="Arial" w:cs="Arial"/>
          <w:caps w:val="0"/>
          <w:sz w:val="20"/>
        </w:rPr>
        <w:t>: There is no significant difference in the LEPT ratings of graduates between public and private school</w:t>
      </w:r>
    </w:p>
    <w:p w14:paraId="40CB4108" w14:textId="77777777" w:rsidR="00931871" w:rsidRDefault="00931871" w:rsidP="003C68D2">
      <w:pPr>
        <w:pStyle w:val="Head1"/>
        <w:spacing w:after="0"/>
        <w:ind w:firstLine="720"/>
        <w:jc w:val="both"/>
        <w:rPr>
          <w:rFonts w:ascii="Arial" w:hAnsi="Arial" w:cs="Arial"/>
          <w:b w:val="0"/>
          <w:bCs/>
          <w:caps w:val="0"/>
          <w:sz w:val="20"/>
        </w:rPr>
      </w:pPr>
    </w:p>
    <w:p w14:paraId="4B7E02BC" w14:textId="0F07FEEB" w:rsidR="003C68D2" w:rsidRPr="003C68D2" w:rsidRDefault="003C68D2" w:rsidP="003C68D2">
      <w:pPr>
        <w:pStyle w:val="Head1"/>
        <w:spacing w:after="0"/>
        <w:ind w:firstLine="720"/>
        <w:jc w:val="both"/>
        <w:rPr>
          <w:rFonts w:ascii="Arial" w:hAnsi="Arial" w:cs="Arial"/>
          <w:b w:val="0"/>
          <w:bCs/>
          <w:sz w:val="20"/>
        </w:rPr>
      </w:pPr>
      <w:r w:rsidRPr="003C68D2">
        <w:rPr>
          <w:rFonts w:ascii="Arial" w:hAnsi="Arial" w:cs="Arial"/>
          <w:b w:val="0"/>
          <w:bCs/>
          <w:caps w:val="0"/>
          <w:sz w:val="20"/>
        </w:rPr>
        <w:t xml:space="preserve">Table </w:t>
      </w:r>
      <w:r w:rsidR="00E2707F">
        <w:rPr>
          <w:rFonts w:ascii="Arial" w:hAnsi="Arial" w:cs="Arial"/>
          <w:b w:val="0"/>
          <w:bCs/>
          <w:caps w:val="0"/>
          <w:sz w:val="20"/>
        </w:rPr>
        <w:t>2</w:t>
      </w:r>
      <w:r w:rsidRPr="003C68D2">
        <w:rPr>
          <w:rFonts w:ascii="Arial" w:hAnsi="Arial" w:cs="Arial"/>
          <w:b w:val="0"/>
          <w:bCs/>
          <w:caps w:val="0"/>
          <w:sz w:val="20"/>
        </w:rPr>
        <w:t xml:space="preserve"> presents the difference in </w:t>
      </w:r>
      <w:r w:rsidR="005704C0">
        <w:rPr>
          <w:rFonts w:ascii="Arial" w:hAnsi="Arial" w:cs="Arial"/>
          <w:b w:val="0"/>
          <w:bCs/>
          <w:caps w:val="0"/>
          <w:sz w:val="20"/>
        </w:rPr>
        <w:t>LEPT</w:t>
      </w:r>
      <w:r w:rsidRPr="003C68D2">
        <w:rPr>
          <w:rFonts w:ascii="Arial" w:hAnsi="Arial" w:cs="Arial"/>
          <w:b w:val="0"/>
          <w:bCs/>
          <w:caps w:val="0"/>
          <w:sz w:val="20"/>
        </w:rPr>
        <w:t xml:space="preserve"> ratings when grouped according to the type of school attended by the examinees. The table compares the mean scores, standard deviations, t-values, and significance levels (p-values) for private and</w:t>
      </w:r>
      <w:r w:rsidR="002C142A">
        <w:rPr>
          <w:rFonts w:ascii="Arial" w:hAnsi="Arial" w:cs="Arial"/>
          <w:b w:val="0"/>
          <w:bCs/>
          <w:caps w:val="0"/>
          <w:sz w:val="20"/>
        </w:rPr>
        <w:t xml:space="preserve"> for </w:t>
      </w:r>
      <w:r w:rsidRPr="003C68D2">
        <w:rPr>
          <w:rFonts w:ascii="Arial" w:hAnsi="Arial" w:cs="Arial"/>
          <w:b w:val="0"/>
          <w:bCs/>
          <w:caps w:val="0"/>
          <w:sz w:val="20"/>
        </w:rPr>
        <w:t>public</w:t>
      </w:r>
      <w:r w:rsidR="005704C0">
        <w:rPr>
          <w:rFonts w:ascii="Arial" w:hAnsi="Arial" w:cs="Arial"/>
          <w:b w:val="0"/>
          <w:bCs/>
          <w:caps w:val="0"/>
          <w:sz w:val="20"/>
        </w:rPr>
        <w:t xml:space="preserve"> </w:t>
      </w:r>
      <w:r w:rsidRPr="003C68D2">
        <w:rPr>
          <w:rFonts w:ascii="Arial" w:hAnsi="Arial" w:cs="Arial"/>
          <w:b w:val="0"/>
          <w:bCs/>
          <w:caps w:val="0"/>
          <w:sz w:val="20"/>
        </w:rPr>
        <w:t>school graduates, highlighting whether the differences in their performance are statistically significant.</w:t>
      </w:r>
    </w:p>
    <w:p w14:paraId="1D7A3724" w14:textId="77777777" w:rsidR="005E31B9" w:rsidRDefault="005E31B9" w:rsidP="00441B6F">
      <w:pPr>
        <w:pStyle w:val="Body"/>
        <w:spacing w:after="0"/>
        <w:rPr>
          <w:rFonts w:ascii="Arial" w:hAnsi="Arial" w:cs="Arial"/>
          <w:b/>
          <w:bCs/>
        </w:rPr>
      </w:pPr>
    </w:p>
    <w:p w14:paraId="0A5B8D20" w14:textId="273AFFF6" w:rsidR="003C68D2" w:rsidRPr="00B3557F" w:rsidRDefault="00486CDD" w:rsidP="00441B6F">
      <w:pPr>
        <w:pStyle w:val="Body"/>
        <w:spacing w:after="0"/>
        <w:rPr>
          <w:rFonts w:ascii="Arial" w:hAnsi="Arial" w:cs="Arial"/>
          <w:b/>
          <w:bCs/>
        </w:rPr>
      </w:pPr>
      <w:r w:rsidRPr="00B3557F">
        <w:rPr>
          <w:rFonts w:ascii="Arial" w:hAnsi="Arial" w:cs="Arial"/>
          <w:b/>
          <w:bCs/>
        </w:rPr>
        <w:t>Table</w:t>
      </w:r>
      <w:r w:rsidR="00E2707F" w:rsidRPr="00B3557F">
        <w:rPr>
          <w:rFonts w:ascii="Arial" w:hAnsi="Arial" w:cs="Arial"/>
          <w:b/>
          <w:bCs/>
        </w:rPr>
        <w:t xml:space="preserve"> 2.</w:t>
      </w:r>
      <w:r w:rsidRPr="00B3557F">
        <w:rPr>
          <w:rFonts w:ascii="Arial" w:hAnsi="Arial" w:cs="Arial"/>
          <w:b/>
          <w:bCs/>
        </w:rPr>
        <w:t xml:space="preserve"> Difference in LEPT </w:t>
      </w:r>
      <w:r w:rsidR="00B3557F" w:rsidRPr="00B3557F">
        <w:rPr>
          <w:rFonts w:ascii="Arial" w:hAnsi="Arial" w:cs="Arial"/>
          <w:b/>
          <w:bCs/>
        </w:rPr>
        <w:t>r</w:t>
      </w:r>
      <w:r w:rsidRPr="00B3557F">
        <w:rPr>
          <w:rFonts w:ascii="Arial" w:hAnsi="Arial" w:cs="Arial"/>
          <w:b/>
          <w:bCs/>
        </w:rPr>
        <w:t xml:space="preserve">ating </w:t>
      </w:r>
      <w:r w:rsidR="00B3557F" w:rsidRPr="00B3557F">
        <w:rPr>
          <w:rFonts w:ascii="Arial" w:hAnsi="Arial" w:cs="Arial"/>
          <w:b/>
          <w:bCs/>
        </w:rPr>
        <w:t>w</w:t>
      </w:r>
      <w:r w:rsidRPr="00B3557F">
        <w:rPr>
          <w:rFonts w:ascii="Arial" w:hAnsi="Arial" w:cs="Arial"/>
          <w:b/>
          <w:bCs/>
        </w:rPr>
        <w:t xml:space="preserve">hen </w:t>
      </w:r>
      <w:r w:rsidR="00B3557F" w:rsidRPr="00B3557F">
        <w:rPr>
          <w:rFonts w:ascii="Arial" w:hAnsi="Arial" w:cs="Arial"/>
          <w:b/>
          <w:bCs/>
        </w:rPr>
        <w:t>g</w:t>
      </w:r>
      <w:r w:rsidRPr="00B3557F">
        <w:rPr>
          <w:rFonts w:ascii="Arial" w:hAnsi="Arial" w:cs="Arial"/>
          <w:b/>
          <w:bCs/>
        </w:rPr>
        <w:t xml:space="preserve">rouped </w:t>
      </w:r>
      <w:r w:rsidR="00B3557F" w:rsidRPr="00B3557F">
        <w:rPr>
          <w:rFonts w:ascii="Arial" w:hAnsi="Arial" w:cs="Arial"/>
          <w:b/>
          <w:bCs/>
        </w:rPr>
        <w:t>a</w:t>
      </w:r>
      <w:r w:rsidRPr="00B3557F">
        <w:rPr>
          <w:rFonts w:ascii="Arial" w:hAnsi="Arial" w:cs="Arial"/>
          <w:b/>
          <w:bCs/>
        </w:rPr>
        <w:t xml:space="preserve">ccording to </w:t>
      </w:r>
      <w:r w:rsidR="00B3557F" w:rsidRPr="00B3557F">
        <w:rPr>
          <w:rFonts w:ascii="Arial" w:hAnsi="Arial" w:cs="Arial"/>
          <w:b/>
          <w:bCs/>
        </w:rPr>
        <w:t>t</w:t>
      </w:r>
      <w:r w:rsidRPr="00B3557F">
        <w:rPr>
          <w:rFonts w:ascii="Arial" w:hAnsi="Arial" w:cs="Arial"/>
          <w:b/>
          <w:bCs/>
        </w:rPr>
        <w:t xml:space="preserve">ype of </w:t>
      </w:r>
      <w:r w:rsidR="00B3557F" w:rsidRPr="00B3557F">
        <w:rPr>
          <w:rFonts w:ascii="Arial" w:hAnsi="Arial" w:cs="Arial"/>
          <w:b/>
          <w:bCs/>
        </w:rPr>
        <w:t>s</w:t>
      </w:r>
      <w:r w:rsidRPr="00B3557F">
        <w:rPr>
          <w:rFonts w:ascii="Arial" w:hAnsi="Arial" w:cs="Arial"/>
          <w:b/>
          <w:bCs/>
        </w:rPr>
        <w:t>chool</w:t>
      </w:r>
    </w:p>
    <w:p w14:paraId="0672A72A" w14:textId="77777777" w:rsidR="00652570" w:rsidRDefault="00652570" w:rsidP="00441B6F">
      <w:pPr>
        <w:pStyle w:val="Body"/>
        <w:spacing w:after="0"/>
        <w:rPr>
          <w:rFonts w:ascii="Arial" w:hAnsi="Arial" w:cs="Arial"/>
        </w:rPr>
      </w:pPr>
    </w:p>
    <w:tbl>
      <w:tblPr>
        <w:tblW w:w="8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475"/>
        <w:gridCol w:w="1604"/>
        <w:gridCol w:w="1101"/>
        <w:gridCol w:w="1238"/>
        <w:gridCol w:w="1770"/>
      </w:tblGrid>
      <w:tr w:rsidR="00652570" w:rsidRPr="00652570" w14:paraId="58920E60" w14:textId="77777777" w:rsidTr="003C3E6E">
        <w:trPr>
          <w:trHeight w:val="603"/>
        </w:trPr>
        <w:tc>
          <w:tcPr>
            <w:tcW w:w="1138" w:type="dxa"/>
          </w:tcPr>
          <w:p w14:paraId="23584DE8" w14:textId="77777777" w:rsidR="00652570" w:rsidRPr="00652570" w:rsidRDefault="00652570" w:rsidP="00652570">
            <w:pPr>
              <w:widowControl w:val="0"/>
              <w:autoSpaceDE w:val="0"/>
              <w:autoSpaceDN w:val="0"/>
              <w:spacing w:line="271" w:lineRule="exact"/>
              <w:ind w:left="163"/>
              <w:rPr>
                <w:rFonts w:ascii="Arial" w:eastAsia="Arial MT" w:hAnsi="Arial" w:cs="Arial"/>
                <w:b/>
              </w:rPr>
            </w:pPr>
            <w:r w:rsidRPr="00652570">
              <w:rPr>
                <w:rFonts w:ascii="Arial" w:eastAsia="Arial MT" w:hAnsi="Arial" w:cs="Arial"/>
                <w:b/>
                <w:spacing w:val="-4"/>
              </w:rPr>
              <w:t>Type</w:t>
            </w:r>
            <w:r w:rsidRPr="00652570">
              <w:rPr>
                <w:rFonts w:ascii="Arial" w:eastAsia="Arial MT" w:hAnsi="Arial" w:cs="Arial"/>
                <w:b/>
                <w:spacing w:val="-7"/>
              </w:rPr>
              <w:t xml:space="preserve"> </w:t>
            </w:r>
            <w:r w:rsidRPr="00652570">
              <w:rPr>
                <w:rFonts w:ascii="Arial" w:eastAsia="Arial MT" w:hAnsi="Arial" w:cs="Arial"/>
                <w:b/>
                <w:spacing w:val="-5"/>
              </w:rPr>
              <w:t>of</w:t>
            </w:r>
          </w:p>
          <w:p w14:paraId="0DB1909B" w14:textId="77777777" w:rsidR="00652570" w:rsidRPr="00652570" w:rsidRDefault="00652570" w:rsidP="00652570">
            <w:pPr>
              <w:widowControl w:val="0"/>
              <w:autoSpaceDE w:val="0"/>
              <w:autoSpaceDN w:val="0"/>
              <w:spacing w:line="260" w:lineRule="exact"/>
              <w:ind w:left="179"/>
              <w:rPr>
                <w:rFonts w:ascii="Arial" w:eastAsia="Arial MT" w:hAnsi="Arial" w:cs="Arial"/>
                <w:b/>
              </w:rPr>
            </w:pPr>
            <w:r w:rsidRPr="00652570">
              <w:rPr>
                <w:rFonts w:ascii="Arial" w:eastAsia="Arial MT" w:hAnsi="Arial" w:cs="Arial"/>
                <w:b/>
                <w:spacing w:val="-2"/>
              </w:rPr>
              <w:t>School</w:t>
            </w:r>
          </w:p>
        </w:tc>
        <w:tc>
          <w:tcPr>
            <w:tcW w:w="1475" w:type="dxa"/>
          </w:tcPr>
          <w:p w14:paraId="70053D2F" w14:textId="77777777" w:rsidR="00652570" w:rsidRPr="00652570" w:rsidRDefault="00652570" w:rsidP="00652570">
            <w:pPr>
              <w:widowControl w:val="0"/>
              <w:autoSpaceDE w:val="0"/>
              <w:autoSpaceDN w:val="0"/>
              <w:spacing w:before="134"/>
              <w:ind w:left="8" w:right="1"/>
              <w:jc w:val="center"/>
              <w:rPr>
                <w:rFonts w:ascii="Arial" w:eastAsia="Arial MT" w:hAnsi="Arial" w:cs="Arial"/>
                <w:b/>
              </w:rPr>
            </w:pPr>
            <w:r w:rsidRPr="00652570">
              <w:rPr>
                <w:rFonts w:ascii="Arial" w:eastAsia="Arial MT" w:hAnsi="Arial" w:cs="Arial"/>
                <w:b/>
                <w:spacing w:val="-4"/>
              </w:rPr>
              <w:t>Mean</w:t>
            </w:r>
          </w:p>
        </w:tc>
        <w:tc>
          <w:tcPr>
            <w:tcW w:w="1604" w:type="dxa"/>
          </w:tcPr>
          <w:p w14:paraId="14091ABB" w14:textId="77777777" w:rsidR="00652570" w:rsidRPr="00652570" w:rsidRDefault="00652570" w:rsidP="00652570">
            <w:pPr>
              <w:widowControl w:val="0"/>
              <w:autoSpaceDE w:val="0"/>
              <w:autoSpaceDN w:val="0"/>
              <w:spacing w:line="271" w:lineRule="exact"/>
              <w:ind w:left="293"/>
              <w:rPr>
                <w:rFonts w:ascii="Arial" w:eastAsia="Arial MT" w:hAnsi="Arial" w:cs="Arial"/>
                <w:b/>
              </w:rPr>
            </w:pPr>
            <w:r w:rsidRPr="00652570">
              <w:rPr>
                <w:rFonts w:ascii="Arial" w:eastAsia="Arial MT" w:hAnsi="Arial" w:cs="Arial"/>
                <w:b/>
                <w:spacing w:val="-2"/>
              </w:rPr>
              <w:t>Standard</w:t>
            </w:r>
          </w:p>
          <w:p w14:paraId="3C5325B7" w14:textId="77777777" w:rsidR="00652570" w:rsidRPr="00652570" w:rsidRDefault="00652570" w:rsidP="00652570">
            <w:pPr>
              <w:widowControl w:val="0"/>
              <w:autoSpaceDE w:val="0"/>
              <w:autoSpaceDN w:val="0"/>
              <w:spacing w:line="260" w:lineRule="exact"/>
              <w:ind w:left="274"/>
              <w:rPr>
                <w:rFonts w:ascii="Arial" w:eastAsia="Arial MT" w:hAnsi="Arial" w:cs="Arial"/>
                <w:b/>
              </w:rPr>
            </w:pPr>
            <w:r w:rsidRPr="00652570">
              <w:rPr>
                <w:rFonts w:ascii="Arial" w:eastAsia="Arial MT" w:hAnsi="Arial" w:cs="Arial"/>
                <w:b/>
                <w:spacing w:val="-2"/>
              </w:rPr>
              <w:t>Deviation</w:t>
            </w:r>
          </w:p>
        </w:tc>
        <w:tc>
          <w:tcPr>
            <w:tcW w:w="1101" w:type="dxa"/>
          </w:tcPr>
          <w:p w14:paraId="5CDAB6A5" w14:textId="77777777" w:rsidR="00652570" w:rsidRPr="00652570" w:rsidRDefault="00652570" w:rsidP="00652570">
            <w:pPr>
              <w:widowControl w:val="0"/>
              <w:autoSpaceDE w:val="0"/>
              <w:autoSpaceDN w:val="0"/>
              <w:spacing w:before="134"/>
              <w:ind w:left="174"/>
              <w:rPr>
                <w:rFonts w:ascii="Arial" w:eastAsia="Arial MT" w:hAnsi="Arial" w:cs="Arial"/>
                <w:b/>
              </w:rPr>
            </w:pPr>
            <w:r w:rsidRPr="00652570">
              <w:rPr>
                <w:rFonts w:ascii="Arial" w:eastAsia="Arial MT" w:hAnsi="Arial" w:cs="Arial"/>
                <w:b/>
              </w:rPr>
              <w:t>t-</w:t>
            </w:r>
            <w:r w:rsidRPr="00652570">
              <w:rPr>
                <w:rFonts w:ascii="Arial" w:eastAsia="Arial MT" w:hAnsi="Arial" w:cs="Arial"/>
                <w:b/>
                <w:spacing w:val="-2"/>
              </w:rPr>
              <w:t>value</w:t>
            </w:r>
          </w:p>
        </w:tc>
        <w:tc>
          <w:tcPr>
            <w:tcW w:w="1238" w:type="dxa"/>
          </w:tcPr>
          <w:p w14:paraId="4D9DB7A0" w14:textId="77777777" w:rsidR="00652570" w:rsidRPr="00652570" w:rsidRDefault="00652570" w:rsidP="00652570">
            <w:pPr>
              <w:widowControl w:val="0"/>
              <w:autoSpaceDE w:val="0"/>
              <w:autoSpaceDN w:val="0"/>
              <w:spacing w:before="134"/>
              <w:ind w:left="225"/>
              <w:rPr>
                <w:rFonts w:ascii="Arial" w:eastAsia="Arial MT" w:hAnsi="Arial" w:cs="Arial"/>
                <w:b/>
              </w:rPr>
            </w:pPr>
            <w:r w:rsidRPr="00652570">
              <w:rPr>
                <w:rFonts w:ascii="Arial" w:eastAsia="Arial MT" w:hAnsi="Arial" w:cs="Arial"/>
                <w:b/>
              </w:rPr>
              <w:t>Sig.</w:t>
            </w:r>
            <w:r w:rsidRPr="00652570">
              <w:rPr>
                <w:rFonts w:ascii="Arial" w:eastAsia="Arial MT" w:hAnsi="Arial" w:cs="Arial"/>
                <w:b/>
                <w:spacing w:val="1"/>
              </w:rPr>
              <w:t xml:space="preserve"> </w:t>
            </w:r>
            <w:r w:rsidRPr="00652570">
              <w:rPr>
                <w:rFonts w:ascii="Arial" w:eastAsia="Arial MT" w:hAnsi="Arial" w:cs="Arial"/>
                <w:b/>
                <w:spacing w:val="-5"/>
              </w:rPr>
              <w:t>(p)</w:t>
            </w:r>
          </w:p>
        </w:tc>
        <w:tc>
          <w:tcPr>
            <w:tcW w:w="1770" w:type="dxa"/>
          </w:tcPr>
          <w:p w14:paraId="369A4D3E" w14:textId="77777777" w:rsidR="00652570" w:rsidRPr="00652570" w:rsidRDefault="00652570" w:rsidP="00652570">
            <w:pPr>
              <w:widowControl w:val="0"/>
              <w:autoSpaceDE w:val="0"/>
              <w:autoSpaceDN w:val="0"/>
              <w:spacing w:before="134"/>
              <w:ind w:left="128"/>
              <w:rPr>
                <w:rFonts w:ascii="Arial" w:eastAsia="Arial MT" w:hAnsi="Arial" w:cs="Arial"/>
                <w:b/>
              </w:rPr>
            </w:pPr>
            <w:r w:rsidRPr="00652570">
              <w:rPr>
                <w:rFonts w:ascii="Arial" w:eastAsia="Arial MT" w:hAnsi="Arial" w:cs="Arial"/>
                <w:b/>
                <w:spacing w:val="-2"/>
              </w:rPr>
              <w:t>Interpretation</w:t>
            </w:r>
          </w:p>
        </w:tc>
      </w:tr>
      <w:tr w:rsidR="00652570" w:rsidRPr="00652570" w14:paraId="2ADE07C9" w14:textId="77777777" w:rsidTr="003C3E6E">
        <w:trPr>
          <w:trHeight w:val="301"/>
        </w:trPr>
        <w:tc>
          <w:tcPr>
            <w:tcW w:w="1138" w:type="dxa"/>
          </w:tcPr>
          <w:p w14:paraId="763E6452" w14:textId="77777777" w:rsidR="00652570" w:rsidRPr="00652570" w:rsidRDefault="00652570" w:rsidP="00652570">
            <w:pPr>
              <w:widowControl w:val="0"/>
              <w:autoSpaceDE w:val="0"/>
              <w:autoSpaceDN w:val="0"/>
              <w:spacing w:line="256" w:lineRule="exact"/>
              <w:ind w:left="10"/>
              <w:jc w:val="center"/>
              <w:rPr>
                <w:rFonts w:ascii="Arial" w:eastAsia="Arial MT" w:hAnsi="Arial" w:cs="Arial"/>
                <w:i/>
              </w:rPr>
            </w:pPr>
            <w:r w:rsidRPr="00652570">
              <w:rPr>
                <w:rFonts w:ascii="Arial" w:eastAsia="Arial MT" w:hAnsi="Arial" w:cs="Arial"/>
                <w:i/>
                <w:spacing w:val="-2"/>
              </w:rPr>
              <w:t>Private</w:t>
            </w:r>
          </w:p>
        </w:tc>
        <w:tc>
          <w:tcPr>
            <w:tcW w:w="1475" w:type="dxa"/>
          </w:tcPr>
          <w:p w14:paraId="529B89C3" w14:textId="77777777" w:rsidR="00652570" w:rsidRPr="00652570" w:rsidRDefault="00652570" w:rsidP="00652570">
            <w:pPr>
              <w:widowControl w:val="0"/>
              <w:autoSpaceDE w:val="0"/>
              <w:autoSpaceDN w:val="0"/>
              <w:spacing w:line="256" w:lineRule="exact"/>
              <w:ind w:left="8"/>
              <w:jc w:val="center"/>
              <w:rPr>
                <w:rFonts w:ascii="Arial" w:eastAsia="Arial MT" w:hAnsi="Arial" w:cs="Arial"/>
                <w:i/>
              </w:rPr>
            </w:pPr>
            <w:r w:rsidRPr="00652570">
              <w:rPr>
                <w:rFonts w:ascii="Arial" w:eastAsia="Arial MT" w:hAnsi="Arial" w:cs="Arial"/>
                <w:i/>
                <w:spacing w:val="-2"/>
              </w:rPr>
              <w:t>71.06</w:t>
            </w:r>
          </w:p>
        </w:tc>
        <w:tc>
          <w:tcPr>
            <w:tcW w:w="1604" w:type="dxa"/>
          </w:tcPr>
          <w:p w14:paraId="3400CDF0" w14:textId="77777777" w:rsidR="00652570" w:rsidRPr="00652570" w:rsidRDefault="00652570" w:rsidP="00652570">
            <w:pPr>
              <w:widowControl w:val="0"/>
              <w:autoSpaceDE w:val="0"/>
              <w:autoSpaceDN w:val="0"/>
              <w:spacing w:line="256" w:lineRule="exact"/>
              <w:ind w:left="10"/>
              <w:jc w:val="center"/>
              <w:rPr>
                <w:rFonts w:ascii="Arial" w:eastAsia="Arial MT" w:hAnsi="Arial" w:cs="Arial"/>
                <w:i/>
              </w:rPr>
            </w:pPr>
            <w:r w:rsidRPr="00652570">
              <w:rPr>
                <w:rFonts w:ascii="Arial" w:eastAsia="Arial MT" w:hAnsi="Arial" w:cs="Arial"/>
                <w:i/>
                <w:spacing w:val="-4"/>
              </w:rPr>
              <w:t>9.89</w:t>
            </w:r>
          </w:p>
        </w:tc>
        <w:tc>
          <w:tcPr>
            <w:tcW w:w="1101" w:type="dxa"/>
            <w:vMerge w:val="restart"/>
          </w:tcPr>
          <w:p w14:paraId="1DE950B3" w14:textId="6B7140D0" w:rsidR="00652570" w:rsidRPr="00652570" w:rsidRDefault="00652570" w:rsidP="00652570">
            <w:pPr>
              <w:widowControl w:val="0"/>
              <w:autoSpaceDE w:val="0"/>
              <w:autoSpaceDN w:val="0"/>
              <w:spacing w:before="140"/>
              <w:ind w:left="220"/>
              <w:rPr>
                <w:rFonts w:ascii="Arial" w:eastAsia="Arial MT" w:hAnsi="Arial" w:cs="Arial"/>
              </w:rPr>
            </w:pPr>
            <w:r w:rsidRPr="00652570">
              <w:rPr>
                <w:rFonts w:ascii="Arial" w:eastAsia="Arial MT" w:hAnsi="Arial" w:cs="Arial"/>
                <w:spacing w:val="-2"/>
              </w:rPr>
              <w:t>-2.0</w:t>
            </w:r>
            <w:r w:rsidR="002C142A">
              <w:rPr>
                <w:rFonts w:ascii="Arial" w:eastAsia="Arial MT" w:hAnsi="Arial" w:cs="Arial"/>
                <w:spacing w:val="-2"/>
              </w:rPr>
              <w:t>8</w:t>
            </w:r>
          </w:p>
        </w:tc>
        <w:tc>
          <w:tcPr>
            <w:tcW w:w="1238" w:type="dxa"/>
            <w:vMerge w:val="restart"/>
          </w:tcPr>
          <w:p w14:paraId="1AC994B5" w14:textId="5A73F513" w:rsidR="00652570" w:rsidRPr="00652570" w:rsidRDefault="00652570" w:rsidP="00652570">
            <w:pPr>
              <w:widowControl w:val="0"/>
              <w:autoSpaceDE w:val="0"/>
              <w:autoSpaceDN w:val="0"/>
              <w:spacing w:before="140"/>
              <w:ind w:left="285"/>
              <w:rPr>
                <w:rFonts w:ascii="Arial" w:eastAsia="Arial MT" w:hAnsi="Arial" w:cs="Arial"/>
              </w:rPr>
            </w:pPr>
            <w:r w:rsidRPr="00652570">
              <w:rPr>
                <w:rFonts w:ascii="Arial" w:eastAsia="Arial MT" w:hAnsi="Arial" w:cs="Arial"/>
                <w:spacing w:val="-2"/>
              </w:rPr>
              <w:t>0.0</w:t>
            </w:r>
            <w:r w:rsidR="008E2251">
              <w:rPr>
                <w:rFonts w:ascii="Arial" w:eastAsia="Arial MT" w:hAnsi="Arial" w:cs="Arial"/>
                <w:spacing w:val="-2"/>
              </w:rPr>
              <w:t>4</w:t>
            </w:r>
            <w:r w:rsidRPr="00652570">
              <w:rPr>
                <w:rFonts w:ascii="Arial" w:eastAsia="Arial MT" w:hAnsi="Arial" w:cs="Arial"/>
                <w:spacing w:val="-2"/>
              </w:rPr>
              <w:t>*</w:t>
            </w:r>
          </w:p>
        </w:tc>
        <w:tc>
          <w:tcPr>
            <w:tcW w:w="1770" w:type="dxa"/>
            <w:vMerge w:val="restart"/>
          </w:tcPr>
          <w:p w14:paraId="425AA7A4" w14:textId="77777777" w:rsidR="00652570" w:rsidRPr="00652570" w:rsidRDefault="00652570" w:rsidP="00652570">
            <w:pPr>
              <w:widowControl w:val="0"/>
              <w:autoSpaceDE w:val="0"/>
              <w:autoSpaceDN w:val="0"/>
              <w:spacing w:before="140"/>
              <w:ind w:left="349"/>
              <w:rPr>
                <w:rFonts w:ascii="Arial" w:eastAsia="Arial MT" w:hAnsi="Arial" w:cs="Arial"/>
              </w:rPr>
            </w:pPr>
            <w:r w:rsidRPr="00652570">
              <w:rPr>
                <w:rFonts w:ascii="Arial" w:eastAsia="Arial MT" w:hAnsi="Arial" w:cs="Arial"/>
                <w:spacing w:val="-2"/>
              </w:rPr>
              <w:t>Significant</w:t>
            </w:r>
          </w:p>
        </w:tc>
      </w:tr>
      <w:tr w:rsidR="00652570" w:rsidRPr="00652570" w14:paraId="16DFA826" w14:textId="77777777" w:rsidTr="003C3E6E">
        <w:trPr>
          <w:trHeight w:val="304"/>
        </w:trPr>
        <w:tc>
          <w:tcPr>
            <w:tcW w:w="1138" w:type="dxa"/>
          </w:tcPr>
          <w:p w14:paraId="22DD6F41" w14:textId="77777777" w:rsidR="00652570" w:rsidRPr="00652570" w:rsidRDefault="00652570" w:rsidP="00652570">
            <w:pPr>
              <w:widowControl w:val="0"/>
              <w:autoSpaceDE w:val="0"/>
              <w:autoSpaceDN w:val="0"/>
              <w:spacing w:line="259" w:lineRule="exact"/>
              <w:ind w:left="10" w:right="1"/>
              <w:jc w:val="center"/>
              <w:rPr>
                <w:rFonts w:ascii="Arial" w:eastAsia="Arial MT" w:hAnsi="Arial" w:cs="Arial"/>
                <w:i/>
              </w:rPr>
            </w:pPr>
            <w:r w:rsidRPr="00652570">
              <w:rPr>
                <w:rFonts w:ascii="Arial" w:eastAsia="Arial MT" w:hAnsi="Arial" w:cs="Arial"/>
                <w:i/>
                <w:spacing w:val="-2"/>
              </w:rPr>
              <w:t>Public</w:t>
            </w:r>
          </w:p>
        </w:tc>
        <w:tc>
          <w:tcPr>
            <w:tcW w:w="1475" w:type="dxa"/>
          </w:tcPr>
          <w:p w14:paraId="2401E429" w14:textId="77777777" w:rsidR="00652570" w:rsidRPr="00652570" w:rsidRDefault="00652570" w:rsidP="00652570">
            <w:pPr>
              <w:widowControl w:val="0"/>
              <w:autoSpaceDE w:val="0"/>
              <w:autoSpaceDN w:val="0"/>
              <w:spacing w:line="259" w:lineRule="exact"/>
              <w:ind w:left="8"/>
              <w:jc w:val="center"/>
              <w:rPr>
                <w:rFonts w:ascii="Arial" w:eastAsia="Arial MT" w:hAnsi="Arial" w:cs="Arial"/>
                <w:i/>
              </w:rPr>
            </w:pPr>
            <w:r w:rsidRPr="00652570">
              <w:rPr>
                <w:rFonts w:ascii="Arial" w:eastAsia="Arial MT" w:hAnsi="Arial" w:cs="Arial"/>
                <w:i/>
                <w:spacing w:val="-2"/>
              </w:rPr>
              <w:t>73.40</w:t>
            </w:r>
          </w:p>
        </w:tc>
        <w:tc>
          <w:tcPr>
            <w:tcW w:w="1604" w:type="dxa"/>
          </w:tcPr>
          <w:p w14:paraId="779AC0AC" w14:textId="77777777" w:rsidR="00652570" w:rsidRPr="00652570" w:rsidRDefault="00652570" w:rsidP="00652570">
            <w:pPr>
              <w:widowControl w:val="0"/>
              <w:autoSpaceDE w:val="0"/>
              <w:autoSpaceDN w:val="0"/>
              <w:spacing w:line="259" w:lineRule="exact"/>
              <w:ind w:left="10"/>
              <w:jc w:val="center"/>
              <w:rPr>
                <w:rFonts w:ascii="Arial" w:eastAsia="Arial MT" w:hAnsi="Arial" w:cs="Arial"/>
                <w:i/>
              </w:rPr>
            </w:pPr>
            <w:r w:rsidRPr="00652570">
              <w:rPr>
                <w:rFonts w:ascii="Arial" w:eastAsia="Arial MT" w:hAnsi="Arial" w:cs="Arial"/>
                <w:i/>
                <w:spacing w:val="-4"/>
              </w:rPr>
              <w:t>9.93</w:t>
            </w:r>
          </w:p>
        </w:tc>
        <w:tc>
          <w:tcPr>
            <w:tcW w:w="1101" w:type="dxa"/>
            <w:vMerge/>
            <w:tcBorders>
              <w:top w:val="nil"/>
            </w:tcBorders>
          </w:tcPr>
          <w:p w14:paraId="06DE8724" w14:textId="77777777" w:rsidR="00652570" w:rsidRPr="00652570" w:rsidRDefault="00652570" w:rsidP="00652570">
            <w:pPr>
              <w:widowControl w:val="0"/>
              <w:autoSpaceDE w:val="0"/>
              <w:autoSpaceDN w:val="0"/>
              <w:rPr>
                <w:rFonts w:ascii="Arial" w:eastAsia="Arial MT" w:hAnsi="Arial" w:cs="Arial"/>
              </w:rPr>
            </w:pPr>
          </w:p>
        </w:tc>
        <w:tc>
          <w:tcPr>
            <w:tcW w:w="1238" w:type="dxa"/>
            <w:vMerge/>
            <w:tcBorders>
              <w:top w:val="nil"/>
            </w:tcBorders>
          </w:tcPr>
          <w:p w14:paraId="21F31EE9" w14:textId="77777777" w:rsidR="00652570" w:rsidRPr="00652570" w:rsidRDefault="00652570" w:rsidP="00652570">
            <w:pPr>
              <w:widowControl w:val="0"/>
              <w:autoSpaceDE w:val="0"/>
              <w:autoSpaceDN w:val="0"/>
              <w:rPr>
                <w:rFonts w:ascii="Arial" w:eastAsia="Arial MT" w:hAnsi="Arial" w:cs="Arial"/>
              </w:rPr>
            </w:pPr>
          </w:p>
        </w:tc>
        <w:tc>
          <w:tcPr>
            <w:tcW w:w="1770" w:type="dxa"/>
            <w:vMerge/>
            <w:tcBorders>
              <w:top w:val="nil"/>
            </w:tcBorders>
          </w:tcPr>
          <w:p w14:paraId="06F59848" w14:textId="77777777" w:rsidR="00652570" w:rsidRPr="00652570" w:rsidRDefault="00652570" w:rsidP="00652570">
            <w:pPr>
              <w:widowControl w:val="0"/>
              <w:autoSpaceDE w:val="0"/>
              <w:autoSpaceDN w:val="0"/>
              <w:rPr>
                <w:rFonts w:ascii="Arial" w:eastAsia="Arial MT" w:hAnsi="Arial" w:cs="Arial"/>
              </w:rPr>
            </w:pPr>
          </w:p>
        </w:tc>
      </w:tr>
    </w:tbl>
    <w:p w14:paraId="1D4270CE" w14:textId="0A576FFE" w:rsidR="00652570" w:rsidRPr="00652570" w:rsidRDefault="00652570" w:rsidP="000C658C">
      <w:pPr>
        <w:widowControl w:val="0"/>
        <w:autoSpaceDE w:val="0"/>
        <w:autoSpaceDN w:val="0"/>
        <w:jc w:val="both"/>
        <w:rPr>
          <w:rFonts w:ascii="Arial" w:eastAsia="Arial MT" w:hAnsi="Arial" w:cs="Arial"/>
          <w:i/>
          <w:sz w:val="16"/>
          <w:szCs w:val="16"/>
        </w:rPr>
      </w:pPr>
      <w:r w:rsidRPr="00652570">
        <w:rPr>
          <w:rFonts w:ascii="Arial" w:eastAsia="Arial MT" w:hAnsi="Arial" w:cs="Arial"/>
          <w:i/>
          <w:sz w:val="16"/>
          <w:szCs w:val="16"/>
        </w:rPr>
        <w:t>*Significant</w:t>
      </w:r>
      <w:r w:rsidRPr="00652570">
        <w:rPr>
          <w:rFonts w:ascii="Arial" w:eastAsia="Arial MT" w:hAnsi="Arial" w:cs="Arial"/>
          <w:i/>
          <w:spacing w:val="-8"/>
          <w:sz w:val="16"/>
          <w:szCs w:val="16"/>
        </w:rPr>
        <w:t xml:space="preserve"> </w:t>
      </w:r>
      <w:r w:rsidRPr="00652570">
        <w:rPr>
          <w:rFonts w:ascii="Arial" w:eastAsia="Arial MT" w:hAnsi="Arial" w:cs="Arial"/>
          <w:i/>
          <w:sz w:val="16"/>
          <w:szCs w:val="16"/>
        </w:rPr>
        <w:t>at</w:t>
      </w:r>
      <w:r w:rsidRPr="00652570">
        <w:rPr>
          <w:rFonts w:ascii="Arial" w:eastAsia="Arial MT" w:hAnsi="Arial" w:cs="Arial"/>
          <w:i/>
          <w:spacing w:val="-7"/>
          <w:sz w:val="16"/>
          <w:szCs w:val="16"/>
        </w:rPr>
        <w:t xml:space="preserve"> </w:t>
      </w:r>
      <w:r w:rsidRPr="000C658C">
        <w:rPr>
          <w:rFonts w:ascii="Arial" w:eastAsia="Arial MT" w:hAnsi="Arial" w:cs="Arial"/>
          <w:i/>
          <w:spacing w:val="-7"/>
          <w:sz w:val="16"/>
          <w:szCs w:val="16"/>
        </w:rPr>
        <w:t>P</w:t>
      </w:r>
      <w:r w:rsidRPr="00652570">
        <w:rPr>
          <w:rFonts w:ascii="Arial" w:eastAsia="Arial MT" w:hAnsi="Arial" w:cs="Arial"/>
          <w:i/>
          <w:spacing w:val="-7"/>
          <w:sz w:val="16"/>
          <w:szCs w:val="16"/>
        </w:rPr>
        <w:t xml:space="preserve"> </w:t>
      </w:r>
      <w:r w:rsidR="0025155C" w:rsidRPr="000C658C">
        <w:rPr>
          <w:rFonts w:ascii="Arial" w:eastAsia="Arial MT" w:hAnsi="Arial" w:cs="Arial"/>
          <w:i/>
          <w:spacing w:val="-4"/>
          <w:sz w:val="16"/>
          <w:szCs w:val="16"/>
        </w:rPr>
        <w:t>=</w:t>
      </w:r>
      <w:r w:rsidRPr="00652570">
        <w:rPr>
          <w:rFonts w:ascii="Arial" w:eastAsia="Arial MT" w:hAnsi="Arial" w:cs="Arial"/>
          <w:i/>
          <w:spacing w:val="-4"/>
          <w:sz w:val="16"/>
          <w:szCs w:val="16"/>
        </w:rPr>
        <w:t>0.05</w:t>
      </w:r>
    </w:p>
    <w:p w14:paraId="0FB7C71C" w14:textId="77777777" w:rsidR="00927024" w:rsidRDefault="00927024" w:rsidP="00E6520F">
      <w:pPr>
        <w:pStyle w:val="Body"/>
        <w:ind w:firstLine="720"/>
        <w:rPr>
          <w:rFonts w:ascii="Arial" w:hAnsi="Arial" w:cs="Arial"/>
        </w:rPr>
      </w:pPr>
    </w:p>
    <w:p w14:paraId="683A8B5D" w14:textId="51C50E05" w:rsidR="00E6520F" w:rsidRDefault="00C60EDD" w:rsidP="00E6520F">
      <w:pPr>
        <w:pStyle w:val="Body"/>
        <w:ind w:firstLine="720"/>
        <w:rPr>
          <w:rFonts w:ascii="Arial" w:hAnsi="Arial" w:cs="Arial"/>
        </w:rPr>
      </w:pPr>
      <w:r w:rsidRPr="00C60EDD">
        <w:rPr>
          <w:rFonts w:ascii="Arial" w:hAnsi="Arial" w:cs="Arial"/>
        </w:rPr>
        <w:lastRenderedPageBreak/>
        <w:t>The data reveal that graduates from private schools obtained an average LEPT rating of 71.06, with a standard deviation of 9.88, while those from public schools achieved a slightly higher mean score of 73.40, with a standard deviation of 9.93. The computed t-value of -2.08 and the corresponding significance level (p = 0.0</w:t>
      </w:r>
      <w:r w:rsidR="008E2251">
        <w:rPr>
          <w:rFonts w:ascii="Arial" w:hAnsi="Arial" w:cs="Arial"/>
        </w:rPr>
        <w:t>4</w:t>
      </w:r>
      <w:r w:rsidRPr="00C60EDD">
        <w:rPr>
          <w:rFonts w:ascii="Arial" w:hAnsi="Arial" w:cs="Arial"/>
        </w:rPr>
        <w:t>) indicate that the difference between the two groups is statistically significant at the 0.05 level.</w:t>
      </w:r>
      <w:r w:rsidR="00CD0777">
        <w:rPr>
          <w:rFonts w:ascii="Arial" w:hAnsi="Arial" w:cs="Arial"/>
        </w:rPr>
        <w:t xml:space="preserve"> Thus, null hypothesis 1 is rejected.</w:t>
      </w:r>
    </w:p>
    <w:p w14:paraId="239BDA40" w14:textId="75EAED34" w:rsidR="00C60EDD" w:rsidRDefault="00C60EDD" w:rsidP="00E6520F">
      <w:pPr>
        <w:pStyle w:val="Body"/>
        <w:ind w:firstLine="720"/>
        <w:rPr>
          <w:rFonts w:ascii="Arial" w:hAnsi="Arial" w:cs="Arial"/>
        </w:rPr>
      </w:pPr>
      <w:r w:rsidRPr="00C60EDD">
        <w:rPr>
          <w:rFonts w:ascii="Arial" w:hAnsi="Arial" w:cs="Arial"/>
        </w:rPr>
        <w:t>Overall, the results suggest that public school graduates tend to perform better in the LEPT than their private school counterparts. Alfonso (2019) in his study supports that public schools are firm in the implementation of retention policies due to numerous numbers of enrollees caused by lower tuition fees or free tuition as compared with private schools. Private schools, however, are often perceived to hesitate to enforce strict retention policies to avoid the risk of losing students. Admission and retention policies of schools are means to control and standardize the delivery of quality education to students. Ong et al. (2012) and Hilario (2000), indicated that admission policies serve as predictors of academic performance and have a significant positive effect on board examination outcomes.</w:t>
      </w:r>
      <w:r w:rsidR="006B6EF7">
        <w:rPr>
          <w:rFonts w:ascii="Arial" w:hAnsi="Arial" w:cs="Arial"/>
        </w:rPr>
        <w:t xml:space="preserve"> </w:t>
      </w:r>
    </w:p>
    <w:p w14:paraId="049F0EBC" w14:textId="641F6E9F" w:rsidR="00240A8E" w:rsidRPr="007C71DC" w:rsidRDefault="00240A8E" w:rsidP="00C60EDD">
      <w:pPr>
        <w:pStyle w:val="Body"/>
        <w:rPr>
          <w:rFonts w:ascii="Arial" w:hAnsi="Arial" w:cs="Arial"/>
          <w:b/>
          <w:bCs/>
        </w:rPr>
      </w:pPr>
      <w:r w:rsidRPr="007C71DC">
        <w:rPr>
          <w:rFonts w:ascii="Arial" w:hAnsi="Arial" w:cs="Arial"/>
          <w:b/>
          <w:bCs/>
        </w:rPr>
        <w:t>H</w:t>
      </w:r>
      <w:r w:rsidRPr="007C71DC">
        <w:rPr>
          <w:rFonts w:ascii="Arial" w:hAnsi="Arial" w:cs="Arial"/>
          <w:b/>
          <w:bCs/>
          <w:vertAlign w:val="subscript"/>
        </w:rPr>
        <w:t>02</w:t>
      </w:r>
      <w:r w:rsidRPr="007C71DC">
        <w:rPr>
          <w:rFonts w:ascii="Arial" w:hAnsi="Arial" w:cs="Arial"/>
          <w:b/>
          <w:bCs/>
        </w:rPr>
        <w:t>: There is no significant difference in the LEPT ratings between education and non-education graduates</w:t>
      </w:r>
    </w:p>
    <w:p w14:paraId="53184377" w14:textId="6871A2E1" w:rsidR="00652570" w:rsidRDefault="003C3E6E" w:rsidP="003C3E6E">
      <w:pPr>
        <w:pStyle w:val="Body"/>
        <w:spacing w:after="0"/>
        <w:ind w:firstLine="720"/>
        <w:rPr>
          <w:rFonts w:ascii="Arial" w:hAnsi="Arial" w:cs="Arial"/>
        </w:rPr>
      </w:pPr>
      <w:r w:rsidRPr="003C3E6E">
        <w:rPr>
          <w:rFonts w:ascii="Arial" w:hAnsi="Arial" w:cs="Arial"/>
        </w:rPr>
        <w:t xml:space="preserve">Table </w:t>
      </w:r>
      <w:r>
        <w:rPr>
          <w:rFonts w:ascii="Arial" w:hAnsi="Arial" w:cs="Arial"/>
        </w:rPr>
        <w:t>3</w:t>
      </w:r>
      <w:r w:rsidRPr="003C3E6E">
        <w:rPr>
          <w:rFonts w:ascii="Arial" w:hAnsi="Arial" w:cs="Arial"/>
        </w:rPr>
        <w:t xml:space="preserve"> shows the difference in LEPT ratings when grouped according to the academic program of the examinees.</w:t>
      </w:r>
    </w:p>
    <w:p w14:paraId="3A62BD87" w14:textId="77777777" w:rsidR="003C3E6E" w:rsidRDefault="003C3E6E" w:rsidP="003C3E6E">
      <w:pPr>
        <w:pStyle w:val="Body"/>
        <w:spacing w:after="0"/>
        <w:rPr>
          <w:rFonts w:ascii="Arial" w:hAnsi="Arial" w:cs="Arial"/>
        </w:rPr>
      </w:pPr>
    </w:p>
    <w:p w14:paraId="76A5E7DA" w14:textId="0AD2E9B8" w:rsidR="003C3E6E" w:rsidRPr="00EE2F61" w:rsidRDefault="003C3E6E" w:rsidP="003C3E6E">
      <w:pPr>
        <w:pStyle w:val="Body"/>
        <w:spacing w:after="0"/>
        <w:rPr>
          <w:rFonts w:ascii="Arial" w:hAnsi="Arial" w:cs="Arial"/>
          <w:b/>
          <w:bCs/>
        </w:rPr>
      </w:pPr>
      <w:r w:rsidRPr="00EE2F61">
        <w:rPr>
          <w:rFonts w:ascii="Arial" w:hAnsi="Arial" w:cs="Arial"/>
          <w:b/>
          <w:bCs/>
        </w:rPr>
        <w:t>Table 3</w:t>
      </w:r>
      <w:r w:rsidR="00EE2F61">
        <w:rPr>
          <w:rFonts w:ascii="Arial" w:hAnsi="Arial" w:cs="Arial"/>
          <w:b/>
          <w:bCs/>
        </w:rPr>
        <w:t>.</w:t>
      </w:r>
      <w:r w:rsidR="00EE2F61" w:rsidRPr="00EE2F61">
        <w:rPr>
          <w:rFonts w:ascii="Arial" w:hAnsi="Arial" w:cs="Arial"/>
          <w:b/>
          <w:bCs/>
        </w:rPr>
        <w:t xml:space="preserve"> Difference in LEPT ratings when grouped according to examinees’ academic program</w:t>
      </w:r>
    </w:p>
    <w:p w14:paraId="4C371C6E" w14:textId="77777777" w:rsidR="003C3E6E" w:rsidRDefault="003C3E6E" w:rsidP="003C3E6E">
      <w:pPr>
        <w:pStyle w:val="Body"/>
        <w:spacing w:after="0"/>
        <w:rPr>
          <w:rFonts w:ascii="Arial" w:hAnsi="Arial" w:cs="Arial"/>
        </w:rPr>
      </w:pPr>
    </w:p>
    <w:tbl>
      <w:tblPr>
        <w:tblW w:w="8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963"/>
        <w:gridCol w:w="1457"/>
        <w:gridCol w:w="989"/>
        <w:gridCol w:w="1351"/>
        <w:gridCol w:w="1853"/>
      </w:tblGrid>
      <w:tr w:rsidR="003C3E6E" w:rsidRPr="003C3E6E" w14:paraId="762C75D9" w14:textId="77777777" w:rsidTr="003C3E6E">
        <w:trPr>
          <w:trHeight w:val="551"/>
        </w:trPr>
        <w:tc>
          <w:tcPr>
            <w:tcW w:w="1807" w:type="dxa"/>
          </w:tcPr>
          <w:p w14:paraId="67703D63" w14:textId="77777777" w:rsidR="003C3E6E" w:rsidRPr="003C3E6E" w:rsidRDefault="003C3E6E" w:rsidP="003C3E6E">
            <w:pPr>
              <w:widowControl w:val="0"/>
              <w:autoSpaceDE w:val="0"/>
              <w:autoSpaceDN w:val="0"/>
              <w:spacing w:line="271" w:lineRule="exact"/>
              <w:ind w:left="335"/>
              <w:rPr>
                <w:rFonts w:ascii="Arial" w:eastAsia="Arial MT" w:hAnsi="Arial" w:cs="Arial"/>
                <w:b/>
              </w:rPr>
            </w:pPr>
            <w:r w:rsidRPr="003C3E6E">
              <w:rPr>
                <w:rFonts w:ascii="Arial" w:eastAsia="Arial MT" w:hAnsi="Arial" w:cs="Arial"/>
                <w:b/>
                <w:spacing w:val="-2"/>
              </w:rPr>
              <w:t>Academic</w:t>
            </w:r>
          </w:p>
          <w:p w14:paraId="57EFF487" w14:textId="77777777" w:rsidR="003C3E6E" w:rsidRPr="003C3E6E" w:rsidRDefault="003C3E6E" w:rsidP="003C3E6E">
            <w:pPr>
              <w:widowControl w:val="0"/>
              <w:autoSpaceDE w:val="0"/>
              <w:autoSpaceDN w:val="0"/>
              <w:spacing w:line="260" w:lineRule="exact"/>
              <w:ind w:left="410"/>
              <w:rPr>
                <w:rFonts w:ascii="Arial" w:eastAsia="Arial MT" w:hAnsi="Arial" w:cs="Arial"/>
                <w:b/>
              </w:rPr>
            </w:pPr>
            <w:r w:rsidRPr="003C3E6E">
              <w:rPr>
                <w:rFonts w:ascii="Arial" w:eastAsia="Arial MT" w:hAnsi="Arial" w:cs="Arial"/>
                <w:b/>
                <w:spacing w:val="-2"/>
              </w:rPr>
              <w:t>Program</w:t>
            </w:r>
          </w:p>
        </w:tc>
        <w:tc>
          <w:tcPr>
            <w:tcW w:w="963" w:type="dxa"/>
          </w:tcPr>
          <w:p w14:paraId="2B84B8A9" w14:textId="77777777" w:rsidR="003C3E6E" w:rsidRPr="003C3E6E" w:rsidRDefault="003C3E6E" w:rsidP="003C3E6E">
            <w:pPr>
              <w:widowControl w:val="0"/>
              <w:autoSpaceDE w:val="0"/>
              <w:autoSpaceDN w:val="0"/>
              <w:spacing w:before="134"/>
              <w:ind w:left="14" w:right="2"/>
              <w:jc w:val="center"/>
              <w:rPr>
                <w:rFonts w:ascii="Arial" w:eastAsia="Arial MT" w:hAnsi="Arial" w:cs="Arial"/>
                <w:b/>
              </w:rPr>
            </w:pPr>
            <w:r w:rsidRPr="003C3E6E">
              <w:rPr>
                <w:rFonts w:ascii="Arial" w:eastAsia="Arial MT" w:hAnsi="Arial" w:cs="Arial"/>
                <w:b/>
                <w:spacing w:val="-4"/>
              </w:rPr>
              <w:t>Mean</w:t>
            </w:r>
          </w:p>
        </w:tc>
        <w:tc>
          <w:tcPr>
            <w:tcW w:w="1457" w:type="dxa"/>
          </w:tcPr>
          <w:p w14:paraId="1DACE82A" w14:textId="77777777" w:rsidR="003C3E6E" w:rsidRPr="003C3E6E" w:rsidRDefault="003C3E6E" w:rsidP="003C3E6E">
            <w:pPr>
              <w:widowControl w:val="0"/>
              <w:autoSpaceDE w:val="0"/>
              <w:autoSpaceDN w:val="0"/>
              <w:spacing w:line="271" w:lineRule="exact"/>
              <w:ind w:left="206"/>
              <w:rPr>
                <w:rFonts w:ascii="Arial" w:eastAsia="Arial MT" w:hAnsi="Arial" w:cs="Arial"/>
                <w:b/>
              </w:rPr>
            </w:pPr>
            <w:r w:rsidRPr="003C3E6E">
              <w:rPr>
                <w:rFonts w:ascii="Arial" w:eastAsia="Arial MT" w:hAnsi="Arial" w:cs="Arial"/>
                <w:b/>
                <w:spacing w:val="-2"/>
              </w:rPr>
              <w:t>Standard</w:t>
            </w:r>
          </w:p>
          <w:p w14:paraId="0D5352A7" w14:textId="77777777" w:rsidR="003C3E6E" w:rsidRPr="003C3E6E" w:rsidRDefault="003C3E6E" w:rsidP="003C3E6E">
            <w:pPr>
              <w:widowControl w:val="0"/>
              <w:autoSpaceDE w:val="0"/>
              <w:autoSpaceDN w:val="0"/>
              <w:spacing w:line="260" w:lineRule="exact"/>
              <w:ind w:left="187"/>
              <w:rPr>
                <w:rFonts w:ascii="Arial" w:eastAsia="Arial MT" w:hAnsi="Arial" w:cs="Arial"/>
                <w:b/>
              </w:rPr>
            </w:pPr>
            <w:r w:rsidRPr="003C3E6E">
              <w:rPr>
                <w:rFonts w:ascii="Arial" w:eastAsia="Arial MT" w:hAnsi="Arial" w:cs="Arial"/>
                <w:b/>
                <w:spacing w:val="-2"/>
              </w:rPr>
              <w:t>Deviation</w:t>
            </w:r>
          </w:p>
        </w:tc>
        <w:tc>
          <w:tcPr>
            <w:tcW w:w="989" w:type="dxa"/>
          </w:tcPr>
          <w:p w14:paraId="50967768" w14:textId="77777777" w:rsidR="003C3E6E" w:rsidRPr="003C3E6E" w:rsidRDefault="003C3E6E" w:rsidP="003C3E6E">
            <w:pPr>
              <w:widowControl w:val="0"/>
              <w:autoSpaceDE w:val="0"/>
              <w:autoSpaceDN w:val="0"/>
              <w:spacing w:before="134"/>
              <w:ind w:left="107"/>
              <w:rPr>
                <w:rFonts w:ascii="Arial" w:eastAsia="Arial MT" w:hAnsi="Arial" w:cs="Arial"/>
                <w:b/>
              </w:rPr>
            </w:pPr>
            <w:r w:rsidRPr="003C3E6E">
              <w:rPr>
                <w:rFonts w:ascii="Arial" w:eastAsia="Arial MT" w:hAnsi="Arial" w:cs="Arial"/>
                <w:b/>
              </w:rPr>
              <w:t>t-</w:t>
            </w:r>
            <w:r w:rsidRPr="003C3E6E">
              <w:rPr>
                <w:rFonts w:ascii="Arial" w:eastAsia="Arial MT" w:hAnsi="Arial" w:cs="Arial"/>
                <w:b/>
                <w:spacing w:val="-2"/>
              </w:rPr>
              <w:t>value</w:t>
            </w:r>
          </w:p>
        </w:tc>
        <w:tc>
          <w:tcPr>
            <w:tcW w:w="1351" w:type="dxa"/>
          </w:tcPr>
          <w:p w14:paraId="376FA719" w14:textId="77777777" w:rsidR="003C3E6E" w:rsidRPr="003C3E6E" w:rsidRDefault="003C3E6E" w:rsidP="003C3E6E">
            <w:pPr>
              <w:widowControl w:val="0"/>
              <w:autoSpaceDE w:val="0"/>
              <w:autoSpaceDN w:val="0"/>
              <w:spacing w:before="134"/>
              <w:ind w:left="266"/>
              <w:rPr>
                <w:rFonts w:ascii="Arial" w:eastAsia="Arial MT" w:hAnsi="Arial" w:cs="Arial"/>
                <w:b/>
              </w:rPr>
            </w:pPr>
            <w:r w:rsidRPr="003C3E6E">
              <w:rPr>
                <w:rFonts w:ascii="Arial" w:eastAsia="Arial MT" w:hAnsi="Arial" w:cs="Arial"/>
                <w:b/>
              </w:rPr>
              <w:t>Sig.</w:t>
            </w:r>
            <w:r w:rsidRPr="003C3E6E">
              <w:rPr>
                <w:rFonts w:ascii="Arial" w:eastAsia="Arial MT" w:hAnsi="Arial" w:cs="Arial"/>
                <w:b/>
                <w:spacing w:val="1"/>
              </w:rPr>
              <w:t xml:space="preserve"> </w:t>
            </w:r>
            <w:r w:rsidRPr="003C3E6E">
              <w:rPr>
                <w:rFonts w:ascii="Arial" w:eastAsia="Arial MT" w:hAnsi="Arial" w:cs="Arial"/>
                <w:b/>
                <w:spacing w:val="-5"/>
              </w:rPr>
              <w:t>(p)</w:t>
            </w:r>
          </w:p>
        </w:tc>
        <w:tc>
          <w:tcPr>
            <w:tcW w:w="1853" w:type="dxa"/>
          </w:tcPr>
          <w:p w14:paraId="516A4D83" w14:textId="77777777" w:rsidR="003C3E6E" w:rsidRPr="003C3E6E" w:rsidRDefault="003C3E6E" w:rsidP="003C3E6E">
            <w:pPr>
              <w:widowControl w:val="0"/>
              <w:autoSpaceDE w:val="0"/>
              <w:autoSpaceDN w:val="0"/>
              <w:spacing w:before="134"/>
              <w:ind w:left="151"/>
              <w:rPr>
                <w:rFonts w:ascii="Arial" w:eastAsia="Arial MT" w:hAnsi="Arial" w:cs="Arial"/>
                <w:b/>
              </w:rPr>
            </w:pPr>
            <w:r w:rsidRPr="003C3E6E">
              <w:rPr>
                <w:rFonts w:ascii="Arial" w:eastAsia="Arial MT" w:hAnsi="Arial" w:cs="Arial"/>
                <w:b/>
                <w:spacing w:val="-2"/>
              </w:rPr>
              <w:t>Interpretation</w:t>
            </w:r>
          </w:p>
        </w:tc>
      </w:tr>
      <w:tr w:rsidR="003C3E6E" w:rsidRPr="003C3E6E" w14:paraId="7319849D" w14:textId="77777777" w:rsidTr="003C3E6E">
        <w:trPr>
          <w:trHeight w:val="277"/>
        </w:trPr>
        <w:tc>
          <w:tcPr>
            <w:tcW w:w="1807" w:type="dxa"/>
          </w:tcPr>
          <w:p w14:paraId="22B20F2D" w14:textId="77777777" w:rsidR="003C3E6E" w:rsidRPr="003C3E6E" w:rsidRDefault="003C3E6E" w:rsidP="003C3E6E">
            <w:pPr>
              <w:widowControl w:val="0"/>
              <w:autoSpaceDE w:val="0"/>
              <w:autoSpaceDN w:val="0"/>
              <w:spacing w:line="258" w:lineRule="exact"/>
              <w:ind w:left="10"/>
              <w:jc w:val="center"/>
              <w:rPr>
                <w:rFonts w:ascii="Arial" w:eastAsia="Arial MT" w:hAnsi="Arial" w:cs="Arial"/>
                <w:i/>
              </w:rPr>
            </w:pPr>
            <w:r w:rsidRPr="003C3E6E">
              <w:rPr>
                <w:rFonts w:ascii="Arial" w:eastAsia="Arial MT" w:hAnsi="Arial" w:cs="Arial"/>
                <w:i/>
                <w:spacing w:val="-2"/>
              </w:rPr>
              <w:t>Education</w:t>
            </w:r>
          </w:p>
        </w:tc>
        <w:tc>
          <w:tcPr>
            <w:tcW w:w="963" w:type="dxa"/>
          </w:tcPr>
          <w:p w14:paraId="23FD093E" w14:textId="77777777" w:rsidR="003C3E6E" w:rsidRPr="003C3E6E" w:rsidRDefault="003C3E6E" w:rsidP="003C3E6E">
            <w:pPr>
              <w:widowControl w:val="0"/>
              <w:autoSpaceDE w:val="0"/>
              <w:autoSpaceDN w:val="0"/>
              <w:spacing w:line="258" w:lineRule="exact"/>
              <w:ind w:left="14" w:right="1"/>
              <w:jc w:val="center"/>
              <w:rPr>
                <w:rFonts w:ascii="Arial" w:eastAsia="Arial MT" w:hAnsi="Arial" w:cs="Arial"/>
              </w:rPr>
            </w:pPr>
            <w:r w:rsidRPr="003C3E6E">
              <w:rPr>
                <w:rFonts w:ascii="Arial" w:eastAsia="Arial MT" w:hAnsi="Arial" w:cs="Arial"/>
                <w:spacing w:val="-2"/>
              </w:rPr>
              <w:t>75.09</w:t>
            </w:r>
          </w:p>
        </w:tc>
        <w:tc>
          <w:tcPr>
            <w:tcW w:w="1457" w:type="dxa"/>
          </w:tcPr>
          <w:p w14:paraId="3D584579" w14:textId="77777777" w:rsidR="003C3E6E" w:rsidRPr="003C3E6E" w:rsidRDefault="003C3E6E" w:rsidP="003C3E6E">
            <w:pPr>
              <w:widowControl w:val="0"/>
              <w:autoSpaceDE w:val="0"/>
              <w:autoSpaceDN w:val="0"/>
              <w:spacing w:line="258" w:lineRule="exact"/>
              <w:ind w:left="10"/>
              <w:jc w:val="center"/>
              <w:rPr>
                <w:rFonts w:ascii="Arial" w:eastAsia="Arial MT" w:hAnsi="Arial" w:cs="Arial"/>
              </w:rPr>
            </w:pPr>
            <w:r w:rsidRPr="003C3E6E">
              <w:rPr>
                <w:rFonts w:ascii="Arial" w:eastAsia="Arial MT" w:hAnsi="Arial" w:cs="Arial"/>
                <w:spacing w:val="-4"/>
              </w:rPr>
              <w:t>9.87</w:t>
            </w:r>
          </w:p>
        </w:tc>
        <w:tc>
          <w:tcPr>
            <w:tcW w:w="989" w:type="dxa"/>
            <w:vMerge w:val="restart"/>
          </w:tcPr>
          <w:p w14:paraId="7E6E0467" w14:textId="77777777" w:rsidR="003C3E6E" w:rsidRPr="003C3E6E" w:rsidRDefault="003C3E6E" w:rsidP="003C3E6E">
            <w:pPr>
              <w:widowControl w:val="0"/>
              <w:autoSpaceDE w:val="0"/>
              <w:autoSpaceDN w:val="0"/>
              <w:spacing w:before="139"/>
              <w:ind w:left="194"/>
              <w:rPr>
                <w:rFonts w:ascii="Arial" w:eastAsia="Arial MT" w:hAnsi="Arial" w:cs="Arial"/>
              </w:rPr>
            </w:pPr>
            <w:r w:rsidRPr="003C3E6E">
              <w:rPr>
                <w:rFonts w:ascii="Arial" w:eastAsia="Arial MT" w:hAnsi="Arial" w:cs="Arial"/>
                <w:spacing w:val="-2"/>
              </w:rPr>
              <w:t>5.647</w:t>
            </w:r>
          </w:p>
        </w:tc>
        <w:tc>
          <w:tcPr>
            <w:tcW w:w="1351" w:type="dxa"/>
            <w:vMerge w:val="restart"/>
          </w:tcPr>
          <w:p w14:paraId="5DABCE44" w14:textId="77777777" w:rsidR="003C3E6E" w:rsidRPr="003C3E6E" w:rsidRDefault="003C3E6E" w:rsidP="003C3E6E">
            <w:pPr>
              <w:widowControl w:val="0"/>
              <w:autoSpaceDE w:val="0"/>
              <w:autoSpaceDN w:val="0"/>
              <w:spacing w:before="139"/>
              <w:ind w:left="129"/>
              <w:rPr>
                <w:rFonts w:ascii="Arial" w:eastAsia="Arial MT" w:hAnsi="Arial" w:cs="Arial"/>
              </w:rPr>
            </w:pPr>
            <w:r w:rsidRPr="003C3E6E">
              <w:rPr>
                <w:rFonts w:ascii="Arial" w:eastAsia="Arial MT" w:hAnsi="Arial" w:cs="Arial"/>
              </w:rPr>
              <w:t>&lt;</w:t>
            </w:r>
            <w:r w:rsidRPr="003C3E6E">
              <w:rPr>
                <w:rFonts w:ascii="Arial" w:eastAsia="Arial MT" w:hAnsi="Arial" w:cs="Arial"/>
                <w:spacing w:val="-3"/>
              </w:rPr>
              <w:t xml:space="preserve"> </w:t>
            </w:r>
            <w:r w:rsidRPr="003C3E6E">
              <w:rPr>
                <w:rFonts w:ascii="Arial" w:eastAsia="Arial MT" w:hAnsi="Arial" w:cs="Arial"/>
                <w:spacing w:val="-2"/>
              </w:rPr>
              <w:t>0.001***</w:t>
            </w:r>
          </w:p>
        </w:tc>
        <w:tc>
          <w:tcPr>
            <w:tcW w:w="1853" w:type="dxa"/>
            <w:vMerge w:val="restart"/>
          </w:tcPr>
          <w:p w14:paraId="2314E172" w14:textId="77777777" w:rsidR="003C3E6E" w:rsidRPr="003C3E6E" w:rsidRDefault="003C3E6E" w:rsidP="003C3E6E">
            <w:pPr>
              <w:widowControl w:val="0"/>
              <w:autoSpaceDE w:val="0"/>
              <w:autoSpaceDN w:val="0"/>
              <w:spacing w:line="270" w:lineRule="atLeast"/>
              <w:ind w:left="372" w:right="361" w:firstLine="220"/>
              <w:rPr>
                <w:rFonts w:ascii="Arial" w:eastAsia="Arial MT" w:hAnsi="Arial" w:cs="Arial"/>
              </w:rPr>
            </w:pPr>
            <w:r w:rsidRPr="003C3E6E">
              <w:rPr>
                <w:rFonts w:ascii="Arial" w:eastAsia="Arial MT" w:hAnsi="Arial" w:cs="Arial"/>
                <w:spacing w:val="-2"/>
              </w:rPr>
              <w:t>Highly Significant</w:t>
            </w:r>
          </w:p>
        </w:tc>
      </w:tr>
      <w:tr w:rsidR="003C3E6E" w:rsidRPr="003C3E6E" w14:paraId="6DB54C52" w14:textId="77777777" w:rsidTr="003C3E6E">
        <w:trPr>
          <w:trHeight w:val="275"/>
        </w:trPr>
        <w:tc>
          <w:tcPr>
            <w:tcW w:w="1807" w:type="dxa"/>
          </w:tcPr>
          <w:p w14:paraId="35016FB3" w14:textId="77777777" w:rsidR="003C3E6E" w:rsidRPr="003C3E6E" w:rsidRDefault="003C3E6E" w:rsidP="003C3E6E">
            <w:pPr>
              <w:widowControl w:val="0"/>
              <w:autoSpaceDE w:val="0"/>
              <w:autoSpaceDN w:val="0"/>
              <w:spacing w:line="256" w:lineRule="exact"/>
              <w:ind w:left="10" w:right="3"/>
              <w:jc w:val="center"/>
              <w:rPr>
                <w:rFonts w:ascii="Arial" w:eastAsia="Arial MT" w:hAnsi="Arial" w:cs="Arial"/>
                <w:i/>
              </w:rPr>
            </w:pPr>
            <w:r w:rsidRPr="003C3E6E">
              <w:rPr>
                <w:rFonts w:ascii="Arial" w:eastAsia="Arial MT" w:hAnsi="Arial" w:cs="Arial"/>
                <w:i/>
                <w:spacing w:val="-2"/>
              </w:rPr>
              <w:t>Non-education</w:t>
            </w:r>
          </w:p>
        </w:tc>
        <w:tc>
          <w:tcPr>
            <w:tcW w:w="963" w:type="dxa"/>
          </w:tcPr>
          <w:p w14:paraId="1326F8D3" w14:textId="77777777" w:rsidR="003C3E6E" w:rsidRPr="003C3E6E" w:rsidRDefault="003C3E6E" w:rsidP="003C3E6E">
            <w:pPr>
              <w:widowControl w:val="0"/>
              <w:autoSpaceDE w:val="0"/>
              <w:autoSpaceDN w:val="0"/>
              <w:spacing w:line="256" w:lineRule="exact"/>
              <w:ind w:left="14"/>
              <w:jc w:val="center"/>
              <w:rPr>
                <w:rFonts w:ascii="Arial" w:eastAsia="Arial MT" w:hAnsi="Arial" w:cs="Arial"/>
              </w:rPr>
            </w:pPr>
            <w:r w:rsidRPr="003C3E6E">
              <w:rPr>
                <w:rFonts w:ascii="Arial" w:eastAsia="Arial MT" w:hAnsi="Arial" w:cs="Arial"/>
                <w:spacing w:val="-2"/>
              </w:rPr>
              <w:t>69.25</w:t>
            </w:r>
          </w:p>
        </w:tc>
        <w:tc>
          <w:tcPr>
            <w:tcW w:w="1457" w:type="dxa"/>
          </w:tcPr>
          <w:p w14:paraId="5924857A" w14:textId="77777777" w:rsidR="003C3E6E" w:rsidRPr="003C3E6E" w:rsidRDefault="003C3E6E" w:rsidP="003C3E6E">
            <w:pPr>
              <w:widowControl w:val="0"/>
              <w:autoSpaceDE w:val="0"/>
              <w:autoSpaceDN w:val="0"/>
              <w:spacing w:line="256" w:lineRule="exact"/>
              <w:ind w:left="10"/>
              <w:jc w:val="center"/>
              <w:rPr>
                <w:rFonts w:ascii="Arial" w:eastAsia="Arial MT" w:hAnsi="Arial" w:cs="Arial"/>
              </w:rPr>
            </w:pPr>
            <w:r w:rsidRPr="003C3E6E">
              <w:rPr>
                <w:rFonts w:ascii="Arial" w:eastAsia="Arial MT" w:hAnsi="Arial" w:cs="Arial"/>
                <w:spacing w:val="-4"/>
              </w:rPr>
              <w:t>9.09</w:t>
            </w:r>
          </w:p>
        </w:tc>
        <w:tc>
          <w:tcPr>
            <w:tcW w:w="989" w:type="dxa"/>
            <w:vMerge/>
            <w:tcBorders>
              <w:top w:val="nil"/>
            </w:tcBorders>
          </w:tcPr>
          <w:p w14:paraId="69217674" w14:textId="77777777" w:rsidR="003C3E6E" w:rsidRPr="003C3E6E" w:rsidRDefault="003C3E6E" w:rsidP="003C3E6E">
            <w:pPr>
              <w:widowControl w:val="0"/>
              <w:autoSpaceDE w:val="0"/>
              <w:autoSpaceDN w:val="0"/>
              <w:rPr>
                <w:rFonts w:ascii="Arial" w:eastAsia="Arial MT" w:hAnsi="Arial" w:cs="Arial"/>
              </w:rPr>
            </w:pPr>
          </w:p>
        </w:tc>
        <w:tc>
          <w:tcPr>
            <w:tcW w:w="1351" w:type="dxa"/>
            <w:vMerge/>
            <w:tcBorders>
              <w:top w:val="nil"/>
            </w:tcBorders>
          </w:tcPr>
          <w:p w14:paraId="43CA37E0" w14:textId="77777777" w:rsidR="003C3E6E" w:rsidRPr="003C3E6E" w:rsidRDefault="003C3E6E" w:rsidP="003C3E6E">
            <w:pPr>
              <w:widowControl w:val="0"/>
              <w:autoSpaceDE w:val="0"/>
              <w:autoSpaceDN w:val="0"/>
              <w:rPr>
                <w:rFonts w:ascii="Arial" w:eastAsia="Arial MT" w:hAnsi="Arial" w:cs="Arial"/>
              </w:rPr>
            </w:pPr>
          </w:p>
        </w:tc>
        <w:tc>
          <w:tcPr>
            <w:tcW w:w="1853" w:type="dxa"/>
            <w:vMerge/>
            <w:tcBorders>
              <w:top w:val="nil"/>
            </w:tcBorders>
          </w:tcPr>
          <w:p w14:paraId="3FCE7041" w14:textId="77777777" w:rsidR="003C3E6E" w:rsidRPr="003C3E6E" w:rsidRDefault="003C3E6E" w:rsidP="003C3E6E">
            <w:pPr>
              <w:widowControl w:val="0"/>
              <w:autoSpaceDE w:val="0"/>
              <w:autoSpaceDN w:val="0"/>
              <w:rPr>
                <w:rFonts w:ascii="Arial" w:eastAsia="Arial MT" w:hAnsi="Arial" w:cs="Arial"/>
              </w:rPr>
            </w:pPr>
          </w:p>
        </w:tc>
      </w:tr>
    </w:tbl>
    <w:p w14:paraId="5F3DD668" w14:textId="77777777" w:rsidR="003C3E6E" w:rsidRPr="003C3E6E" w:rsidRDefault="003C3E6E" w:rsidP="003C3E6E">
      <w:pPr>
        <w:widowControl w:val="0"/>
        <w:autoSpaceDE w:val="0"/>
        <w:autoSpaceDN w:val="0"/>
        <w:rPr>
          <w:rFonts w:ascii="Arial" w:eastAsia="Arial MT" w:hAnsi="Arial MT" w:cs="Arial MT"/>
          <w:i/>
          <w:sz w:val="16"/>
          <w:szCs w:val="16"/>
        </w:rPr>
      </w:pPr>
      <w:r w:rsidRPr="003C3E6E">
        <w:rPr>
          <w:rFonts w:ascii="Arial" w:eastAsia="Arial MT" w:hAnsi="Arial MT" w:cs="Arial MT"/>
          <w:i/>
          <w:sz w:val="16"/>
          <w:szCs w:val="16"/>
        </w:rPr>
        <w:t>***Highly</w:t>
      </w:r>
      <w:r w:rsidRPr="003C3E6E">
        <w:rPr>
          <w:rFonts w:ascii="Arial" w:eastAsia="Arial MT" w:hAnsi="Arial MT" w:cs="Arial MT"/>
          <w:i/>
          <w:spacing w:val="-8"/>
          <w:sz w:val="16"/>
          <w:szCs w:val="16"/>
        </w:rPr>
        <w:t xml:space="preserve"> </w:t>
      </w:r>
      <w:r w:rsidRPr="003C3E6E">
        <w:rPr>
          <w:rFonts w:ascii="Arial" w:eastAsia="Arial MT" w:hAnsi="Arial MT" w:cs="Arial MT"/>
          <w:i/>
          <w:sz w:val="16"/>
          <w:szCs w:val="16"/>
        </w:rPr>
        <w:t>Significant</w:t>
      </w:r>
      <w:r w:rsidRPr="003C3E6E">
        <w:rPr>
          <w:rFonts w:ascii="Arial" w:eastAsia="Arial MT" w:hAnsi="Arial MT" w:cs="Arial MT"/>
          <w:i/>
          <w:spacing w:val="-10"/>
          <w:sz w:val="16"/>
          <w:szCs w:val="16"/>
        </w:rPr>
        <w:t xml:space="preserve"> </w:t>
      </w:r>
      <w:r w:rsidRPr="003C3E6E">
        <w:rPr>
          <w:rFonts w:ascii="Arial" w:eastAsia="Arial MT" w:hAnsi="Arial MT" w:cs="Arial MT"/>
          <w:i/>
          <w:sz w:val="16"/>
          <w:szCs w:val="16"/>
        </w:rPr>
        <w:t>at</w:t>
      </w:r>
      <w:r w:rsidRPr="003C3E6E">
        <w:rPr>
          <w:rFonts w:ascii="Arial" w:eastAsia="Arial MT" w:hAnsi="Arial MT" w:cs="Arial MT"/>
          <w:i/>
          <w:spacing w:val="-9"/>
          <w:sz w:val="16"/>
          <w:szCs w:val="16"/>
        </w:rPr>
        <w:t xml:space="preserve"> </w:t>
      </w:r>
      <w:r w:rsidRPr="003C3E6E">
        <w:rPr>
          <w:rFonts w:ascii="Arial" w:eastAsia="Arial MT" w:hAnsi="Arial MT" w:cs="Arial MT"/>
          <w:i/>
          <w:sz w:val="16"/>
          <w:szCs w:val="16"/>
        </w:rPr>
        <w:t>p-value</w:t>
      </w:r>
      <w:r w:rsidRPr="003C3E6E">
        <w:rPr>
          <w:rFonts w:ascii="Arial" w:eastAsia="Arial MT" w:hAnsi="Arial MT" w:cs="Arial MT"/>
          <w:i/>
          <w:spacing w:val="-9"/>
          <w:sz w:val="16"/>
          <w:szCs w:val="16"/>
        </w:rPr>
        <w:t xml:space="preserve"> </w:t>
      </w:r>
      <w:r w:rsidRPr="003C3E6E">
        <w:rPr>
          <w:rFonts w:ascii="Arial" w:eastAsia="Arial MT" w:hAnsi="Arial MT" w:cs="Arial MT"/>
          <w:i/>
          <w:spacing w:val="-2"/>
          <w:sz w:val="16"/>
          <w:szCs w:val="16"/>
        </w:rPr>
        <w:t>&lt;0.001</w:t>
      </w:r>
    </w:p>
    <w:p w14:paraId="53D38DBC" w14:textId="77777777" w:rsidR="003C3E6E" w:rsidRDefault="003C3E6E" w:rsidP="003C3E6E">
      <w:pPr>
        <w:pStyle w:val="Body"/>
        <w:spacing w:after="0"/>
        <w:rPr>
          <w:rFonts w:ascii="Arial" w:hAnsi="Arial" w:cs="Arial"/>
        </w:rPr>
      </w:pPr>
    </w:p>
    <w:p w14:paraId="36F3BCC3" w14:textId="389371BD" w:rsidR="00836EBA" w:rsidRPr="00836EBA" w:rsidRDefault="00836EBA" w:rsidP="00836EBA">
      <w:pPr>
        <w:pStyle w:val="Body"/>
        <w:ind w:firstLine="720"/>
        <w:rPr>
          <w:rFonts w:ascii="Arial" w:hAnsi="Arial" w:cs="Arial"/>
        </w:rPr>
      </w:pPr>
      <w:r w:rsidRPr="00836EBA">
        <w:rPr>
          <w:rFonts w:ascii="Arial" w:hAnsi="Arial" w:cs="Arial"/>
        </w:rPr>
        <w:t>The results indicate that education graduates (M = 75.09, SD = 9.87) achieved significantly higher LEPT ratings compared to non-education graduates (M = 69.25, SD = 9.09). The difference is statistically significant (t = 5.647, p &lt; 0.001), suggesting that an individual's academic background has a strong impact on licensure performance.</w:t>
      </w:r>
      <w:r w:rsidR="00D06CA8">
        <w:rPr>
          <w:rFonts w:ascii="Arial" w:hAnsi="Arial" w:cs="Arial"/>
        </w:rPr>
        <w:t xml:space="preserve"> </w:t>
      </w:r>
      <w:r w:rsidR="00D06CA8" w:rsidRPr="00D06CA8">
        <w:rPr>
          <w:rFonts w:ascii="Arial" w:hAnsi="Arial" w:cs="Arial"/>
        </w:rPr>
        <w:t>Based on the data presented in Table 3, which shows a highly significant difference in LEPT ratings between education and non-education graduates (p &lt; 0.001), the null hypothesis can be rejected. The t-value of 5.647 and the significance level of p &lt; 0.001 indicate that education graduates consistently outperform non-education graduates on the licensure exam. Thus, null hypothesis 2 is rejected</w:t>
      </w:r>
      <w:r w:rsidR="00495010">
        <w:rPr>
          <w:rFonts w:ascii="Arial" w:hAnsi="Arial" w:cs="Arial"/>
        </w:rPr>
        <w:t>.</w:t>
      </w:r>
    </w:p>
    <w:p w14:paraId="260F3CD6" w14:textId="07DF6585" w:rsidR="00836EBA" w:rsidRPr="00836EBA" w:rsidRDefault="00836EBA" w:rsidP="00156171">
      <w:pPr>
        <w:pStyle w:val="Body"/>
        <w:ind w:firstLine="720"/>
        <w:rPr>
          <w:rFonts w:ascii="Arial" w:hAnsi="Arial" w:cs="Arial"/>
        </w:rPr>
      </w:pPr>
      <w:r w:rsidRPr="00836EBA">
        <w:rPr>
          <w:rFonts w:ascii="Arial" w:hAnsi="Arial" w:cs="Arial"/>
        </w:rPr>
        <w:t>This finding underscores the advantage of structured and specialized training provided in teacher education programs, which are designed to equip students with pedagogical knowledge, instructional strategies, and subject- specific competencies aligned with teaching standards. In contrast, non-education graduates, who typically enter the teaching profession through alternative pathways, may not have undergone the same rigorous preparation in educational theories, teaching methodologies, and classroom management, which are core components of the LEPT.</w:t>
      </w:r>
      <w:r w:rsidR="001A0444">
        <w:rPr>
          <w:rFonts w:ascii="Arial" w:hAnsi="Arial" w:cs="Arial"/>
        </w:rPr>
        <w:t xml:space="preserve"> </w:t>
      </w:r>
      <w:r w:rsidRPr="00836EBA">
        <w:rPr>
          <w:rFonts w:ascii="Arial" w:hAnsi="Arial" w:cs="Arial"/>
        </w:rPr>
        <w:t xml:space="preserve">The significant difference in LEPT ratings between education and non-education graduates is primarily attributable to differences in academic preparation and curriculum. Education graduates undergo comprehensive training that integrates both pedagogical principles and subject content, equipping them with essential competencies for effective teaching. In contrast, non-education graduates often enter the </w:t>
      </w:r>
      <w:r w:rsidRPr="00836EBA">
        <w:rPr>
          <w:rFonts w:ascii="Arial" w:hAnsi="Arial" w:cs="Arial"/>
        </w:rPr>
        <w:lastRenderedPageBreak/>
        <w:t>profession through alternative certification pathways, typically completing a minimum of 18 professional</w:t>
      </w:r>
      <w:r w:rsidR="00156171">
        <w:rPr>
          <w:rFonts w:ascii="Arial" w:hAnsi="Arial" w:cs="Arial"/>
        </w:rPr>
        <w:t xml:space="preserve"> </w:t>
      </w:r>
      <w:r w:rsidRPr="00836EBA">
        <w:rPr>
          <w:rFonts w:ascii="Arial" w:hAnsi="Arial" w:cs="Arial"/>
        </w:rPr>
        <w:t>education units</w:t>
      </w:r>
      <w:r w:rsidR="00FC4730">
        <w:rPr>
          <w:rFonts w:ascii="Arial" w:hAnsi="Arial" w:cs="Arial"/>
        </w:rPr>
        <w:t xml:space="preserve"> (PRC, 2022)</w:t>
      </w:r>
      <w:r w:rsidRPr="00836EBA">
        <w:rPr>
          <w:rFonts w:ascii="Arial" w:hAnsi="Arial" w:cs="Arial"/>
        </w:rPr>
        <w:t>. However, this shortened training period may not provide adequate exposure to pedagogical frameworks, educational theories, and instructional methodologies necessary for effective teaching.</w:t>
      </w:r>
    </w:p>
    <w:p w14:paraId="57DF79DB" w14:textId="52FAA249" w:rsidR="00836EBA" w:rsidRPr="00836EBA" w:rsidRDefault="00836EBA" w:rsidP="00156171">
      <w:pPr>
        <w:pStyle w:val="Body"/>
        <w:ind w:firstLine="720"/>
        <w:rPr>
          <w:rFonts w:ascii="Arial" w:hAnsi="Arial" w:cs="Arial"/>
        </w:rPr>
      </w:pPr>
      <w:r w:rsidRPr="00836EBA">
        <w:rPr>
          <w:rFonts w:ascii="Arial" w:hAnsi="Arial" w:cs="Arial"/>
        </w:rPr>
        <w:t>While non-education graduates may demonstrate strong content mastery in their disciplines, their academic background often lacks coursework in teaching methodologies, classroom management, and curriculum development. The LEPT assesses competencies in instructional strategies, learning assessment, and classroom management, all of which are fundamental components of effective teaching. Although alternative certification routes help address teacher shortages, they may not offer the same depth of pedagogical training as traditional teacher education programs. This discrepancy could contribute to the lower LEPT performance observed among non-education graduates.</w:t>
      </w:r>
      <w:r w:rsidR="0003341C">
        <w:rPr>
          <w:rFonts w:ascii="Arial" w:hAnsi="Arial" w:cs="Arial"/>
        </w:rPr>
        <w:t xml:space="preserve"> </w:t>
      </w:r>
      <w:r w:rsidR="00072834">
        <w:rPr>
          <w:rFonts w:ascii="Arial" w:hAnsi="Arial" w:cs="Arial"/>
        </w:rPr>
        <w:t xml:space="preserve">The research of </w:t>
      </w:r>
      <w:proofErr w:type="spellStart"/>
      <w:r w:rsidRPr="00836EBA">
        <w:rPr>
          <w:rFonts w:ascii="Arial" w:hAnsi="Arial" w:cs="Arial"/>
        </w:rPr>
        <w:t>Amanonce</w:t>
      </w:r>
      <w:proofErr w:type="spellEnd"/>
      <w:r w:rsidRPr="00836EBA">
        <w:rPr>
          <w:rFonts w:ascii="Arial" w:hAnsi="Arial" w:cs="Arial"/>
        </w:rPr>
        <w:t xml:space="preserve"> and </w:t>
      </w:r>
      <w:proofErr w:type="spellStart"/>
      <w:r w:rsidRPr="00836EBA">
        <w:rPr>
          <w:rFonts w:ascii="Arial" w:hAnsi="Arial" w:cs="Arial"/>
        </w:rPr>
        <w:t>Maramag</w:t>
      </w:r>
      <w:proofErr w:type="spellEnd"/>
      <w:r w:rsidRPr="00836EBA">
        <w:rPr>
          <w:rFonts w:ascii="Arial" w:hAnsi="Arial" w:cs="Arial"/>
        </w:rPr>
        <w:t xml:space="preserve"> (2020) </w:t>
      </w:r>
      <w:r w:rsidR="00072834">
        <w:rPr>
          <w:rFonts w:ascii="Arial" w:hAnsi="Arial" w:cs="Arial"/>
        </w:rPr>
        <w:t>determined</w:t>
      </w:r>
      <w:r w:rsidRPr="00836EBA">
        <w:rPr>
          <w:rFonts w:ascii="Arial" w:hAnsi="Arial" w:cs="Arial"/>
        </w:rPr>
        <w:t xml:space="preserve"> that graduates from structured teacher education programs tend to achieve higher LEPT scores, reinforcing the role of formal pedagogical training in teacher preparation. A study by </w:t>
      </w:r>
      <w:proofErr w:type="spellStart"/>
      <w:r w:rsidRPr="00836EBA">
        <w:rPr>
          <w:rFonts w:ascii="Arial" w:hAnsi="Arial" w:cs="Arial"/>
        </w:rPr>
        <w:t>Balinario</w:t>
      </w:r>
      <w:proofErr w:type="spellEnd"/>
      <w:r w:rsidRPr="00836EBA">
        <w:rPr>
          <w:rFonts w:ascii="Arial" w:hAnsi="Arial" w:cs="Arial"/>
        </w:rPr>
        <w:t xml:space="preserve"> et al. (2023) found that </w:t>
      </w:r>
      <w:proofErr w:type="spellStart"/>
      <w:r w:rsidRPr="00836EBA">
        <w:rPr>
          <w:rFonts w:ascii="Arial" w:hAnsi="Arial" w:cs="Arial"/>
        </w:rPr>
        <w:t>BSEd</w:t>
      </w:r>
      <w:proofErr w:type="spellEnd"/>
      <w:r w:rsidRPr="00836EBA">
        <w:rPr>
          <w:rFonts w:ascii="Arial" w:hAnsi="Arial" w:cs="Arial"/>
        </w:rPr>
        <w:t xml:space="preserve"> graduates performed better across all three subjects of the LEPT compared to non-</w:t>
      </w:r>
      <w:proofErr w:type="spellStart"/>
      <w:r w:rsidRPr="00836EBA">
        <w:rPr>
          <w:rFonts w:ascii="Arial" w:hAnsi="Arial" w:cs="Arial"/>
        </w:rPr>
        <w:t>BSEd</w:t>
      </w:r>
      <w:proofErr w:type="spellEnd"/>
      <w:r w:rsidRPr="00836EBA">
        <w:rPr>
          <w:rFonts w:ascii="Arial" w:hAnsi="Arial" w:cs="Arial"/>
        </w:rPr>
        <w:t xml:space="preserve"> graduates. The researchers noted that high scholastic ratings and satisfactory admission scores were associated with improved LEPT performance, underscoring the importance of rigorous academic preparation.</w:t>
      </w:r>
      <w:r w:rsidR="00156171">
        <w:rPr>
          <w:rFonts w:ascii="Arial" w:hAnsi="Arial" w:cs="Arial"/>
        </w:rPr>
        <w:t xml:space="preserve"> </w:t>
      </w:r>
      <w:proofErr w:type="spellStart"/>
      <w:r w:rsidRPr="00836EBA">
        <w:rPr>
          <w:rFonts w:ascii="Arial" w:hAnsi="Arial" w:cs="Arial"/>
        </w:rPr>
        <w:t>Ofqueria</w:t>
      </w:r>
      <w:proofErr w:type="spellEnd"/>
      <w:r w:rsidRPr="00836EBA">
        <w:rPr>
          <w:rFonts w:ascii="Arial" w:hAnsi="Arial" w:cs="Arial"/>
        </w:rPr>
        <w:t xml:space="preserve"> </w:t>
      </w:r>
      <w:r w:rsidR="008E37E8">
        <w:rPr>
          <w:rFonts w:ascii="Arial" w:hAnsi="Arial" w:cs="Arial"/>
        </w:rPr>
        <w:t xml:space="preserve">in </w:t>
      </w:r>
      <w:proofErr w:type="spellStart"/>
      <w:r w:rsidR="008E37E8">
        <w:rPr>
          <w:rFonts w:ascii="Arial" w:hAnsi="Arial" w:cs="Arial"/>
        </w:rPr>
        <w:t>Balinario</w:t>
      </w:r>
      <w:proofErr w:type="spellEnd"/>
      <w:r w:rsidR="008E37E8">
        <w:rPr>
          <w:rFonts w:ascii="Arial" w:hAnsi="Arial" w:cs="Arial"/>
        </w:rPr>
        <w:t xml:space="preserve"> and </w:t>
      </w:r>
      <w:proofErr w:type="spellStart"/>
      <w:r w:rsidR="008E37E8">
        <w:rPr>
          <w:rFonts w:ascii="Arial" w:hAnsi="Arial" w:cs="Arial"/>
        </w:rPr>
        <w:t>Ofqueria</w:t>
      </w:r>
      <w:proofErr w:type="spellEnd"/>
      <w:r w:rsidR="008E37E8">
        <w:rPr>
          <w:rFonts w:ascii="Arial" w:hAnsi="Arial" w:cs="Arial"/>
        </w:rPr>
        <w:t xml:space="preserve"> </w:t>
      </w:r>
      <w:r w:rsidRPr="00836EBA">
        <w:rPr>
          <w:rFonts w:ascii="Arial" w:hAnsi="Arial" w:cs="Arial"/>
        </w:rPr>
        <w:t>(202</w:t>
      </w:r>
      <w:r w:rsidR="008E37E8">
        <w:rPr>
          <w:rFonts w:ascii="Arial" w:hAnsi="Arial" w:cs="Arial"/>
        </w:rPr>
        <w:t>4</w:t>
      </w:r>
      <w:r w:rsidRPr="00836EBA">
        <w:rPr>
          <w:rFonts w:ascii="Arial" w:hAnsi="Arial" w:cs="Arial"/>
        </w:rPr>
        <w:t>) further emphasized this trend, noting that while non- education graduates may excel in their major subject areas, their overall LEPT</w:t>
      </w:r>
      <w:r w:rsidR="00156171">
        <w:rPr>
          <w:rFonts w:ascii="Arial" w:hAnsi="Arial" w:cs="Arial"/>
        </w:rPr>
        <w:t xml:space="preserve"> </w:t>
      </w:r>
      <w:r w:rsidRPr="00836EBA">
        <w:rPr>
          <w:rFonts w:ascii="Arial" w:hAnsi="Arial" w:cs="Arial"/>
        </w:rPr>
        <w:t>average rating tends to be lower due to weaker scores in general education and professional education subjects. This suggests that education graduates benefit from structured training and greater exposure to both theoretical and practical aspects of teaching, which contribute to better LEPT performance.</w:t>
      </w:r>
    </w:p>
    <w:p w14:paraId="0EF6409E" w14:textId="17E25518" w:rsidR="00156171" w:rsidRPr="007C71DC" w:rsidRDefault="0082016E" w:rsidP="0082016E">
      <w:pPr>
        <w:pStyle w:val="Body"/>
        <w:rPr>
          <w:rFonts w:ascii="Arial" w:hAnsi="Arial" w:cs="Arial"/>
          <w:b/>
          <w:bCs/>
        </w:rPr>
      </w:pPr>
      <w:r w:rsidRPr="007C71DC">
        <w:rPr>
          <w:rFonts w:ascii="Arial" w:hAnsi="Arial" w:cs="Arial"/>
          <w:b/>
          <w:bCs/>
        </w:rPr>
        <w:t>H</w:t>
      </w:r>
      <w:r w:rsidRPr="007C71DC">
        <w:rPr>
          <w:rFonts w:ascii="Arial" w:hAnsi="Arial" w:cs="Arial"/>
          <w:b/>
          <w:bCs/>
          <w:vertAlign w:val="subscript"/>
        </w:rPr>
        <w:t>03</w:t>
      </w:r>
      <w:r w:rsidRPr="007C71DC">
        <w:rPr>
          <w:rFonts w:ascii="Arial" w:hAnsi="Arial" w:cs="Arial"/>
          <w:b/>
          <w:bCs/>
        </w:rPr>
        <w:t>: There is no significant difference in the LEPT ratings of graduates across areas of specialization.</w:t>
      </w:r>
    </w:p>
    <w:p w14:paraId="6473A26B" w14:textId="5254297C" w:rsidR="008D36AF" w:rsidRDefault="007C71DC" w:rsidP="007E7DF7">
      <w:pPr>
        <w:pStyle w:val="Body"/>
        <w:ind w:firstLine="720"/>
        <w:rPr>
          <w:rFonts w:ascii="Arial" w:hAnsi="Arial" w:cs="Arial"/>
        </w:rPr>
      </w:pPr>
      <w:r w:rsidRPr="007C71DC">
        <w:rPr>
          <w:rFonts w:ascii="Arial" w:hAnsi="Arial" w:cs="Arial"/>
        </w:rPr>
        <w:t xml:space="preserve">Table </w:t>
      </w:r>
      <w:r w:rsidR="00410D72">
        <w:rPr>
          <w:rFonts w:ascii="Arial" w:hAnsi="Arial" w:cs="Arial"/>
        </w:rPr>
        <w:t>4</w:t>
      </w:r>
      <w:r w:rsidRPr="007C71DC">
        <w:rPr>
          <w:rFonts w:ascii="Arial" w:hAnsi="Arial" w:cs="Arial"/>
        </w:rPr>
        <w:t xml:space="preserve"> displays the difference in LEPT ratings when grouped according to the area of specialization of the examinees. </w:t>
      </w:r>
    </w:p>
    <w:p w14:paraId="70B1BFC4" w14:textId="04EF1E8C" w:rsidR="00733EE1" w:rsidRPr="00733EE1" w:rsidRDefault="00733EE1" w:rsidP="007E7DF7">
      <w:pPr>
        <w:pStyle w:val="Body"/>
        <w:ind w:firstLine="720"/>
        <w:rPr>
          <w:rFonts w:ascii="Arial" w:hAnsi="Arial" w:cs="Arial"/>
        </w:rPr>
      </w:pPr>
      <w:r w:rsidRPr="00733EE1">
        <w:rPr>
          <w:rFonts w:ascii="Arial" w:hAnsi="Arial" w:cs="Arial"/>
        </w:rPr>
        <w:t>The significant f-value of 4.47 (p &lt; 0.001) confirms that specialization plays a crucial role in LEPT performance. Examinees specializing in Science (M=77.26, SD=10.80), Values Education (M=77.00, SD 8.85), and Mathematics (M=76.53, SD=10.71) achieved higher scores, which may be attributed to structured coursework that emphasizes critical thinking, problem-solving, and analytical skills, as well as access to specialized review programs and instructional resources. On the other hand, Social Studies graduates had the lowest scores (M=69.15, SD=8.74), which may be linked to the broad and diverse curriculum requiring extensive content mastery. Additionally, this specialization has a higher proportion of non-education graduates, who may lack formal training in pedagogy and instructional methods, potentially affecting their preparedness for the licensure examination. Similarly, TLTVE (M=72.96, SD=9.96) and English (M=73.29, SD=9.41) majors demonstrated moderate performance, suggesting a need for additional reinforcement in subject-matter mastery and pedagogical approaches.</w:t>
      </w:r>
    </w:p>
    <w:p w14:paraId="7634BD46" w14:textId="77777777" w:rsidR="00733EE1" w:rsidRDefault="00733EE1" w:rsidP="00441B6F">
      <w:pPr>
        <w:pStyle w:val="Body"/>
        <w:spacing w:after="0"/>
        <w:rPr>
          <w:rFonts w:ascii="Arial" w:hAnsi="Arial" w:cs="Arial"/>
          <w:b/>
          <w:bCs/>
        </w:rPr>
      </w:pPr>
    </w:p>
    <w:p w14:paraId="0394D6C6" w14:textId="77777777" w:rsidR="00B426A3" w:rsidRDefault="00B426A3" w:rsidP="00441B6F">
      <w:pPr>
        <w:pStyle w:val="Body"/>
        <w:spacing w:after="0"/>
        <w:rPr>
          <w:rFonts w:ascii="Arial" w:hAnsi="Arial" w:cs="Arial"/>
          <w:b/>
          <w:bCs/>
        </w:rPr>
      </w:pPr>
    </w:p>
    <w:p w14:paraId="781C52DD" w14:textId="77777777" w:rsidR="00B426A3" w:rsidRDefault="00B426A3" w:rsidP="00441B6F">
      <w:pPr>
        <w:pStyle w:val="Body"/>
        <w:spacing w:after="0"/>
        <w:rPr>
          <w:rFonts w:ascii="Arial" w:hAnsi="Arial" w:cs="Arial"/>
          <w:b/>
          <w:bCs/>
        </w:rPr>
      </w:pPr>
    </w:p>
    <w:p w14:paraId="709886A6" w14:textId="77777777" w:rsidR="00B426A3" w:rsidRDefault="00B426A3" w:rsidP="00441B6F">
      <w:pPr>
        <w:pStyle w:val="Body"/>
        <w:spacing w:after="0"/>
        <w:rPr>
          <w:rFonts w:ascii="Arial" w:hAnsi="Arial" w:cs="Arial"/>
          <w:b/>
          <w:bCs/>
        </w:rPr>
      </w:pPr>
    </w:p>
    <w:p w14:paraId="4F8F0124" w14:textId="77777777" w:rsidR="00B426A3" w:rsidRDefault="00B426A3" w:rsidP="00441B6F">
      <w:pPr>
        <w:pStyle w:val="Body"/>
        <w:spacing w:after="0"/>
        <w:rPr>
          <w:rFonts w:ascii="Arial" w:hAnsi="Arial" w:cs="Arial"/>
          <w:b/>
          <w:bCs/>
        </w:rPr>
      </w:pPr>
    </w:p>
    <w:p w14:paraId="362DAEA9" w14:textId="77777777" w:rsidR="007E7DF7" w:rsidRDefault="007E7DF7" w:rsidP="00441B6F">
      <w:pPr>
        <w:pStyle w:val="Body"/>
        <w:spacing w:after="0"/>
        <w:rPr>
          <w:rFonts w:ascii="Arial" w:hAnsi="Arial" w:cs="Arial"/>
          <w:b/>
          <w:bCs/>
        </w:rPr>
      </w:pPr>
    </w:p>
    <w:p w14:paraId="44550F36" w14:textId="77777777" w:rsidR="007E7DF7" w:rsidRDefault="007E7DF7" w:rsidP="00441B6F">
      <w:pPr>
        <w:pStyle w:val="Body"/>
        <w:spacing w:after="0"/>
        <w:rPr>
          <w:rFonts w:ascii="Arial" w:hAnsi="Arial" w:cs="Arial"/>
          <w:b/>
          <w:bCs/>
        </w:rPr>
      </w:pPr>
    </w:p>
    <w:p w14:paraId="07CC6871" w14:textId="3FDB6C17" w:rsidR="003C3E6E" w:rsidRPr="00846764" w:rsidRDefault="00ED61FA" w:rsidP="00441B6F">
      <w:pPr>
        <w:pStyle w:val="Body"/>
        <w:spacing w:after="0"/>
        <w:rPr>
          <w:rFonts w:ascii="Arial" w:hAnsi="Arial" w:cs="Arial"/>
          <w:b/>
          <w:bCs/>
        </w:rPr>
      </w:pPr>
      <w:r w:rsidRPr="00846764">
        <w:rPr>
          <w:rFonts w:ascii="Arial" w:hAnsi="Arial" w:cs="Arial"/>
          <w:b/>
          <w:bCs/>
        </w:rPr>
        <w:lastRenderedPageBreak/>
        <w:t>Table 4. Difference in LEPT Rating When Grouped According to Area of Specialization</w:t>
      </w:r>
    </w:p>
    <w:p w14:paraId="47461B5C" w14:textId="77777777" w:rsidR="00ED61FA" w:rsidRDefault="00ED61FA" w:rsidP="00441B6F">
      <w:pPr>
        <w:pStyle w:val="Body"/>
        <w:spacing w:after="0"/>
        <w:rPr>
          <w:rFonts w:ascii="Arial" w:hAnsi="Arial" w:cs="Arial"/>
        </w:rPr>
      </w:pPr>
    </w:p>
    <w:tbl>
      <w:tblPr>
        <w:tblW w:w="8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4"/>
        <w:gridCol w:w="1232"/>
        <w:gridCol w:w="1607"/>
        <w:gridCol w:w="1048"/>
        <w:gridCol w:w="1257"/>
        <w:gridCol w:w="1517"/>
      </w:tblGrid>
      <w:tr w:rsidR="00341D36" w:rsidRPr="00341D36" w14:paraId="5C2C995B" w14:textId="77777777" w:rsidTr="00341D36">
        <w:trPr>
          <w:trHeight w:val="701"/>
        </w:trPr>
        <w:tc>
          <w:tcPr>
            <w:tcW w:w="1804" w:type="dxa"/>
          </w:tcPr>
          <w:p w14:paraId="13922EDA" w14:textId="77777777" w:rsidR="00341D36" w:rsidRPr="00341D36" w:rsidRDefault="00341D36" w:rsidP="00341D36">
            <w:pPr>
              <w:widowControl w:val="0"/>
              <w:autoSpaceDE w:val="0"/>
              <w:autoSpaceDN w:val="0"/>
              <w:spacing w:before="106"/>
              <w:ind w:left="155" w:firstLine="372"/>
              <w:rPr>
                <w:rFonts w:ascii="Arial" w:eastAsia="Arial MT" w:hAnsi="Arial" w:cs="Arial"/>
                <w:b/>
              </w:rPr>
            </w:pPr>
            <w:r w:rsidRPr="00341D36">
              <w:rPr>
                <w:rFonts w:ascii="Arial" w:eastAsia="Arial MT" w:hAnsi="Arial" w:cs="Arial"/>
                <w:b/>
              </w:rPr>
              <w:t xml:space="preserve">Area of </w:t>
            </w:r>
            <w:r w:rsidRPr="00341D36">
              <w:rPr>
                <w:rFonts w:ascii="Arial" w:eastAsia="Arial MT" w:hAnsi="Arial" w:cs="Arial"/>
                <w:b/>
                <w:spacing w:val="-4"/>
              </w:rPr>
              <w:t>Specialization</w:t>
            </w:r>
          </w:p>
        </w:tc>
        <w:tc>
          <w:tcPr>
            <w:tcW w:w="1232" w:type="dxa"/>
          </w:tcPr>
          <w:p w14:paraId="6A1C1E2F" w14:textId="77777777" w:rsidR="00341D36" w:rsidRPr="00341D36" w:rsidRDefault="00341D36" w:rsidP="00341D36">
            <w:pPr>
              <w:widowControl w:val="0"/>
              <w:autoSpaceDE w:val="0"/>
              <w:autoSpaceDN w:val="0"/>
              <w:spacing w:before="132"/>
              <w:ind w:left="61" w:right="4"/>
              <w:jc w:val="center"/>
              <w:rPr>
                <w:rFonts w:ascii="Arial" w:eastAsia="Arial MT" w:hAnsi="Arial" w:cs="Arial"/>
                <w:b/>
              </w:rPr>
            </w:pPr>
            <w:r w:rsidRPr="00341D36">
              <w:rPr>
                <w:rFonts w:ascii="Arial" w:eastAsia="Arial MT" w:hAnsi="Arial" w:cs="Arial"/>
                <w:b/>
                <w:spacing w:val="-4"/>
              </w:rPr>
              <w:t>Mean</w:t>
            </w:r>
          </w:p>
        </w:tc>
        <w:tc>
          <w:tcPr>
            <w:tcW w:w="1607" w:type="dxa"/>
          </w:tcPr>
          <w:p w14:paraId="53BEEBBB" w14:textId="77777777" w:rsidR="00341D36" w:rsidRPr="00341D36" w:rsidRDefault="00341D36" w:rsidP="00341D36">
            <w:pPr>
              <w:widowControl w:val="0"/>
              <w:autoSpaceDE w:val="0"/>
              <w:autoSpaceDN w:val="0"/>
              <w:spacing w:before="106"/>
              <w:ind w:left="270" w:firstLine="19"/>
              <w:rPr>
                <w:rFonts w:ascii="Arial" w:eastAsia="Arial MT" w:hAnsi="Arial" w:cs="Arial"/>
                <w:b/>
              </w:rPr>
            </w:pPr>
            <w:r w:rsidRPr="00341D36">
              <w:rPr>
                <w:rFonts w:ascii="Arial" w:eastAsia="Arial MT" w:hAnsi="Arial" w:cs="Arial"/>
                <w:b/>
                <w:spacing w:val="-2"/>
              </w:rPr>
              <w:t xml:space="preserve">Standard </w:t>
            </w:r>
            <w:r w:rsidRPr="00341D36">
              <w:rPr>
                <w:rFonts w:ascii="Arial" w:eastAsia="Arial MT" w:hAnsi="Arial" w:cs="Arial"/>
                <w:b/>
                <w:spacing w:val="-4"/>
              </w:rPr>
              <w:t>Deviation</w:t>
            </w:r>
          </w:p>
        </w:tc>
        <w:tc>
          <w:tcPr>
            <w:tcW w:w="1048" w:type="dxa"/>
          </w:tcPr>
          <w:p w14:paraId="5E664C09" w14:textId="77777777" w:rsidR="00341D36" w:rsidRPr="00341D36" w:rsidRDefault="00341D36" w:rsidP="00341D36">
            <w:pPr>
              <w:widowControl w:val="0"/>
              <w:autoSpaceDE w:val="0"/>
              <w:autoSpaceDN w:val="0"/>
              <w:spacing w:before="132"/>
              <w:ind w:left="169"/>
              <w:rPr>
                <w:rFonts w:ascii="Arial" w:eastAsia="Arial MT" w:hAnsi="Arial" w:cs="Arial"/>
                <w:b/>
              </w:rPr>
            </w:pPr>
            <w:r w:rsidRPr="00341D36">
              <w:rPr>
                <w:rFonts w:ascii="Arial" w:eastAsia="Arial MT" w:hAnsi="Arial" w:cs="Arial"/>
                <w:b/>
              </w:rPr>
              <w:t>f-</w:t>
            </w:r>
            <w:r w:rsidRPr="00341D36">
              <w:rPr>
                <w:rFonts w:ascii="Arial" w:eastAsia="Arial MT" w:hAnsi="Arial" w:cs="Arial"/>
                <w:b/>
                <w:spacing w:val="-2"/>
              </w:rPr>
              <w:t>value</w:t>
            </w:r>
          </w:p>
        </w:tc>
        <w:tc>
          <w:tcPr>
            <w:tcW w:w="1257" w:type="dxa"/>
          </w:tcPr>
          <w:p w14:paraId="157FCCB7" w14:textId="77777777" w:rsidR="00341D36" w:rsidRPr="00341D36" w:rsidRDefault="00341D36" w:rsidP="00341D36">
            <w:pPr>
              <w:widowControl w:val="0"/>
              <w:autoSpaceDE w:val="0"/>
              <w:autoSpaceDN w:val="0"/>
              <w:spacing w:before="132"/>
              <w:ind w:left="168"/>
              <w:rPr>
                <w:rFonts w:ascii="Arial" w:eastAsia="Arial MT" w:hAnsi="Arial" w:cs="Arial"/>
                <w:b/>
              </w:rPr>
            </w:pPr>
            <w:r w:rsidRPr="00341D36">
              <w:rPr>
                <w:rFonts w:ascii="Arial" w:eastAsia="Arial MT" w:hAnsi="Arial" w:cs="Arial"/>
                <w:b/>
              </w:rPr>
              <w:t>Sig.</w:t>
            </w:r>
            <w:r w:rsidRPr="00341D36">
              <w:rPr>
                <w:rFonts w:ascii="Arial" w:eastAsia="Arial MT" w:hAnsi="Arial" w:cs="Arial"/>
                <w:b/>
                <w:spacing w:val="1"/>
              </w:rPr>
              <w:t xml:space="preserve"> </w:t>
            </w:r>
            <w:r w:rsidRPr="00341D36">
              <w:rPr>
                <w:rFonts w:ascii="Arial" w:eastAsia="Arial MT" w:hAnsi="Arial" w:cs="Arial"/>
                <w:b/>
                <w:spacing w:val="-5"/>
              </w:rPr>
              <w:t>(p)</w:t>
            </w:r>
          </w:p>
        </w:tc>
        <w:tc>
          <w:tcPr>
            <w:tcW w:w="1517" w:type="dxa"/>
          </w:tcPr>
          <w:p w14:paraId="62DD3AFB" w14:textId="724E0FCB" w:rsidR="00341D36" w:rsidRPr="00341D36" w:rsidRDefault="00341D36" w:rsidP="00341D36">
            <w:pPr>
              <w:widowControl w:val="0"/>
              <w:autoSpaceDE w:val="0"/>
              <w:autoSpaceDN w:val="0"/>
              <w:spacing w:before="118" w:line="274" w:lineRule="exact"/>
              <w:ind w:left="108" w:right="36"/>
              <w:rPr>
                <w:rFonts w:ascii="Arial" w:eastAsia="Arial MT" w:hAnsi="Arial" w:cs="Arial"/>
                <w:b/>
              </w:rPr>
            </w:pPr>
            <w:r w:rsidRPr="00341D36">
              <w:rPr>
                <w:rFonts w:ascii="Arial" w:eastAsia="Arial MT" w:hAnsi="Arial" w:cs="Arial"/>
                <w:b/>
                <w:spacing w:val="-4"/>
              </w:rPr>
              <w:t>Interpretatio</w:t>
            </w:r>
            <w:r w:rsidRPr="00341D36">
              <w:rPr>
                <w:rFonts w:ascii="Arial" w:eastAsia="Arial MT" w:hAnsi="Arial" w:cs="Arial"/>
                <w:b/>
                <w:spacing w:val="-10"/>
              </w:rPr>
              <w:t>n</w:t>
            </w:r>
          </w:p>
        </w:tc>
      </w:tr>
      <w:tr w:rsidR="00341D36" w:rsidRPr="00341D36" w14:paraId="15DF6561" w14:textId="77777777" w:rsidTr="00341D36">
        <w:trPr>
          <w:trHeight w:val="374"/>
        </w:trPr>
        <w:tc>
          <w:tcPr>
            <w:tcW w:w="1804" w:type="dxa"/>
          </w:tcPr>
          <w:p w14:paraId="360420A9"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English</w:t>
            </w:r>
          </w:p>
        </w:tc>
        <w:tc>
          <w:tcPr>
            <w:tcW w:w="1232" w:type="dxa"/>
          </w:tcPr>
          <w:p w14:paraId="5765BCC0"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73.29</w:t>
            </w:r>
          </w:p>
        </w:tc>
        <w:tc>
          <w:tcPr>
            <w:tcW w:w="1607" w:type="dxa"/>
          </w:tcPr>
          <w:p w14:paraId="7506E4EB"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4"/>
              </w:rPr>
              <w:t>9.41</w:t>
            </w:r>
          </w:p>
        </w:tc>
        <w:tc>
          <w:tcPr>
            <w:tcW w:w="1048" w:type="dxa"/>
            <w:vMerge w:val="restart"/>
          </w:tcPr>
          <w:p w14:paraId="2488FD0A" w14:textId="77777777" w:rsidR="00341D36" w:rsidRPr="00341D36" w:rsidRDefault="00341D36" w:rsidP="00341D36">
            <w:pPr>
              <w:widowControl w:val="0"/>
              <w:autoSpaceDE w:val="0"/>
              <w:autoSpaceDN w:val="0"/>
              <w:rPr>
                <w:rFonts w:ascii="Arial" w:eastAsia="Arial MT" w:hAnsi="Arial" w:cs="Arial"/>
                <w:i/>
              </w:rPr>
            </w:pPr>
          </w:p>
          <w:p w14:paraId="3660313D" w14:textId="77777777" w:rsidR="00341D36" w:rsidRPr="00341D36" w:rsidRDefault="00341D36" w:rsidP="00341D36">
            <w:pPr>
              <w:widowControl w:val="0"/>
              <w:autoSpaceDE w:val="0"/>
              <w:autoSpaceDN w:val="0"/>
              <w:rPr>
                <w:rFonts w:ascii="Arial" w:eastAsia="Arial MT" w:hAnsi="Arial" w:cs="Arial"/>
                <w:i/>
              </w:rPr>
            </w:pPr>
          </w:p>
          <w:p w14:paraId="234DCB60" w14:textId="77777777" w:rsidR="00341D36" w:rsidRPr="00341D36" w:rsidRDefault="00341D36" w:rsidP="00341D36">
            <w:pPr>
              <w:widowControl w:val="0"/>
              <w:autoSpaceDE w:val="0"/>
              <w:autoSpaceDN w:val="0"/>
              <w:rPr>
                <w:rFonts w:ascii="Arial" w:eastAsia="Arial MT" w:hAnsi="Arial" w:cs="Arial"/>
                <w:i/>
              </w:rPr>
            </w:pPr>
          </w:p>
          <w:p w14:paraId="7A7FF006" w14:textId="77777777" w:rsidR="00341D36" w:rsidRPr="00341D36" w:rsidRDefault="00341D36" w:rsidP="00341D36">
            <w:pPr>
              <w:widowControl w:val="0"/>
              <w:autoSpaceDE w:val="0"/>
              <w:autoSpaceDN w:val="0"/>
              <w:spacing w:before="110"/>
              <w:rPr>
                <w:rFonts w:ascii="Arial" w:eastAsia="Arial MT" w:hAnsi="Arial" w:cs="Arial"/>
                <w:i/>
              </w:rPr>
            </w:pPr>
          </w:p>
          <w:p w14:paraId="19280154" w14:textId="7115F23C" w:rsidR="00341D36" w:rsidRPr="00341D36" w:rsidRDefault="00341D36" w:rsidP="00341D36">
            <w:pPr>
              <w:widowControl w:val="0"/>
              <w:autoSpaceDE w:val="0"/>
              <w:autoSpaceDN w:val="0"/>
              <w:ind w:left="169"/>
              <w:rPr>
                <w:rFonts w:ascii="Arial" w:eastAsia="Arial MT" w:hAnsi="Arial" w:cs="Arial"/>
              </w:rPr>
            </w:pPr>
            <w:r w:rsidRPr="00341D36">
              <w:rPr>
                <w:rFonts w:ascii="Arial" w:eastAsia="Arial MT" w:hAnsi="Arial" w:cs="Arial"/>
                <w:spacing w:val="-2"/>
              </w:rPr>
              <w:t>4.47</w:t>
            </w:r>
          </w:p>
        </w:tc>
        <w:tc>
          <w:tcPr>
            <w:tcW w:w="1257" w:type="dxa"/>
            <w:vMerge w:val="restart"/>
          </w:tcPr>
          <w:p w14:paraId="2EC7C3C4" w14:textId="77777777" w:rsidR="00341D36" w:rsidRPr="00341D36" w:rsidRDefault="00341D36" w:rsidP="00341D36">
            <w:pPr>
              <w:widowControl w:val="0"/>
              <w:autoSpaceDE w:val="0"/>
              <w:autoSpaceDN w:val="0"/>
              <w:rPr>
                <w:rFonts w:ascii="Arial" w:eastAsia="Arial MT" w:hAnsi="Arial" w:cs="Arial"/>
                <w:i/>
              </w:rPr>
            </w:pPr>
          </w:p>
          <w:p w14:paraId="40ADFE49" w14:textId="77777777" w:rsidR="00341D36" w:rsidRPr="00341D36" w:rsidRDefault="00341D36" w:rsidP="00341D36">
            <w:pPr>
              <w:widowControl w:val="0"/>
              <w:autoSpaceDE w:val="0"/>
              <w:autoSpaceDN w:val="0"/>
              <w:rPr>
                <w:rFonts w:ascii="Arial" w:eastAsia="Arial MT" w:hAnsi="Arial" w:cs="Arial"/>
                <w:i/>
              </w:rPr>
            </w:pPr>
          </w:p>
          <w:p w14:paraId="6E010651" w14:textId="77777777" w:rsidR="00341D36" w:rsidRPr="00341D36" w:rsidRDefault="00341D36" w:rsidP="00341D36">
            <w:pPr>
              <w:widowControl w:val="0"/>
              <w:autoSpaceDE w:val="0"/>
              <w:autoSpaceDN w:val="0"/>
              <w:rPr>
                <w:rFonts w:ascii="Arial" w:eastAsia="Arial MT" w:hAnsi="Arial" w:cs="Arial"/>
                <w:i/>
              </w:rPr>
            </w:pPr>
          </w:p>
          <w:p w14:paraId="385C3C6D" w14:textId="77777777" w:rsidR="00341D36" w:rsidRPr="00341D36" w:rsidRDefault="00341D36" w:rsidP="00341D36">
            <w:pPr>
              <w:widowControl w:val="0"/>
              <w:autoSpaceDE w:val="0"/>
              <w:autoSpaceDN w:val="0"/>
              <w:spacing w:before="110"/>
              <w:rPr>
                <w:rFonts w:ascii="Arial" w:eastAsia="Arial MT" w:hAnsi="Arial" w:cs="Arial"/>
                <w:i/>
              </w:rPr>
            </w:pPr>
          </w:p>
          <w:p w14:paraId="4586E3C2" w14:textId="77777777" w:rsidR="00341D36" w:rsidRPr="00341D36" w:rsidRDefault="00341D36" w:rsidP="00341D36">
            <w:pPr>
              <w:widowControl w:val="0"/>
              <w:autoSpaceDE w:val="0"/>
              <w:autoSpaceDN w:val="0"/>
              <w:ind w:left="168"/>
              <w:rPr>
                <w:rFonts w:ascii="Arial" w:eastAsia="Arial MT" w:hAnsi="Arial" w:cs="Arial"/>
              </w:rPr>
            </w:pPr>
            <w:r w:rsidRPr="00341D36">
              <w:rPr>
                <w:rFonts w:ascii="Arial" w:eastAsia="Arial MT" w:hAnsi="Arial" w:cs="Arial"/>
              </w:rPr>
              <w:t>&lt;</w:t>
            </w:r>
            <w:r w:rsidRPr="00341D36">
              <w:rPr>
                <w:rFonts w:ascii="Arial" w:eastAsia="Arial MT" w:hAnsi="Arial" w:cs="Arial"/>
                <w:spacing w:val="-5"/>
              </w:rPr>
              <w:t xml:space="preserve"> </w:t>
            </w:r>
            <w:r w:rsidRPr="00341D36">
              <w:rPr>
                <w:rFonts w:ascii="Arial" w:eastAsia="Arial MT" w:hAnsi="Arial" w:cs="Arial"/>
                <w:spacing w:val="-2"/>
              </w:rPr>
              <w:t>0.001***</w:t>
            </w:r>
          </w:p>
        </w:tc>
        <w:tc>
          <w:tcPr>
            <w:tcW w:w="1517" w:type="dxa"/>
            <w:vMerge w:val="restart"/>
          </w:tcPr>
          <w:p w14:paraId="62DC7239" w14:textId="77777777" w:rsidR="00341D36" w:rsidRPr="00341D36" w:rsidRDefault="00341D36" w:rsidP="00341D36">
            <w:pPr>
              <w:widowControl w:val="0"/>
              <w:autoSpaceDE w:val="0"/>
              <w:autoSpaceDN w:val="0"/>
              <w:rPr>
                <w:rFonts w:ascii="Arial" w:eastAsia="Arial MT" w:hAnsi="Arial" w:cs="Arial"/>
                <w:i/>
              </w:rPr>
            </w:pPr>
          </w:p>
          <w:p w14:paraId="3E16F25D" w14:textId="77777777" w:rsidR="00341D36" w:rsidRPr="00341D36" w:rsidRDefault="00341D36" w:rsidP="00341D36">
            <w:pPr>
              <w:widowControl w:val="0"/>
              <w:autoSpaceDE w:val="0"/>
              <w:autoSpaceDN w:val="0"/>
              <w:rPr>
                <w:rFonts w:ascii="Arial" w:eastAsia="Arial MT" w:hAnsi="Arial" w:cs="Arial"/>
                <w:i/>
              </w:rPr>
            </w:pPr>
          </w:p>
          <w:p w14:paraId="115CA4B7" w14:textId="77777777" w:rsidR="00341D36" w:rsidRPr="00341D36" w:rsidRDefault="00341D36" w:rsidP="00341D36">
            <w:pPr>
              <w:widowControl w:val="0"/>
              <w:autoSpaceDE w:val="0"/>
              <w:autoSpaceDN w:val="0"/>
              <w:rPr>
                <w:rFonts w:ascii="Arial" w:eastAsia="Arial MT" w:hAnsi="Arial" w:cs="Arial"/>
                <w:i/>
              </w:rPr>
            </w:pPr>
          </w:p>
          <w:p w14:paraId="2A27CC89" w14:textId="77777777" w:rsidR="00341D36" w:rsidRPr="00341D36" w:rsidRDefault="00341D36" w:rsidP="00341D36">
            <w:pPr>
              <w:widowControl w:val="0"/>
              <w:autoSpaceDE w:val="0"/>
              <w:autoSpaceDN w:val="0"/>
              <w:spacing w:before="79"/>
              <w:rPr>
                <w:rFonts w:ascii="Arial" w:eastAsia="Arial MT" w:hAnsi="Arial" w:cs="Arial"/>
                <w:i/>
              </w:rPr>
            </w:pPr>
          </w:p>
          <w:p w14:paraId="53DE6542" w14:textId="71FADA22" w:rsidR="00341D36" w:rsidRPr="00341D36" w:rsidRDefault="00341D36" w:rsidP="00341D36">
            <w:pPr>
              <w:widowControl w:val="0"/>
              <w:autoSpaceDE w:val="0"/>
              <w:autoSpaceDN w:val="0"/>
              <w:ind w:left="182" w:right="315" w:firstLine="33"/>
              <w:rPr>
                <w:rFonts w:ascii="Arial" w:eastAsia="Arial MT" w:hAnsi="Arial" w:cs="Arial"/>
              </w:rPr>
            </w:pPr>
            <w:r w:rsidRPr="00341D36">
              <w:rPr>
                <w:rFonts w:ascii="Arial" w:eastAsia="Arial MT" w:hAnsi="Arial" w:cs="Arial"/>
                <w:spacing w:val="-2"/>
              </w:rPr>
              <w:t xml:space="preserve">Highly </w:t>
            </w:r>
            <w:r w:rsidRPr="00341D36">
              <w:rPr>
                <w:rFonts w:ascii="Arial" w:eastAsia="Arial MT" w:hAnsi="Arial" w:cs="Arial"/>
                <w:spacing w:val="-4"/>
              </w:rPr>
              <w:t>Significan</w:t>
            </w:r>
            <w:r w:rsidRPr="00341D36">
              <w:rPr>
                <w:rFonts w:ascii="Arial" w:eastAsia="Arial MT" w:hAnsi="Arial" w:cs="Arial"/>
                <w:spacing w:val="-10"/>
              </w:rPr>
              <w:t>t</w:t>
            </w:r>
          </w:p>
        </w:tc>
      </w:tr>
      <w:tr w:rsidR="00341D36" w:rsidRPr="00341D36" w14:paraId="0EDE0777" w14:textId="77777777" w:rsidTr="00341D36">
        <w:trPr>
          <w:trHeight w:val="374"/>
        </w:trPr>
        <w:tc>
          <w:tcPr>
            <w:tcW w:w="1804" w:type="dxa"/>
          </w:tcPr>
          <w:p w14:paraId="3640E9E5"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Filipino</w:t>
            </w:r>
          </w:p>
        </w:tc>
        <w:tc>
          <w:tcPr>
            <w:tcW w:w="1232" w:type="dxa"/>
          </w:tcPr>
          <w:p w14:paraId="7359BDBF"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74.73</w:t>
            </w:r>
          </w:p>
        </w:tc>
        <w:tc>
          <w:tcPr>
            <w:tcW w:w="1607" w:type="dxa"/>
          </w:tcPr>
          <w:p w14:paraId="54D13422"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2"/>
              </w:rPr>
              <w:t>12.39</w:t>
            </w:r>
          </w:p>
        </w:tc>
        <w:tc>
          <w:tcPr>
            <w:tcW w:w="1048" w:type="dxa"/>
            <w:vMerge/>
            <w:tcBorders>
              <w:top w:val="nil"/>
            </w:tcBorders>
          </w:tcPr>
          <w:p w14:paraId="78C9DDFB"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7355DA05"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3F99EB20"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211B2077" w14:textId="77777777" w:rsidTr="00341D36">
        <w:trPr>
          <w:trHeight w:val="371"/>
        </w:trPr>
        <w:tc>
          <w:tcPr>
            <w:tcW w:w="1804" w:type="dxa"/>
          </w:tcPr>
          <w:p w14:paraId="76D115BA" w14:textId="77777777" w:rsidR="00341D36" w:rsidRPr="00341D36" w:rsidRDefault="00341D36" w:rsidP="00341D36">
            <w:pPr>
              <w:widowControl w:val="0"/>
              <w:autoSpaceDE w:val="0"/>
              <w:autoSpaceDN w:val="0"/>
              <w:spacing w:before="89" w:line="255" w:lineRule="exact"/>
              <w:ind w:left="11"/>
              <w:rPr>
                <w:rFonts w:ascii="Arial" w:eastAsia="Arial MT" w:hAnsi="Arial" w:cs="Arial"/>
                <w:i/>
              </w:rPr>
            </w:pPr>
            <w:r w:rsidRPr="00341D36">
              <w:rPr>
                <w:rFonts w:ascii="Arial" w:eastAsia="Arial MT" w:hAnsi="Arial" w:cs="Arial"/>
                <w:i/>
                <w:spacing w:val="-2"/>
              </w:rPr>
              <w:t>MAPEH</w:t>
            </w:r>
          </w:p>
        </w:tc>
        <w:tc>
          <w:tcPr>
            <w:tcW w:w="1232" w:type="dxa"/>
          </w:tcPr>
          <w:p w14:paraId="4E3B74EF" w14:textId="77777777" w:rsidR="00341D36" w:rsidRPr="00341D36" w:rsidRDefault="00341D36" w:rsidP="00341D36">
            <w:pPr>
              <w:widowControl w:val="0"/>
              <w:autoSpaceDE w:val="0"/>
              <w:autoSpaceDN w:val="0"/>
              <w:spacing w:before="89" w:line="255" w:lineRule="exact"/>
              <w:ind w:left="61"/>
              <w:jc w:val="center"/>
              <w:rPr>
                <w:rFonts w:ascii="Arial" w:eastAsia="Arial MT" w:hAnsi="Arial" w:cs="Arial"/>
              </w:rPr>
            </w:pPr>
            <w:r w:rsidRPr="00341D36">
              <w:rPr>
                <w:rFonts w:ascii="Arial" w:eastAsia="Arial MT" w:hAnsi="Arial" w:cs="Arial"/>
                <w:spacing w:val="-2"/>
              </w:rPr>
              <w:t>75.96</w:t>
            </w:r>
          </w:p>
        </w:tc>
        <w:tc>
          <w:tcPr>
            <w:tcW w:w="1607" w:type="dxa"/>
          </w:tcPr>
          <w:p w14:paraId="5A01D21C" w14:textId="77777777" w:rsidR="00341D36" w:rsidRPr="00341D36" w:rsidRDefault="00341D36" w:rsidP="00341D36">
            <w:pPr>
              <w:widowControl w:val="0"/>
              <w:autoSpaceDE w:val="0"/>
              <w:autoSpaceDN w:val="0"/>
              <w:spacing w:before="89" w:line="255" w:lineRule="exact"/>
              <w:ind w:left="59"/>
              <w:jc w:val="center"/>
              <w:rPr>
                <w:rFonts w:ascii="Arial" w:eastAsia="Arial MT" w:hAnsi="Arial" w:cs="Arial"/>
              </w:rPr>
            </w:pPr>
            <w:r w:rsidRPr="00341D36">
              <w:rPr>
                <w:rFonts w:ascii="Arial" w:eastAsia="Arial MT" w:hAnsi="Arial" w:cs="Arial"/>
                <w:spacing w:val="-4"/>
              </w:rPr>
              <w:t>7.70</w:t>
            </w:r>
          </w:p>
        </w:tc>
        <w:tc>
          <w:tcPr>
            <w:tcW w:w="1048" w:type="dxa"/>
            <w:vMerge/>
            <w:tcBorders>
              <w:top w:val="nil"/>
            </w:tcBorders>
          </w:tcPr>
          <w:p w14:paraId="12E65B7C"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2A505953"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677F7E3F"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252DCC84" w14:textId="77777777" w:rsidTr="00341D36">
        <w:trPr>
          <w:trHeight w:val="374"/>
        </w:trPr>
        <w:tc>
          <w:tcPr>
            <w:tcW w:w="1804" w:type="dxa"/>
          </w:tcPr>
          <w:p w14:paraId="28B92616"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Mathematics</w:t>
            </w:r>
          </w:p>
        </w:tc>
        <w:tc>
          <w:tcPr>
            <w:tcW w:w="1232" w:type="dxa"/>
          </w:tcPr>
          <w:p w14:paraId="61F6DDF3"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76.53</w:t>
            </w:r>
          </w:p>
        </w:tc>
        <w:tc>
          <w:tcPr>
            <w:tcW w:w="1607" w:type="dxa"/>
          </w:tcPr>
          <w:p w14:paraId="56ADA9D0"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2"/>
              </w:rPr>
              <w:t>10.71</w:t>
            </w:r>
          </w:p>
        </w:tc>
        <w:tc>
          <w:tcPr>
            <w:tcW w:w="1048" w:type="dxa"/>
            <w:vMerge/>
            <w:tcBorders>
              <w:top w:val="nil"/>
            </w:tcBorders>
          </w:tcPr>
          <w:p w14:paraId="5F587809"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6001EB8D"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44B66AD8"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5000F7A2" w14:textId="77777777" w:rsidTr="00341D36">
        <w:trPr>
          <w:trHeight w:val="374"/>
        </w:trPr>
        <w:tc>
          <w:tcPr>
            <w:tcW w:w="1804" w:type="dxa"/>
          </w:tcPr>
          <w:p w14:paraId="690BBAF1"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Science</w:t>
            </w:r>
          </w:p>
        </w:tc>
        <w:tc>
          <w:tcPr>
            <w:tcW w:w="1232" w:type="dxa"/>
          </w:tcPr>
          <w:p w14:paraId="020FAB56"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77.26</w:t>
            </w:r>
          </w:p>
        </w:tc>
        <w:tc>
          <w:tcPr>
            <w:tcW w:w="1607" w:type="dxa"/>
          </w:tcPr>
          <w:p w14:paraId="2E2CB86B"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2"/>
              </w:rPr>
              <w:t>10.80</w:t>
            </w:r>
          </w:p>
        </w:tc>
        <w:tc>
          <w:tcPr>
            <w:tcW w:w="1048" w:type="dxa"/>
            <w:vMerge/>
            <w:tcBorders>
              <w:top w:val="nil"/>
            </w:tcBorders>
          </w:tcPr>
          <w:p w14:paraId="04ABA0DE"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47470D69"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0BDA47CB"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6BC0E451" w14:textId="77777777" w:rsidTr="00341D36">
        <w:trPr>
          <w:trHeight w:val="374"/>
        </w:trPr>
        <w:tc>
          <w:tcPr>
            <w:tcW w:w="1804" w:type="dxa"/>
          </w:tcPr>
          <w:p w14:paraId="5028E73B" w14:textId="77777777" w:rsidR="00341D36" w:rsidRPr="00341D36" w:rsidRDefault="00341D36" w:rsidP="00341D36">
            <w:pPr>
              <w:widowControl w:val="0"/>
              <w:autoSpaceDE w:val="0"/>
              <w:autoSpaceDN w:val="0"/>
              <w:spacing w:before="91" w:line="255" w:lineRule="exact"/>
              <w:ind w:left="11"/>
              <w:rPr>
                <w:rFonts w:ascii="Arial" w:eastAsia="Arial MT" w:hAnsi="Arial" w:cs="Arial"/>
                <w:i/>
              </w:rPr>
            </w:pPr>
            <w:r w:rsidRPr="00341D36">
              <w:rPr>
                <w:rFonts w:ascii="Arial" w:eastAsia="Arial MT" w:hAnsi="Arial" w:cs="Arial"/>
                <w:i/>
              </w:rPr>
              <w:t>Social</w:t>
            </w:r>
            <w:r w:rsidRPr="00341D36">
              <w:rPr>
                <w:rFonts w:ascii="Arial" w:eastAsia="Arial MT" w:hAnsi="Arial" w:cs="Arial"/>
                <w:i/>
                <w:spacing w:val="-5"/>
              </w:rPr>
              <w:t xml:space="preserve"> </w:t>
            </w:r>
            <w:r w:rsidRPr="00341D36">
              <w:rPr>
                <w:rFonts w:ascii="Arial" w:eastAsia="Arial MT" w:hAnsi="Arial" w:cs="Arial"/>
                <w:i/>
                <w:spacing w:val="-2"/>
              </w:rPr>
              <w:t>Studies</w:t>
            </w:r>
          </w:p>
        </w:tc>
        <w:tc>
          <w:tcPr>
            <w:tcW w:w="1232" w:type="dxa"/>
          </w:tcPr>
          <w:p w14:paraId="4C3B930E" w14:textId="77777777" w:rsidR="00341D36" w:rsidRPr="00341D36" w:rsidRDefault="00341D36" w:rsidP="00341D36">
            <w:pPr>
              <w:widowControl w:val="0"/>
              <w:autoSpaceDE w:val="0"/>
              <w:autoSpaceDN w:val="0"/>
              <w:spacing w:before="91" w:line="255" w:lineRule="exact"/>
              <w:ind w:left="61"/>
              <w:jc w:val="center"/>
              <w:rPr>
                <w:rFonts w:ascii="Arial" w:eastAsia="Arial MT" w:hAnsi="Arial" w:cs="Arial"/>
              </w:rPr>
            </w:pPr>
            <w:r w:rsidRPr="00341D36">
              <w:rPr>
                <w:rFonts w:ascii="Arial" w:eastAsia="Arial MT" w:hAnsi="Arial" w:cs="Arial"/>
                <w:spacing w:val="-2"/>
              </w:rPr>
              <w:t>69.15</w:t>
            </w:r>
          </w:p>
        </w:tc>
        <w:tc>
          <w:tcPr>
            <w:tcW w:w="1607" w:type="dxa"/>
          </w:tcPr>
          <w:p w14:paraId="24856B03" w14:textId="77777777" w:rsidR="00341D36" w:rsidRPr="00341D36" w:rsidRDefault="00341D36" w:rsidP="00341D36">
            <w:pPr>
              <w:widowControl w:val="0"/>
              <w:autoSpaceDE w:val="0"/>
              <w:autoSpaceDN w:val="0"/>
              <w:spacing w:before="91" w:line="255" w:lineRule="exact"/>
              <w:ind w:left="59"/>
              <w:jc w:val="center"/>
              <w:rPr>
                <w:rFonts w:ascii="Arial" w:eastAsia="Arial MT" w:hAnsi="Arial" w:cs="Arial"/>
              </w:rPr>
            </w:pPr>
            <w:r w:rsidRPr="00341D36">
              <w:rPr>
                <w:rFonts w:ascii="Arial" w:eastAsia="Arial MT" w:hAnsi="Arial" w:cs="Arial"/>
                <w:spacing w:val="-4"/>
              </w:rPr>
              <w:t>8.74</w:t>
            </w:r>
          </w:p>
        </w:tc>
        <w:tc>
          <w:tcPr>
            <w:tcW w:w="1048" w:type="dxa"/>
            <w:vMerge/>
            <w:tcBorders>
              <w:top w:val="nil"/>
            </w:tcBorders>
          </w:tcPr>
          <w:p w14:paraId="2D670D49"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65757006"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65579375"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11BA8BC2" w14:textId="77777777" w:rsidTr="00341D36">
        <w:trPr>
          <w:trHeight w:val="375"/>
        </w:trPr>
        <w:tc>
          <w:tcPr>
            <w:tcW w:w="1804" w:type="dxa"/>
          </w:tcPr>
          <w:p w14:paraId="6203D815"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4"/>
              </w:rPr>
              <w:t>TLVE</w:t>
            </w:r>
          </w:p>
        </w:tc>
        <w:tc>
          <w:tcPr>
            <w:tcW w:w="1232" w:type="dxa"/>
          </w:tcPr>
          <w:p w14:paraId="488583C2"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72.96</w:t>
            </w:r>
          </w:p>
        </w:tc>
        <w:tc>
          <w:tcPr>
            <w:tcW w:w="1607" w:type="dxa"/>
          </w:tcPr>
          <w:p w14:paraId="451C730E"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4"/>
              </w:rPr>
              <w:t>9.96</w:t>
            </w:r>
          </w:p>
        </w:tc>
        <w:tc>
          <w:tcPr>
            <w:tcW w:w="1048" w:type="dxa"/>
            <w:vMerge/>
            <w:tcBorders>
              <w:top w:val="nil"/>
            </w:tcBorders>
          </w:tcPr>
          <w:p w14:paraId="6F76C829"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3AE9B233"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3266182F"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2EA59336" w14:textId="77777777" w:rsidTr="00341D36">
        <w:trPr>
          <w:trHeight w:val="374"/>
        </w:trPr>
        <w:tc>
          <w:tcPr>
            <w:tcW w:w="1804" w:type="dxa"/>
          </w:tcPr>
          <w:p w14:paraId="3C904C4C"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Values</w:t>
            </w:r>
          </w:p>
        </w:tc>
        <w:tc>
          <w:tcPr>
            <w:tcW w:w="1232" w:type="dxa"/>
          </w:tcPr>
          <w:p w14:paraId="06CBC9A4"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77.00</w:t>
            </w:r>
          </w:p>
        </w:tc>
        <w:tc>
          <w:tcPr>
            <w:tcW w:w="1607" w:type="dxa"/>
          </w:tcPr>
          <w:p w14:paraId="53035DBC"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4"/>
              </w:rPr>
              <w:t>8.85</w:t>
            </w:r>
          </w:p>
        </w:tc>
        <w:tc>
          <w:tcPr>
            <w:tcW w:w="1048" w:type="dxa"/>
            <w:vMerge/>
            <w:tcBorders>
              <w:top w:val="nil"/>
            </w:tcBorders>
          </w:tcPr>
          <w:p w14:paraId="432FE83D"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1FED3811"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6A8C97B9" w14:textId="77777777" w:rsidR="00341D36" w:rsidRPr="00341D36" w:rsidRDefault="00341D36" w:rsidP="00341D36">
            <w:pPr>
              <w:widowControl w:val="0"/>
              <w:autoSpaceDE w:val="0"/>
              <w:autoSpaceDN w:val="0"/>
              <w:rPr>
                <w:rFonts w:ascii="Arial" w:eastAsia="Arial MT" w:hAnsi="Arial" w:cs="Arial"/>
              </w:rPr>
            </w:pPr>
          </w:p>
        </w:tc>
      </w:tr>
    </w:tbl>
    <w:p w14:paraId="210D53E3" w14:textId="77777777" w:rsidR="00341D36" w:rsidRPr="00341D36" w:rsidRDefault="00341D36" w:rsidP="00341D36">
      <w:pPr>
        <w:widowControl w:val="0"/>
        <w:autoSpaceDE w:val="0"/>
        <w:autoSpaceDN w:val="0"/>
        <w:rPr>
          <w:rFonts w:ascii="Arial" w:eastAsia="Arial MT" w:hAnsi="Arial MT" w:cs="Arial MT"/>
          <w:i/>
          <w:sz w:val="16"/>
          <w:szCs w:val="16"/>
        </w:rPr>
      </w:pPr>
      <w:r w:rsidRPr="00341D36">
        <w:rPr>
          <w:rFonts w:ascii="Arial" w:eastAsia="Arial MT" w:hAnsi="Arial" w:cs="Arial"/>
          <w:i/>
          <w:sz w:val="16"/>
          <w:szCs w:val="16"/>
        </w:rPr>
        <w:t>***Highly</w:t>
      </w:r>
      <w:r w:rsidRPr="00341D36">
        <w:rPr>
          <w:rFonts w:ascii="Arial" w:eastAsia="Arial MT" w:hAnsi="Arial" w:cs="Arial"/>
          <w:i/>
          <w:spacing w:val="-8"/>
          <w:sz w:val="16"/>
          <w:szCs w:val="16"/>
        </w:rPr>
        <w:t xml:space="preserve"> </w:t>
      </w:r>
      <w:r w:rsidRPr="00341D36">
        <w:rPr>
          <w:rFonts w:ascii="Arial" w:eastAsia="Arial MT" w:hAnsi="Arial" w:cs="Arial"/>
          <w:i/>
          <w:sz w:val="16"/>
          <w:szCs w:val="16"/>
        </w:rPr>
        <w:t>Significant</w:t>
      </w:r>
      <w:r w:rsidRPr="00341D36">
        <w:rPr>
          <w:rFonts w:ascii="Arial" w:eastAsia="Arial MT" w:hAnsi="Arial" w:cs="Arial"/>
          <w:i/>
          <w:spacing w:val="-10"/>
          <w:sz w:val="16"/>
          <w:szCs w:val="16"/>
        </w:rPr>
        <w:t xml:space="preserve"> </w:t>
      </w:r>
      <w:r w:rsidRPr="00341D36">
        <w:rPr>
          <w:rFonts w:ascii="Arial" w:eastAsia="Arial MT" w:hAnsi="Arial" w:cs="Arial"/>
          <w:i/>
          <w:sz w:val="16"/>
          <w:szCs w:val="16"/>
        </w:rPr>
        <w:t>at</w:t>
      </w:r>
      <w:r w:rsidRPr="00341D36">
        <w:rPr>
          <w:rFonts w:ascii="Arial" w:eastAsia="Arial MT" w:hAnsi="Arial" w:cs="Arial"/>
          <w:i/>
          <w:spacing w:val="-9"/>
          <w:sz w:val="16"/>
          <w:szCs w:val="16"/>
        </w:rPr>
        <w:t xml:space="preserve"> </w:t>
      </w:r>
      <w:r w:rsidRPr="00341D36">
        <w:rPr>
          <w:rFonts w:ascii="Arial" w:eastAsia="Arial MT" w:hAnsi="Arial" w:cs="Arial"/>
          <w:i/>
          <w:sz w:val="16"/>
          <w:szCs w:val="16"/>
        </w:rPr>
        <w:t>p-value</w:t>
      </w:r>
      <w:r w:rsidRPr="00341D36">
        <w:rPr>
          <w:rFonts w:ascii="Arial" w:eastAsia="Arial MT" w:hAnsi="Arial MT" w:cs="Arial MT"/>
          <w:i/>
          <w:spacing w:val="-9"/>
          <w:sz w:val="16"/>
          <w:szCs w:val="16"/>
        </w:rPr>
        <w:t xml:space="preserve"> </w:t>
      </w:r>
      <w:r w:rsidRPr="00341D36">
        <w:rPr>
          <w:rFonts w:ascii="Arial" w:eastAsia="Arial MT" w:hAnsi="Arial MT" w:cs="Arial MT"/>
          <w:i/>
          <w:spacing w:val="-2"/>
          <w:sz w:val="16"/>
          <w:szCs w:val="16"/>
        </w:rPr>
        <w:t>&lt;0.001</w:t>
      </w:r>
    </w:p>
    <w:p w14:paraId="0C6EA8EE" w14:textId="77777777" w:rsidR="00ED61FA" w:rsidRDefault="00ED61FA" w:rsidP="00441B6F">
      <w:pPr>
        <w:pStyle w:val="Body"/>
        <w:spacing w:after="0"/>
        <w:rPr>
          <w:rFonts w:ascii="Arial" w:hAnsi="Arial" w:cs="Arial"/>
        </w:rPr>
      </w:pPr>
    </w:p>
    <w:p w14:paraId="09D8AC09" w14:textId="541F6A07" w:rsidR="00B03D72" w:rsidRPr="00B03D72" w:rsidRDefault="00B03D72" w:rsidP="00B03D72">
      <w:pPr>
        <w:pStyle w:val="Body"/>
        <w:rPr>
          <w:rFonts w:ascii="Arial" w:hAnsi="Arial" w:cs="Arial"/>
        </w:rPr>
      </w:pPr>
      <w:r>
        <w:rPr>
          <w:rFonts w:ascii="Arial" w:hAnsi="Arial" w:cs="Arial"/>
        </w:rPr>
        <w:tab/>
      </w:r>
      <w:r w:rsidRPr="00B03D72">
        <w:rPr>
          <w:rFonts w:ascii="Arial" w:hAnsi="Arial" w:cs="Arial"/>
        </w:rPr>
        <w:t>The results of the Tukey post-hoc test reveal that Social Studies consistently receives significantly lower ratings compared to other subjects, particularly Science and Mathematics. Among all the subjects analyzed, the most striking difference is between Science and Social Studies, where the gap in ratings is the largest (p &lt; 0.001). This suggests that students perform significantly better in Science than in Social Studies. The significant gaps, especially between Social Studies and Science, highlight potential disparities in student engagement, instructional methods, or assessment styles across disciplines. These findings underscore the need to examine the factors contributing to the lower performance in Social Studies and explore targeted strategies to improve student outcomes in this area.</w:t>
      </w:r>
    </w:p>
    <w:p w14:paraId="50E7A932" w14:textId="2C9C83A3" w:rsidR="00B03D72" w:rsidRPr="00B03D72" w:rsidRDefault="00B03D72" w:rsidP="00254380">
      <w:pPr>
        <w:pStyle w:val="Body"/>
        <w:ind w:firstLine="720"/>
        <w:rPr>
          <w:rFonts w:ascii="Arial" w:hAnsi="Arial" w:cs="Arial"/>
        </w:rPr>
      </w:pPr>
      <w:r w:rsidRPr="00B03D72">
        <w:rPr>
          <w:rFonts w:ascii="Arial" w:hAnsi="Arial" w:cs="Arial"/>
        </w:rPr>
        <w:t xml:space="preserve">Similarly, Mathematics also shows contrast with Social Studies (p= 0.023), </w:t>
      </w:r>
      <w:r w:rsidR="009118BC">
        <w:rPr>
          <w:rFonts w:ascii="Arial" w:hAnsi="Arial" w:cs="Arial"/>
        </w:rPr>
        <w:t>w</w:t>
      </w:r>
      <w:r w:rsidR="001F2F5D">
        <w:rPr>
          <w:rFonts w:ascii="Arial" w:hAnsi="Arial" w:cs="Arial"/>
        </w:rPr>
        <w:t xml:space="preserve">hich has </w:t>
      </w:r>
      <w:r w:rsidRPr="00B03D72">
        <w:rPr>
          <w:rFonts w:ascii="Arial" w:hAnsi="Arial" w:cs="Arial"/>
        </w:rPr>
        <w:t>lower performance compared to more technical subjects. While Social Studies lags behind Science and Mathematics, it also shows significantly lower ratings than English and MAPEH, reinforcing the trend that students struggle more in this subject. However, no significant differences were observed in ratings between Social Studies and TLTVE or Values Education, indicating that student performance in these subjects is relatively comparable.</w:t>
      </w:r>
    </w:p>
    <w:p w14:paraId="1DA203E9" w14:textId="6B74F8A1" w:rsidR="00B03D72" w:rsidRDefault="00B03D72" w:rsidP="00495010">
      <w:pPr>
        <w:pStyle w:val="Body"/>
        <w:ind w:firstLine="720"/>
        <w:rPr>
          <w:rFonts w:ascii="Arial" w:hAnsi="Arial" w:cs="Arial"/>
        </w:rPr>
      </w:pPr>
      <w:r w:rsidRPr="00B03D72">
        <w:rPr>
          <w:rFonts w:ascii="Arial" w:hAnsi="Arial" w:cs="Arial"/>
        </w:rPr>
        <w:t>The results of this study align with those of Rudio (2016), who reported that Mathematics and Science test takers outperformed their counterparts in these subjects. These findings imply that students may find technical subjects like Mathematics and Science more accessible or better aligned with the focus of the licensure examination. As a result, students tend to perform better in these</w:t>
      </w:r>
      <w:r>
        <w:rPr>
          <w:rFonts w:ascii="Arial" w:hAnsi="Arial" w:cs="Arial"/>
        </w:rPr>
        <w:t xml:space="preserve"> </w:t>
      </w:r>
      <w:r w:rsidRPr="00B03D72">
        <w:rPr>
          <w:rFonts w:ascii="Arial" w:hAnsi="Arial" w:cs="Arial"/>
        </w:rPr>
        <w:t>areas compared to subjects like Social Studies, which covers a broader range of topics and requires a different set of analytical skills.</w:t>
      </w:r>
      <w:r>
        <w:rPr>
          <w:rFonts w:ascii="Arial" w:hAnsi="Arial" w:cs="Arial"/>
        </w:rPr>
        <w:t xml:space="preserve"> </w:t>
      </w:r>
      <w:r w:rsidRPr="00B03D72">
        <w:rPr>
          <w:rFonts w:ascii="Arial" w:hAnsi="Arial" w:cs="Arial"/>
        </w:rPr>
        <w:t>Overall, these findings emphasize the need for targeted support in areas where examinees face the most challenges. Strengthening subject-specific review programs, refining curricula, and incorporating more practical assessments could improve LEPT performance and better prepare aspiring teachers across all disciplines</w:t>
      </w:r>
      <w:r w:rsidRPr="00D76E7E">
        <w:rPr>
          <w:rFonts w:ascii="Arial" w:hAnsi="Arial" w:cs="Arial"/>
        </w:rPr>
        <w:t xml:space="preserve">. Thus, we reject the null hypothesis </w:t>
      </w:r>
      <w:r w:rsidR="00D76E7E" w:rsidRPr="00D76E7E">
        <w:rPr>
          <w:rFonts w:ascii="Arial" w:hAnsi="Arial" w:cs="Arial"/>
        </w:rPr>
        <w:t xml:space="preserve">3 </w:t>
      </w:r>
      <w:r w:rsidRPr="00D76E7E">
        <w:rPr>
          <w:rFonts w:ascii="Arial" w:hAnsi="Arial" w:cs="Arial"/>
        </w:rPr>
        <w:t>and conclude that there is a significant difference in the LEPT ratings of graduates across areas of specialization.</w:t>
      </w:r>
    </w:p>
    <w:p w14:paraId="20CA2B0D" w14:textId="2DB479A8" w:rsidR="00B03D72" w:rsidRPr="00495010" w:rsidRDefault="001B0831" w:rsidP="00441B6F">
      <w:pPr>
        <w:pStyle w:val="Body"/>
        <w:spacing w:after="0"/>
        <w:rPr>
          <w:rFonts w:ascii="Arial" w:hAnsi="Arial" w:cs="Arial"/>
          <w:b/>
          <w:bCs/>
        </w:rPr>
      </w:pPr>
      <w:r w:rsidRPr="00495010">
        <w:rPr>
          <w:rFonts w:ascii="Arial" w:hAnsi="Arial" w:cs="Arial"/>
          <w:b/>
          <w:bCs/>
        </w:rPr>
        <w:t>H</w:t>
      </w:r>
      <w:r w:rsidRPr="00495010">
        <w:rPr>
          <w:rFonts w:ascii="Arial" w:hAnsi="Arial" w:cs="Arial"/>
          <w:b/>
          <w:bCs/>
          <w:vertAlign w:val="subscript"/>
        </w:rPr>
        <w:t>04</w:t>
      </w:r>
      <w:r w:rsidRPr="00495010">
        <w:rPr>
          <w:rFonts w:ascii="Arial" w:hAnsi="Arial" w:cs="Arial"/>
          <w:b/>
          <w:bCs/>
        </w:rPr>
        <w:t>: The type of school, academic program, and area of specialization do not significantly predict the overall LEPT ratings.</w:t>
      </w:r>
    </w:p>
    <w:p w14:paraId="75D0ECF8" w14:textId="77777777" w:rsidR="00B03D72" w:rsidRDefault="00B03D72" w:rsidP="00441B6F">
      <w:pPr>
        <w:pStyle w:val="Body"/>
        <w:spacing w:after="0"/>
        <w:rPr>
          <w:rFonts w:ascii="Arial" w:hAnsi="Arial" w:cs="Arial"/>
        </w:rPr>
      </w:pPr>
    </w:p>
    <w:p w14:paraId="169FA70B" w14:textId="51DA3941" w:rsidR="00EB0690" w:rsidRDefault="001B0831" w:rsidP="001B0831">
      <w:pPr>
        <w:pStyle w:val="Body"/>
        <w:spacing w:after="0"/>
        <w:ind w:firstLine="720"/>
        <w:rPr>
          <w:rFonts w:ascii="Arial" w:hAnsi="Arial" w:cs="Arial"/>
        </w:rPr>
      </w:pPr>
      <w:r w:rsidRPr="001B0831">
        <w:rPr>
          <w:rFonts w:ascii="Arial" w:hAnsi="Arial" w:cs="Arial"/>
        </w:rPr>
        <w:lastRenderedPageBreak/>
        <w:t xml:space="preserve">Table </w:t>
      </w:r>
      <w:r>
        <w:rPr>
          <w:rFonts w:ascii="Arial" w:hAnsi="Arial" w:cs="Arial"/>
        </w:rPr>
        <w:t>5</w:t>
      </w:r>
      <w:r w:rsidRPr="001B0831">
        <w:rPr>
          <w:rFonts w:ascii="Arial" w:hAnsi="Arial" w:cs="Arial"/>
        </w:rPr>
        <w:t xml:space="preserve"> presents the combined effect of type of school, academic program, and area of specialization on the overall LEPT rating. </w:t>
      </w:r>
      <w:r w:rsidR="00FD781F" w:rsidRPr="00FD781F">
        <w:rPr>
          <w:rFonts w:ascii="Arial" w:hAnsi="Arial" w:cs="Arial"/>
        </w:rPr>
        <w:t>The R Square value of .10 indicates that 10% of the variance in LEPT scores can be attributed to the combined influence of the type of school</w:t>
      </w:r>
      <w:r w:rsidR="004F1A1E">
        <w:rPr>
          <w:rFonts w:ascii="Arial" w:hAnsi="Arial" w:cs="Arial"/>
        </w:rPr>
        <w:t xml:space="preserve"> and </w:t>
      </w:r>
      <w:r w:rsidR="00FD781F" w:rsidRPr="00FD781F">
        <w:rPr>
          <w:rFonts w:ascii="Arial" w:hAnsi="Arial" w:cs="Arial"/>
        </w:rPr>
        <w:t>academic program</w:t>
      </w:r>
      <w:r w:rsidR="004F1A1E">
        <w:rPr>
          <w:rFonts w:ascii="Arial" w:hAnsi="Arial" w:cs="Arial"/>
        </w:rPr>
        <w:t xml:space="preserve">. </w:t>
      </w:r>
      <w:r w:rsidR="00FD781F" w:rsidRPr="00FD781F">
        <w:rPr>
          <w:rFonts w:ascii="Arial" w:hAnsi="Arial" w:cs="Arial"/>
        </w:rPr>
        <w:t xml:space="preserve">While these factors contribute to exam performance, a substantial portion of the variance </w:t>
      </w:r>
      <w:r w:rsidR="00C83B9C">
        <w:rPr>
          <w:rFonts w:ascii="Arial" w:hAnsi="Arial" w:cs="Arial"/>
        </w:rPr>
        <w:t xml:space="preserve">(90%) </w:t>
      </w:r>
      <w:r w:rsidR="00FD781F" w:rsidRPr="00FD781F">
        <w:rPr>
          <w:rFonts w:ascii="Arial" w:hAnsi="Arial" w:cs="Arial"/>
        </w:rPr>
        <w:t xml:space="preserve">remains unexplained, suggesting </w:t>
      </w:r>
      <w:r w:rsidR="00C83B9C">
        <w:rPr>
          <w:rFonts w:ascii="Arial" w:hAnsi="Arial" w:cs="Arial"/>
        </w:rPr>
        <w:t>the influence of</w:t>
      </w:r>
      <w:r w:rsidR="00FD781F" w:rsidRPr="00FD781F">
        <w:rPr>
          <w:rFonts w:ascii="Arial" w:hAnsi="Arial" w:cs="Arial"/>
        </w:rPr>
        <w:t xml:space="preserve"> other variables</w:t>
      </w:r>
      <w:r w:rsidR="00C83B9C">
        <w:rPr>
          <w:rFonts w:ascii="Arial" w:hAnsi="Arial" w:cs="Arial"/>
        </w:rPr>
        <w:t xml:space="preserve"> not covered in this study. </w:t>
      </w:r>
      <w:r w:rsidR="00FD781F" w:rsidRPr="00FD781F">
        <w:rPr>
          <w:rFonts w:ascii="Arial" w:hAnsi="Arial" w:cs="Arial"/>
        </w:rPr>
        <w:t xml:space="preserve">Among the independent variables, the type of school exhibits a beta coefficient of -2.742 with a p-value of 0.016, indicating a statistically significant negative effect on LEPT scores. This finding suggests that institutional type (public or private) directly influences LEPT performance, with graduates from certain institutions potentially having a comparative advantage over others. The academic program demonstrates a beta coefficient of -5.616 with a p- value of &lt; 0.001, signifying a highly significant effect on LEPT performance. This result reinforces the critical role of structured teacher education programs in preparing aspiring professionals for licensure exams, as those who graduate from education programs tend to exhibit higher LEPT scores compared to those from non-education backgrounds. The results are in accordance with what </w:t>
      </w:r>
      <w:proofErr w:type="spellStart"/>
      <w:r w:rsidR="00FD781F" w:rsidRPr="00FD781F">
        <w:rPr>
          <w:rFonts w:ascii="Arial" w:hAnsi="Arial" w:cs="Arial"/>
        </w:rPr>
        <w:t>Antiojo</w:t>
      </w:r>
      <w:proofErr w:type="spellEnd"/>
      <w:r w:rsidR="00FD781F" w:rsidRPr="00FD781F">
        <w:rPr>
          <w:rFonts w:ascii="Arial" w:hAnsi="Arial" w:cs="Arial"/>
        </w:rPr>
        <w:t xml:space="preserve"> (2017) also found: the secondary examinees’ performance is best in General Education, followed by Professional Education, and least in their specialization. Also, in the study of </w:t>
      </w:r>
      <w:proofErr w:type="spellStart"/>
      <w:r w:rsidR="00FD781F" w:rsidRPr="00FD781F">
        <w:rPr>
          <w:rFonts w:ascii="Arial" w:hAnsi="Arial" w:cs="Arial"/>
        </w:rPr>
        <w:t>Amanonce</w:t>
      </w:r>
      <w:proofErr w:type="spellEnd"/>
      <w:r w:rsidR="00FD781F" w:rsidRPr="00FD781F">
        <w:rPr>
          <w:rFonts w:ascii="Arial" w:hAnsi="Arial" w:cs="Arial"/>
        </w:rPr>
        <w:t xml:space="preserve"> &amp; </w:t>
      </w:r>
      <w:proofErr w:type="spellStart"/>
      <w:r w:rsidR="00FD781F" w:rsidRPr="00FD781F">
        <w:rPr>
          <w:rFonts w:ascii="Arial" w:hAnsi="Arial" w:cs="Arial"/>
        </w:rPr>
        <w:t>Maramag</w:t>
      </w:r>
      <w:proofErr w:type="spellEnd"/>
      <w:r w:rsidR="00FD781F" w:rsidRPr="00FD781F">
        <w:rPr>
          <w:rFonts w:ascii="Arial" w:hAnsi="Arial" w:cs="Arial"/>
        </w:rPr>
        <w:t xml:space="preserve"> (2020), the </w:t>
      </w:r>
      <w:proofErr w:type="spellStart"/>
      <w:r w:rsidR="00B23F21">
        <w:rPr>
          <w:rFonts w:ascii="Arial" w:hAnsi="Arial" w:cs="Arial"/>
        </w:rPr>
        <w:t>BSEd</w:t>
      </w:r>
      <w:proofErr w:type="spellEnd"/>
      <w:r w:rsidR="00FD781F" w:rsidRPr="00FD781F">
        <w:rPr>
          <w:rFonts w:ascii="Arial" w:hAnsi="Arial" w:cs="Arial"/>
        </w:rPr>
        <w:t xml:space="preserve"> graduates obtained satisfactory ratings for the General and Professional Education components but not in their specialization.</w:t>
      </w:r>
      <w:r w:rsidR="0016063D">
        <w:rPr>
          <w:rFonts w:ascii="Arial" w:hAnsi="Arial" w:cs="Arial"/>
        </w:rPr>
        <w:t xml:space="preserve"> </w:t>
      </w:r>
      <w:r w:rsidR="003C4BAA" w:rsidRPr="003C4BAA">
        <w:rPr>
          <w:rFonts w:ascii="Arial" w:hAnsi="Arial" w:cs="Arial"/>
        </w:rPr>
        <w:t>The results also reveal in contrast, that the area of specialization yields a beta coefficient of -0.164 with a p-value of 0.537, indicating that its effect on LEPT ratings is not statistically significant.</w:t>
      </w:r>
    </w:p>
    <w:p w14:paraId="43B934AE" w14:textId="77777777" w:rsidR="003C4BAA" w:rsidRDefault="003C4BAA" w:rsidP="00BC62DA">
      <w:pPr>
        <w:pStyle w:val="Body"/>
        <w:spacing w:after="0"/>
        <w:rPr>
          <w:rFonts w:ascii="Arial" w:hAnsi="Arial" w:cs="Arial"/>
          <w:b/>
          <w:bCs/>
        </w:rPr>
      </w:pPr>
    </w:p>
    <w:p w14:paraId="00CAA123" w14:textId="2B175E70" w:rsidR="001B0831" w:rsidRPr="00FD781F" w:rsidRDefault="00BC62DA" w:rsidP="00BC62DA">
      <w:pPr>
        <w:pStyle w:val="Body"/>
        <w:spacing w:after="0"/>
        <w:rPr>
          <w:rFonts w:ascii="Arial" w:hAnsi="Arial" w:cs="Arial"/>
          <w:b/>
          <w:bCs/>
        </w:rPr>
      </w:pPr>
      <w:r w:rsidRPr="00FD781F">
        <w:rPr>
          <w:rFonts w:ascii="Arial" w:hAnsi="Arial" w:cs="Arial"/>
          <w:b/>
          <w:bCs/>
        </w:rPr>
        <w:t xml:space="preserve">Table 5 Combined </w:t>
      </w:r>
      <w:r w:rsidR="00192412" w:rsidRPr="00FD781F">
        <w:rPr>
          <w:rFonts w:ascii="Arial" w:hAnsi="Arial" w:cs="Arial"/>
          <w:b/>
          <w:bCs/>
        </w:rPr>
        <w:t>e</w:t>
      </w:r>
      <w:r w:rsidRPr="00FD781F">
        <w:rPr>
          <w:rFonts w:ascii="Arial" w:hAnsi="Arial" w:cs="Arial"/>
          <w:b/>
          <w:bCs/>
        </w:rPr>
        <w:t xml:space="preserve">ffect of </w:t>
      </w:r>
      <w:r w:rsidR="00192412" w:rsidRPr="00FD781F">
        <w:rPr>
          <w:rFonts w:ascii="Arial" w:hAnsi="Arial" w:cs="Arial"/>
          <w:b/>
          <w:bCs/>
        </w:rPr>
        <w:t>t</w:t>
      </w:r>
      <w:r w:rsidRPr="00FD781F">
        <w:rPr>
          <w:rFonts w:ascii="Arial" w:hAnsi="Arial" w:cs="Arial"/>
          <w:b/>
          <w:bCs/>
        </w:rPr>
        <w:t xml:space="preserve">ype of </w:t>
      </w:r>
      <w:r w:rsidR="00192412" w:rsidRPr="00FD781F">
        <w:rPr>
          <w:rFonts w:ascii="Arial" w:hAnsi="Arial" w:cs="Arial"/>
          <w:b/>
          <w:bCs/>
        </w:rPr>
        <w:t>s</w:t>
      </w:r>
      <w:r w:rsidRPr="00FD781F">
        <w:rPr>
          <w:rFonts w:ascii="Arial" w:hAnsi="Arial" w:cs="Arial"/>
          <w:b/>
          <w:bCs/>
        </w:rPr>
        <w:t xml:space="preserve">chool, </w:t>
      </w:r>
      <w:r w:rsidR="00192412" w:rsidRPr="00FD781F">
        <w:rPr>
          <w:rFonts w:ascii="Arial" w:hAnsi="Arial" w:cs="Arial"/>
          <w:b/>
          <w:bCs/>
        </w:rPr>
        <w:t>a</w:t>
      </w:r>
      <w:r w:rsidRPr="00FD781F">
        <w:rPr>
          <w:rFonts w:ascii="Arial" w:hAnsi="Arial" w:cs="Arial"/>
          <w:b/>
          <w:bCs/>
        </w:rPr>
        <w:t xml:space="preserve">cademic </w:t>
      </w:r>
      <w:r w:rsidR="00192412" w:rsidRPr="00FD781F">
        <w:rPr>
          <w:rFonts w:ascii="Arial" w:hAnsi="Arial" w:cs="Arial"/>
          <w:b/>
          <w:bCs/>
        </w:rPr>
        <w:t>pr</w:t>
      </w:r>
      <w:r w:rsidRPr="00FD781F">
        <w:rPr>
          <w:rFonts w:ascii="Arial" w:hAnsi="Arial" w:cs="Arial"/>
          <w:b/>
          <w:bCs/>
        </w:rPr>
        <w:t xml:space="preserve">ogram, and </w:t>
      </w:r>
      <w:r w:rsidR="00192412" w:rsidRPr="00FD781F">
        <w:rPr>
          <w:rFonts w:ascii="Arial" w:hAnsi="Arial" w:cs="Arial"/>
          <w:b/>
          <w:bCs/>
        </w:rPr>
        <w:t>a</w:t>
      </w:r>
      <w:r w:rsidRPr="00FD781F">
        <w:rPr>
          <w:rFonts w:ascii="Arial" w:hAnsi="Arial" w:cs="Arial"/>
          <w:b/>
          <w:bCs/>
        </w:rPr>
        <w:t xml:space="preserve">rea of </w:t>
      </w:r>
      <w:r w:rsidR="00192412" w:rsidRPr="00FD781F">
        <w:rPr>
          <w:rFonts w:ascii="Arial" w:hAnsi="Arial" w:cs="Arial"/>
          <w:b/>
          <w:bCs/>
        </w:rPr>
        <w:t>s</w:t>
      </w:r>
      <w:r w:rsidRPr="00FD781F">
        <w:rPr>
          <w:rFonts w:ascii="Arial" w:hAnsi="Arial" w:cs="Arial"/>
          <w:b/>
          <w:bCs/>
        </w:rPr>
        <w:t xml:space="preserve">pecialization on </w:t>
      </w:r>
      <w:r w:rsidR="00192412" w:rsidRPr="00FD781F">
        <w:rPr>
          <w:rFonts w:ascii="Arial" w:hAnsi="Arial" w:cs="Arial"/>
          <w:b/>
          <w:bCs/>
        </w:rPr>
        <w:t>o</w:t>
      </w:r>
      <w:r w:rsidRPr="00FD781F">
        <w:rPr>
          <w:rFonts w:ascii="Arial" w:hAnsi="Arial" w:cs="Arial"/>
          <w:b/>
          <w:bCs/>
        </w:rPr>
        <w:t xml:space="preserve">verall LEPT </w:t>
      </w:r>
      <w:r w:rsidR="00192412" w:rsidRPr="00FD781F">
        <w:rPr>
          <w:rFonts w:ascii="Arial" w:hAnsi="Arial" w:cs="Arial"/>
          <w:b/>
          <w:bCs/>
        </w:rPr>
        <w:t>r</w:t>
      </w:r>
      <w:r w:rsidRPr="00FD781F">
        <w:rPr>
          <w:rFonts w:ascii="Arial" w:hAnsi="Arial" w:cs="Arial"/>
          <w:b/>
          <w:bCs/>
        </w:rPr>
        <w:t>ating</w:t>
      </w:r>
    </w:p>
    <w:p w14:paraId="3C6EDBAF" w14:textId="77777777" w:rsidR="00BC62DA" w:rsidRDefault="00BC62DA" w:rsidP="00441B6F">
      <w:pPr>
        <w:pStyle w:val="Body"/>
        <w:spacing w:after="0"/>
        <w:rPr>
          <w:rFonts w:ascii="Arial" w:hAnsi="Arial" w:cs="Arial"/>
        </w:rPr>
      </w:pPr>
    </w:p>
    <w:tbl>
      <w:tblPr>
        <w:tblW w:w="8202" w:type="dxa"/>
        <w:tblLayout w:type="fixed"/>
        <w:tblCellMar>
          <w:left w:w="0" w:type="dxa"/>
          <w:right w:w="0" w:type="dxa"/>
        </w:tblCellMar>
        <w:tblLook w:val="01E0" w:firstRow="1" w:lastRow="1" w:firstColumn="1" w:lastColumn="1" w:noHBand="0" w:noVBand="0"/>
      </w:tblPr>
      <w:tblGrid>
        <w:gridCol w:w="2465"/>
        <w:gridCol w:w="996"/>
        <w:gridCol w:w="1382"/>
        <w:gridCol w:w="1290"/>
        <w:gridCol w:w="2069"/>
      </w:tblGrid>
      <w:tr w:rsidR="000526F9" w:rsidRPr="000526F9" w14:paraId="474EA329" w14:textId="77777777" w:rsidTr="000526F9">
        <w:trPr>
          <w:trHeight w:val="567"/>
        </w:trPr>
        <w:tc>
          <w:tcPr>
            <w:tcW w:w="2465" w:type="dxa"/>
            <w:tcBorders>
              <w:top w:val="single" w:sz="4" w:space="0" w:color="000000"/>
              <w:bottom w:val="single" w:sz="4" w:space="0" w:color="000000"/>
            </w:tcBorders>
          </w:tcPr>
          <w:p w14:paraId="1883B39D" w14:textId="77777777" w:rsidR="000526F9" w:rsidRPr="000E53A3" w:rsidRDefault="000526F9" w:rsidP="000526F9">
            <w:pPr>
              <w:widowControl w:val="0"/>
              <w:autoSpaceDE w:val="0"/>
              <w:autoSpaceDN w:val="0"/>
              <w:spacing w:before="134"/>
              <w:ind w:left="26"/>
              <w:jc w:val="center"/>
              <w:rPr>
                <w:rFonts w:ascii="Arial" w:eastAsia="Arial MT" w:hAnsi="Arial" w:cs="Arial"/>
                <w:b/>
              </w:rPr>
            </w:pPr>
            <w:r w:rsidRPr="000E53A3">
              <w:rPr>
                <w:rFonts w:ascii="Arial" w:eastAsia="Arial MT" w:hAnsi="Arial" w:cs="Arial"/>
                <w:b/>
                <w:spacing w:val="-2"/>
              </w:rPr>
              <w:t>Predictor</w:t>
            </w:r>
          </w:p>
        </w:tc>
        <w:tc>
          <w:tcPr>
            <w:tcW w:w="996" w:type="dxa"/>
            <w:tcBorders>
              <w:top w:val="single" w:sz="4" w:space="0" w:color="000000"/>
              <w:bottom w:val="single" w:sz="4" w:space="0" w:color="000000"/>
            </w:tcBorders>
          </w:tcPr>
          <w:p w14:paraId="61821898" w14:textId="1B75EA52" w:rsidR="000526F9" w:rsidRPr="000E53A3" w:rsidRDefault="000526F9" w:rsidP="000C6457">
            <w:pPr>
              <w:widowControl w:val="0"/>
              <w:autoSpaceDE w:val="0"/>
              <w:autoSpaceDN w:val="0"/>
              <w:spacing w:line="271" w:lineRule="exact"/>
              <w:ind w:left="29" w:right="3"/>
              <w:jc w:val="center"/>
              <w:rPr>
                <w:rFonts w:ascii="Arial" w:eastAsia="Arial MT" w:hAnsi="Arial" w:cs="Arial"/>
                <w:b/>
              </w:rPr>
            </w:pPr>
            <w:r w:rsidRPr="000E53A3">
              <w:rPr>
                <w:rFonts w:ascii="Arial" w:eastAsia="Arial MT" w:hAnsi="Arial" w:cs="Arial"/>
                <w:b/>
                <w:spacing w:val="-10"/>
              </w:rPr>
              <w:t>R</w:t>
            </w:r>
            <w:r w:rsidR="00922E78" w:rsidRPr="00922E78">
              <w:rPr>
                <w:rFonts w:ascii="Arial" w:eastAsia="Arial MT" w:hAnsi="Arial" w:cs="Arial"/>
                <w:b/>
                <w:spacing w:val="-10"/>
                <w:vertAlign w:val="superscript"/>
              </w:rPr>
              <w:t>2</w:t>
            </w:r>
          </w:p>
        </w:tc>
        <w:tc>
          <w:tcPr>
            <w:tcW w:w="1382" w:type="dxa"/>
            <w:tcBorders>
              <w:top w:val="single" w:sz="4" w:space="0" w:color="000000"/>
              <w:bottom w:val="single" w:sz="4" w:space="0" w:color="000000"/>
            </w:tcBorders>
          </w:tcPr>
          <w:p w14:paraId="56F665B8" w14:textId="77777777" w:rsidR="000526F9" w:rsidRPr="000E53A3" w:rsidRDefault="000526F9" w:rsidP="000526F9">
            <w:pPr>
              <w:widowControl w:val="0"/>
              <w:autoSpaceDE w:val="0"/>
              <w:autoSpaceDN w:val="0"/>
              <w:spacing w:line="271" w:lineRule="exact"/>
              <w:ind w:left="2" w:right="10"/>
              <w:jc w:val="center"/>
              <w:rPr>
                <w:rFonts w:ascii="Arial" w:eastAsia="Arial MT" w:hAnsi="Arial" w:cs="Arial"/>
                <w:b/>
              </w:rPr>
            </w:pPr>
            <w:r w:rsidRPr="000E53A3">
              <w:rPr>
                <w:rFonts w:ascii="Arial" w:eastAsia="Arial MT" w:hAnsi="Arial" w:cs="Arial"/>
                <w:b/>
                <w:spacing w:val="-2"/>
              </w:rPr>
              <w:t>Coefficient</w:t>
            </w:r>
          </w:p>
        </w:tc>
        <w:tc>
          <w:tcPr>
            <w:tcW w:w="1290" w:type="dxa"/>
            <w:tcBorders>
              <w:top w:val="single" w:sz="4" w:space="0" w:color="000000"/>
              <w:bottom w:val="single" w:sz="4" w:space="0" w:color="000000"/>
            </w:tcBorders>
          </w:tcPr>
          <w:p w14:paraId="45A93044" w14:textId="77777777" w:rsidR="000526F9" w:rsidRPr="000E53A3" w:rsidRDefault="000526F9" w:rsidP="000526F9">
            <w:pPr>
              <w:widowControl w:val="0"/>
              <w:autoSpaceDE w:val="0"/>
              <w:autoSpaceDN w:val="0"/>
              <w:spacing w:before="134"/>
              <w:ind w:right="40"/>
              <w:jc w:val="center"/>
              <w:rPr>
                <w:rFonts w:ascii="Arial" w:eastAsia="Arial MT" w:hAnsi="Arial" w:cs="Arial"/>
                <w:b/>
              </w:rPr>
            </w:pPr>
            <w:r w:rsidRPr="000E53A3">
              <w:rPr>
                <w:rFonts w:ascii="Arial" w:eastAsia="Arial MT" w:hAnsi="Arial" w:cs="Arial"/>
                <w:b/>
                <w:spacing w:val="-2"/>
              </w:rPr>
              <w:t>Sig.(p)</w:t>
            </w:r>
          </w:p>
        </w:tc>
        <w:tc>
          <w:tcPr>
            <w:tcW w:w="2069" w:type="dxa"/>
            <w:tcBorders>
              <w:top w:val="single" w:sz="4" w:space="0" w:color="000000"/>
              <w:bottom w:val="single" w:sz="4" w:space="0" w:color="000000"/>
            </w:tcBorders>
          </w:tcPr>
          <w:p w14:paraId="06AD742D" w14:textId="77777777" w:rsidR="000526F9" w:rsidRPr="000E53A3" w:rsidRDefault="000526F9" w:rsidP="000526F9">
            <w:pPr>
              <w:widowControl w:val="0"/>
              <w:autoSpaceDE w:val="0"/>
              <w:autoSpaceDN w:val="0"/>
              <w:spacing w:before="134"/>
              <w:ind w:right="27"/>
              <w:jc w:val="center"/>
              <w:rPr>
                <w:rFonts w:ascii="Arial" w:eastAsia="Arial MT" w:hAnsi="Arial" w:cs="Arial"/>
                <w:b/>
              </w:rPr>
            </w:pPr>
            <w:r w:rsidRPr="000E53A3">
              <w:rPr>
                <w:rFonts w:ascii="Arial" w:eastAsia="Arial MT" w:hAnsi="Arial" w:cs="Arial"/>
                <w:b/>
                <w:spacing w:val="-2"/>
              </w:rPr>
              <w:t>Interpretation</w:t>
            </w:r>
          </w:p>
        </w:tc>
      </w:tr>
      <w:tr w:rsidR="000526F9" w:rsidRPr="000526F9" w14:paraId="67D48946" w14:textId="77777777" w:rsidTr="000526F9">
        <w:trPr>
          <w:trHeight w:val="283"/>
        </w:trPr>
        <w:tc>
          <w:tcPr>
            <w:tcW w:w="2465" w:type="dxa"/>
            <w:tcBorders>
              <w:top w:val="single" w:sz="4" w:space="0" w:color="000000"/>
            </w:tcBorders>
          </w:tcPr>
          <w:p w14:paraId="2ED63A4E" w14:textId="77777777" w:rsidR="000526F9" w:rsidRPr="000E53A3" w:rsidRDefault="000526F9" w:rsidP="000526F9">
            <w:pPr>
              <w:widowControl w:val="0"/>
              <w:autoSpaceDE w:val="0"/>
              <w:autoSpaceDN w:val="0"/>
              <w:spacing w:line="255" w:lineRule="exact"/>
              <w:ind w:left="26" w:right="5"/>
              <w:jc w:val="center"/>
              <w:rPr>
                <w:rFonts w:ascii="Arial" w:eastAsia="Arial MT" w:hAnsi="Arial" w:cs="Arial"/>
              </w:rPr>
            </w:pPr>
            <w:r w:rsidRPr="000E53A3">
              <w:rPr>
                <w:rFonts w:ascii="Arial" w:eastAsia="Arial MT" w:hAnsi="Arial" w:cs="Arial"/>
              </w:rPr>
              <w:t>Type</w:t>
            </w:r>
            <w:r w:rsidRPr="000E53A3">
              <w:rPr>
                <w:rFonts w:ascii="Arial" w:eastAsia="Arial MT" w:hAnsi="Arial" w:cs="Arial"/>
                <w:spacing w:val="-11"/>
              </w:rPr>
              <w:t xml:space="preserve"> </w:t>
            </w:r>
            <w:r w:rsidRPr="000E53A3">
              <w:rPr>
                <w:rFonts w:ascii="Arial" w:eastAsia="Arial MT" w:hAnsi="Arial" w:cs="Arial"/>
              </w:rPr>
              <w:t>of</w:t>
            </w:r>
            <w:r w:rsidRPr="000E53A3">
              <w:rPr>
                <w:rFonts w:ascii="Arial" w:eastAsia="Arial MT" w:hAnsi="Arial" w:cs="Arial"/>
                <w:spacing w:val="-8"/>
              </w:rPr>
              <w:t xml:space="preserve"> </w:t>
            </w:r>
            <w:r w:rsidRPr="000E53A3">
              <w:rPr>
                <w:rFonts w:ascii="Arial" w:eastAsia="Arial MT" w:hAnsi="Arial" w:cs="Arial"/>
                <w:spacing w:val="-2"/>
              </w:rPr>
              <w:t>School</w:t>
            </w:r>
          </w:p>
        </w:tc>
        <w:tc>
          <w:tcPr>
            <w:tcW w:w="996" w:type="dxa"/>
            <w:tcBorders>
              <w:top w:val="single" w:sz="4" w:space="0" w:color="000000"/>
            </w:tcBorders>
          </w:tcPr>
          <w:p w14:paraId="6B879714" w14:textId="77777777" w:rsidR="000526F9" w:rsidRPr="000E53A3" w:rsidRDefault="000526F9" w:rsidP="000526F9">
            <w:pPr>
              <w:widowControl w:val="0"/>
              <w:autoSpaceDE w:val="0"/>
              <w:autoSpaceDN w:val="0"/>
              <w:rPr>
                <w:rFonts w:ascii="Arial" w:eastAsia="Arial MT" w:hAnsi="Arial" w:cs="Arial"/>
              </w:rPr>
            </w:pPr>
          </w:p>
        </w:tc>
        <w:tc>
          <w:tcPr>
            <w:tcW w:w="1382" w:type="dxa"/>
            <w:tcBorders>
              <w:top w:val="single" w:sz="4" w:space="0" w:color="000000"/>
            </w:tcBorders>
          </w:tcPr>
          <w:p w14:paraId="4BBBC4D0" w14:textId="77777777" w:rsidR="000526F9" w:rsidRPr="000E53A3" w:rsidRDefault="000526F9" w:rsidP="000526F9">
            <w:pPr>
              <w:widowControl w:val="0"/>
              <w:autoSpaceDE w:val="0"/>
              <w:autoSpaceDN w:val="0"/>
              <w:spacing w:line="255" w:lineRule="exact"/>
              <w:ind w:right="10"/>
              <w:jc w:val="center"/>
              <w:rPr>
                <w:rFonts w:ascii="Arial" w:eastAsia="Arial MT" w:hAnsi="Arial" w:cs="Arial"/>
              </w:rPr>
            </w:pPr>
            <w:r w:rsidRPr="000E53A3">
              <w:rPr>
                <w:rFonts w:ascii="Arial" w:eastAsia="Arial MT" w:hAnsi="Arial" w:cs="Arial"/>
                <w:spacing w:val="-2"/>
              </w:rPr>
              <w:t>-2.742</w:t>
            </w:r>
          </w:p>
        </w:tc>
        <w:tc>
          <w:tcPr>
            <w:tcW w:w="1290" w:type="dxa"/>
            <w:tcBorders>
              <w:top w:val="single" w:sz="4" w:space="0" w:color="000000"/>
            </w:tcBorders>
          </w:tcPr>
          <w:p w14:paraId="7D7A44CA" w14:textId="77777777" w:rsidR="000526F9" w:rsidRPr="000E53A3" w:rsidRDefault="000526F9" w:rsidP="000526F9">
            <w:pPr>
              <w:widowControl w:val="0"/>
              <w:autoSpaceDE w:val="0"/>
              <w:autoSpaceDN w:val="0"/>
              <w:spacing w:line="255" w:lineRule="exact"/>
              <w:ind w:left="1" w:right="40"/>
              <w:jc w:val="center"/>
              <w:rPr>
                <w:rFonts w:ascii="Arial" w:eastAsia="Arial MT" w:hAnsi="Arial" w:cs="Arial"/>
              </w:rPr>
            </w:pPr>
            <w:r w:rsidRPr="000E53A3">
              <w:rPr>
                <w:rFonts w:ascii="Arial" w:eastAsia="Arial MT" w:hAnsi="Arial" w:cs="Arial"/>
                <w:spacing w:val="-2"/>
              </w:rPr>
              <w:t>0.016*</w:t>
            </w:r>
          </w:p>
        </w:tc>
        <w:tc>
          <w:tcPr>
            <w:tcW w:w="2069" w:type="dxa"/>
            <w:tcBorders>
              <w:top w:val="single" w:sz="4" w:space="0" w:color="000000"/>
            </w:tcBorders>
          </w:tcPr>
          <w:p w14:paraId="56ADE26E" w14:textId="77777777" w:rsidR="000526F9" w:rsidRPr="000E53A3" w:rsidRDefault="000526F9" w:rsidP="000526F9">
            <w:pPr>
              <w:widowControl w:val="0"/>
              <w:autoSpaceDE w:val="0"/>
              <w:autoSpaceDN w:val="0"/>
              <w:spacing w:line="255" w:lineRule="exact"/>
              <w:ind w:left="1" w:right="27"/>
              <w:jc w:val="center"/>
              <w:rPr>
                <w:rFonts w:ascii="Arial" w:eastAsia="Arial MT" w:hAnsi="Arial" w:cs="Arial"/>
              </w:rPr>
            </w:pPr>
            <w:r w:rsidRPr="000E53A3">
              <w:rPr>
                <w:rFonts w:ascii="Arial" w:eastAsia="Arial MT" w:hAnsi="Arial" w:cs="Arial"/>
                <w:spacing w:val="-2"/>
              </w:rPr>
              <w:t>Significant</w:t>
            </w:r>
          </w:p>
        </w:tc>
      </w:tr>
      <w:tr w:rsidR="000526F9" w:rsidRPr="000526F9" w14:paraId="537B97A6" w14:textId="77777777" w:rsidTr="000526F9">
        <w:trPr>
          <w:trHeight w:val="284"/>
        </w:trPr>
        <w:tc>
          <w:tcPr>
            <w:tcW w:w="2465" w:type="dxa"/>
          </w:tcPr>
          <w:p w14:paraId="5FA3312C" w14:textId="77777777" w:rsidR="000526F9" w:rsidRPr="000E53A3" w:rsidRDefault="000526F9" w:rsidP="000526F9">
            <w:pPr>
              <w:widowControl w:val="0"/>
              <w:autoSpaceDE w:val="0"/>
              <w:autoSpaceDN w:val="0"/>
              <w:spacing w:line="256" w:lineRule="exact"/>
              <w:ind w:left="26" w:right="4"/>
              <w:jc w:val="center"/>
              <w:rPr>
                <w:rFonts w:ascii="Arial" w:eastAsia="Arial MT" w:hAnsi="Arial" w:cs="Arial"/>
              </w:rPr>
            </w:pPr>
            <w:r w:rsidRPr="000E53A3">
              <w:rPr>
                <w:rFonts w:ascii="Arial" w:eastAsia="Arial MT" w:hAnsi="Arial" w:cs="Arial"/>
              </w:rPr>
              <w:t>Academic</w:t>
            </w:r>
            <w:r w:rsidRPr="000E53A3">
              <w:rPr>
                <w:rFonts w:ascii="Arial" w:eastAsia="Arial MT" w:hAnsi="Arial" w:cs="Arial"/>
                <w:spacing w:val="-2"/>
              </w:rPr>
              <w:t xml:space="preserve"> Program</w:t>
            </w:r>
          </w:p>
        </w:tc>
        <w:tc>
          <w:tcPr>
            <w:tcW w:w="996" w:type="dxa"/>
          </w:tcPr>
          <w:p w14:paraId="12A250A9" w14:textId="7A46E09F" w:rsidR="000526F9" w:rsidRPr="000E53A3" w:rsidRDefault="000526F9" w:rsidP="000526F9">
            <w:pPr>
              <w:widowControl w:val="0"/>
              <w:autoSpaceDE w:val="0"/>
              <w:autoSpaceDN w:val="0"/>
              <w:spacing w:line="256" w:lineRule="exact"/>
              <w:ind w:left="309"/>
              <w:rPr>
                <w:rFonts w:ascii="Arial" w:eastAsia="Arial MT" w:hAnsi="Arial" w:cs="Arial"/>
              </w:rPr>
            </w:pPr>
            <w:r w:rsidRPr="000E53A3">
              <w:rPr>
                <w:rFonts w:ascii="Arial" w:eastAsia="Arial MT" w:hAnsi="Arial" w:cs="Arial"/>
                <w:spacing w:val="-4"/>
              </w:rPr>
              <w:t>.10</w:t>
            </w:r>
          </w:p>
        </w:tc>
        <w:tc>
          <w:tcPr>
            <w:tcW w:w="1382" w:type="dxa"/>
          </w:tcPr>
          <w:p w14:paraId="77FD178B" w14:textId="77777777" w:rsidR="000526F9" w:rsidRPr="000E53A3" w:rsidRDefault="000526F9" w:rsidP="000526F9">
            <w:pPr>
              <w:widowControl w:val="0"/>
              <w:autoSpaceDE w:val="0"/>
              <w:autoSpaceDN w:val="0"/>
              <w:spacing w:line="256" w:lineRule="exact"/>
              <w:ind w:right="10"/>
              <w:jc w:val="center"/>
              <w:rPr>
                <w:rFonts w:ascii="Arial" w:eastAsia="Arial MT" w:hAnsi="Arial" w:cs="Arial"/>
              </w:rPr>
            </w:pPr>
            <w:r w:rsidRPr="000E53A3">
              <w:rPr>
                <w:rFonts w:ascii="Arial" w:eastAsia="Arial MT" w:hAnsi="Arial" w:cs="Arial"/>
                <w:spacing w:val="-2"/>
              </w:rPr>
              <w:t>-5.616</w:t>
            </w:r>
          </w:p>
        </w:tc>
        <w:tc>
          <w:tcPr>
            <w:tcW w:w="1290" w:type="dxa"/>
          </w:tcPr>
          <w:p w14:paraId="437D1985" w14:textId="77777777" w:rsidR="000526F9" w:rsidRPr="000E53A3" w:rsidRDefault="000526F9" w:rsidP="000526F9">
            <w:pPr>
              <w:widowControl w:val="0"/>
              <w:autoSpaceDE w:val="0"/>
              <w:autoSpaceDN w:val="0"/>
              <w:spacing w:line="256" w:lineRule="exact"/>
              <w:ind w:left="2" w:right="40"/>
              <w:jc w:val="center"/>
              <w:rPr>
                <w:rFonts w:ascii="Arial" w:eastAsia="Arial MT" w:hAnsi="Arial" w:cs="Arial"/>
              </w:rPr>
            </w:pPr>
            <w:r w:rsidRPr="000E53A3">
              <w:rPr>
                <w:rFonts w:ascii="Arial" w:eastAsia="Arial MT" w:hAnsi="Arial" w:cs="Arial"/>
              </w:rPr>
              <w:t>&lt;</w:t>
            </w:r>
            <w:r w:rsidRPr="000E53A3">
              <w:rPr>
                <w:rFonts w:ascii="Arial" w:eastAsia="Arial MT" w:hAnsi="Arial" w:cs="Arial"/>
                <w:spacing w:val="-3"/>
              </w:rPr>
              <w:t xml:space="preserve"> </w:t>
            </w:r>
            <w:r w:rsidRPr="000E53A3">
              <w:rPr>
                <w:rFonts w:ascii="Arial" w:eastAsia="Arial MT" w:hAnsi="Arial" w:cs="Arial"/>
                <w:spacing w:val="-2"/>
              </w:rPr>
              <w:t>0.001***</w:t>
            </w:r>
          </w:p>
        </w:tc>
        <w:tc>
          <w:tcPr>
            <w:tcW w:w="2069" w:type="dxa"/>
          </w:tcPr>
          <w:p w14:paraId="3148DE0E" w14:textId="77777777" w:rsidR="000526F9" w:rsidRPr="000E53A3" w:rsidRDefault="000526F9" w:rsidP="000526F9">
            <w:pPr>
              <w:widowControl w:val="0"/>
              <w:autoSpaceDE w:val="0"/>
              <w:autoSpaceDN w:val="0"/>
              <w:spacing w:line="256" w:lineRule="exact"/>
              <w:ind w:right="27"/>
              <w:jc w:val="center"/>
              <w:rPr>
                <w:rFonts w:ascii="Arial" w:eastAsia="Arial MT" w:hAnsi="Arial" w:cs="Arial"/>
              </w:rPr>
            </w:pPr>
            <w:r w:rsidRPr="000E53A3">
              <w:rPr>
                <w:rFonts w:ascii="Arial" w:eastAsia="Arial MT" w:hAnsi="Arial" w:cs="Arial"/>
              </w:rPr>
              <w:t>Highly</w:t>
            </w:r>
            <w:r w:rsidRPr="000E53A3">
              <w:rPr>
                <w:rFonts w:ascii="Arial" w:eastAsia="Arial MT" w:hAnsi="Arial" w:cs="Arial"/>
                <w:spacing w:val="-6"/>
              </w:rPr>
              <w:t xml:space="preserve"> </w:t>
            </w:r>
            <w:r w:rsidRPr="000E53A3">
              <w:rPr>
                <w:rFonts w:ascii="Arial" w:eastAsia="Arial MT" w:hAnsi="Arial" w:cs="Arial"/>
                <w:spacing w:val="-2"/>
              </w:rPr>
              <w:t>Significant</w:t>
            </w:r>
          </w:p>
        </w:tc>
      </w:tr>
      <w:tr w:rsidR="000526F9" w:rsidRPr="000526F9" w14:paraId="61EB8481" w14:textId="77777777" w:rsidTr="000526F9">
        <w:trPr>
          <w:trHeight w:val="284"/>
        </w:trPr>
        <w:tc>
          <w:tcPr>
            <w:tcW w:w="2465" w:type="dxa"/>
            <w:tcBorders>
              <w:bottom w:val="single" w:sz="4" w:space="0" w:color="000000"/>
            </w:tcBorders>
          </w:tcPr>
          <w:p w14:paraId="4775AFF8" w14:textId="77777777" w:rsidR="000526F9" w:rsidRPr="000E53A3" w:rsidRDefault="000526F9" w:rsidP="000526F9">
            <w:pPr>
              <w:widowControl w:val="0"/>
              <w:autoSpaceDE w:val="0"/>
              <w:autoSpaceDN w:val="0"/>
              <w:spacing w:line="256" w:lineRule="exact"/>
              <w:ind w:left="26" w:right="1"/>
              <w:jc w:val="center"/>
              <w:rPr>
                <w:rFonts w:ascii="Arial" w:eastAsia="Arial MT" w:hAnsi="Arial" w:cs="Arial"/>
              </w:rPr>
            </w:pPr>
            <w:r w:rsidRPr="000E53A3">
              <w:rPr>
                <w:rFonts w:ascii="Arial" w:eastAsia="Arial MT" w:hAnsi="Arial" w:cs="Arial"/>
              </w:rPr>
              <w:t>Area</w:t>
            </w:r>
            <w:r w:rsidRPr="000E53A3">
              <w:rPr>
                <w:rFonts w:ascii="Arial" w:eastAsia="Arial MT" w:hAnsi="Arial" w:cs="Arial"/>
                <w:spacing w:val="-2"/>
              </w:rPr>
              <w:t xml:space="preserve"> </w:t>
            </w:r>
            <w:r w:rsidRPr="000E53A3">
              <w:rPr>
                <w:rFonts w:ascii="Arial" w:eastAsia="Arial MT" w:hAnsi="Arial" w:cs="Arial"/>
              </w:rPr>
              <w:t>of</w:t>
            </w:r>
            <w:r w:rsidRPr="000E53A3">
              <w:rPr>
                <w:rFonts w:ascii="Arial" w:eastAsia="Arial MT" w:hAnsi="Arial" w:cs="Arial"/>
                <w:spacing w:val="-1"/>
              </w:rPr>
              <w:t xml:space="preserve"> </w:t>
            </w:r>
            <w:r w:rsidRPr="000E53A3">
              <w:rPr>
                <w:rFonts w:ascii="Arial" w:eastAsia="Arial MT" w:hAnsi="Arial" w:cs="Arial"/>
                <w:spacing w:val="-2"/>
              </w:rPr>
              <w:t>Specialization</w:t>
            </w:r>
          </w:p>
        </w:tc>
        <w:tc>
          <w:tcPr>
            <w:tcW w:w="996" w:type="dxa"/>
            <w:tcBorders>
              <w:bottom w:val="single" w:sz="4" w:space="0" w:color="000000"/>
            </w:tcBorders>
          </w:tcPr>
          <w:p w14:paraId="08EC8FD1" w14:textId="77777777" w:rsidR="000526F9" w:rsidRPr="000E53A3" w:rsidRDefault="000526F9" w:rsidP="000526F9">
            <w:pPr>
              <w:widowControl w:val="0"/>
              <w:autoSpaceDE w:val="0"/>
              <w:autoSpaceDN w:val="0"/>
              <w:rPr>
                <w:rFonts w:ascii="Arial" w:eastAsia="Arial MT" w:hAnsi="Arial" w:cs="Arial"/>
              </w:rPr>
            </w:pPr>
          </w:p>
        </w:tc>
        <w:tc>
          <w:tcPr>
            <w:tcW w:w="1382" w:type="dxa"/>
            <w:tcBorders>
              <w:bottom w:val="single" w:sz="4" w:space="0" w:color="000000"/>
            </w:tcBorders>
          </w:tcPr>
          <w:p w14:paraId="76560CC7" w14:textId="77777777" w:rsidR="000526F9" w:rsidRPr="000E53A3" w:rsidRDefault="000526F9" w:rsidP="000526F9">
            <w:pPr>
              <w:widowControl w:val="0"/>
              <w:autoSpaceDE w:val="0"/>
              <w:autoSpaceDN w:val="0"/>
              <w:spacing w:line="256" w:lineRule="exact"/>
              <w:ind w:left="1" w:right="10"/>
              <w:jc w:val="center"/>
              <w:rPr>
                <w:rFonts w:ascii="Arial" w:eastAsia="Arial MT" w:hAnsi="Arial" w:cs="Arial"/>
              </w:rPr>
            </w:pPr>
            <w:r w:rsidRPr="000E53A3">
              <w:rPr>
                <w:rFonts w:ascii="Arial" w:eastAsia="Arial MT" w:hAnsi="Arial" w:cs="Arial"/>
                <w:spacing w:val="-2"/>
              </w:rPr>
              <w:t>-</w:t>
            </w:r>
            <w:r w:rsidRPr="000E53A3">
              <w:rPr>
                <w:rFonts w:ascii="Arial" w:eastAsia="Arial MT" w:hAnsi="Arial" w:cs="Arial"/>
                <w:spacing w:val="-4"/>
              </w:rPr>
              <w:t>.164</w:t>
            </w:r>
          </w:p>
        </w:tc>
        <w:tc>
          <w:tcPr>
            <w:tcW w:w="1290" w:type="dxa"/>
            <w:tcBorders>
              <w:bottom w:val="single" w:sz="4" w:space="0" w:color="000000"/>
            </w:tcBorders>
          </w:tcPr>
          <w:p w14:paraId="5E3535E9" w14:textId="77777777" w:rsidR="000526F9" w:rsidRPr="000E53A3" w:rsidRDefault="000526F9" w:rsidP="000526F9">
            <w:pPr>
              <w:widowControl w:val="0"/>
              <w:autoSpaceDE w:val="0"/>
              <w:autoSpaceDN w:val="0"/>
              <w:spacing w:line="256" w:lineRule="exact"/>
              <w:ind w:left="3" w:right="40"/>
              <w:jc w:val="center"/>
              <w:rPr>
                <w:rFonts w:ascii="Arial" w:eastAsia="Arial MT" w:hAnsi="Arial" w:cs="Arial"/>
              </w:rPr>
            </w:pPr>
            <w:r w:rsidRPr="000E53A3">
              <w:rPr>
                <w:rFonts w:ascii="Arial" w:eastAsia="Arial MT" w:hAnsi="Arial" w:cs="Arial"/>
                <w:spacing w:val="-2"/>
              </w:rPr>
              <w:t>0.537</w:t>
            </w:r>
          </w:p>
        </w:tc>
        <w:tc>
          <w:tcPr>
            <w:tcW w:w="2069" w:type="dxa"/>
            <w:tcBorders>
              <w:bottom w:val="single" w:sz="4" w:space="0" w:color="000000"/>
            </w:tcBorders>
          </w:tcPr>
          <w:p w14:paraId="3A622328" w14:textId="77777777" w:rsidR="000526F9" w:rsidRPr="000E53A3" w:rsidRDefault="000526F9" w:rsidP="000526F9">
            <w:pPr>
              <w:widowControl w:val="0"/>
              <w:autoSpaceDE w:val="0"/>
              <w:autoSpaceDN w:val="0"/>
              <w:spacing w:line="256" w:lineRule="exact"/>
              <w:ind w:left="1" w:right="27"/>
              <w:jc w:val="center"/>
              <w:rPr>
                <w:rFonts w:ascii="Arial" w:eastAsia="Arial MT" w:hAnsi="Arial" w:cs="Arial"/>
              </w:rPr>
            </w:pPr>
            <w:r w:rsidRPr="000E53A3">
              <w:rPr>
                <w:rFonts w:ascii="Arial" w:eastAsia="Arial MT" w:hAnsi="Arial" w:cs="Arial"/>
              </w:rPr>
              <w:t>Not</w:t>
            </w:r>
            <w:r w:rsidRPr="000E53A3">
              <w:rPr>
                <w:rFonts w:ascii="Arial" w:eastAsia="Arial MT" w:hAnsi="Arial" w:cs="Arial"/>
                <w:spacing w:val="-2"/>
              </w:rPr>
              <w:t xml:space="preserve"> Significant</w:t>
            </w:r>
          </w:p>
        </w:tc>
      </w:tr>
    </w:tbl>
    <w:p w14:paraId="30F3FF3C" w14:textId="24EFD872" w:rsidR="00BC62DA" w:rsidRPr="000526F9" w:rsidRDefault="000526F9" w:rsidP="00441B6F">
      <w:pPr>
        <w:pStyle w:val="Body"/>
        <w:spacing w:after="0"/>
        <w:rPr>
          <w:rFonts w:ascii="Arial" w:eastAsia="Arial MT" w:hAnsi="Arial MT" w:cs="Arial MT"/>
          <w:i/>
          <w:spacing w:val="-2"/>
          <w:sz w:val="16"/>
          <w:szCs w:val="16"/>
        </w:rPr>
      </w:pPr>
      <w:r w:rsidRPr="000526F9">
        <w:rPr>
          <w:rFonts w:ascii="Arial" w:eastAsia="Arial MT" w:hAnsi="Arial MT" w:cs="Arial MT"/>
          <w:i/>
          <w:sz w:val="16"/>
          <w:szCs w:val="16"/>
        </w:rPr>
        <w:t>*Significant</w:t>
      </w:r>
      <w:r w:rsidRPr="000526F9">
        <w:rPr>
          <w:rFonts w:ascii="Arial" w:eastAsia="Arial MT" w:hAnsi="Arial MT" w:cs="Arial MT"/>
          <w:i/>
          <w:spacing w:val="-9"/>
          <w:sz w:val="16"/>
          <w:szCs w:val="16"/>
        </w:rPr>
        <w:t xml:space="preserve"> </w:t>
      </w:r>
      <w:r w:rsidRPr="000526F9">
        <w:rPr>
          <w:rFonts w:ascii="Arial" w:eastAsia="Arial MT" w:hAnsi="Arial MT" w:cs="Arial MT"/>
          <w:i/>
          <w:sz w:val="16"/>
          <w:szCs w:val="16"/>
        </w:rPr>
        <w:t>at</w:t>
      </w:r>
      <w:r w:rsidRPr="000526F9">
        <w:rPr>
          <w:rFonts w:ascii="Arial" w:eastAsia="Arial MT" w:hAnsi="Arial MT" w:cs="Arial MT"/>
          <w:i/>
          <w:spacing w:val="-9"/>
          <w:sz w:val="16"/>
          <w:szCs w:val="16"/>
        </w:rPr>
        <w:t xml:space="preserve"> </w:t>
      </w:r>
      <w:r w:rsidRPr="000526F9">
        <w:rPr>
          <w:rFonts w:ascii="Arial" w:eastAsia="Arial MT" w:hAnsi="Arial MT" w:cs="Arial MT"/>
          <w:i/>
          <w:sz w:val="16"/>
          <w:szCs w:val="16"/>
        </w:rPr>
        <w:t>p-value</w:t>
      </w:r>
      <w:r w:rsidRPr="000526F9">
        <w:rPr>
          <w:rFonts w:ascii="Arial" w:eastAsia="Arial MT" w:hAnsi="Arial MT" w:cs="Arial MT"/>
          <w:i/>
          <w:spacing w:val="-8"/>
          <w:sz w:val="16"/>
          <w:szCs w:val="16"/>
        </w:rPr>
        <w:t xml:space="preserve"> </w:t>
      </w:r>
      <w:r w:rsidR="00383467">
        <w:rPr>
          <w:rFonts w:ascii="Arial" w:eastAsia="Arial MT" w:hAnsi="Arial MT" w:cs="Arial MT"/>
          <w:i/>
          <w:spacing w:val="-8"/>
          <w:sz w:val="16"/>
          <w:szCs w:val="16"/>
        </w:rPr>
        <w:t>=</w:t>
      </w:r>
      <w:r w:rsidRPr="000526F9">
        <w:rPr>
          <w:rFonts w:ascii="Arial" w:eastAsia="Arial MT" w:hAnsi="Arial MT" w:cs="Arial MT"/>
          <w:i/>
          <w:spacing w:val="-4"/>
          <w:sz w:val="16"/>
          <w:szCs w:val="16"/>
        </w:rPr>
        <w:t>0.05</w:t>
      </w:r>
      <w:r w:rsidRPr="000526F9">
        <w:rPr>
          <w:rFonts w:ascii="Arial" w:eastAsia="Arial MT" w:hAnsi="Arial MT" w:cs="Arial MT"/>
          <w:i/>
          <w:sz w:val="16"/>
          <w:szCs w:val="16"/>
        </w:rPr>
        <w:tab/>
        <w:t>***Highly</w:t>
      </w:r>
      <w:r w:rsidRPr="000526F9">
        <w:rPr>
          <w:rFonts w:ascii="Arial" w:eastAsia="Arial MT" w:hAnsi="Arial MT" w:cs="Arial MT"/>
          <w:i/>
          <w:spacing w:val="-7"/>
          <w:sz w:val="16"/>
          <w:szCs w:val="16"/>
        </w:rPr>
        <w:t xml:space="preserve"> </w:t>
      </w:r>
      <w:r w:rsidRPr="000526F9">
        <w:rPr>
          <w:rFonts w:ascii="Arial" w:eastAsia="Arial MT" w:hAnsi="Arial MT" w:cs="Arial MT"/>
          <w:i/>
          <w:sz w:val="16"/>
          <w:szCs w:val="16"/>
        </w:rPr>
        <w:t>Significant</w:t>
      </w:r>
      <w:r w:rsidRPr="000526F9">
        <w:rPr>
          <w:rFonts w:ascii="Arial" w:eastAsia="Arial MT" w:hAnsi="Arial MT" w:cs="Arial MT"/>
          <w:i/>
          <w:spacing w:val="-9"/>
          <w:sz w:val="16"/>
          <w:szCs w:val="16"/>
        </w:rPr>
        <w:t xml:space="preserve"> </w:t>
      </w:r>
      <w:r w:rsidRPr="000526F9">
        <w:rPr>
          <w:rFonts w:ascii="Arial" w:eastAsia="Arial MT" w:hAnsi="Arial MT" w:cs="Arial MT"/>
          <w:i/>
          <w:sz w:val="16"/>
          <w:szCs w:val="16"/>
        </w:rPr>
        <w:t>at</w:t>
      </w:r>
      <w:r w:rsidRPr="000526F9">
        <w:rPr>
          <w:rFonts w:ascii="Arial" w:eastAsia="Arial MT" w:hAnsi="Arial MT" w:cs="Arial MT"/>
          <w:i/>
          <w:spacing w:val="-8"/>
          <w:sz w:val="16"/>
          <w:szCs w:val="16"/>
        </w:rPr>
        <w:t xml:space="preserve"> </w:t>
      </w:r>
      <w:r w:rsidRPr="000526F9">
        <w:rPr>
          <w:rFonts w:ascii="Arial" w:eastAsia="Arial MT" w:hAnsi="Arial MT" w:cs="Arial MT"/>
          <w:i/>
          <w:sz w:val="16"/>
          <w:szCs w:val="16"/>
        </w:rPr>
        <w:t>p-value</w:t>
      </w:r>
      <w:r w:rsidRPr="000526F9">
        <w:rPr>
          <w:rFonts w:ascii="Arial" w:eastAsia="Arial MT" w:hAnsi="Arial MT" w:cs="Arial MT"/>
          <w:i/>
          <w:spacing w:val="-8"/>
          <w:sz w:val="16"/>
          <w:szCs w:val="16"/>
        </w:rPr>
        <w:t xml:space="preserve"> </w:t>
      </w:r>
      <w:r w:rsidRPr="000526F9">
        <w:rPr>
          <w:rFonts w:ascii="Arial" w:eastAsia="Arial MT" w:hAnsi="Arial MT" w:cs="Arial MT"/>
          <w:i/>
          <w:spacing w:val="-2"/>
          <w:sz w:val="16"/>
          <w:szCs w:val="16"/>
        </w:rPr>
        <w:t>&lt;&lt;0.001</w:t>
      </w:r>
      <w:r w:rsidR="006919F3">
        <w:rPr>
          <w:rFonts w:ascii="Arial" w:eastAsia="Arial MT" w:hAnsi="Arial MT" w:cs="Arial MT"/>
          <w:i/>
          <w:spacing w:val="-2"/>
          <w:sz w:val="16"/>
          <w:szCs w:val="16"/>
        </w:rPr>
        <w:t xml:space="preserve"> F value = 12.73</w:t>
      </w:r>
    </w:p>
    <w:p w14:paraId="156A1D6A" w14:textId="77777777" w:rsidR="000526F9" w:rsidRDefault="000526F9" w:rsidP="00441B6F">
      <w:pPr>
        <w:pStyle w:val="Body"/>
        <w:spacing w:after="0"/>
        <w:rPr>
          <w:rFonts w:ascii="Arial" w:hAnsi="Arial" w:cs="Arial"/>
        </w:rPr>
      </w:pPr>
    </w:p>
    <w:p w14:paraId="6E62BBC2" w14:textId="633BFA66" w:rsidR="008F1D8B" w:rsidRPr="00D55237" w:rsidRDefault="008F1D8B" w:rsidP="00F42019">
      <w:pPr>
        <w:pStyle w:val="Body"/>
        <w:ind w:firstLine="720"/>
        <w:rPr>
          <w:rFonts w:ascii="Arial" w:hAnsi="Arial" w:cs="Arial"/>
        </w:rPr>
      </w:pPr>
      <w:r w:rsidRPr="008F1D8B">
        <w:rPr>
          <w:rFonts w:ascii="Arial" w:hAnsi="Arial" w:cs="Arial"/>
        </w:rPr>
        <w:t xml:space="preserve">While some specializations may perform better in specific sections of the exam, the findings suggest that specialization alone does not strongly predict overall exam performance when evaluated alongside the type of school and academic program. </w:t>
      </w:r>
      <w:r w:rsidR="001D0362" w:rsidRPr="00D55237">
        <w:rPr>
          <w:rFonts w:ascii="Arial" w:hAnsi="Arial" w:cs="Arial"/>
        </w:rPr>
        <w:t xml:space="preserve">This supports the idea that curricular alignment and institutional training may have a more substantial influence on licensure outcomes than the subject area alone. </w:t>
      </w:r>
      <w:r w:rsidRPr="00D55237">
        <w:rPr>
          <w:rFonts w:ascii="Arial" w:hAnsi="Arial" w:cs="Arial"/>
        </w:rPr>
        <w:t xml:space="preserve">Abao, </w:t>
      </w:r>
      <w:r w:rsidR="00E40E48">
        <w:rPr>
          <w:rFonts w:ascii="Arial" w:hAnsi="Arial" w:cs="Arial"/>
        </w:rPr>
        <w:t xml:space="preserve">et.al </w:t>
      </w:r>
      <w:r w:rsidRPr="00D55237">
        <w:rPr>
          <w:rFonts w:ascii="Arial" w:hAnsi="Arial" w:cs="Arial"/>
        </w:rPr>
        <w:t xml:space="preserve">(2023) pointed out that the LEPT includes three sets of tests for secondary level aspiring professionals, each covering a wide variety of topics across eight different specializations. </w:t>
      </w:r>
      <w:r w:rsidR="001D0362" w:rsidRPr="00D55237">
        <w:t>This structure naturally results in varying performance levels across the different test components</w:t>
      </w:r>
      <w:r w:rsidRPr="00D55237">
        <w:rPr>
          <w:rFonts w:ascii="Arial" w:hAnsi="Arial" w:cs="Arial"/>
        </w:rPr>
        <w:t>.</w:t>
      </w:r>
      <w:r w:rsidR="00AB4F0A">
        <w:rPr>
          <w:rFonts w:ascii="Arial" w:hAnsi="Arial" w:cs="Arial"/>
        </w:rPr>
        <w:t xml:space="preserve"> </w:t>
      </w:r>
      <w:proofErr w:type="spellStart"/>
      <w:r w:rsidRPr="00D55237">
        <w:rPr>
          <w:rFonts w:ascii="Arial" w:hAnsi="Arial" w:cs="Arial"/>
        </w:rPr>
        <w:t>BSEd</w:t>
      </w:r>
      <w:proofErr w:type="spellEnd"/>
      <w:r w:rsidRPr="00D55237">
        <w:rPr>
          <w:rFonts w:ascii="Arial" w:hAnsi="Arial" w:cs="Arial"/>
        </w:rPr>
        <w:t xml:space="preserve"> graduates, </w:t>
      </w:r>
      <w:r w:rsidR="001D0362" w:rsidRPr="00D55237">
        <w:rPr>
          <w:rFonts w:ascii="Arial" w:hAnsi="Arial" w:cs="Arial"/>
        </w:rPr>
        <w:t xml:space="preserve">may perform better in General Education, as </w:t>
      </w:r>
      <w:r w:rsidRPr="00D55237">
        <w:rPr>
          <w:rFonts w:ascii="Arial" w:hAnsi="Arial" w:cs="Arial"/>
        </w:rPr>
        <w:t xml:space="preserve">their specialization </w:t>
      </w:r>
      <w:r w:rsidR="001D0362" w:rsidRPr="00D55237">
        <w:t>helps reinforce foundational knowledge.</w:t>
      </w:r>
      <w:r w:rsidRPr="00D55237">
        <w:rPr>
          <w:rFonts w:ascii="Arial" w:hAnsi="Arial" w:cs="Arial"/>
        </w:rPr>
        <w:t xml:space="preserve"> Additionally, the hands-on teaching experience they gained through practice-based learning likely made a big difference in the Professional Education section, as they were able to apply what they learned in their coursework to the test.</w:t>
      </w:r>
    </w:p>
    <w:p w14:paraId="5FC219B9" w14:textId="3CE38B64" w:rsidR="00640DB9" w:rsidRPr="00D55237" w:rsidRDefault="00640DB9" w:rsidP="000415A1">
      <w:pPr>
        <w:pStyle w:val="Body"/>
        <w:ind w:firstLine="720"/>
      </w:pPr>
      <w:r w:rsidRPr="00D55237">
        <w:t xml:space="preserve">While the area of specialization showed a negative coefficient, it was not statistically significant. This suggests that any slight decrease in LEPT scores may be attributed </w:t>
      </w:r>
      <w:r w:rsidR="00693497">
        <w:t xml:space="preserve">to </w:t>
      </w:r>
      <w:r w:rsidRPr="00D55237">
        <w:t>factors not captured in this study. In contrast, the significant negative coefficients for type of school and academic program indicate that certain institutions or program types may be associated with lower performance, potentially due to differences in curriculum quality, teaching approaches, or exam prepar</w:t>
      </w:r>
      <w:r w:rsidR="00426339">
        <w:t>ations</w:t>
      </w:r>
      <w:r w:rsidRPr="00D55237">
        <w:t>.</w:t>
      </w:r>
    </w:p>
    <w:p w14:paraId="63CD1A53" w14:textId="36EEAD6E" w:rsidR="008F1D8B" w:rsidRPr="00D55237" w:rsidRDefault="008F1D8B" w:rsidP="000415A1">
      <w:pPr>
        <w:pStyle w:val="Body"/>
        <w:ind w:firstLine="720"/>
        <w:rPr>
          <w:rFonts w:ascii="Arial" w:hAnsi="Arial" w:cs="Arial"/>
        </w:rPr>
      </w:pPr>
      <w:r w:rsidRPr="00D55237">
        <w:rPr>
          <w:rFonts w:ascii="Arial" w:hAnsi="Arial" w:cs="Arial"/>
        </w:rPr>
        <w:lastRenderedPageBreak/>
        <w:t xml:space="preserve">Based on the results presented in Table </w:t>
      </w:r>
      <w:r w:rsidR="00BC4AD2" w:rsidRPr="00D55237">
        <w:rPr>
          <w:rFonts w:ascii="Arial" w:hAnsi="Arial" w:cs="Arial"/>
        </w:rPr>
        <w:t>5</w:t>
      </w:r>
      <w:r w:rsidR="001D0362" w:rsidRPr="00D55237">
        <w:rPr>
          <w:rFonts w:ascii="Arial" w:hAnsi="Arial" w:cs="Arial"/>
        </w:rPr>
        <w:t>,</w:t>
      </w:r>
      <w:r w:rsidRPr="00D55237">
        <w:rPr>
          <w:rFonts w:ascii="Arial" w:hAnsi="Arial" w:cs="Arial"/>
        </w:rPr>
        <w:t xml:space="preserve"> the </w:t>
      </w:r>
      <w:r w:rsidRPr="00054616">
        <w:rPr>
          <w:rFonts w:ascii="Arial" w:hAnsi="Arial" w:cs="Arial"/>
        </w:rPr>
        <w:t xml:space="preserve">null hypothesis (H04) </w:t>
      </w:r>
      <w:r w:rsidR="00D671A1" w:rsidRPr="00054616">
        <w:rPr>
          <w:rFonts w:ascii="Arial" w:hAnsi="Arial" w:cs="Arial"/>
        </w:rPr>
        <w:t>is</w:t>
      </w:r>
      <w:r w:rsidRPr="00054616">
        <w:rPr>
          <w:rFonts w:ascii="Arial" w:hAnsi="Arial" w:cs="Arial"/>
        </w:rPr>
        <w:t xml:space="preserve"> rejected.</w:t>
      </w:r>
      <w:r w:rsidRPr="00D55237">
        <w:rPr>
          <w:rFonts w:ascii="Arial" w:hAnsi="Arial" w:cs="Arial"/>
        </w:rPr>
        <w:t xml:space="preserve"> The type of school (p = 0.016) and academic program (p &lt; 0.001) exhibit statistically significant effects on LEPT performance, while the area of specialization (p = 0.537) does not have a significant impact.</w:t>
      </w:r>
      <w:r w:rsidR="00640DB9" w:rsidRPr="00D55237">
        <w:rPr>
          <w:rFonts w:ascii="Arial" w:hAnsi="Arial" w:cs="Arial"/>
        </w:rPr>
        <w:t xml:space="preserve"> </w:t>
      </w:r>
      <w:r w:rsidR="009147EE">
        <w:rPr>
          <w:rFonts w:ascii="Arial" w:hAnsi="Arial" w:cs="Arial"/>
        </w:rPr>
        <w:t>Further, t</w:t>
      </w:r>
      <w:r w:rsidR="003C388B">
        <w:rPr>
          <w:rFonts w:ascii="Arial" w:hAnsi="Arial" w:cs="Arial"/>
        </w:rPr>
        <w:t xml:space="preserve">he variables </w:t>
      </w:r>
      <w:r w:rsidR="00796269" w:rsidRPr="00D55237">
        <w:rPr>
          <w:rFonts w:ascii="Arial" w:hAnsi="Arial" w:cs="Arial"/>
        </w:rPr>
        <w:t>predict</w:t>
      </w:r>
      <w:r w:rsidR="008620FF" w:rsidRPr="00D55237">
        <w:rPr>
          <w:rFonts w:ascii="Arial" w:hAnsi="Arial" w:cs="Arial"/>
        </w:rPr>
        <w:t xml:space="preserve"> only </w:t>
      </w:r>
      <w:r w:rsidR="00B23F21" w:rsidRPr="00D55237">
        <w:rPr>
          <w:rFonts w:ascii="Arial" w:hAnsi="Arial" w:cs="Arial"/>
        </w:rPr>
        <w:t>at 10%</w:t>
      </w:r>
      <w:r w:rsidR="003C388B">
        <w:rPr>
          <w:rFonts w:ascii="Arial" w:hAnsi="Arial" w:cs="Arial"/>
        </w:rPr>
        <w:t xml:space="preserve"> of the licensure exam results.</w:t>
      </w:r>
      <w:r w:rsidR="00E35920" w:rsidRPr="00D55237">
        <w:rPr>
          <w:rFonts w:ascii="Arial" w:hAnsi="Arial" w:cs="Arial"/>
        </w:rPr>
        <w:t xml:space="preserve"> </w:t>
      </w:r>
      <w:r w:rsidR="00B12276" w:rsidRPr="00D55237">
        <w:rPr>
          <w:rFonts w:ascii="Arial" w:hAnsi="Arial" w:cs="Arial"/>
        </w:rPr>
        <w:t xml:space="preserve">A large 90% accounts for variables not included in this study. </w:t>
      </w:r>
    </w:p>
    <w:p w14:paraId="36E06DD5" w14:textId="1C71D75F" w:rsidR="008F1D8B" w:rsidRDefault="008F1D8B" w:rsidP="000415A1">
      <w:pPr>
        <w:pStyle w:val="Body"/>
        <w:spacing w:after="0"/>
        <w:ind w:firstLine="720"/>
        <w:rPr>
          <w:rFonts w:ascii="Arial" w:hAnsi="Arial" w:cs="Arial"/>
        </w:rPr>
      </w:pPr>
      <w:r w:rsidRPr="00D55237">
        <w:rPr>
          <w:rFonts w:ascii="Arial" w:hAnsi="Arial" w:cs="Arial"/>
        </w:rPr>
        <w:t xml:space="preserve">These findings </w:t>
      </w:r>
      <w:r w:rsidR="00E35920" w:rsidRPr="00D55237">
        <w:rPr>
          <w:rFonts w:ascii="Arial" w:hAnsi="Arial" w:cs="Arial"/>
        </w:rPr>
        <w:t xml:space="preserve">may provide insights </w:t>
      </w:r>
      <w:r w:rsidRPr="00D55237">
        <w:rPr>
          <w:rFonts w:ascii="Arial" w:hAnsi="Arial" w:cs="Arial"/>
        </w:rPr>
        <w:t>for educational institutions and policymakers</w:t>
      </w:r>
      <w:r w:rsidR="00E35920" w:rsidRPr="00D55237">
        <w:rPr>
          <w:rFonts w:ascii="Arial" w:hAnsi="Arial" w:cs="Arial"/>
        </w:rPr>
        <w:t xml:space="preserve"> opportunities </w:t>
      </w:r>
      <w:r w:rsidRPr="00D55237">
        <w:rPr>
          <w:rFonts w:ascii="Arial" w:hAnsi="Arial" w:cs="Arial"/>
        </w:rPr>
        <w:t>to focus on enhancing curriculum quality, teaching methodologies, and institutional support to improve licensure exam performance</w:t>
      </w:r>
      <w:r w:rsidR="001D0362" w:rsidRPr="00D55237">
        <w:rPr>
          <w:rFonts w:ascii="Arial" w:hAnsi="Arial" w:cs="Arial"/>
        </w:rPr>
        <w:t xml:space="preserve"> among aspiring professional teachers</w:t>
      </w:r>
      <w:r w:rsidRPr="00D55237">
        <w:rPr>
          <w:rFonts w:ascii="Arial" w:hAnsi="Arial" w:cs="Arial"/>
        </w:rPr>
        <w:t>.</w:t>
      </w:r>
    </w:p>
    <w:p w14:paraId="1695F5CC" w14:textId="77777777" w:rsidR="008F1D8B" w:rsidRDefault="008F1D8B" w:rsidP="00441B6F">
      <w:pPr>
        <w:pStyle w:val="Body"/>
        <w:spacing w:after="0"/>
        <w:rPr>
          <w:rFonts w:ascii="Arial" w:hAnsi="Arial" w:cs="Arial"/>
        </w:rPr>
      </w:pPr>
    </w:p>
    <w:p w14:paraId="19A70F46" w14:textId="7D0AC20D" w:rsidR="008256CC" w:rsidRPr="00B5199A" w:rsidRDefault="00B33562" w:rsidP="008256CC">
      <w:pPr>
        <w:pStyle w:val="Body"/>
        <w:jc w:val="center"/>
        <w:rPr>
          <w:rFonts w:ascii="Arial" w:hAnsi="Arial" w:cs="Arial"/>
          <w:b/>
          <w:bCs/>
          <w:sz w:val="22"/>
          <w:szCs w:val="22"/>
        </w:rPr>
      </w:pPr>
      <w:r w:rsidRPr="00B5199A">
        <w:rPr>
          <w:rFonts w:ascii="Arial" w:hAnsi="Arial" w:cs="Arial"/>
          <w:b/>
          <w:bCs/>
          <w:sz w:val="22"/>
          <w:szCs w:val="22"/>
        </w:rPr>
        <w:t xml:space="preserve">4. </w:t>
      </w:r>
      <w:r w:rsidR="008256CC" w:rsidRPr="00B5199A">
        <w:rPr>
          <w:rFonts w:ascii="Arial" w:hAnsi="Arial" w:cs="Arial"/>
          <w:b/>
          <w:bCs/>
          <w:sz w:val="22"/>
          <w:szCs w:val="22"/>
        </w:rPr>
        <w:t>Conclusion</w:t>
      </w:r>
    </w:p>
    <w:p w14:paraId="5A6E39A8" w14:textId="12A883CA" w:rsidR="008256CC" w:rsidRPr="008256CC" w:rsidRDefault="008256CC" w:rsidP="00B5199A">
      <w:pPr>
        <w:pStyle w:val="Body"/>
        <w:ind w:firstLine="720"/>
        <w:rPr>
          <w:rFonts w:ascii="Arial" w:hAnsi="Arial" w:cs="Arial"/>
        </w:rPr>
      </w:pPr>
      <w:r w:rsidRPr="008256CC">
        <w:rPr>
          <w:rFonts w:ascii="Arial" w:hAnsi="Arial" w:cs="Arial"/>
        </w:rPr>
        <w:t xml:space="preserve">This study highlights the significant differences of school type, academic program, and area of specialization on LEPT ratings. Graduates from public schools </w:t>
      </w:r>
      <w:r w:rsidR="008B1325">
        <w:rPr>
          <w:rFonts w:ascii="Arial" w:hAnsi="Arial" w:cs="Arial"/>
        </w:rPr>
        <w:t>performed better</w:t>
      </w:r>
      <w:r w:rsidRPr="008256CC">
        <w:rPr>
          <w:rFonts w:ascii="Arial" w:hAnsi="Arial" w:cs="Arial"/>
        </w:rPr>
        <w:t xml:space="preserve"> those from</w:t>
      </w:r>
      <w:r w:rsidR="008B1325">
        <w:rPr>
          <w:rFonts w:ascii="Arial" w:hAnsi="Arial" w:cs="Arial"/>
        </w:rPr>
        <w:t xml:space="preserve"> the</w:t>
      </w:r>
      <w:r w:rsidRPr="008256CC">
        <w:rPr>
          <w:rFonts w:ascii="Arial" w:hAnsi="Arial" w:cs="Arial"/>
        </w:rPr>
        <w:t xml:space="preserve"> private schools</w:t>
      </w:r>
      <w:r w:rsidR="002F10B6">
        <w:rPr>
          <w:rFonts w:ascii="Arial" w:hAnsi="Arial" w:cs="Arial"/>
        </w:rPr>
        <w:t xml:space="preserve">. </w:t>
      </w:r>
      <w:r w:rsidRPr="008256CC">
        <w:rPr>
          <w:rFonts w:ascii="Arial" w:hAnsi="Arial" w:cs="Arial"/>
        </w:rPr>
        <w:t>Additionally, education graduates consistently achieved higher ratings than their non-education counterparts</w:t>
      </w:r>
      <w:r w:rsidR="002F10B6">
        <w:rPr>
          <w:rFonts w:ascii="Arial" w:hAnsi="Arial" w:cs="Arial"/>
        </w:rPr>
        <w:t xml:space="preserve">. </w:t>
      </w:r>
      <w:r w:rsidRPr="008256CC">
        <w:rPr>
          <w:rFonts w:ascii="Arial" w:hAnsi="Arial" w:cs="Arial"/>
        </w:rPr>
        <w:t>With regard to area of specialization, graduates in Science, Mathematics, and Values Education demonstrated superior performance</w:t>
      </w:r>
      <w:r w:rsidR="002F10B6">
        <w:rPr>
          <w:rFonts w:ascii="Arial" w:hAnsi="Arial" w:cs="Arial"/>
        </w:rPr>
        <w:t xml:space="preserve">. </w:t>
      </w:r>
      <w:r w:rsidRPr="008256CC">
        <w:rPr>
          <w:rFonts w:ascii="Arial" w:hAnsi="Arial" w:cs="Arial"/>
        </w:rPr>
        <w:t>Conversely, graduates in</w:t>
      </w:r>
      <w:r>
        <w:rPr>
          <w:rFonts w:ascii="Arial" w:hAnsi="Arial" w:cs="Arial"/>
        </w:rPr>
        <w:t xml:space="preserve"> </w:t>
      </w:r>
      <w:r w:rsidRPr="008256CC">
        <w:rPr>
          <w:rFonts w:ascii="Arial" w:hAnsi="Arial" w:cs="Arial"/>
        </w:rPr>
        <w:t>Social Studies exhibited lower scores, potentially attributable to the broad, interdisciplinary scope of their curriculum and the higher proportion of non- education graduates in this field. Graduates in English, Filipino, MAPEH, and TLTVE attained moderate results, suggesting the need for improvements in subject matter mastery and instructional methodologies. In contrast, disciplines such as Mathematics and Science, which prioritize structured problem-solving, may align more closely with the cognitive strengths of examinees. Furthermore, LEPT assessments for Social Studies require higher-order thinking skills, such as critical analysis and synthesis, which may present greater challenges compared to the fact-based recall questions prevalent in other disciplines.</w:t>
      </w:r>
    </w:p>
    <w:p w14:paraId="0528E430" w14:textId="024BD991" w:rsidR="008256CC" w:rsidRPr="008256CC" w:rsidRDefault="008256CC" w:rsidP="00145A20">
      <w:pPr>
        <w:pStyle w:val="Body"/>
        <w:ind w:firstLine="720"/>
        <w:rPr>
          <w:rFonts w:ascii="Arial" w:hAnsi="Arial" w:cs="Arial"/>
        </w:rPr>
      </w:pPr>
      <w:r w:rsidRPr="008256CC">
        <w:rPr>
          <w:rFonts w:ascii="Arial" w:hAnsi="Arial" w:cs="Arial"/>
        </w:rPr>
        <w:t xml:space="preserve">The combined analysis of school type, academic program, and specialization revealed that type of school and academic program were significant predictors of LEPT performance, while area of specialization was not. This suggests that, although area of specialization affects the ratings, its independent effect on LEPT ratings is </w:t>
      </w:r>
      <w:r w:rsidR="00145A20">
        <w:rPr>
          <w:rFonts w:ascii="Arial" w:hAnsi="Arial" w:cs="Arial"/>
        </w:rPr>
        <w:t xml:space="preserve">not </w:t>
      </w:r>
      <w:r w:rsidRPr="008256CC">
        <w:rPr>
          <w:rFonts w:ascii="Arial" w:hAnsi="Arial" w:cs="Arial"/>
        </w:rPr>
        <w:t>significant when accounting for other academic and institutional factors.</w:t>
      </w:r>
    </w:p>
    <w:p w14:paraId="0CC6AFA0" w14:textId="26C09B26" w:rsidR="008256CC" w:rsidRPr="008256CC" w:rsidRDefault="008256CC" w:rsidP="00425588">
      <w:pPr>
        <w:pStyle w:val="Body"/>
        <w:ind w:firstLine="720"/>
        <w:rPr>
          <w:rFonts w:ascii="Arial" w:hAnsi="Arial" w:cs="Arial"/>
        </w:rPr>
      </w:pPr>
      <w:r w:rsidRPr="008256CC">
        <w:rPr>
          <w:rFonts w:ascii="Arial" w:hAnsi="Arial" w:cs="Arial"/>
        </w:rPr>
        <w:t>These findings underscore the importance of academic preparation and institutional quality in determining licensure exam success. Despite the statistical significance of the model</w:t>
      </w:r>
      <w:r w:rsidR="004C3B18">
        <w:rPr>
          <w:rFonts w:ascii="Arial" w:hAnsi="Arial" w:cs="Arial"/>
        </w:rPr>
        <w:t>,</w:t>
      </w:r>
      <w:r w:rsidRPr="008256CC">
        <w:rPr>
          <w:rFonts w:ascii="Arial" w:hAnsi="Arial" w:cs="Arial"/>
        </w:rPr>
        <w:t xml:space="preserve"> the low R-squared value indicates that the variables explored account for only a small portion of the variance in LEPT scores. </w:t>
      </w:r>
      <w:r w:rsidRPr="00066BBB">
        <w:rPr>
          <w:rFonts w:ascii="Arial" w:hAnsi="Arial" w:cs="Arial"/>
        </w:rPr>
        <w:t xml:space="preserve">This suggests that other factors, </w:t>
      </w:r>
      <w:r w:rsidR="00225508" w:rsidRPr="00066BBB">
        <w:rPr>
          <w:rFonts w:ascii="Arial" w:hAnsi="Arial" w:cs="Arial"/>
        </w:rPr>
        <w:t>not covered in this study</w:t>
      </w:r>
      <w:r w:rsidR="00EC66C1" w:rsidRPr="00066BBB">
        <w:rPr>
          <w:rFonts w:ascii="Arial" w:hAnsi="Arial" w:cs="Arial"/>
        </w:rPr>
        <w:t>,</w:t>
      </w:r>
      <w:r w:rsidR="00225508" w:rsidRPr="00066BBB">
        <w:rPr>
          <w:rFonts w:ascii="Arial" w:hAnsi="Arial" w:cs="Arial"/>
        </w:rPr>
        <w:t xml:space="preserve"> largely </w:t>
      </w:r>
      <w:r w:rsidRPr="00066BBB">
        <w:rPr>
          <w:rFonts w:ascii="Arial" w:hAnsi="Arial" w:cs="Arial"/>
        </w:rPr>
        <w:t>influence licensure outcomes.</w:t>
      </w:r>
    </w:p>
    <w:p w14:paraId="603AC4DE" w14:textId="4E1AE4B8" w:rsidR="008256CC" w:rsidRDefault="008256CC" w:rsidP="00D55237">
      <w:pPr>
        <w:pStyle w:val="Body"/>
        <w:ind w:firstLine="720"/>
        <w:rPr>
          <w:rFonts w:ascii="Arial" w:hAnsi="Arial" w:cs="Arial"/>
        </w:rPr>
      </w:pPr>
      <w:r w:rsidRPr="008256CC">
        <w:rPr>
          <w:rFonts w:ascii="Arial" w:hAnsi="Arial" w:cs="Arial"/>
        </w:rPr>
        <w:t>Furthermore, this study d</w:t>
      </w:r>
      <w:r w:rsidR="00A87923">
        <w:rPr>
          <w:rFonts w:ascii="Arial" w:hAnsi="Arial" w:cs="Arial"/>
        </w:rPr>
        <w:t>id</w:t>
      </w:r>
      <w:r w:rsidRPr="008256CC">
        <w:rPr>
          <w:rFonts w:ascii="Arial" w:hAnsi="Arial" w:cs="Arial"/>
        </w:rPr>
        <w:t xml:space="preserve"> not assess long-term teacher effectiveness</w:t>
      </w:r>
      <w:r>
        <w:rPr>
          <w:rFonts w:ascii="Arial" w:hAnsi="Arial" w:cs="Arial"/>
        </w:rPr>
        <w:t xml:space="preserve"> </w:t>
      </w:r>
      <w:r w:rsidRPr="008256CC">
        <w:rPr>
          <w:rFonts w:ascii="Arial" w:hAnsi="Arial" w:cs="Arial"/>
        </w:rPr>
        <w:t xml:space="preserve">or professional development, which are crucial for evaluating teaching competency. Additionally, as the findings are specific to a particular region, results may vary across different institutions and locations. </w:t>
      </w:r>
    </w:p>
    <w:p w14:paraId="6F6B35F6" w14:textId="0DACCAD6" w:rsidR="00271227" w:rsidRPr="00B33562" w:rsidRDefault="00B33562" w:rsidP="00441B6F">
      <w:pPr>
        <w:pStyle w:val="Body"/>
        <w:spacing w:after="0"/>
        <w:rPr>
          <w:rFonts w:ascii="Arial" w:hAnsi="Arial" w:cs="Arial"/>
          <w:b/>
          <w:bCs/>
        </w:rPr>
      </w:pPr>
      <w:r w:rsidRPr="00B33562">
        <w:rPr>
          <w:rFonts w:ascii="Arial" w:hAnsi="Arial" w:cs="Arial"/>
          <w:b/>
          <w:bCs/>
        </w:rPr>
        <w:t>COMPETING INTEREST</w:t>
      </w:r>
    </w:p>
    <w:p w14:paraId="61C2F098" w14:textId="668E38FD" w:rsidR="00B33562" w:rsidRDefault="00B33562" w:rsidP="00441B6F">
      <w:pPr>
        <w:pStyle w:val="Body"/>
        <w:spacing w:after="0"/>
        <w:rPr>
          <w:rFonts w:ascii="Arial" w:hAnsi="Arial" w:cs="Arial"/>
        </w:rPr>
      </w:pPr>
      <w:r>
        <w:rPr>
          <w:rFonts w:ascii="Arial" w:hAnsi="Arial" w:cs="Arial"/>
        </w:rPr>
        <w:t>No competing interest</w:t>
      </w:r>
      <w:r w:rsidR="009C4390">
        <w:rPr>
          <w:rFonts w:ascii="Arial" w:hAnsi="Arial" w:cs="Arial"/>
        </w:rPr>
        <w:t xml:space="preserve"> of this study</w:t>
      </w:r>
      <w:r w:rsidR="00495010">
        <w:rPr>
          <w:rFonts w:ascii="Arial" w:hAnsi="Arial" w:cs="Arial"/>
        </w:rPr>
        <w:t>.</w:t>
      </w:r>
    </w:p>
    <w:p w14:paraId="0F2F5D15" w14:textId="77777777" w:rsidR="008D67CD" w:rsidRDefault="008D67CD" w:rsidP="00441B6F">
      <w:pPr>
        <w:pStyle w:val="Body"/>
        <w:spacing w:after="0"/>
        <w:rPr>
          <w:rFonts w:ascii="Arial" w:hAnsi="Arial" w:cs="Arial"/>
        </w:rPr>
      </w:pPr>
    </w:p>
    <w:p w14:paraId="19C95514" w14:textId="77777777" w:rsidR="008D67CD" w:rsidRDefault="008D67CD" w:rsidP="00441B6F">
      <w:pPr>
        <w:pStyle w:val="Body"/>
        <w:spacing w:after="0"/>
        <w:rPr>
          <w:rFonts w:ascii="Arial" w:hAnsi="Arial" w:cs="Arial"/>
        </w:rPr>
      </w:pPr>
      <w:bookmarkStart w:id="2" w:name="_GoBack"/>
      <w:bookmarkEnd w:id="2"/>
    </w:p>
    <w:p w14:paraId="579809CE" w14:textId="49527E25" w:rsidR="007270FC" w:rsidRDefault="007270FC" w:rsidP="00441B6F">
      <w:pPr>
        <w:pStyle w:val="Body"/>
        <w:spacing w:after="0"/>
        <w:rPr>
          <w:rFonts w:ascii="Arial" w:hAnsi="Arial" w:cs="Arial"/>
          <w:b/>
          <w:bCs/>
        </w:rPr>
      </w:pPr>
      <w:r>
        <w:rPr>
          <w:rFonts w:ascii="Arial" w:hAnsi="Arial" w:cs="Arial"/>
          <w:b/>
          <w:bCs/>
        </w:rPr>
        <w:t xml:space="preserve">DISCLAIMER (ARTIFICIAL INTELLIGENCE) </w:t>
      </w:r>
    </w:p>
    <w:p w14:paraId="05127D05" w14:textId="29D78F9B" w:rsidR="007270FC" w:rsidRDefault="007270FC" w:rsidP="00441B6F">
      <w:pPr>
        <w:pStyle w:val="Body"/>
        <w:spacing w:after="0"/>
        <w:rPr>
          <w:rFonts w:ascii="Arial" w:hAnsi="Arial" w:cs="Arial"/>
        </w:rPr>
      </w:pPr>
      <w:r w:rsidRPr="007270FC">
        <w:rPr>
          <w:rFonts w:ascii="Arial" w:hAnsi="Arial" w:cs="Arial"/>
        </w:rPr>
        <w:t xml:space="preserve">Authors declare that </w:t>
      </w:r>
      <w:r w:rsidR="00DB2EB7">
        <w:rPr>
          <w:rFonts w:ascii="Arial" w:hAnsi="Arial" w:cs="Arial"/>
        </w:rPr>
        <w:t xml:space="preserve">AI technologies, such as, </w:t>
      </w:r>
      <w:r w:rsidRPr="007270FC">
        <w:rPr>
          <w:rFonts w:ascii="Arial" w:hAnsi="Arial" w:cs="Arial"/>
        </w:rPr>
        <w:t>ChatGPT and Google Gemini were minimally</w:t>
      </w:r>
      <w:r>
        <w:rPr>
          <w:rFonts w:ascii="Arial" w:hAnsi="Arial" w:cs="Arial"/>
        </w:rPr>
        <w:t xml:space="preserve"> used in the paper</w:t>
      </w:r>
      <w:r w:rsidRPr="007270FC">
        <w:rPr>
          <w:rFonts w:ascii="Arial" w:hAnsi="Arial" w:cs="Arial"/>
        </w:rPr>
        <w:t xml:space="preserve">. These tools were used only to set the tone and refine some parts of the paper.  </w:t>
      </w:r>
    </w:p>
    <w:p w14:paraId="19266D7F" w14:textId="77777777" w:rsidR="00160EC1" w:rsidRPr="007270FC" w:rsidRDefault="00160EC1" w:rsidP="00441B6F">
      <w:pPr>
        <w:pStyle w:val="Body"/>
        <w:spacing w:after="0"/>
        <w:rPr>
          <w:rFonts w:ascii="Arial" w:hAnsi="Arial" w:cs="Arial"/>
        </w:rPr>
      </w:pPr>
    </w:p>
    <w:p w14:paraId="09762C12" w14:textId="56B42263" w:rsidR="00B33562" w:rsidRPr="008D67CD" w:rsidRDefault="00160F12" w:rsidP="00441B6F">
      <w:pPr>
        <w:pStyle w:val="Body"/>
        <w:spacing w:after="0"/>
        <w:rPr>
          <w:rFonts w:ascii="Arial" w:hAnsi="Arial" w:cs="Arial"/>
          <w:b/>
          <w:bCs/>
        </w:rPr>
      </w:pPr>
      <w:r w:rsidRPr="008D67CD">
        <w:rPr>
          <w:rFonts w:ascii="Arial" w:hAnsi="Arial" w:cs="Arial"/>
          <w:b/>
          <w:bCs/>
        </w:rPr>
        <w:t>CONSENT</w:t>
      </w:r>
    </w:p>
    <w:p w14:paraId="29220BD2" w14:textId="245555B5" w:rsidR="00160F12" w:rsidRDefault="00160F12" w:rsidP="00441B6F">
      <w:pPr>
        <w:pStyle w:val="Body"/>
        <w:spacing w:after="0"/>
        <w:rPr>
          <w:rFonts w:ascii="Arial" w:hAnsi="Arial" w:cs="Arial"/>
        </w:rPr>
      </w:pPr>
      <w:r>
        <w:rPr>
          <w:rFonts w:ascii="Arial" w:hAnsi="Arial" w:cs="Arial"/>
        </w:rPr>
        <w:t xml:space="preserve">No human participants were included in the study. Nonetheless, approvals for the acquisition </w:t>
      </w:r>
      <w:r w:rsidR="00495010">
        <w:rPr>
          <w:rFonts w:ascii="Arial" w:hAnsi="Arial" w:cs="Arial"/>
        </w:rPr>
        <w:t xml:space="preserve">of </w:t>
      </w:r>
      <w:r>
        <w:rPr>
          <w:rFonts w:ascii="Arial" w:hAnsi="Arial" w:cs="Arial"/>
        </w:rPr>
        <w:t xml:space="preserve">anonymized data were all given consent by authorized offices. </w:t>
      </w:r>
    </w:p>
    <w:p w14:paraId="75AB871D" w14:textId="5E3D7C8E" w:rsidR="00160F12" w:rsidRDefault="00160F12" w:rsidP="00441B6F">
      <w:pPr>
        <w:pStyle w:val="Body"/>
        <w:spacing w:after="0"/>
        <w:rPr>
          <w:rFonts w:ascii="Arial" w:hAnsi="Arial" w:cs="Arial"/>
          <w:b/>
          <w:bCs/>
        </w:rPr>
      </w:pPr>
    </w:p>
    <w:p w14:paraId="6E23C528" w14:textId="1A359962" w:rsidR="00C25C3D" w:rsidRPr="00C25C3D" w:rsidRDefault="00C25C3D" w:rsidP="00441B6F">
      <w:pPr>
        <w:pStyle w:val="Body"/>
        <w:spacing w:after="0"/>
        <w:rPr>
          <w:rFonts w:ascii="Arial" w:hAnsi="Arial" w:cs="Arial"/>
          <w:b/>
          <w:bCs/>
          <w:sz w:val="22"/>
          <w:szCs w:val="22"/>
        </w:rPr>
      </w:pPr>
      <w:r w:rsidRPr="00C25C3D">
        <w:rPr>
          <w:rFonts w:ascii="Arial" w:hAnsi="Arial" w:cs="Arial"/>
          <w:b/>
          <w:bCs/>
          <w:sz w:val="22"/>
          <w:szCs w:val="22"/>
        </w:rPr>
        <w:t>REFERENCES</w:t>
      </w:r>
    </w:p>
    <w:p w14:paraId="5F31EADE" w14:textId="4E2FC8ED" w:rsidR="00F42AF5" w:rsidRDefault="00F42AF5" w:rsidP="006E1471">
      <w:pPr>
        <w:pStyle w:val="Body"/>
        <w:spacing w:after="0"/>
        <w:ind w:left="720" w:hanging="720"/>
        <w:rPr>
          <w:rFonts w:ascii="Arial" w:hAnsi="Arial" w:cs="Arial"/>
        </w:rPr>
      </w:pPr>
      <w:r w:rsidRPr="0041342C">
        <w:rPr>
          <w:rFonts w:ascii="Arial" w:hAnsi="Arial" w:cs="Arial"/>
        </w:rPr>
        <w:t>Abao, E.</w:t>
      </w:r>
      <w:r w:rsidRPr="00F42AF5">
        <w:rPr>
          <w:rFonts w:ascii="Arial" w:hAnsi="Arial" w:cs="Arial"/>
        </w:rPr>
        <w:t xml:space="preserve"> L., </w:t>
      </w:r>
      <w:proofErr w:type="spellStart"/>
      <w:r w:rsidRPr="00F42AF5">
        <w:rPr>
          <w:rFonts w:ascii="Arial" w:hAnsi="Arial" w:cs="Arial"/>
        </w:rPr>
        <w:t>Petancio</w:t>
      </w:r>
      <w:proofErr w:type="spellEnd"/>
      <w:r w:rsidRPr="00F42AF5">
        <w:rPr>
          <w:rFonts w:ascii="Arial" w:hAnsi="Arial" w:cs="Arial"/>
        </w:rPr>
        <w:t>, J. M., Sanchez, J. M. P., &amp; Sumalinog, G. G. (2023). Performance of beginning teachers in the licensure examination for teachers: A national study. Frontiers in Education. https://doi.org/ 10.3389/feduc.2023.1240658</w:t>
      </w:r>
    </w:p>
    <w:p w14:paraId="7EB1E9F0" w14:textId="77777777" w:rsidR="003D662B" w:rsidRPr="003D662B" w:rsidRDefault="003D662B" w:rsidP="003D662B">
      <w:pPr>
        <w:ind w:left="720" w:hanging="720"/>
        <w:rPr>
          <w:rFonts w:ascii="Arial" w:hAnsi="Arial" w:cs="Arial"/>
        </w:rPr>
      </w:pPr>
      <w:r w:rsidRPr="003D662B">
        <w:rPr>
          <w:rFonts w:ascii="Arial" w:hAnsi="Arial" w:cs="Arial"/>
        </w:rPr>
        <w:t>Alfonso, N. V. (2019). Policies, practices of teacher education institutions and the performance of their graduates. International Journal of English Literature and Social Sciences, 4(3), 621–630. https://dx.doi.org/10.22161/ijels.4.3.12</w:t>
      </w:r>
    </w:p>
    <w:p w14:paraId="7ECED818" w14:textId="1AA1995A" w:rsidR="00160F12" w:rsidRDefault="006E1471" w:rsidP="006E1471">
      <w:pPr>
        <w:pStyle w:val="Body"/>
        <w:spacing w:after="0"/>
        <w:ind w:left="720" w:hanging="720"/>
        <w:rPr>
          <w:rFonts w:ascii="Arial" w:hAnsi="Arial" w:cs="Arial"/>
        </w:rPr>
      </w:pPr>
      <w:proofErr w:type="spellStart"/>
      <w:r w:rsidRPr="006E1471">
        <w:rPr>
          <w:rFonts w:ascii="Arial" w:hAnsi="Arial" w:cs="Arial"/>
        </w:rPr>
        <w:t>Amanonce</w:t>
      </w:r>
      <w:proofErr w:type="spellEnd"/>
      <w:r w:rsidRPr="006E1471">
        <w:rPr>
          <w:rFonts w:ascii="Arial" w:hAnsi="Arial" w:cs="Arial"/>
        </w:rPr>
        <w:t xml:space="preserve">, J. T., and Maramag, A. M. (2020). Licensure examination performance and academic achievement of teacher education graduates. </w:t>
      </w:r>
      <w:r w:rsidRPr="003723EF">
        <w:rPr>
          <w:rFonts w:ascii="Arial" w:hAnsi="Arial" w:cs="Arial"/>
          <w:i/>
          <w:iCs/>
        </w:rPr>
        <w:t xml:space="preserve">Int. J. </w:t>
      </w:r>
      <w:proofErr w:type="spellStart"/>
      <w:r w:rsidRPr="003723EF">
        <w:rPr>
          <w:rFonts w:ascii="Arial" w:hAnsi="Arial" w:cs="Arial"/>
          <w:i/>
          <w:iCs/>
        </w:rPr>
        <w:t>Evalu</w:t>
      </w:r>
      <w:proofErr w:type="spellEnd"/>
      <w:r w:rsidRPr="003723EF">
        <w:rPr>
          <w:rFonts w:ascii="Arial" w:hAnsi="Arial" w:cs="Arial"/>
          <w:i/>
          <w:iCs/>
        </w:rPr>
        <w:t xml:space="preserve">. Res. Educ. (IJERE) 9, </w:t>
      </w:r>
      <w:r w:rsidRPr="006E1471">
        <w:rPr>
          <w:rFonts w:ascii="Arial" w:hAnsi="Arial" w:cs="Arial"/>
        </w:rPr>
        <w:t xml:space="preserve">510–516. </w:t>
      </w:r>
      <w:proofErr w:type="spellStart"/>
      <w:r w:rsidRPr="006E1471">
        <w:rPr>
          <w:rFonts w:ascii="Arial" w:hAnsi="Arial" w:cs="Arial"/>
        </w:rPr>
        <w:t>doi</w:t>
      </w:r>
      <w:proofErr w:type="spellEnd"/>
      <w:r w:rsidRPr="006E1471">
        <w:rPr>
          <w:rFonts w:ascii="Arial" w:hAnsi="Arial" w:cs="Arial"/>
        </w:rPr>
        <w:t>: 10.11591/</w:t>
      </w:r>
      <w:proofErr w:type="gramStart"/>
      <w:r w:rsidRPr="006E1471">
        <w:rPr>
          <w:rFonts w:ascii="Arial" w:hAnsi="Arial" w:cs="Arial"/>
        </w:rPr>
        <w:t>ijere.v</w:t>
      </w:r>
      <w:proofErr w:type="gramEnd"/>
      <w:r w:rsidRPr="006E1471">
        <w:rPr>
          <w:rFonts w:ascii="Arial" w:hAnsi="Arial" w:cs="Arial"/>
        </w:rPr>
        <w:t>9i3.20614</w:t>
      </w:r>
    </w:p>
    <w:p w14:paraId="687BD0F5" w14:textId="4B9B7272" w:rsidR="006E1471" w:rsidRDefault="003C66BA" w:rsidP="006E1471">
      <w:pPr>
        <w:pStyle w:val="Body"/>
        <w:spacing w:after="0"/>
        <w:ind w:left="720" w:hanging="720"/>
        <w:rPr>
          <w:rFonts w:ascii="Arial" w:hAnsi="Arial" w:cs="Arial"/>
        </w:rPr>
      </w:pPr>
      <w:proofErr w:type="spellStart"/>
      <w:r w:rsidRPr="003C66BA">
        <w:rPr>
          <w:rFonts w:ascii="Arial" w:hAnsi="Arial" w:cs="Arial"/>
        </w:rPr>
        <w:t>Antiojo</w:t>
      </w:r>
      <w:proofErr w:type="spellEnd"/>
      <w:r w:rsidRPr="003C66BA">
        <w:rPr>
          <w:rFonts w:ascii="Arial" w:hAnsi="Arial" w:cs="Arial"/>
        </w:rPr>
        <w:t xml:space="preserve">, L. (2017). Performance of Education Graduates in The Licensure Examination </w:t>
      </w:r>
      <w:proofErr w:type="gramStart"/>
      <w:r w:rsidRPr="003C66BA">
        <w:rPr>
          <w:rFonts w:ascii="Arial" w:hAnsi="Arial" w:cs="Arial"/>
        </w:rPr>
        <w:t>For</w:t>
      </w:r>
      <w:proofErr w:type="gramEnd"/>
      <w:r w:rsidRPr="003C66BA">
        <w:rPr>
          <w:rFonts w:ascii="Arial" w:hAnsi="Arial" w:cs="Arial"/>
        </w:rPr>
        <w:t xml:space="preserve"> Teachers (LET). PEOPLE: </w:t>
      </w:r>
      <w:r w:rsidRPr="003C25D0">
        <w:rPr>
          <w:rFonts w:ascii="Arial" w:hAnsi="Arial" w:cs="Arial"/>
          <w:i/>
          <w:iCs/>
        </w:rPr>
        <w:t>International Journal of Social Sciences. 3</w:t>
      </w:r>
      <w:r w:rsidRPr="003C66BA">
        <w:rPr>
          <w:rFonts w:ascii="Arial" w:hAnsi="Arial" w:cs="Arial"/>
        </w:rPr>
        <w:t>. 1363-1384. 10.20319/pijss.2017.32.13631384.</w:t>
      </w:r>
    </w:p>
    <w:p w14:paraId="0CD18950" w14:textId="7667BFA4" w:rsidR="006E1471" w:rsidRDefault="006E1471" w:rsidP="006E1471">
      <w:pPr>
        <w:pStyle w:val="Body"/>
        <w:spacing w:after="0"/>
        <w:ind w:left="720" w:hanging="720"/>
        <w:rPr>
          <w:rFonts w:ascii="Arial" w:hAnsi="Arial" w:cs="Arial"/>
        </w:rPr>
      </w:pPr>
      <w:proofErr w:type="spellStart"/>
      <w:r w:rsidRPr="0041342C">
        <w:rPr>
          <w:rFonts w:ascii="Arial" w:hAnsi="Arial" w:cs="Arial"/>
        </w:rPr>
        <w:t>Balinario</w:t>
      </w:r>
      <w:proofErr w:type="spellEnd"/>
      <w:r w:rsidRPr="0041342C">
        <w:rPr>
          <w:rFonts w:ascii="Arial" w:hAnsi="Arial" w:cs="Arial"/>
        </w:rPr>
        <w:t>, J</w:t>
      </w:r>
      <w:r w:rsidRPr="006E1471">
        <w:rPr>
          <w:rFonts w:ascii="Arial" w:hAnsi="Arial" w:cs="Arial"/>
        </w:rPr>
        <w:t xml:space="preserve">.C., </w:t>
      </w:r>
      <w:proofErr w:type="spellStart"/>
      <w:r w:rsidRPr="006E1471">
        <w:rPr>
          <w:rFonts w:ascii="Arial" w:hAnsi="Arial" w:cs="Arial"/>
        </w:rPr>
        <w:t>Ofqueria</w:t>
      </w:r>
      <w:proofErr w:type="spellEnd"/>
      <w:r w:rsidRPr="006E1471">
        <w:rPr>
          <w:rFonts w:ascii="Arial" w:hAnsi="Arial" w:cs="Arial"/>
        </w:rPr>
        <w:t xml:space="preserve">, M.G.M., &amp; Arca, L.B. (2023). Predictors of licensure examination for teachers’ performance. International Research </w:t>
      </w:r>
      <w:r w:rsidRPr="003723EF">
        <w:rPr>
          <w:rFonts w:ascii="Arial" w:hAnsi="Arial" w:cs="Arial"/>
          <w:i/>
          <w:iCs/>
        </w:rPr>
        <w:t>Journal of Science, Technology, Education, and Management, 3(2),</w:t>
      </w:r>
      <w:r w:rsidRPr="006E1471">
        <w:rPr>
          <w:rFonts w:ascii="Arial" w:hAnsi="Arial" w:cs="Arial"/>
        </w:rPr>
        <w:t xml:space="preserve"> 117-128. </w:t>
      </w:r>
      <w:r w:rsidR="00C91283">
        <w:rPr>
          <w:rFonts w:ascii="Arial" w:hAnsi="Arial" w:cs="Arial"/>
        </w:rPr>
        <w:t xml:space="preserve">DOI: </w:t>
      </w:r>
      <w:r w:rsidRPr="006E1471">
        <w:rPr>
          <w:rFonts w:ascii="Arial" w:hAnsi="Arial" w:cs="Arial"/>
        </w:rPr>
        <w:t>https://doi.org/10.5281/zenodo.8139696</w:t>
      </w:r>
    </w:p>
    <w:p w14:paraId="1BBF630C" w14:textId="14783217" w:rsidR="000A7C68" w:rsidRDefault="000A7C68" w:rsidP="00796789">
      <w:pPr>
        <w:pStyle w:val="Body"/>
        <w:spacing w:after="0"/>
        <w:ind w:left="720" w:hanging="720"/>
        <w:rPr>
          <w:rFonts w:ascii="Arial" w:hAnsi="Arial" w:cs="Arial"/>
        </w:rPr>
      </w:pPr>
      <w:proofErr w:type="spellStart"/>
      <w:r w:rsidRPr="000A7C68">
        <w:rPr>
          <w:rFonts w:ascii="Arial" w:hAnsi="Arial" w:cs="Arial"/>
        </w:rPr>
        <w:t>Caup</w:t>
      </w:r>
      <w:proofErr w:type="spellEnd"/>
      <w:r w:rsidRPr="000A7C68">
        <w:rPr>
          <w:rFonts w:ascii="Arial" w:hAnsi="Arial" w:cs="Arial"/>
        </w:rPr>
        <w:t xml:space="preserve">, A., Buda, A.K., (2017). Perceptions of Parents, Students, and Teachers of Pikit National High School, Pikit, Cotabato on the Implementation of the K to 12 Program of The Department </w:t>
      </w:r>
      <w:r w:rsidR="00053A43">
        <w:rPr>
          <w:rFonts w:ascii="Arial" w:hAnsi="Arial" w:cs="Arial"/>
        </w:rPr>
        <w:t>o</w:t>
      </w:r>
      <w:r w:rsidRPr="000A7C68">
        <w:rPr>
          <w:rFonts w:ascii="Arial" w:hAnsi="Arial" w:cs="Arial"/>
        </w:rPr>
        <w:t>f Education. 2nd International Conference on Educational Management and Administration (</w:t>
      </w:r>
      <w:proofErr w:type="spellStart"/>
      <w:r w:rsidRPr="000A7C68">
        <w:rPr>
          <w:rFonts w:ascii="Arial" w:hAnsi="Arial" w:cs="Arial"/>
        </w:rPr>
        <w:t>CoEMA</w:t>
      </w:r>
      <w:proofErr w:type="spellEnd"/>
      <w:r w:rsidRPr="000A7C68">
        <w:rPr>
          <w:rFonts w:ascii="Arial" w:hAnsi="Arial" w:cs="Arial"/>
        </w:rPr>
        <w:t xml:space="preserve"> 2017)</w:t>
      </w:r>
    </w:p>
    <w:p w14:paraId="3C4BB3AD" w14:textId="42B8B3C9" w:rsidR="00A11101" w:rsidRDefault="00A11101" w:rsidP="00EA56E3">
      <w:pPr>
        <w:pStyle w:val="Body"/>
        <w:spacing w:after="0"/>
        <w:ind w:left="720" w:hanging="720"/>
        <w:rPr>
          <w:rFonts w:ascii="Arial" w:hAnsi="Arial" w:cs="Arial"/>
        </w:rPr>
      </w:pPr>
      <w:proofErr w:type="spellStart"/>
      <w:r w:rsidRPr="0041342C">
        <w:rPr>
          <w:rFonts w:ascii="Arial" w:hAnsi="Arial" w:cs="Arial"/>
        </w:rPr>
        <w:t>Cadosale</w:t>
      </w:r>
      <w:r w:rsidRPr="00A11101">
        <w:rPr>
          <w:rFonts w:ascii="Arial" w:hAnsi="Arial" w:cs="Arial"/>
        </w:rPr>
        <w:t>s</w:t>
      </w:r>
      <w:proofErr w:type="spellEnd"/>
      <w:r w:rsidRPr="00A11101">
        <w:rPr>
          <w:rFonts w:ascii="Arial" w:hAnsi="Arial" w:cs="Arial"/>
        </w:rPr>
        <w:t xml:space="preserve">, M.N., Sanchez, J.M., </w:t>
      </w:r>
      <w:proofErr w:type="spellStart"/>
      <w:proofErr w:type="gramStart"/>
      <w:r w:rsidRPr="00A11101">
        <w:rPr>
          <w:rFonts w:ascii="Arial" w:hAnsi="Arial" w:cs="Arial"/>
        </w:rPr>
        <w:t>Cordova,M</w:t>
      </w:r>
      <w:proofErr w:type="spellEnd"/>
      <w:r w:rsidRPr="00A11101">
        <w:rPr>
          <w:rFonts w:ascii="Arial" w:hAnsi="Arial" w:cs="Arial"/>
        </w:rPr>
        <w:t>.</w:t>
      </w:r>
      <w:proofErr w:type="gramEnd"/>
      <w:r w:rsidRPr="00A11101">
        <w:rPr>
          <w:rFonts w:ascii="Arial" w:hAnsi="Arial" w:cs="Arial"/>
        </w:rPr>
        <w:t>, Merin, J. and Augusto, W. (2023) Exploring the predictive influence of licensure examination results for beginning teachers’ performance: the case of the Philippines. Frontiers in Educ sec Teacher Education, 8, DOI:  https://doi.org/10.3389/feduc.2023.1252368</w:t>
      </w:r>
    </w:p>
    <w:p w14:paraId="645963F6" w14:textId="49BEEB0A" w:rsidR="00EA56E3" w:rsidRDefault="00EA56E3" w:rsidP="00EA56E3">
      <w:pPr>
        <w:pStyle w:val="Body"/>
        <w:spacing w:after="0"/>
        <w:ind w:left="720" w:hanging="720"/>
        <w:rPr>
          <w:rFonts w:ascii="Arial" w:hAnsi="Arial" w:cs="Arial"/>
        </w:rPr>
      </w:pPr>
      <w:r w:rsidRPr="00EA56E3">
        <w:rPr>
          <w:rFonts w:ascii="Arial" w:hAnsi="Arial" w:cs="Arial"/>
        </w:rPr>
        <w:t>CHED. (2004). Commission on Higher Education Order (CMO) No. 30, series 2004. “The revised teacher education curriculum.”</w:t>
      </w:r>
      <w:r>
        <w:rPr>
          <w:rFonts w:ascii="Arial" w:hAnsi="Arial" w:cs="Arial"/>
        </w:rPr>
        <w:t xml:space="preserve"> </w:t>
      </w:r>
    </w:p>
    <w:p w14:paraId="4595A945" w14:textId="7E504204" w:rsidR="00EA56E3" w:rsidRDefault="00EA56E3" w:rsidP="00EA56E3">
      <w:pPr>
        <w:pStyle w:val="Body"/>
        <w:spacing w:after="0"/>
        <w:ind w:left="720" w:hanging="720"/>
        <w:rPr>
          <w:rFonts w:ascii="Arial" w:hAnsi="Arial" w:cs="Arial"/>
        </w:rPr>
      </w:pPr>
      <w:r w:rsidRPr="00EA56E3">
        <w:rPr>
          <w:rFonts w:ascii="Arial" w:hAnsi="Arial" w:cs="Arial"/>
        </w:rPr>
        <w:t>CHED. (2020). Higher Education Enrollment by Discipline Group: AY 2019-20.</w:t>
      </w:r>
      <w:r>
        <w:rPr>
          <w:rFonts w:ascii="Arial" w:hAnsi="Arial" w:cs="Arial"/>
        </w:rPr>
        <w:t xml:space="preserve"> </w:t>
      </w:r>
      <w:r w:rsidRPr="00EA56E3">
        <w:rPr>
          <w:rFonts w:ascii="Arial" w:hAnsi="Arial" w:cs="Arial"/>
        </w:rPr>
        <w:t>Retrieved from https://ched.gov.ph/wp-content/uploads/Higher-Education- Enrollment-by-Discipline-Group-AY-2019-20.pdf</w:t>
      </w:r>
    </w:p>
    <w:p w14:paraId="43EB8629" w14:textId="57DFF3B7" w:rsidR="0082556F" w:rsidRDefault="0082556F" w:rsidP="00796789">
      <w:pPr>
        <w:pStyle w:val="Body"/>
        <w:spacing w:after="0"/>
        <w:ind w:left="720" w:hanging="720"/>
        <w:rPr>
          <w:rFonts w:ascii="Arial" w:hAnsi="Arial" w:cs="Arial"/>
        </w:rPr>
      </w:pPr>
      <w:proofErr w:type="spellStart"/>
      <w:r w:rsidRPr="0082556F">
        <w:rPr>
          <w:rFonts w:ascii="Arial" w:hAnsi="Arial" w:cs="Arial"/>
        </w:rPr>
        <w:t>Dagdagui</w:t>
      </w:r>
      <w:proofErr w:type="spellEnd"/>
      <w:r w:rsidRPr="0082556F">
        <w:rPr>
          <w:rFonts w:ascii="Arial" w:hAnsi="Arial" w:cs="Arial"/>
        </w:rPr>
        <w:t xml:space="preserve">, R. T., &amp; </w:t>
      </w:r>
      <w:proofErr w:type="spellStart"/>
      <w:r w:rsidRPr="0082556F">
        <w:rPr>
          <w:rFonts w:ascii="Arial" w:hAnsi="Arial" w:cs="Arial"/>
        </w:rPr>
        <w:t>Mang-usan</w:t>
      </w:r>
      <w:proofErr w:type="spellEnd"/>
      <w:r w:rsidRPr="0082556F">
        <w:rPr>
          <w:rFonts w:ascii="Arial" w:hAnsi="Arial" w:cs="Arial"/>
        </w:rPr>
        <w:t xml:space="preserve">, K. J. B. (2022). Correlates of licensure examination and college academic performance of Teacher Education graduates. </w:t>
      </w:r>
      <w:r w:rsidRPr="0082556F">
        <w:rPr>
          <w:rFonts w:ascii="Arial" w:hAnsi="Arial" w:cs="Arial"/>
          <w:i/>
          <w:iCs/>
        </w:rPr>
        <w:t>UP Los Baños Journal, 20(2),</w:t>
      </w:r>
      <w:r w:rsidRPr="0082556F">
        <w:rPr>
          <w:rFonts w:ascii="Arial" w:hAnsi="Arial" w:cs="Arial"/>
        </w:rPr>
        <w:t xml:space="preserve"> 8.</w:t>
      </w:r>
      <w:r w:rsidR="00E125F8">
        <w:rPr>
          <w:rFonts w:ascii="Arial" w:hAnsi="Arial" w:cs="Arial"/>
        </w:rPr>
        <w:t xml:space="preserve"> </w:t>
      </w:r>
      <w:r w:rsidR="00E125F8" w:rsidRPr="00E125F8">
        <w:rPr>
          <w:rFonts w:ascii="Arial" w:hAnsi="Arial" w:cs="Arial"/>
        </w:rPr>
        <w:t>chrome-extension://efaidnbmnnnibpcajpcglclefindmkaj/https://www.ukdr.uplb.edu.ph/cgi/viewcontent.cgi?article=1016&amp;context=uplb-journal</w:t>
      </w:r>
    </w:p>
    <w:p w14:paraId="55C47F00" w14:textId="3A35C371" w:rsidR="00D95D27" w:rsidRDefault="00D95D27" w:rsidP="00796789">
      <w:pPr>
        <w:pStyle w:val="Body"/>
        <w:spacing w:after="0"/>
        <w:ind w:left="720" w:hanging="720"/>
        <w:rPr>
          <w:rFonts w:ascii="Arial" w:hAnsi="Arial" w:cs="Arial"/>
        </w:rPr>
      </w:pPr>
      <w:r w:rsidRPr="00D95D27">
        <w:rPr>
          <w:rFonts w:ascii="Arial" w:hAnsi="Arial" w:cs="Arial"/>
        </w:rPr>
        <w:t>Darling-Hammond, L. (2010, October). Evaluating Teacher Effectiveness: How Teacher Performance Assessments Can Measure and Improve Teaching. Center for American Progress. https://eric.ed.gov/?id= ED535859</w:t>
      </w:r>
    </w:p>
    <w:p w14:paraId="31369D84" w14:textId="3E63A127" w:rsidR="00353402" w:rsidRDefault="00353402" w:rsidP="00796789">
      <w:pPr>
        <w:pStyle w:val="Body"/>
        <w:spacing w:after="0"/>
        <w:ind w:left="720" w:hanging="720"/>
        <w:rPr>
          <w:rFonts w:ascii="Arial" w:hAnsi="Arial" w:cs="Arial"/>
        </w:rPr>
      </w:pPr>
      <w:r w:rsidRPr="00702CDA">
        <w:rPr>
          <w:rFonts w:ascii="Arial" w:hAnsi="Arial" w:cs="Arial"/>
        </w:rPr>
        <w:t>De Guzman, L. E</w:t>
      </w:r>
      <w:r w:rsidRPr="00353402">
        <w:rPr>
          <w:rFonts w:ascii="Arial" w:hAnsi="Arial" w:cs="Arial"/>
        </w:rPr>
        <w:t xml:space="preserve">. (2021). Pedagogical competencies and licensure examinations: Impact on teacher quality and educational standards. </w:t>
      </w:r>
      <w:r w:rsidRPr="00353402">
        <w:rPr>
          <w:rFonts w:ascii="Arial" w:hAnsi="Arial" w:cs="Arial"/>
          <w:i/>
          <w:iCs/>
        </w:rPr>
        <w:t>Philippine Education Review, 14(3),</w:t>
      </w:r>
      <w:r w:rsidRPr="00353402">
        <w:rPr>
          <w:rFonts w:ascii="Arial" w:hAnsi="Arial" w:cs="Arial"/>
        </w:rPr>
        <w:t xml:space="preserve"> 45-60.</w:t>
      </w:r>
    </w:p>
    <w:p w14:paraId="73E0643D" w14:textId="7A65501D" w:rsidR="00796789" w:rsidRDefault="00796789" w:rsidP="00796789">
      <w:pPr>
        <w:pStyle w:val="Body"/>
        <w:spacing w:after="0"/>
        <w:ind w:left="720" w:hanging="720"/>
        <w:rPr>
          <w:rFonts w:ascii="Arial" w:hAnsi="Arial" w:cs="Arial"/>
        </w:rPr>
      </w:pPr>
      <w:r w:rsidRPr="00796789">
        <w:rPr>
          <w:rFonts w:ascii="Arial" w:hAnsi="Arial" w:cs="Arial"/>
        </w:rPr>
        <w:t>Hilario, I. (2000). Factors influencing the licensure examination performance of teacher education institutions in the Cordillera Administrative Region.</w:t>
      </w:r>
      <w:r w:rsidR="003640BF">
        <w:rPr>
          <w:rFonts w:ascii="Arial" w:hAnsi="Arial" w:cs="Arial"/>
        </w:rPr>
        <w:t xml:space="preserve"> </w:t>
      </w:r>
      <w:r w:rsidRPr="00796789">
        <w:rPr>
          <w:rFonts w:ascii="Arial" w:hAnsi="Arial" w:cs="Arial"/>
        </w:rPr>
        <w:t xml:space="preserve">Unpublished Doctoral </w:t>
      </w:r>
      <w:proofErr w:type="spellStart"/>
      <w:r w:rsidRPr="00796789">
        <w:rPr>
          <w:rFonts w:ascii="Arial" w:hAnsi="Arial" w:cs="Arial"/>
        </w:rPr>
        <w:t>Dissertation.St</w:t>
      </w:r>
      <w:proofErr w:type="spellEnd"/>
      <w:r w:rsidRPr="00796789">
        <w:rPr>
          <w:rFonts w:ascii="Arial" w:hAnsi="Arial" w:cs="Arial"/>
        </w:rPr>
        <w:t>. Louise University, Baguio City.</w:t>
      </w:r>
    </w:p>
    <w:p w14:paraId="396428F5" w14:textId="3908A252" w:rsidR="009F2807" w:rsidRDefault="009F2807" w:rsidP="00796789">
      <w:pPr>
        <w:pStyle w:val="Body"/>
        <w:spacing w:after="0"/>
        <w:ind w:left="720" w:hanging="720"/>
        <w:rPr>
          <w:rFonts w:ascii="Arial" w:hAnsi="Arial" w:cs="Arial"/>
        </w:rPr>
      </w:pPr>
      <w:r w:rsidRPr="009F2807">
        <w:rPr>
          <w:rFonts w:ascii="Arial" w:hAnsi="Arial" w:cs="Arial"/>
        </w:rPr>
        <w:t xml:space="preserve">Ladia, M. P. &amp; Nool, N. R. (2012). Analysis of the Performance in the Licensure Examination for Teachers of State Universities and Colleges in Region III. Retrieved from https://www.academia.edu/7963956/Performance_in_the_ </w:t>
      </w:r>
      <w:r w:rsidRPr="009F2807">
        <w:rPr>
          <w:rFonts w:ascii="Arial" w:hAnsi="Arial" w:cs="Arial"/>
        </w:rPr>
        <w:lastRenderedPageBreak/>
        <w:t xml:space="preserve">Licensure_Examination_for_Teachers_of_State_Universities_and_Colleg </w:t>
      </w:r>
      <w:proofErr w:type="spellStart"/>
      <w:r w:rsidRPr="009F2807">
        <w:rPr>
          <w:rFonts w:ascii="Arial" w:hAnsi="Arial" w:cs="Arial"/>
        </w:rPr>
        <w:t>es_in_Region_III</w:t>
      </w:r>
      <w:proofErr w:type="spellEnd"/>
    </w:p>
    <w:p w14:paraId="2768747E" w14:textId="05D4355E" w:rsidR="00E1240C" w:rsidRDefault="00E1240C" w:rsidP="00796789">
      <w:pPr>
        <w:pStyle w:val="Body"/>
        <w:spacing w:after="0"/>
        <w:ind w:left="720" w:hanging="720"/>
        <w:rPr>
          <w:rFonts w:ascii="Arial" w:hAnsi="Arial" w:cs="Arial"/>
        </w:rPr>
      </w:pPr>
      <w:proofErr w:type="spellStart"/>
      <w:r w:rsidRPr="00E1240C">
        <w:rPr>
          <w:rFonts w:ascii="Arial" w:hAnsi="Arial" w:cs="Arial"/>
        </w:rPr>
        <w:t>Laguador</w:t>
      </w:r>
      <w:proofErr w:type="spellEnd"/>
      <w:r w:rsidRPr="00E1240C">
        <w:rPr>
          <w:rFonts w:ascii="Arial" w:hAnsi="Arial" w:cs="Arial"/>
        </w:rPr>
        <w:t xml:space="preserve">, J. M., &amp; </w:t>
      </w:r>
      <w:proofErr w:type="spellStart"/>
      <w:r w:rsidRPr="00E1240C">
        <w:rPr>
          <w:rFonts w:ascii="Arial" w:hAnsi="Arial" w:cs="Arial"/>
        </w:rPr>
        <w:t>Refozar</w:t>
      </w:r>
      <w:proofErr w:type="spellEnd"/>
      <w:r w:rsidRPr="00E1240C">
        <w:rPr>
          <w:rFonts w:ascii="Arial" w:hAnsi="Arial" w:cs="Arial"/>
        </w:rPr>
        <w:t>, R. F. G. (2020). Five-year declining performance of private and public schools in the Philippine certified public accountant licensure examination. European Journal of Educational Research, 9(3), 995-1007. https://doi.org/10.12973/eu-jer.9.3.995</w:t>
      </w:r>
    </w:p>
    <w:p w14:paraId="642AFA06" w14:textId="387E546E" w:rsidR="003723EF" w:rsidRDefault="003723EF" w:rsidP="00796789">
      <w:pPr>
        <w:pStyle w:val="Body"/>
        <w:spacing w:after="0"/>
        <w:ind w:left="720" w:hanging="720"/>
        <w:rPr>
          <w:rFonts w:ascii="Arial" w:hAnsi="Arial" w:cs="Arial"/>
        </w:rPr>
      </w:pPr>
      <w:proofErr w:type="spellStart"/>
      <w:r w:rsidRPr="003723EF">
        <w:rPr>
          <w:rFonts w:ascii="Arial" w:hAnsi="Arial" w:cs="Arial"/>
        </w:rPr>
        <w:t>Ofqueria</w:t>
      </w:r>
      <w:proofErr w:type="spellEnd"/>
      <w:r w:rsidRPr="003723EF">
        <w:rPr>
          <w:rFonts w:ascii="Arial" w:hAnsi="Arial" w:cs="Arial"/>
        </w:rPr>
        <w:t>, M.G.M. (2020). Performance on Licensure Examination for Teachers Between Education and Non</w:t>
      </w:r>
      <w:r w:rsidR="005438D4">
        <w:rPr>
          <w:rFonts w:ascii="Arial" w:hAnsi="Arial" w:cs="Arial"/>
        </w:rPr>
        <w:t>-</w:t>
      </w:r>
      <w:r w:rsidRPr="003723EF">
        <w:rPr>
          <w:rFonts w:ascii="Arial" w:hAnsi="Arial" w:cs="Arial"/>
        </w:rPr>
        <w:t xml:space="preserve">Education Graduates from One State College. </w:t>
      </w:r>
      <w:r w:rsidRPr="003723EF">
        <w:rPr>
          <w:rFonts w:ascii="Arial" w:hAnsi="Arial" w:cs="Arial"/>
          <w:i/>
          <w:iCs/>
        </w:rPr>
        <w:t>Asia Pacific Journal of Multidisciplinary Research</w:t>
      </w:r>
      <w:r w:rsidRPr="003723EF">
        <w:rPr>
          <w:rFonts w:ascii="Arial" w:hAnsi="Arial" w:cs="Arial"/>
        </w:rPr>
        <w:t xml:space="preserve">, </w:t>
      </w:r>
      <w:r w:rsidRPr="003723EF">
        <w:rPr>
          <w:rFonts w:ascii="Arial" w:hAnsi="Arial" w:cs="Arial"/>
          <w:i/>
          <w:iCs/>
        </w:rPr>
        <w:t>8(2)</w:t>
      </w:r>
      <w:r w:rsidRPr="003723EF">
        <w:rPr>
          <w:rFonts w:ascii="Arial" w:hAnsi="Arial" w:cs="Arial"/>
        </w:rPr>
        <w:t>, 86- 93.</w:t>
      </w:r>
    </w:p>
    <w:p w14:paraId="12873945" w14:textId="0952893F" w:rsidR="00796789" w:rsidRDefault="00D66198" w:rsidP="00D66198">
      <w:pPr>
        <w:pStyle w:val="Body"/>
        <w:spacing w:after="0"/>
        <w:ind w:left="720" w:hanging="720"/>
        <w:rPr>
          <w:rFonts w:ascii="Arial" w:hAnsi="Arial" w:cs="Arial"/>
        </w:rPr>
      </w:pPr>
      <w:r w:rsidRPr="00D66198">
        <w:rPr>
          <w:rFonts w:ascii="Arial" w:hAnsi="Arial" w:cs="Arial"/>
        </w:rPr>
        <w:t>Ong, M. B. &amp;</w:t>
      </w:r>
      <w:r>
        <w:rPr>
          <w:rFonts w:ascii="Arial" w:hAnsi="Arial" w:cs="Arial"/>
        </w:rPr>
        <w:t xml:space="preserve"> </w:t>
      </w:r>
      <w:proofErr w:type="spellStart"/>
      <w:r w:rsidRPr="00D66198">
        <w:rPr>
          <w:rFonts w:ascii="Arial" w:hAnsi="Arial" w:cs="Arial"/>
        </w:rPr>
        <w:t>Palompon</w:t>
      </w:r>
      <w:proofErr w:type="spellEnd"/>
      <w:r w:rsidRPr="00D66198">
        <w:rPr>
          <w:rFonts w:ascii="Arial" w:hAnsi="Arial" w:cs="Arial"/>
        </w:rPr>
        <w:t>, D. R. (2012</w:t>
      </w:r>
      <w:proofErr w:type="gramStart"/>
      <w:r w:rsidRPr="00D66198">
        <w:rPr>
          <w:rFonts w:ascii="Arial" w:hAnsi="Arial" w:cs="Arial"/>
        </w:rPr>
        <w:t>).Predictors</w:t>
      </w:r>
      <w:proofErr w:type="gramEnd"/>
      <w:r w:rsidRPr="00D66198">
        <w:rPr>
          <w:rFonts w:ascii="Arial" w:hAnsi="Arial" w:cs="Arial"/>
        </w:rPr>
        <w:t xml:space="preserve"> of nurses’ licensure examination performance of graduates in Cebu Normal University, Philippines. </w:t>
      </w:r>
      <w:r w:rsidRPr="00822092">
        <w:rPr>
          <w:rFonts w:ascii="Arial" w:hAnsi="Arial" w:cs="Arial"/>
          <w:i/>
          <w:iCs/>
        </w:rPr>
        <w:t>Asian Journal of Health, 2,</w:t>
      </w:r>
      <w:r w:rsidRPr="00D66198">
        <w:rPr>
          <w:rFonts w:ascii="Arial" w:hAnsi="Arial" w:cs="Arial"/>
        </w:rPr>
        <w:t xml:space="preserve"> 134, 2012</w:t>
      </w:r>
      <w:r w:rsidR="002822DE">
        <w:rPr>
          <w:rFonts w:ascii="Arial" w:hAnsi="Arial" w:cs="Arial"/>
        </w:rPr>
        <w:t xml:space="preserve">. DOI: </w:t>
      </w:r>
      <w:r w:rsidR="002822DE" w:rsidRPr="002822DE">
        <w:rPr>
          <w:rFonts w:ascii="Arial" w:hAnsi="Arial" w:cs="Arial"/>
        </w:rPr>
        <w:t>http://dx.doi.org/10.7828/ajoh.v2i1.122</w:t>
      </w:r>
    </w:p>
    <w:p w14:paraId="0072DB45" w14:textId="209F0413" w:rsidR="00984452" w:rsidRDefault="00160F12" w:rsidP="00984452">
      <w:pPr>
        <w:pStyle w:val="Body"/>
        <w:spacing w:after="0"/>
        <w:ind w:left="720" w:hanging="720"/>
        <w:rPr>
          <w:rFonts w:ascii="Arial" w:hAnsi="Arial" w:cs="Arial"/>
        </w:rPr>
      </w:pPr>
      <w:r w:rsidRPr="00160F12">
        <w:rPr>
          <w:rFonts w:ascii="Arial" w:hAnsi="Arial" w:cs="Arial"/>
        </w:rPr>
        <w:t>Professional Regulation Commission. (2022). Resolution No. 2022-34: Guidelines on the Evaluation of the Educational Qualifications of Applicants for the Licensure Examination for Professional Teachers - Secondary Level Starting Year 2023 Onwards.</w:t>
      </w:r>
      <w:r w:rsidR="00656A63">
        <w:rPr>
          <w:rFonts w:ascii="Arial" w:hAnsi="Arial" w:cs="Arial"/>
        </w:rPr>
        <w:t xml:space="preserve"> </w:t>
      </w:r>
      <w:r w:rsidRPr="00160F12">
        <w:rPr>
          <w:rFonts w:ascii="Arial" w:hAnsi="Arial" w:cs="Arial"/>
        </w:rPr>
        <w:t>https://www.prc.gov.ph/sites/default/files/2022- 34%20published%20PROFESSIONAL%20TEACHER.pdf</w:t>
      </w:r>
    </w:p>
    <w:p w14:paraId="0403FCD8" w14:textId="43CF3D63" w:rsidR="00160F12" w:rsidRPr="00160F12" w:rsidRDefault="00160F12" w:rsidP="00984452">
      <w:pPr>
        <w:pStyle w:val="Body"/>
        <w:spacing w:after="0"/>
        <w:ind w:left="720" w:hanging="720"/>
        <w:rPr>
          <w:rFonts w:ascii="Arial" w:hAnsi="Arial" w:cs="Arial"/>
        </w:rPr>
      </w:pPr>
      <w:r w:rsidRPr="00160F12">
        <w:rPr>
          <w:rFonts w:ascii="Arial" w:hAnsi="Arial" w:cs="Arial"/>
        </w:rPr>
        <w:t xml:space="preserve">Professional Regulation Commission. (2024, January). Program of the Licensure Examination </w:t>
      </w:r>
      <w:proofErr w:type="gramStart"/>
      <w:r w:rsidRPr="00160F12">
        <w:rPr>
          <w:rFonts w:ascii="Arial" w:hAnsi="Arial" w:cs="Arial"/>
        </w:rPr>
        <w:t>For</w:t>
      </w:r>
      <w:proofErr w:type="gramEnd"/>
      <w:r w:rsidRPr="00160F12">
        <w:rPr>
          <w:rFonts w:ascii="Arial" w:hAnsi="Arial" w:cs="Arial"/>
        </w:rPr>
        <w:t xml:space="preserve"> Professional Teachers (LEPT) on March 17, 2024 (Sunday). Retrieved from https://www.prc.gov.ph/sites/default/files/lept% 20exam%20program%20MARCH%20%202024_REV.pdf</w:t>
      </w:r>
    </w:p>
    <w:p w14:paraId="2B14EDB5" w14:textId="44889E03" w:rsidR="00160F12" w:rsidRDefault="00160F12" w:rsidP="00796789">
      <w:pPr>
        <w:pStyle w:val="Body"/>
        <w:spacing w:after="0"/>
        <w:ind w:left="720" w:hanging="720"/>
        <w:rPr>
          <w:rFonts w:ascii="Arial" w:hAnsi="Arial" w:cs="Arial"/>
        </w:rPr>
      </w:pPr>
      <w:r w:rsidRPr="00160F12">
        <w:rPr>
          <w:rFonts w:ascii="Arial" w:hAnsi="Arial" w:cs="Arial"/>
        </w:rPr>
        <w:t>Professional Regulation Commission. (2024, February 5). Re-opening of the Filing of Application for the March 2024 Licensure Examination for Professional Teachers for Graduates of Non-education Courses from February 06, 2024 to February 16, 2024. Retrieved from https://www.prc.gov.ph/article/re-opening-filing-application-march-2024- licensure-examination-professional-teachers</w:t>
      </w:r>
    </w:p>
    <w:p w14:paraId="5789C400" w14:textId="637A3D23" w:rsidR="00CF5E70" w:rsidRPr="00FD7DC5" w:rsidRDefault="00CF5E70" w:rsidP="00CF5E70">
      <w:pPr>
        <w:pStyle w:val="Body"/>
        <w:spacing w:after="0"/>
        <w:ind w:left="720" w:hanging="720"/>
        <w:rPr>
          <w:rFonts w:ascii="Arial" w:hAnsi="Arial" w:cs="Arial"/>
        </w:rPr>
      </w:pPr>
      <w:r w:rsidRPr="00CF5E70">
        <w:rPr>
          <w:rFonts w:ascii="Arial" w:hAnsi="Arial" w:cs="Arial"/>
        </w:rPr>
        <w:t xml:space="preserve">Rudio, V.O. (2016). Performance of teacher education graduates, DMMMSU- NLUC, Philippines in the licensure examination CY 2011 to 2013. </w:t>
      </w:r>
      <w:r w:rsidRPr="00CF5E70">
        <w:rPr>
          <w:rFonts w:ascii="Arial" w:hAnsi="Arial" w:cs="Arial"/>
          <w:i/>
          <w:iCs/>
        </w:rPr>
        <w:t>Int. J. Educ. Sci. Res. 6.</w:t>
      </w:r>
      <w:r w:rsidRPr="00CF5E70">
        <w:rPr>
          <w:rFonts w:ascii="Arial" w:hAnsi="Arial" w:cs="Arial"/>
        </w:rPr>
        <w:t xml:space="preserve"> Available at SSRN: </w:t>
      </w:r>
      <w:hyperlink r:id="rId15" w:history="1">
        <w:r w:rsidR="00D6593D" w:rsidRPr="00FD7DC5">
          <w:rPr>
            <w:rStyle w:val="Hyperlink"/>
            <w:rFonts w:ascii="Arial" w:hAnsi="Arial" w:cs="Arial"/>
            <w:color w:val="auto"/>
            <w:u w:val="none"/>
          </w:rPr>
          <w:t>https://ssrn.com/abstract=2838142</w:t>
        </w:r>
      </w:hyperlink>
    </w:p>
    <w:p w14:paraId="5C50B1E0" w14:textId="4F5C7DD1" w:rsidR="00D6593D" w:rsidRDefault="00CF096B" w:rsidP="00CF5E70">
      <w:pPr>
        <w:pStyle w:val="Body"/>
        <w:spacing w:after="0"/>
        <w:ind w:left="720" w:hanging="720"/>
        <w:rPr>
          <w:rFonts w:ascii="Arial" w:hAnsi="Arial" w:cs="Arial"/>
        </w:rPr>
      </w:pPr>
      <w:proofErr w:type="spellStart"/>
      <w:r w:rsidRPr="00702CDA">
        <w:rPr>
          <w:rFonts w:ascii="Arial" w:hAnsi="Arial" w:cs="Arial"/>
        </w:rPr>
        <w:t>Salundag</w:t>
      </w:r>
      <w:r w:rsidRPr="00CF096B">
        <w:rPr>
          <w:rFonts w:ascii="Arial" w:hAnsi="Arial" w:cs="Arial"/>
        </w:rPr>
        <w:t>uit</w:t>
      </w:r>
      <w:proofErr w:type="spellEnd"/>
      <w:r w:rsidRPr="00CF096B">
        <w:rPr>
          <w:rFonts w:ascii="Arial" w:hAnsi="Arial" w:cs="Arial"/>
        </w:rPr>
        <w:t xml:space="preserve">, D.F. </w:t>
      </w:r>
      <w:proofErr w:type="gramStart"/>
      <w:r w:rsidRPr="00CF096B">
        <w:rPr>
          <w:rFonts w:ascii="Arial" w:hAnsi="Arial" w:cs="Arial"/>
        </w:rPr>
        <w:t>( 2019</w:t>
      </w:r>
      <w:proofErr w:type="gramEnd"/>
      <w:r w:rsidRPr="00CF096B">
        <w:rPr>
          <w:rFonts w:ascii="Arial" w:hAnsi="Arial" w:cs="Arial"/>
        </w:rPr>
        <w:t xml:space="preserve">). Education, Second Courser, and non-College of Education Graduate’s Performance in the Licensure Examination for Teachers of JRMSU-TC SY 2013-2016. JPAIR Multidisciplinary </w:t>
      </w:r>
      <w:proofErr w:type="gramStart"/>
      <w:r w:rsidRPr="00CF096B">
        <w:rPr>
          <w:rFonts w:ascii="Arial" w:hAnsi="Arial" w:cs="Arial"/>
        </w:rPr>
        <w:t>Research ,</w:t>
      </w:r>
      <w:proofErr w:type="gramEnd"/>
      <w:r w:rsidRPr="00CF096B">
        <w:rPr>
          <w:rFonts w:ascii="Arial" w:hAnsi="Arial" w:cs="Arial"/>
        </w:rPr>
        <w:t xml:space="preserve"> 34 (1) , DOI: http://dx.doi.org/10.7719/jpair.v34i1.633</w:t>
      </w:r>
    </w:p>
    <w:p w14:paraId="481B861A" w14:textId="723143A0" w:rsidR="00160F12" w:rsidRPr="006D0F7B" w:rsidRDefault="00D66198" w:rsidP="00DF620A">
      <w:pPr>
        <w:pStyle w:val="Body"/>
        <w:spacing w:after="0"/>
        <w:ind w:left="720" w:hanging="720"/>
        <w:rPr>
          <w:rFonts w:ascii="Arial" w:hAnsi="Arial" w:cs="Arial"/>
        </w:rPr>
      </w:pPr>
      <w:r w:rsidRPr="00D66198">
        <w:rPr>
          <w:rFonts w:ascii="Arial" w:hAnsi="Arial" w:cs="Arial"/>
        </w:rPr>
        <w:t xml:space="preserve">The </w:t>
      </w:r>
      <w:proofErr w:type="spellStart"/>
      <w:r w:rsidRPr="00D66198">
        <w:rPr>
          <w:rFonts w:ascii="Arial" w:hAnsi="Arial" w:cs="Arial"/>
        </w:rPr>
        <w:t>Jamovi</w:t>
      </w:r>
      <w:proofErr w:type="spellEnd"/>
      <w:r w:rsidRPr="00D66198">
        <w:rPr>
          <w:rFonts w:ascii="Arial" w:hAnsi="Arial" w:cs="Arial"/>
        </w:rPr>
        <w:t xml:space="preserve"> Project. (2021). </w:t>
      </w:r>
      <w:proofErr w:type="spellStart"/>
      <w:r w:rsidRPr="00D66198">
        <w:rPr>
          <w:rFonts w:ascii="Arial" w:hAnsi="Arial" w:cs="Arial"/>
        </w:rPr>
        <w:t>Jamovi</w:t>
      </w:r>
      <w:proofErr w:type="spellEnd"/>
      <w:r w:rsidRPr="00D66198">
        <w:rPr>
          <w:rFonts w:ascii="Arial" w:hAnsi="Arial" w:cs="Arial"/>
        </w:rPr>
        <w:t xml:space="preserve"> (Version 2.0) [Computer software]. Retrieved from </w:t>
      </w:r>
      <w:hyperlink r:id="rId16" w:history="1">
        <w:r w:rsidR="006D0F7B" w:rsidRPr="006D0F7B">
          <w:rPr>
            <w:rStyle w:val="Hyperlink"/>
            <w:rFonts w:ascii="Arial" w:hAnsi="Arial" w:cs="Arial"/>
            <w:color w:val="auto"/>
            <w:u w:val="none"/>
          </w:rPr>
          <w:t>https://www.jamovi.org</w:t>
        </w:r>
      </w:hyperlink>
    </w:p>
    <w:p w14:paraId="7BE16C8D" w14:textId="58C6F187" w:rsidR="00160F12" w:rsidRDefault="006D0F7B" w:rsidP="00D85941">
      <w:pPr>
        <w:pStyle w:val="Body"/>
        <w:ind w:left="720" w:hanging="720"/>
        <w:rPr>
          <w:rFonts w:ascii="Arial" w:hAnsi="Arial" w:cs="Arial"/>
        </w:rPr>
      </w:pPr>
      <w:r w:rsidRPr="006D0F7B">
        <w:rPr>
          <w:rFonts w:ascii="Arial" w:hAnsi="Arial" w:cs="Arial"/>
        </w:rPr>
        <w:t>Visco, D. A. (2015). Determinants of Performance in The Licensure Examination for Teachers (LET) of Abra State Institute of Sciences and Technology.</w:t>
      </w:r>
      <w:r>
        <w:rPr>
          <w:rFonts w:ascii="Arial" w:hAnsi="Arial" w:cs="Arial"/>
        </w:rPr>
        <w:t xml:space="preserve"> </w:t>
      </w:r>
      <w:r w:rsidRPr="006D0F7B">
        <w:rPr>
          <w:rFonts w:ascii="Arial" w:hAnsi="Arial" w:cs="Arial"/>
          <w:i/>
          <w:iCs/>
        </w:rPr>
        <w:t>International Journal of Research in Management &amp; Business Studies, 2(1),</w:t>
      </w:r>
      <w:r w:rsidRPr="006D0F7B">
        <w:rPr>
          <w:rFonts w:ascii="Arial" w:hAnsi="Arial" w:cs="Arial"/>
        </w:rPr>
        <w:t xml:space="preserve"> 39–44. http://ijrmbs.com/vol2issue1/dionisio.pdf</w:t>
      </w:r>
    </w:p>
    <w:sectPr w:rsidR="00160F12" w:rsidSect="007C52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F4E26" w14:textId="77777777" w:rsidR="00A5611B" w:rsidRDefault="00A5611B" w:rsidP="00C37E61">
      <w:r>
        <w:separator/>
      </w:r>
    </w:p>
  </w:endnote>
  <w:endnote w:type="continuationSeparator" w:id="0">
    <w:p w14:paraId="650454F8" w14:textId="77777777" w:rsidR="00A5611B" w:rsidRDefault="00A561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2440" w14:textId="77777777" w:rsidR="007C5219" w:rsidRDefault="007C5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4A5E" w14:textId="77777777" w:rsidR="007C5219" w:rsidRDefault="007C5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4354" w14:textId="77777777" w:rsidR="009E048A" w:rsidRDefault="009E048A">
    <w:pPr>
      <w:pStyle w:val="Footer"/>
      <w:rPr>
        <w:rFonts w:ascii="Arial" w:hAnsi="Arial" w:cs="Arial"/>
        <w:sz w:val="16"/>
      </w:rPr>
    </w:pPr>
  </w:p>
  <w:p w14:paraId="5AF0E0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E57425" w14:textId="77777777" w:rsidR="009E048A" w:rsidRDefault="009E048A">
    <w:pPr>
      <w:pStyle w:val="Footer"/>
      <w:rPr>
        <w:rFonts w:ascii="Arial" w:hAnsi="Arial" w:cs="Arial"/>
        <w:sz w:val="16"/>
      </w:rPr>
    </w:pPr>
  </w:p>
  <w:p w14:paraId="2EA5A77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2113" w14:textId="77777777" w:rsidR="00A5611B" w:rsidRDefault="00A5611B" w:rsidP="00C37E61">
      <w:r>
        <w:separator/>
      </w:r>
    </w:p>
  </w:footnote>
  <w:footnote w:type="continuationSeparator" w:id="0">
    <w:p w14:paraId="6F880E52" w14:textId="77777777" w:rsidR="00A5611B" w:rsidRDefault="00A561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5C65" w14:textId="7FE46E5A" w:rsidR="007C5219" w:rsidRDefault="007C5219">
    <w:pPr>
      <w:pStyle w:val="Header"/>
    </w:pPr>
    <w:r>
      <w:rPr>
        <w:noProof/>
      </w:rPr>
      <w:pict w14:anchorId="3C07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156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A3E3" w14:textId="73732032" w:rsidR="007C5219" w:rsidRDefault="007C5219">
    <w:pPr>
      <w:pStyle w:val="Header"/>
    </w:pPr>
    <w:r>
      <w:rPr>
        <w:noProof/>
      </w:rPr>
      <w:pict w14:anchorId="3149B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156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C5E5" w14:textId="36F6E88F" w:rsidR="00296529" w:rsidRPr="00296529" w:rsidRDefault="007C5219" w:rsidP="00296529">
    <w:pPr>
      <w:ind w:left="2160"/>
      <w:jc w:val="center"/>
      <w:rPr>
        <w:rFonts w:ascii="Times New Roman" w:eastAsia="Calibri" w:hAnsi="Times New Roman"/>
        <w:i/>
        <w:sz w:val="18"/>
        <w:szCs w:val="22"/>
      </w:rPr>
    </w:pPr>
    <w:r>
      <w:rPr>
        <w:noProof/>
      </w:rPr>
      <w:pict w14:anchorId="14630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156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C7A92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B0F1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20DA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7334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B808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210C1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34936"/>
    <w:multiLevelType w:val="hybridMultilevel"/>
    <w:tmpl w:val="7D9898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0AD"/>
    <w:rsid w:val="00013B55"/>
    <w:rsid w:val="00030174"/>
    <w:rsid w:val="0003341C"/>
    <w:rsid w:val="000415A1"/>
    <w:rsid w:val="0004579C"/>
    <w:rsid w:val="0004761D"/>
    <w:rsid w:val="000479F9"/>
    <w:rsid w:val="00051073"/>
    <w:rsid w:val="000526F9"/>
    <w:rsid w:val="00052F4C"/>
    <w:rsid w:val="00053A43"/>
    <w:rsid w:val="00054616"/>
    <w:rsid w:val="00057A2C"/>
    <w:rsid w:val="00066BBB"/>
    <w:rsid w:val="00072834"/>
    <w:rsid w:val="000950F6"/>
    <w:rsid w:val="000A47FA"/>
    <w:rsid w:val="000A65D3"/>
    <w:rsid w:val="000A7C68"/>
    <w:rsid w:val="000B1E33"/>
    <w:rsid w:val="000C6457"/>
    <w:rsid w:val="000C658C"/>
    <w:rsid w:val="000D4543"/>
    <w:rsid w:val="000D689F"/>
    <w:rsid w:val="000E3BA0"/>
    <w:rsid w:val="000E53A3"/>
    <w:rsid w:val="000E7B7B"/>
    <w:rsid w:val="000E7D62"/>
    <w:rsid w:val="000F15B7"/>
    <w:rsid w:val="000F333A"/>
    <w:rsid w:val="000F4FAB"/>
    <w:rsid w:val="00101F1F"/>
    <w:rsid w:val="00103357"/>
    <w:rsid w:val="00106239"/>
    <w:rsid w:val="00114685"/>
    <w:rsid w:val="00123C9F"/>
    <w:rsid w:val="00126190"/>
    <w:rsid w:val="00130F17"/>
    <w:rsid w:val="001320BF"/>
    <w:rsid w:val="0014046D"/>
    <w:rsid w:val="00145A20"/>
    <w:rsid w:val="00156171"/>
    <w:rsid w:val="0016063D"/>
    <w:rsid w:val="00160EC1"/>
    <w:rsid w:val="00160F12"/>
    <w:rsid w:val="00163BC4"/>
    <w:rsid w:val="00191062"/>
    <w:rsid w:val="00192412"/>
    <w:rsid w:val="00192B72"/>
    <w:rsid w:val="001A0444"/>
    <w:rsid w:val="001A29A9"/>
    <w:rsid w:val="001A29D8"/>
    <w:rsid w:val="001A5CAA"/>
    <w:rsid w:val="001B0427"/>
    <w:rsid w:val="001B0831"/>
    <w:rsid w:val="001B448B"/>
    <w:rsid w:val="001C1A3A"/>
    <w:rsid w:val="001D0362"/>
    <w:rsid w:val="001D2A89"/>
    <w:rsid w:val="001D2E20"/>
    <w:rsid w:val="001D3A51"/>
    <w:rsid w:val="001E10D2"/>
    <w:rsid w:val="001E25B4"/>
    <w:rsid w:val="001E44FE"/>
    <w:rsid w:val="001F08C7"/>
    <w:rsid w:val="001F2F5D"/>
    <w:rsid w:val="001F500B"/>
    <w:rsid w:val="001F5A79"/>
    <w:rsid w:val="00200595"/>
    <w:rsid w:val="00204835"/>
    <w:rsid w:val="00225508"/>
    <w:rsid w:val="00225DC4"/>
    <w:rsid w:val="00226545"/>
    <w:rsid w:val="002313A4"/>
    <w:rsid w:val="00231920"/>
    <w:rsid w:val="0023195C"/>
    <w:rsid w:val="00236D9B"/>
    <w:rsid w:val="00240A8E"/>
    <w:rsid w:val="0024282C"/>
    <w:rsid w:val="002460DC"/>
    <w:rsid w:val="00250985"/>
    <w:rsid w:val="0025155C"/>
    <w:rsid w:val="00254380"/>
    <w:rsid w:val="002556F6"/>
    <w:rsid w:val="00271227"/>
    <w:rsid w:val="00276421"/>
    <w:rsid w:val="002822DE"/>
    <w:rsid w:val="00283105"/>
    <w:rsid w:val="00284C4C"/>
    <w:rsid w:val="0028726C"/>
    <w:rsid w:val="002874F3"/>
    <w:rsid w:val="00287E68"/>
    <w:rsid w:val="00296529"/>
    <w:rsid w:val="002979A0"/>
    <w:rsid w:val="002B1CCD"/>
    <w:rsid w:val="002B27FB"/>
    <w:rsid w:val="002B5054"/>
    <w:rsid w:val="002B66AF"/>
    <w:rsid w:val="002B685A"/>
    <w:rsid w:val="002C142A"/>
    <w:rsid w:val="002C57D2"/>
    <w:rsid w:val="002D1401"/>
    <w:rsid w:val="002D3729"/>
    <w:rsid w:val="002D394D"/>
    <w:rsid w:val="002D52BF"/>
    <w:rsid w:val="002E0D56"/>
    <w:rsid w:val="002F10B6"/>
    <w:rsid w:val="0030133B"/>
    <w:rsid w:val="00303140"/>
    <w:rsid w:val="00315186"/>
    <w:rsid w:val="0033217D"/>
    <w:rsid w:val="00332A21"/>
    <w:rsid w:val="0033343E"/>
    <w:rsid w:val="00341D36"/>
    <w:rsid w:val="003512C2"/>
    <w:rsid w:val="00353402"/>
    <w:rsid w:val="003640BF"/>
    <w:rsid w:val="00366575"/>
    <w:rsid w:val="00370BB8"/>
    <w:rsid w:val="00371FB6"/>
    <w:rsid w:val="003723EF"/>
    <w:rsid w:val="003763C1"/>
    <w:rsid w:val="00376996"/>
    <w:rsid w:val="00376BBE"/>
    <w:rsid w:val="00376CD0"/>
    <w:rsid w:val="00383467"/>
    <w:rsid w:val="00384C9B"/>
    <w:rsid w:val="00385173"/>
    <w:rsid w:val="00386A05"/>
    <w:rsid w:val="0038712D"/>
    <w:rsid w:val="0039224F"/>
    <w:rsid w:val="00396B6D"/>
    <w:rsid w:val="003A43A4"/>
    <w:rsid w:val="003A7E18"/>
    <w:rsid w:val="003B28A9"/>
    <w:rsid w:val="003C1C54"/>
    <w:rsid w:val="003C25D0"/>
    <w:rsid w:val="003C388B"/>
    <w:rsid w:val="003C3E6E"/>
    <w:rsid w:val="003C4BAA"/>
    <w:rsid w:val="003C4C86"/>
    <w:rsid w:val="003C583F"/>
    <w:rsid w:val="003C6258"/>
    <w:rsid w:val="003C66BA"/>
    <w:rsid w:val="003C68D2"/>
    <w:rsid w:val="003D11A1"/>
    <w:rsid w:val="003D662B"/>
    <w:rsid w:val="003E2904"/>
    <w:rsid w:val="004007D8"/>
    <w:rsid w:val="00401927"/>
    <w:rsid w:val="00402E84"/>
    <w:rsid w:val="00405394"/>
    <w:rsid w:val="0041027F"/>
    <w:rsid w:val="00410D72"/>
    <w:rsid w:val="00412475"/>
    <w:rsid w:val="0041342C"/>
    <w:rsid w:val="00420768"/>
    <w:rsid w:val="00423789"/>
    <w:rsid w:val="00425588"/>
    <w:rsid w:val="00426339"/>
    <w:rsid w:val="004321F7"/>
    <w:rsid w:val="00440F43"/>
    <w:rsid w:val="0044180C"/>
    <w:rsid w:val="00441B6F"/>
    <w:rsid w:val="00446221"/>
    <w:rsid w:val="00450E62"/>
    <w:rsid w:val="00451129"/>
    <w:rsid w:val="0045140A"/>
    <w:rsid w:val="004539DB"/>
    <w:rsid w:val="00466C6D"/>
    <w:rsid w:val="00471A80"/>
    <w:rsid w:val="00473CA4"/>
    <w:rsid w:val="0047489E"/>
    <w:rsid w:val="00486CDD"/>
    <w:rsid w:val="00487591"/>
    <w:rsid w:val="00495010"/>
    <w:rsid w:val="004A0617"/>
    <w:rsid w:val="004B4F93"/>
    <w:rsid w:val="004B5BEF"/>
    <w:rsid w:val="004C3B18"/>
    <w:rsid w:val="004D1CD2"/>
    <w:rsid w:val="004D305E"/>
    <w:rsid w:val="004D4277"/>
    <w:rsid w:val="004D45CF"/>
    <w:rsid w:val="004F1A1E"/>
    <w:rsid w:val="00502516"/>
    <w:rsid w:val="00505F06"/>
    <w:rsid w:val="00506828"/>
    <w:rsid w:val="0051082E"/>
    <w:rsid w:val="0053056E"/>
    <w:rsid w:val="005309E9"/>
    <w:rsid w:val="0054066A"/>
    <w:rsid w:val="00540764"/>
    <w:rsid w:val="00541E40"/>
    <w:rsid w:val="0054304A"/>
    <w:rsid w:val="005438D4"/>
    <w:rsid w:val="005445EA"/>
    <w:rsid w:val="00553B88"/>
    <w:rsid w:val="00554DE7"/>
    <w:rsid w:val="00554FDA"/>
    <w:rsid w:val="005704C0"/>
    <w:rsid w:val="00577019"/>
    <w:rsid w:val="0058737C"/>
    <w:rsid w:val="005905BF"/>
    <w:rsid w:val="005946AA"/>
    <w:rsid w:val="005A2A4A"/>
    <w:rsid w:val="005B1FCE"/>
    <w:rsid w:val="005C784C"/>
    <w:rsid w:val="005D17F6"/>
    <w:rsid w:val="005D7419"/>
    <w:rsid w:val="005E31B9"/>
    <w:rsid w:val="005E525C"/>
    <w:rsid w:val="005E5539"/>
    <w:rsid w:val="005E7473"/>
    <w:rsid w:val="005F10C9"/>
    <w:rsid w:val="005F3C3D"/>
    <w:rsid w:val="00602BF5"/>
    <w:rsid w:val="00605DB3"/>
    <w:rsid w:val="00617FDD"/>
    <w:rsid w:val="0062013F"/>
    <w:rsid w:val="00625E67"/>
    <w:rsid w:val="0062611B"/>
    <w:rsid w:val="00633614"/>
    <w:rsid w:val="00633F68"/>
    <w:rsid w:val="00636EB2"/>
    <w:rsid w:val="006375B8"/>
    <w:rsid w:val="00640DB9"/>
    <w:rsid w:val="00647D5E"/>
    <w:rsid w:val="00652570"/>
    <w:rsid w:val="00656A63"/>
    <w:rsid w:val="0066337A"/>
    <w:rsid w:val="00664CE1"/>
    <w:rsid w:val="0066510A"/>
    <w:rsid w:val="00673F9F"/>
    <w:rsid w:val="006763B7"/>
    <w:rsid w:val="00686953"/>
    <w:rsid w:val="00687DEA"/>
    <w:rsid w:val="00687E67"/>
    <w:rsid w:val="006919F3"/>
    <w:rsid w:val="00693497"/>
    <w:rsid w:val="006967F7"/>
    <w:rsid w:val="006A250C"/>
    <w:rsid w:val="006A30D6"/>
    <w:rsid w:val="006A42A4"/>
    <w:rsid w:val="006B21D3"/>
    <w:rsid w:val="006B57D0"/>
    <w:rsid w:val="006B68B5"/>
    <w:rsid w:val="006B6EF7"/>
    <w:rsid w:val="006C105C"/>
    <w:rsid w:val="006C2964"/>
    <w:rsid w:val="006C429A"/>
    <w:rsid w:val="006D0F7B"/>
    <w:rsid w:val="006D30FF"/>
    <w:rsid w:val="006D5BC8"/>
    <w:rsid w:val="006D6940"/>
    <w:rsid w:val="006E1471"/>
    <w:rsid w:val="006E4F29"/>
    <w:rsid w:val="006F11EC"/>
    <w:rsid w:val="006F3B96"/>
    <w:rsid w:val="006F6BC5"/>
    <w:rsid w:val="0070082C"/>
    <w:rsid w:val="00702CDA"/>
    <w:rsid w:val="00717834"/>
    <w:rsid w:val="007270FC"/>
    <w:rsid w:val="00733EE1"/>
    <w:rsid w:val="007369E6"/>
    <w:rsid w:val="00746E59"/>
    <w:rsid w:val="00750E2B"/>
    <w:rsid w:val="00754C9A"/>
    <w:rsid w:val="0075599A"/>
    <w:rsid w:val="00761D52"/>
    <w:rsid w:val="00766964"/>
    <w:rsid w:val="0077749E"/>
    <w:rsid w:val="0079075F"/>
    <w:rsid w:val="00790ADA"/>
    <w:rsid w:val="00795D79"/>
    <w:rsid w:val="00796269"/>
    <w:rsid w:val="00796789"/>
    <w:rsid w:val="007974AF"/>
    <w:rsid w:val="007A1898"/>
    <w:rsid w:val="007B4FDE"/>
    <w:rsid w:val="007C5219"/>
    <w:rsid w:val="007C71DC"/>
    <w:rsid w:val="007C79ED"/>
    <w:rsid w:val="007D2288"/>
    <w:rsid w:val="007D7390"/>
    <w:rsid w:val="007E088F"/>
    <w:rsid w:val="007E6322"/>
    <w:rsid w:val="007E7DF7"/>
    <w:rsid w:val="007F2FA4"/>
    <w:rsid w:val="007F7B32"/>
    <w:rsid w:val="00804BC2"/>
    <w:rsid w:val="00805E5F"/>
    <w:rsid w:val="008063C8"/>
    <w:rsid w:val="0080778F"/>
    <w:rsid w:val="0081431A"/>
    <w:rsid w:val="00814A45"/>
    <w:rsid w:val="0082016E"/>
    <w:rsid w:val="00820A04"/>
    <w:rsid w:val="00822092"/>
    <w:rsid w:val="0082556F"/>
    <w:rsid w:val="008256CC"/>
    <w:rsid w:val="0083216F"/>
    <w:rsid w:val="00836EBA"/>
    <w:rsid w:val="00840075"/>
    <w:rsid w:val="008435DA"/>
    <w:rsid w:val="00844D09"/>
    <w:rsid w:val="00846764"/>
    <w:rsid w:val="00860000"/>
    <w:rsid w:val="00861B5A"/>
    <w:rsid w:val="008620FF"/>
    <w:rsid w:val="00863BD3"/>
    <w:rsid w:val="008641ED"/>
    <w:rsid w:val="00866D66"/>
    <w:rsid w:val="008671C6"/>
    <w:rsid w:val="00875803"/>
    <w:rsid w:val="008804C6"/>
    <w:rsid w:val="008869C1"/>
    <w:rsid w:val="008A4A90"/>
    <w:rsid w:val="008B1325"/>
    <w:rsid w:val="008B459E"/>
    <w:rsid w:val="008C2D3A"/>
    <w:rsid w:val="008C3A87"/>
    <w:rsid w:val="008D36AF"/>
    <w:rsid w:val="008D67CD"/>
    <w:rsid w:val="008E13AE"/>
    <w:rsid w:val="008E1506"/>
    <w:rsid w:val="008E2251"/>
    <w:rsid w:val="008E37E8"/>
    <w:rsid w:val="008E710C"/>
    <w:rsid w:val="008F0B6F"/>
    <w:rsid w:val="008F1D8B"/>
    <w:rsid w:val="008F2431"/>
    <w:rsid w:val="008F69D6"/>
    <w:rsid w:val="008F69D8"/>
    <w:rsid w:val="009007FD"/>
    <w:rsid w:val="009026AB"/>
    <w:rsid w:val="00902823"/>
    <w:rsid w:val="00905C3F"/>
    <w:rsid w:val="009118BC"/>
    <w:rsid w:val="009147EE"/>
    <w:rsid w:val="00915CA6"/>
    <w:rsid w:val="0091773E"/>
    <w:rsid w:val="00922E78"/>
    <w:rsid w:val="009253D7"/>
    <w:rsid w:val="00927024"/>
    <w:rsid w:val="009275B3"/>
    <w:rsid w:val="00927834"/>
    <w:rsid w:val="00931871"/>
    <w:rsid w:val="0094022A"/>
    <w:rsid w:val="009500A6"/>
    <w:rsid w:val="00953829"/>
    <w:rsid w:val="00957C18"/>
    <w:rsid w:val="00960717"/>
    <w:rsid w:val="00965115"/>
    <w:rsid w:val="009659BA"/>
    <w:rsid w:val="00975546"/>
    <w:rsid w:val="00983040"/>
    <w:rsid w:val="00984452"/>
    <w:rsid w:val="00991916"/>
    <w:rsid w:val="009920C9"/>
    <w:rsid w:val="00992D59"/>
    <w:rsid w:val="00994D5C"/>
    <w:rsid w:val="009B3FB9"/>
    <w:rsid w:val="009B686D"/>
    <w:rsid w:val="009C2465"/>
    <w:rsid w:val="009C4390"/>
    <w:rsid w:val="009D35A0"/>
    <w:rsid w:val="009D421B"/>
    <w:rsid w:val="009D7EB7"/>
    <w:rsid w:val="009E048A"/>
    <w:rsid w:val="009E08E9"/>
    <w:rsid w:val="009E3DB9"/>
    <w:rsid w:val="009E67B9"/>
    <w:rsid w:val="009E6E35"/>
    <w:rsid w:val="009F0EDA"/>
    <w:rsid w:val="009F2807"/>
    <w:rsid w:val="009F5DA6"/>
    <w:rsid w:val="00A03B96"/>
    <w:rsid w:val="00A05274"/>
    <w:rsid w:val="00A05B19"/>
    <w:rsid w:val="00A11101"/>
    <w:rsid w:val="00A1134E"/>
    <w:rsid w:val="00A17807"/>
    <w:rsid w:val="00A21914"/>
    <w:rsid w:val="00A24E7E"/>
    <w:rsid w:val="00A258C3"/>
    <w:rsid w:val="00A347C0"/>
    <w:rsid w:val="00A435C3"/>
    <w:rsid w:val="00A43BC2"/>
    <w:rsid w:val="00A51431"/>
    <w:rsid w:val="00A53324"/>
    <w:rsid w:val="00A539AD"/>
    <w:rsid w:val="00A5611B"/>
    <w:rsid w:val="00A60A94"/>
    <w:rsid w:val="00A65BF8"/>
    <w:rsid w:val="00A86923"/>
    <w:rsid w:val="00A878ED"/>
    <w:rsid w:val="00A87923"/>
    <w:rsid w:val="00A87ACD"/>
    <w:rsid w:val="00A94063"/>
    <w:rsid w:val="00AA6219"/>
    <w:rsid w:val="00AA74E0"/>
    <w:rsid w:val="00AB298C"/>
    <w:rsid w:val="00AB4F0A"/>
    <w:rsid w:val="00AB703F"/>
    <w:rsid w:val="00AC0892"/>
    <w:rsid w:val="00AC6BB8"/>
    <w:rsid w:val="00AE008F"/>
    <w:rsid w:val="00AF4058"/>
    <w:rsid w:val="00B00EF8"/>
    <w:rsid w:val="00B01FCD"/>
    <w:rsid w:val="00B03D72"/>
    <w:rsid w:val="00B12276"/>
    <w:rsid w:val="00B1776C"/>
    <w:rsid w:val="00B179B8"/>
    <w:rsid w:val="00B218FE"/>
    <w:rsid w:val="00B23F21"/>
    <w:rsid w:val="00B30483"/>
    <w:rsid w:val="00B33562"/>
    <w:rsid w:val="00B3557F"/>
    <w:rsid w:val="00B3616C"/>
    <w:rsid w:val="00B418B5"/>
    <w:rsid w:val="00B426A3"/>
    <w:rsid w:val="00B42C3F"/>
    <w:rsid w:val="00B5199A"/>
    <w:rsid w:val="00B52583"/>
    <w:rsid w:val="00B52896"/>
    <w:rsid w:val="00B656F7"/>
    <w:rsid w:val="00B824D1"/>
    <w:rsid w:val="00B91878"/>
    <w:rsid w:val="00B95236"/>
    <w:rsid w:val="00B96BD9"/>
    <w:rsid w:val="00BA1B01"/>
    <w:rsid w:val="00BA2641"/>
    <w:rsid w:val="00BA2B10"/>
    <w:rsid w:val="00BB37AA"/>
    <w:rsid w:val="00BC0042"/>
    <w:rsid w:val="00BC298D"/>
    <w:rsid w:val="00BC4AD2"/>
    <w:rsid w:val="00BC53A0"/>
    <w:rsid w:val="00BC62DA"/>
    <w:rsid w:val="00BC6CE7"/>
    <w:rsid w:val="00BE1DE3"/>
    <w:rsid w:val="00BE4584"/>
    <w:rsid w:val="00BE4830"/>
    <w:rsid w:val="00BE62AD"/>
    <w:rsid w:val="00BF09EA"/>
    <w:rsid w:val="00BF121F"/>
    <w:rsid w:val="00BF1F80"/>
    <w:rsid w:val="00C117AA"/>
    <w:rsid w:val="00C166EF"/>
    <w:rsid w:val="00C17EB0"/>
    <w:rsid w:val="00C25C3D"/>
    <w:rsid w:val="00C27F5F"/>
    <w:rsid w:val="00C30A0F"/>
    <w:rsid w:val="00C30A4E"/>
    <w:rsid w:val="00C37E61"/>
    <w:rsid w:val="00C444DC"/>
    <w:rsid w:val="00C528B9"/>
    <w:rsid w:val="00C560C0"/>
    <w:rsid w:val="00C57CDA"/>
    <w:rsid w:val="00C60EDD"/>
    <w:rsid w:val="00C70F1B"/>
    <w:rsid w:val="00C71A47"/>
    <w:rsid w:val="00C7464C"/>
    <w:rsid w:val="00C83B9C"/>
    <w:rsid w:val="00C83EA9"/>
    <w:rsid w:val="00C841F4"/>
    <w:rsid w:val="00C85588"/>
    <w:rsid w:val="00C90FF6"/>
    <w:rsid w:val="00C91283"/>
    <w:rsid w:val="00CA094C"/>
    <w:rsid w:val="00CC2F6A"/>
    <w:rsid w:val="00CD0648"/>
    <w:rsid w:val="00CD0777"/>
    <w:rsid w:val="00CD1164"/>
    <w:rsid w:val="00CD2A67"/>
    <w:rsid w:val="00CD6755"/>
    <w:rsid w:val="00CD6856"/>
    <w:rsid w:val="00CE0089"/>
    <w:rsid w:val="00CE31BA"/>
    <w:rsid w:val="00CE793C"/>
    <w:rsid w:val="00CF096B"/>
    <w:rsid w:val="00CF193C"/>
    <w:rsid w:val="00CF5E70"/>
    <w:rsid w:val="00D00CC8"/>
    <w:rsid w:val="00D06CA8"/>
    <w:rsid w:val="00D173F1"/>
    <w:rsid w:val="00D215A9"/>
    <w:rsid w:val="00D37DB3"/>
    <w:rsid w:val="00D471F1"/>
    <w:rsid w:val="00D55237"/>
    <w:rsid w:val="00D61A94"/>
    <w:rsid w:val="00D6593D"/>
    <w:rsid w:val="00D66198"/>
    <w:rsid w:val="00D671A1"/>
    <w:rsid w:val="00D74CB0"/>
    <w:rsid w:val="00D76E7E"/>
    <w:rsid w:val="00D8196A"/>
    <w:rsid w:val="00D8295D"/>
    <w:rsid w:val="00D83259"/>
    <w:rsid w:val="00D85941"/>
    <w:rsid w:val="00D95D27"/>
    <w:rsid w:val="00D95E11"/>
    <w:rsid w:val="00DA4CC5"/>
    <w:rsid w:val="00DA6B75"/>
    <w:rsid w:val="00DB01BC"/>
    <w:rsid w:val="00DB05EC"/>
    <w:rsid w:val="00DB2EB7"/>
    <w:rsid w:val="00DB7D70"/>
    <w:rsid w:val="00DC2A65"/>
    <w:rsid w:val="00DC3A81"/>
    <w:rsid w:val="00DC4AA9"/>
    <w:rsid w:val="00DE15F0"/>
    <w:rsid w:val="00DE25FD"/>
    <w:rsid w:val="00DE2753"/>
    <w:rsid w:val="00DE5663"/>
    <w:rsid w:val="00DE78AA"/>
    <w:rsid w:val="00DF0E54"/>
    <w:rsid w:val="00DF58CA"/>
    <w:rsid w:val="00DF620A"/>
    <w:rsid w:val="00E053D0"/>
    <w:rsid w:val="00E1240C"/>
    <w:rsid w:val="00E125F8"/>
    <w:rsid w:val="00E145CB"/>
    <w:rsid w:val="00E15994"/>
    <w:rsid w:val="00E23DE1"/>
    <w:rsid w:val="00E24A28"/>
    <w:rsid w:val="00E2707F"/>
    <w:rsid w:val="00E3114E"/>
    <w:rsid w:val="00E31A70"/>
    <w:rsid w:val="00E35920"/>
    <w:rsid w:val="00E35B02"/>
    <w:rsid w:val="00E40E48"/>
    <w:rsid w:val="00E4489E"/>
    <w:rsid w:val="00E60209"/>
    <w:rsid w:val="00E60BAB"/>
    <w:rsid w:val="00E6520F"/>
    <w:rsid w:val="00E66496"/>
    <w:rsid w:val="00E66B35"/>
    <w:rsid w:val="00E66E10"/>
    <w:rsid w:val="00E71A5C"/>
    <w:rsid w:val="00E769F6"/>
    <w:rsid w:val="00E76B58"/>
    <w:rsid w:val="00E82B1F"/>
    <w:rsid w:val="00E8407C"/>
    <w:rsid w:val="00E84F3C"/>
    <w:rsid w:val="00EA012C"/>
    <w:rsid w:val="00EA2C3D"/>
    <w:rsid w:val="00EA4841"/>
    <w:rsid w:val="00EA56E3"/>
    <w:rsid w:val="00EB0690"/>
    <w:rsid w:val="00EB6765"/>
    <w:rsid w:val="00EB748D"/>
    <w:rsid w:val="00EC02C5"/>
    <w:rsid w:val="00EC66C1"/>
    <w:rsid w:val="00EC6A55"/>
    <w:rsid w:val="00ED0288"/>
    <w:rsid w:val="00ED43E2"/>
    <w:rsid w:val="00ED61FA"/>
    <w:rsid w:val="00EE00AB"/>
    <w:rsid w:val="00EE2F61"/>
    <w:rsid w:val="00EE3373"/>
    <w:rsid w:val="00EE52CB"/>
    <w:rsid w:val="00EF581D"/>
    <w:rsid w:val="00EF7FD8"/>
    <w:rsid w:val="00F06F59"/>
    <w:rsid w:val="00F074AD"/>
    <w:rsid w:val="00F17988"/>
    <w:rsid w:val="00F17A46"/>
    <w:rsid w:val="00F33A38"/>
    <w:rsid w:val="00F33CF6"/>
    <w:rsid w:val="00F36376"/>
    <w:rsid w:val="00F37688"/>
    <w:rsid w:val="00F41982"/>
    <w:rsid w:val="00F42019"/>
    <w:rsid w:val="00F42AF5"/>
    <w:rsid w:val="00F453D3"/>
    <w:rsid w:val="00F469F0"/>
    <w:rsid w:val="00F53273"/>
    <w:rsid w:val="00F56EAE"/>
    <w:rsid w:val="00F6398A"/>
    <w:rsid w:val="00F755E4"/>
    <w:rsid w:val="00F77809"/>
    <w:rsid w:val="00F77D02"/>
    <w:rsid w:val="00F82582"/>
    <w:rsid w:val="00F83A63"/>
    <w:rsid w:val="00F91C63"/>
    <w:rsid w:val="00F962D5"/>
    <w:rsid w:val="00FA08EC"/>
    <w:rsid w:val="00FA3A73"/>
    <w:rsid w:val="00FB36DF"/>
    <w:rsid w:val="00FB3A86"/>
    <w:rsid w:val="00FC1507"/>
    <w:rsid w:val="00FC4730"/>
    <w:rsid w:val="00FC7653"/>
    <w:rsid w:val="00FD1407"/>
    <w:rsid w:val="00FD195C"/>
    <w:rsid w:val="00FD36C8"/>
    <w:rsid w:val="00FD4DD5"/>
    <w:rsid w:val="00FD6944"/>
    <w:rsid w:val="00FD781F"/>
    <w:rsid w:val="00FD7DC5"/>
    <w:rsid w:val="00FE1DC8"/>
    <w:rsid w:val="00FE362F"/>
    <w:rsid w:val="00FE53FE"/>
    <w:rsid w:val="00FE5781"/>
    <w:rsid w:val="00FE7ED4"/>
    <w:rsid w:val="00FF4800"/>
    <w:rsid w:val="00FF5691"/>
    <w:rsid w:val="00FF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9A6E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76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TOC3">
    <w:name w:val="toc 3"/>
    <w:basedOn w:val="Normal"/>
    <w:next w:val="Normal"/>
    <w:autoRedefine/>
    <w:semiHidden/>
    <w:unhideWhenUsed/>
    <w:rsid w:val="000526F9"/>
    <w:pPr>
      <w:spacing w:after="100"/>
      <w:ind w:left="400"/>
    </w:pPr>
  </w:style>
  <w:style w:type="paragraph" w:styleId="FootnoteText">
    <w:name w:val="footnote text"/>
    <w:basedOn w:val="Normal"/>
    <w:link w:val="FootnoteTextChar"/>
    <w:semiHidden/>
    <w:unhideWhenUsed/>
    <w:rsid w:val="000E3BA0"/>
  </w:style>
  <w:style w:type="character" w:customStyle="1" w:styleId="FootnoteTextChar">
    <w:name w:val="Footnote Text Char"/>
    <w:basedOn w:val="DefaultParagraphFont"/>
    <w:link w:val="FootnoteText"/>
    <w:semiHidden/>
    <w:rsid w:val="000E3BA0"/>
    <w:rPr>
      <w:rFonts w:ascii="Helvetica" w:hAnsi="Helvetica"/>
    </w:rPr>
  </w:style>
  <w:style w:type="character" w:styleId="FootnoteReference">
    <w:name w:val="footnote reference"/>
    <w:basedOn w:val="DefaultParagraphFont"/>
    <w:semiHidden/>
    <w:unhideWhenUsed/>
    <w:rsid w:val="000E3BA0"/>
    <w:rPr>
      <w:vertAlign w:val="superscript"/>
    </w:rPr>
  </w:style>
  <w:style w:type="paragraph" w:styleId="EndnoteText">
    <w:name w:val="endnote text"/>
    <w:basedOn w:val="Normal"/>
    <w:link w:val="EndnoteTextChar"/>
    <w:semiHidden/>
    <w:unhideWhenUsed/>
    <w:rsid w:val="000E3BA0"/>
  </w:style>
  <w:style w:type="character" w:customStyle="1" w:styleId="EndnoteTextChar">
    <w:name w:val="Endnote Text Char"/>
    <w:basedOn w:val="DefaultParagraphFont"/>
    <w:link w:val="EndnoteText"/>
    <w:semiHidden/>
    <w:rsid w:val="000E3BA0"/>
    <w:rPr>
      <w:rFonts w:ascii="Helvetica" w:hAnsi="Helvetica"/>
    </w:rPr>
  </w:style>
  <w:style w:type="character" w:styleId="EndnoteReference">
    <w:name w:val="endnote reference"/>
    <w:basedOn w:val="DefaultParagraphFont"/>
    <w:semiHidden/>
    <w:unhideWhenUsed/>
    <w:rsid w:val="000E3BA0"/>
    <w:rPr>
      <w:vertAlign w:val="superscript"/>
    </w:rPr>
  </w:style>
  <w:style w:type="character" w:customStyle="1" w:styleId="Heading3Char">
    <w:name w:val="Heading 3 Char"/>
    <w:basedOn w:val="DefaultParagraphFont"/>
    <w:link w:val="Heading3"/>
    <w:semiHidden/>
    <w:rsid w:val="000476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78220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amov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srn.com/abstract=283814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928D9-2D11-419E-A995-F6E0553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6563</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2025-08-05T05:23:00Z</cp:lastPrinted>
  <dcterms:created xsi:type="dcterms:W3CDTF">2025-08-05T08:18:00Z</dcterms:created>
  <dcterms:modified xsi:type="dcterms:W3CDTF">2025-08-05T14:07:00Z</dcterms:modified>
</cp:coreProperties>
</file>