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335C2" w14:textId="77777777" w:rsidR="00E14614" w:rsidRDefault="00E14614" w:rsidP="008E6B65">
      <w:pPr>
        <w:spacing w:after="0" w:line="240" w:lineRule="auto"/>
        <w:jc w:val="center"/>
        <w:rPr>
          <w:rFonts w:ascii="Garamond" w:eastAsia="Garamond" w:hAnsi="Garamond" w:cs="Garamond"/>
          <w:b/>
          <w:sz w:val="22"/>
          <w:szCs w:val="22"/>
        </w:rPr>
      </w:pPr>
      <w:r w:rsidRPr="00E14614">
        <w:rPr>
          <w:rFonts w:ascii="Garamond" w:eastAsia="Garamond" w:hAnsi="Garamond" w:cs="Garamond"/>
          <w:b/>
          <w:sz w:val="22"/>
          <w:szCs w:val="22"/>
        </w:rPr>
        <w:t xml:space="preserve">Original Research Article </w:t>
      </w:r>
    </w:p>
    <w:p w14:paraId="4F304F57" w14:textId="77777777" w:rsidR="00E14614" w:rsidRDefault="00E14614" w:rsidP="008E6B65">
      <w:pPr>
        <w:spacing w:after="0" w:line="240" w:lineRule="auto"/>
        <w:jc w:val="center"/>
        <w:rPr>
          <w:rFonts w:ascii="Garamond" w:eastAsia="Garamond" w:hAnsi="Garamond" w:cs="Garamond"/>
          <w:b/>
          <w:sz w:val="22"/>
          <w:szCs w:val="22"/>
        </w:rPr>
      </w:pPr>
    </w:p>
    <w:p w14:paraId="6CFB9DDB" w14:textId="16B23F3A" w:rsidR="008E6B65" w:rsidRPr="008E6B65" w:rsidRDefault="008E6B65" w:rsidP="008E6B65">
      <w:pPr>
        <w:spacing w:after="0" w:line="240" w:lineRule="auto"/>
        <w:jc w:val="center"/>
        <w:rPr>
          <w:rFonts w:ascii="Garamond" w:eastAsia="Garamond" w:hAnsi="Garamond" w:cs="Garamond"/>
          <w:b/>
          <w:sz w:val="22"/>
          <w:szCs w:val="22"/>
        </w:rPr>
      </w:pPr>
      <w:r w:rsidRPr="008E6B65">
        <w:rPr>
          <w:rFonts w:ascii="Garamond" w:eastAsia="Garamond" w:hAnsi="Garamond" w:cs="Garamond"/>
          <w:b/>
          <w:sz w:val="22"/>
          <w:szCs w:val="22"/>
        </w:rPr>
        <w:t xml:space="preserve">STUDENT INTERNSHIP AND CAREER READINESS SKILL OF </w:t>
      </w:r>
      <w:proofErr w:type="spellStart"/>
      <w:r w:rsidRPr="008E6B65">
        <w:rPr>
          <w:rFonts w:ascii="Garamond" w:eastAsia="Garamond" w:hAnsi="Garamond" w:cs="Garamond"/>
          <w:b/>
          <w:sz w:val="22"/>
          <w:szCs w:val="22"/>
        </w:rPr>
        <w:t>BEEd</w:t>
      </w:r>
      <w:proofErr w:type="spellEnd"/>
      <w:r w:rsidRPr="008E6B65">
        <w:rPr>
          <w:rFonts w:ascii="Garamond" w:eastAsia="Garamond" w:hAnsi="Garamond" w:cs="Garamond"/>
          <w:b/>
          <w:sz w:val="22"/>
          <w:szCs w:val="22"/>
        </w:rPr>
        <w:t xml:space="preserve"> AND </w:t>
      </w:r>
      <w:proofErr w:type="spellStart"/>
      <w:r w:rsidRPr="008E6B65">
        <w:rPr>
          <w:rFonts w:ascii="Garamond" w:eastAsia="Garamond" w:hAnsi="Garamond" w:cs="Garamond"/>
          <w:b/>
          <w:sz w:val="22"/>
          <w:szCs w:val="22"/>
        </w:rPr>
        <w:t>BSEd</w:t>
      </w:r>
      <w:proofErr w:type="spellEnd"/>
      <w:r>
        <w:rPr>
          <w:rFonts w:ascii="Garamond" w:eastAsia="Garamond" w:hAnsi="Garamond" w:cs="Garamond"/>
          <w:b/>
          <w:sz w:val="22"/>
          <w:szCs w:val="22"/>
        </w:rPr>
        <w:t xml:space="preserve"> </w:t>
      </w:r>
      <w:r w:rsidRPr="008E6B65">
        <w:rPr>
          <w:rFonts w:ascii="Garamond" w:eastAsia="Garamond" w:hAnsi="Garamond" w:cs="Garamond"/>
          <w:b/>
          <w:sz w:val="22"/>
          <w:szCs w:val="22"/>
        </w:rPr>
        <w:t>STUDENT INTERNS OF S</w:t>
      </w:r>
      <w:r w:rsidR="00363366">
        <w:rPr>
          <w:rFonts w:ascii="Garamond" w:eastAsia="Garamond" w:hAnsi="Garamond" w:cs="Garamond"/>
          <w:b/>
          <w:sz w:val="22"/>
          <w:szCs w:val="22"/>
        </w:rPr>
        <w:t>T.</w:t>
      </w:r>
      <w:r w:rsidRPr="008E6B65">
        <w:rPr>
          <w:rFonts w:ascii="Garamond" w:eastAsia="Garamond" w:hAnsi="Garamond" w:cs="Garamond"/>
          <w:b/>
          <w:sz w:val="22"/>
          <w:szCs w:val="22"/>
        </w:rPr>
        <w:t xml:space="preserve"> FRANCIS XAVIER COLLEGE</w:t>
      </w:r>
    </w:p>
    <w:p w14:paraId="26240945" w14:textId="5A300CAE" w:rsidR="00C16D39" w:rsidRDefault="00C16D39">
      <w:pPr>
        <w:jc w:val="center"/>
        <w:rPr>
          <w:rFonts w:ascii="Garamond" w:eastAsia="Garamond" w:hAnsi="Garamond" w:cs="Garamond"/>
          <w:i/>
          <w:iCs/>
          <w:sz w:val="22"/>
          <w:szCs w:val="22"/>
        </w:rPr>
      </w:pPr>
    </w:p>
    <w:p w14:paraId="00635BDC" w14:textId="77777777" w:rsidR="00F917C2" w:rsidRDefault="00F917C2">
      <w:pPr>
        <w:jc w:val="center"/>
        <w:rPr>
          <w:rFonts w:ascii="Garamond" w:eastAsia="Garamond" w:hAnsi="Garamond" w:cs="Garamond"/>
          <w:i/>
          <w:iCs/>
          <w:sz w:val="22"/>
          <w:szCs w:val="22"/>
        </w:rPr>
      </w:pPr>
      <w:bookmarkStart w:id="0" w:name="_GoBack"/>
      <w:bookmarkEnd w:id="0"/>
    </w:p>
    <w:p w14:paraId="2BFAF44E" w14:textId="36677CAE" w:rsidR="006B384A" w:rsidRPr="00AA58B4" w:rsidRDefault="006B384A">
      <w:pPr>
        <w:jc w:val="center"/>
        <w:rPr>
          <w:rFonts w:ascii="Garamond" w:eastAsia="Garamond" w:hAnsi="Garamond" w:cs="Garamond"/>
          <w:i/>
          <w:iCs/>
          <w:sz w:val="22"/>
          <w:szCs w:val="22"/>
        </w:rPr>
      </w:pPr>
    </w:p>
    <w:p w14:paraId="13A9A19A" w14:textId="77777777" w:rsidR="00A541D1" w:rsidRDefault="003E7DBF">
      <w:pPr>
        <w:jc w:val="both"/>
        <w:rPr>
          <w:rFonts w:ascii="Garamond" w:eastAsia="Garamond" w:hAnsi="Garamond" w:cs="Garamond"/>
          <w:b/>
          <w:sz w:val="22"/>
          <w:szCs w:val="22"/>
        </w:rPr>
      </w:pPr>
      <w:r>
        <w:rPr>
          <w:rFonts w:ascii="Garamond" w:eastAsia="Garamond" w:hAnsi="Garamond" w:cs="Garamond"/>
          <w:b/>
          <w:sz w:val="22"/>
          <w:szCs w:val="22"/>
        </w:rPr>
        <w:t>Abstract</w:t>
      </w:r>
    </w:p>
    <w:p w14:paraId="4DC320FF" w14:textId="1F33FCA5" w:rsidR="006626FB" w:rsidRPr="006626FB" w:rsidRDefault="006626FB" w:rsidP="006626FB">
      <w:pPr>
        <w:jc w:val="both"/>
        <w:rPr>
          <w:rFonts w:ascii="Garamond" w:eastAsia="Garamond" w:hAnsi="Garamond" w:cs="Garamond"/>
          <w:b/>
          <w:sz w:val="22"/>
          <w:szCs w:val="22"/>
        </w:rPr>
      </w:pPr>
      <w:r w:rsidRPr="006626FB">
        <w:rPr>
          <w:rFonts w:ascii="Garamond" w:eastAsia="Garamond" w:hAnsi="Garamond" w:cs="Garamond"/>
          <w:bCs/>
          <w:sz w:val="22"/>
          <w:szCs w:val="22"/>
        </w:rPr>
        <w:t xml:space="preserve">A student internship is a temporary work experience program designed to provide students with practical, hands-on experience in their field of study or career interest. Student internships play a significant role in developing career readiness skills. They bridge the gap between academic learning and professional work, equipping students with the </w:t>
      </w:r>
      <w:r w:rsidR="004E05A3">
        <w:rPr>
          <w:rFonts w:ascii="Garamond" w:eastAsia="Garamond" w:hAnsi="Garamond" w:cs="Garamond"/>
          <w:bCs/>
          <w:sz w:val="22"/>
          <w:szCs w:val="22"/>
        </w:rPr>
        <w:t>skills and knowledge they need to transition into the workforce with confidence</w:t>
      </w:r>
      <w:r w:rsidRPr="006626FB">
        <w:rPr>
          <w:rFonts w:ascii="Garamond" w:eastAsia="Garamond" w:hAnsi="Garamond" w:cs="Garamond"/>
          <w:bCs/>
          <w:sz w:val="22"/>
          <w:szCs w:val="22"/>
        </w:rPr>
        <w:t xml:space="preserve">. This study aimed to determine the significant influence of student internships on career readiness skills among education interns at Saint Francis Xavier College. Employing a predictive quantitative research design, the study utilized adapted and slightly modified questionnaires from studies published in reputable international journals. These instruments were administered to 168 education interns to gather much-needed data. Statistically, the collected data were processed using the weighted mean, standard deviation, Pearson </w:t>
      </w:r>
      <w:r w:rsidR="004E05A3">
        <w:rPr>
          <w:rFonts w:ascii="Garamond" w:eastAsia="Garamond" w:hAnsi="Garamond" w:cs="Garamond"/>
          <w:bCs/>
          <w:sz w:val="22"/>
          <w:szCs w:val="22"/>
        </w:rPr>
        <w:t>Product-Moment Correlation</w:t>
      </w:r>
      <w:r w:rsidRPr="006626FB">
        <w:rPr>
          <w:rFonts w:ascii="Garamond" w:eastAsia="Garamond" w:hAnsi="Garamond" w:cs="Garamond"/>
          <w:bCs/>
          <w:sz w:val="22"/>
          <w:szCs w:val="22"/>
        </w:rPr>
        <w:t xml:space="preserve"> Coefficient, and Regression Analysis. Results indicated that the extent of student internships was rated very high, and the level of college readiness skills was also very high. Moreover, the study revealed a positive </w:t>
      </w:r>
      <w:r w:rsidR="004E05A3">
        <w:rPr>
          <w:rFonts w:ascii="Garamond" w:eastAsia="Garamond" w:hAnsi="Garamond" w:cs="Garamond"/>
          <w:bCs/>
          <w:sz w:val="22"/>
          <w:szCs w:val="22"/>
        </w:rPr>
        <w:t xml:space="preserve">and </w:t>
      </w:r>
      <w:r w:rsidRPr="006626FB">
        <w:rPr>
          <w:rFonts w:ascii="Garamond" w:eastAsia="Garamond" w:hAnsi="Garamond" w:cs="Garamond"/>
          <w:bCs/>
          <w:sz w:val="22"/>
          <w:szCs w:val="22"/>
        </w:rPr>
        <w:t>significant relationship between student internships and career readiness skills. Furthermore, the study found that student internship significantly influences career readiness skills. It can be concluded that practical learning enhances academic knowledge: The hands-on experiences gained through internships complement theoretical learning, allowing students to better understand and apply academic concepts in real-</w:t>
      </w:r>
      <w:r w:rsidRPr="004E05A3">
        <w:rPr>
          <w:rFonts w:ascii="Garamond" w:eastAsia="Garamond" w:hAnsi="Garamond" w:cs="Garamond"/>
          <w:bCs/>
          <w:sz w:val="22"/>
          <w:szCs w:val="22"/>
        </w:rPr>
        <w:t>world scenarios</w:t>
      </w:r>
      <w:r w:rsidRPr="006626FB">
        <w:rPr>
          <w:rFonts w:ascii="Garamond" w:eastAsia="Garamond" w:hAnsi="Garamond" w:cs="Garamond"/>
          <w:b/>
          <w:sz w:val="22"/>
          <w:szCs w:val="22"/>
        </w:rPr>
        <w:t>.</w:t>
      </w:r>
    </w:p>
    <w:p w14:paraId="6A42A032" w14:textId="51D5AAB5" w:rsidR="006626FB" w:rsidRDefault="006626FB" w:rsidP="006626FB">
      <w:pPr>
        <w:rPr>
          <w:rFonts w:ascii="Garamond" w:eastAsia="Garamond" w:hAnsi="Garamond" w:cs="Garamond"/>
          <w:b/>
          <w:sz w:val="22"/>
          <w:szCs w:val="22"/>
        </w:rPr>
      </w:pPr>
      <w:r w:rsidRPr="006626FB">
        <w:rPr>
          <w:rFonts w:ascii="Garamond" w:eastAsia="Garamond" w:hAnsi="Garamond" w:cs="Garamond"/>
          <w:b/>
          <w:sz w:val="22"/>
          <w:szCs w:val="22"/>
        </w:rPr>
        <w:t>Keywords: Student Internship, Career Readiness Skill, Predictive Quantitative Research Design, Philippines</w:t>
      </w:r>
    </w:p>
    <w:p w14:paraId="65F07AC4" w14:textId="5C877707" w:rsidR="00A541D1" w:rsidRDefault="003E7DBF">
      <w:pPr>
        <w:jc w:val="both"/>
        <w:rPr>
          <w:rFonts w:ascii="Garamond" w:eastAsia="Garamond" w:hAnsi="Garamond" w:cs="Garamond"/>
          <w:b/>
          <w:sz w:val="22"/>
          <w:szCs w:val="22"/>
        </w:rPr>
      </w:pPr>
      <w:r>
        <w:rPr>
          <w:rFonts w:ascii="Garamond" w:eastAsia="Garamond" w:hAnsi="Garamond" w:cs="Garamond"/>
          <w:b/>
          <w:sz w:val="22"/>
          <w:szCs w:val="22"/>
        </w:rPr>
        <w:t>Introduction</w:t>
      </w:r>
    </w:p>
    <w:p w14:paraId="3D9B4A41" w14:textId="7467E89E" w:rsidR="008E6B65" w:rsidRPr="006B54CD" w:rsidRDefault="008E6B65" w:rsidP="00E63509">
      <w:pPr>
        <w:ind w:firstLine="567"/>
        <w:jc w:val="both"/>
        <w:rPr>
          <w:rFonts w:ascii="Garamond" w:eastAsia="Garamond" w:hAnsi="Garamond" w:cs="Garamond"/>
          <w:sz w:val="22"/>
          <w:szCs w:val="22"/>
        </w:rPr>
      </w:pPr>
      <w:r w:rsidRPr="006B54CD">
        <w:rPr>
          <w:rFonts w:ascii="Garamond" w:eastAsia="Garamond" w:hAnsi="Garamond" w:cs="Garamond"/>
          <w:sz w:val="22"/>
          <w:szCs w:val="22"/>
        </w:rPr>
        <w:t>Career readiness is essential in today’s dynamic job market, equipping graduates with the skills and traits needed to transition from education to employment and succeed in evolving workplaces (</w:t>
      </w:r>
      <w:proofErr w:type="spellStart"/>
      <w:r w:rsidRPr="006B54CD">
        <w:rPr>
          <w:rFonts w:ascii="Garamond" w:eastAsia="Garamond" w:hAnsi="Garamond" w:cs="Garamond"/>
          <w:sz w:val="22"/>
          <w:szCs w:val="22"/>
        </w:rPr>
        <w:t>Kuttappan</w:t>
      </w:r>
      <w:proofErr w:type="spellEnd"/>
      <w:r w:rsidRPr="006B54CD">
        <w:rPr>
          <w:rFonts w:ascii="Garamond" w:eastAsia="Garamond" w:hAnsi="Garamond" w:cs="Garamond"/>
          <w:sz w:val="22"/>
          <w:szCs w:val="22"/>
        </w:rPr>
        <w:t>, 2023). However, challenges persist, including discrepancies between students’ self-assessed readiness and actual competencies, misalignment with employer expectations, and limited career service engagement (Andrade, 2019). Inadequate data collection further complicates efforts to evaluate readiness levels. While studies show students believe they develop key competencies in college, gaps remain between perceived and actual preparedness for the workforce (Miller, 2019). These issues highlight the need for more targeted, data-driven strategies to improve career readiness outcomes.</w:t>
      </w:r>
    </w:p>
    <w:p w14:paraId="1EFA499F" w14:textId="42ED11E3" w:rsidR="00363366" w:rsidRPr="006B54CD" w:rsidRDefault="00F146D0" w:rsidP="00E63509">
      <w:pPr>
        <w:ind w:firstLine="567"/>
        <w:jc w:val="both"/>
        <w:rPr>
          <w:rFonts w:ascii="Garamond" w:eastAsia="Garamond" w:hAnsi="Garamond" w:cs="Garamond"/>
          <w:sz w:val="22"/>
          <w:szCs w:val="22"/>
        </w:rPr>
      </w:pPr>
      <w:r w:rsidRPr="006B54CD">
        <w:rPr>
          <w:rFonts w:ascii="Garamond" w:eastAsia="Garamond" w:hAnsi="Garamond" w:cs="Garamond"/>
          <w:sz w:val="22"/>
          <w:szCs w:val="22"/>
        </w:rPr>
        <w:t xml:space="preserve">Communication, problem-solving, and teamwork, which are all key aspects of career readiness, are essential for students as they transition into the workforce. </w:t>
      </w:r>
      <w:r w:rsidR="00363366" w:rsidRPr="006B54CD">
        <w:rPr>
          <w:rFonts w:ascii="Garamond" w:eastAsia="Garamond" w:hAnsi="Garamond" w:cs="Garamond"/>
          <w:sz w:val="22"/>
          <w:szCs w:val="22"/>
        </w:rPr>
        <w:t>These skills are closely tied to practical experiences like internships, which allow learners to apply academic knowledge in real-world settings. Hora et al. (2020) found that internships enhance employability, while Schlager et al. (2016) noted higher career readiness among students who completed internships. These findings stress the need to integrate structured internship programs into higher education to better prepare students for today’s professional demands.</w:t>
      </w:r>
    </w:p>
    <w:p w14:paraId="50173C4D" w14:textId="774D7D6B" w:rsidR="00AA58B4" w:rsidRPr="00F146D0" w:rsidRDefault="00F146D0" w:rsidP="00F146D0">
      <w:pPr>
        <w:ind w:firstLine="567"/>
        <w:jc w:val="both"/>
        <w:rPr>
          <w:rFonts w:ascii="Garamond" w:eastAsia="Garamond" w:hAnsi="Garamond" w:cs="Garamond"/>
          <w:sz w:val="22"/>
          <w:szCs w:val="22"/>
        </w:rPr>
      </w:pPr>
      <w:r w:rsidRPr="006B54CD">
        <w:rPr>
          <w:rFonts w:ascii="Garamond" w:eastAsia="Garamond" w:hAnsi="Garamond" w:cs="Garamond"/>
          <w:sz w:val="22"/>
          <w:szCs w:val="22"/>
        </w:rPr>
        <w:lastRenderedPageBreak/>
        <w:t xml:space="preserve">Despite growing research on internships and career readiness, few quantitative studies focus on </w:t>
      </w:r>
      <w:proofErr w:type="spellStart"/>
      <w:r w:rsidRPr="006B54CD">
        <w:rPr>
          <w:rFonts w:ascii="Garamond" w:eastAsia="Garamond" w:hAnsi="Garamond" w:cs="Garamond"/>
          <w:sz w:val="22"/>
          <w:szCs w:val="22"/>
        </w:rPr>
        <w:t>BEEd</w:t>
      </w:r>
      <w:proofErr w:type="spellEnd"/>
      <w:r w:rsidRPr="006B54CD">
        <w:rPr>
          <w:rFonts w:ascii="Garamond" w:eastAsia="Garamond" w:hAnsi="Garamond" w:cs="Garamond"/>
          <w:sz w:val="22"/>
          <w:szCs w:val="22"/>
        </w:rPr>
        <w:t xml:space="preserve"> and </w:t>
      </w:r>
      <w:proofErr w:type="spellStart"/>
      <w:r w:rsidRPr="006B54CD">
        <w:rPr>
          <w:rFonts w:ascii="Garamond" w:eastAsia="Garamond" w:hAnsi="Garamond" w:cs="Garamond"/>
          <w:sz w:val="22"/>
          <w:szCs w:val="22"/>
        </w:rPr>
        <w:t>BSEd</w:t>
      </w:r>
      <w:proofErr w:type="spellEnd"/>
      <w:r w:rsidRPr="006B54CD">
        <w:rPr>
          <w:rFonts w:ascii="Garamond" w:eastAsia="Garamond" w:hAnsi="Garamond" w:cs="Garamond"/>
          <w:sz w:val="22"/>
          <w:szCs w:val="22"/>
        </w:rPr>
        <w:t xml:space="preserve"> student interns. Prior studies, such as those by Rahman (2021), Evans and Chen (2020), and Lopez (2019), explored internship effects in various fields using qualitative or mixed methods, but none offer clear statistical data on education majors. This gap limits understanding of how internships shape workplace readiness among future educators. Thus, this study aims to quantitatively examine the impact of student</w:t>
      </w:r>
      <w:r w:rsidRPr="00F146D0">
        <w:rPr>
          <w:rFonts w:ascii="Garamond" w:eastAsia="Garamond" w:hAnsi="Garamond" w:cs="Garamond"/>
          <w:sz w:val="22"/>
          <w:szCs w:val="22"/>
        </w:rPr>
        <w:t xml:space="preserve"> internships on career readiness and explore whether academic achievement influences post-graduation preparedness. Its findings will guide institutions in strengthening internship programs for teacher education.</w:t>
      </w:r>
    </w:p>
    <w:p w14:paraId="5BFC5FDD" w14:textId="4A9E5FF1" w:rsidR="00E63509" w:rsidRPr="00C32205" w:rsidRDefault="003E7DBF">
      <w:pPr>
        <w:jc w:val="both"/>
        <w:rPr>
          <w:rFonts w:ascii="Garamond" w:eastAsia="Garamond" w:hAnsi="Garamond" w:cs="Garamond"/>
          <w:b/>
          <w:i/>
          <w:sz w:val="22"/>
          <w:szCs w:val="22"/>
        </w:rPr>
      </w:pPr>
      <w:r>
        <w:rPr>
          <w:rFonts w:ascii="Garamond" w:eastAsia="Garamond" w:hAnsi="Garamond" w:cs="Garamond"/>
          <w:b/>
          <w:i/>
          <w:sz w:val="22"/>
          <w:szCs w:val="22"/>
        </w:rPr>
        <w:t>Statement of the Problem</w:t>
      </w:r>
    </w:p>
    <w:p w14:paraId="6D207A50" w14:textId="2F7BD4D7" w:rsidR="00A541D1" w:rsidRDefault="003E7DBF" w:rsidP="00F146D0">
      <w:pPr>
        <w:ind w:firstLine="360"/>
        <w:jc w:val="both"/>
        <w:rPr>
          <w:rFonts w:ascii="Garamond" w:eastAsia="Garamond" w:hAnsi="Garamond" w:cs="Garamond"/>
          <w:sz w:val="22"/>
          <w:szCs w:val="22"/>
        </w:rPr>
      </w:pPr>
      <w:r>
        <w:rPr>
          <w:rFonts w:ascii="Garamond" w:eastAsia="Garamond" w:hAnsi="Garamond" w:cs="Garamond"/>
          <w:sz w:val="22"/>
          <w:szCs w:val="22"/>
        </w:rPr>
        <w:t>Th</w:t>
      </w:r>
      <w:r w:rsidR="00B14FB4">
        <w:rPr>
          <w:rFonts w:ascii="Garamond" w:eastAsia="Garamond" w:hAnsi="Garamond" w:cs="Garamond"/>
          <w:sz w:val="22"/>
          <w:szCs w:val="22"/>
        </w:rPr>
        <w:t>e</w:t>
      </w:r>
      <w:r>
        <w:rPr>
          <w:rFonts w:ascii="Garamond" w:eastAsia="Garamond" w:hAnsi="Garamond" w:cs="Garamond"/>
          <w:sz w:val="22"/>
          <w:szCs w:val="22"/>
        </w:rPr>
        <w:t xml:space="preserve"> study aim</w:t>
      </w:r>
      <w:r w:rsidR="00B14FB4">
        <w:rPr>
          <w:rFonts w:ascii="Garamond" w:eastAsia="Garamond" w:hAnsi="Garamond" w:cs="Garamond"/>
          <w:sz w:val="22"/>
          <w:szCs w:val="22"/>
        </w:rPr>
        <w:t>ed</w:t>
      </w:r>
      <w:r>
        <w:rPr>
          <w:rFonts w:ascii="Garamond" w:eastAsia="Garamond" w:hAnsi="Garamond" w:cs="Garamond"/>
          <w:sz w:val="22"/>
          <w:szCs w:val="22"/>
        </w:rPr>
        <w:t xml:space="preserve"> t</w:t>
      </w:r>
      <w:r w:rsidR="00C32205">
        <w:rPr>
          <w:rFonts w:ascii="Garamond" w:eastAsia="Garamond" w:hAnsi="Garamond" w:cs="Garamond"/>
          <w:sz w:val="22"/>
          <w:szCs w:val="22"/>
        </w:rPr>
        <w:t xml:space="preserve">o determine the significant influence of student internship on the career readiness </w:t>
      </w:r>
      <w:r w:rsidR="004E05A3">
        <w:rPr>
          <w:rFonts w:ascii="Garamond" w:eastAsia="Garamond" w:hAnsi="Garamond" w:cs="Garamond"/>
          <w:sz w:val="22"/>
          <w:szCs w:val="22"/>
        </w:rPr>
        <w:t>skills</w:t>
      </w:r>
      <w:r w:rsidR="00C32205">
        <w:rPr>
          <w:rFonts w:ascii="Garamond" w:eastAsia="Garamond" w:hAnsi="Garamond" w:cs="Garamond"/>
          <w:sz w:val="22"/>
          <w:szCs w:val="22"/>
        </w:rPr>
        <w:t xml:space="preserve"> of the </w:t>
      </w:r>
      <w:proofErr w:type="spellStart"/>
      <w:r w:rsidR="00C32205">
        <w:rPr>
          <w:rFonts w:ascii="Garamond" w:eastAsia="Garamond" w:hAnsi="Garamond" w:cs="Garamond"/>
          <w:sz w:val="22"/>
          <w:szCs w:val="22"/>
        </w:rPr>
        <w:t>BEEd</w:t>
      </w:r>
      <w:proofErr w:type="spellEnd"/>
      <w:r w:rsidR="00C32205">
        <w:rPr>
          <w:rFonts w:ascii="Garamond" w:eastAsia="Garamond" w:hAnsi="Garamond" w:cs="Garamond"/>
          <w:sz w:val="22"/>
          <w:szCs w:val="22"/>
        </w:rPr>
        <w:t xml:space="preserve"> and </w:t>
      </w:r>
      <w:proofErr w:type="spellStart"/>
      <w:r w:rsidR="00C32205">
        <w:rPr>
          <w:rFonts w:ascii="Garamond" w:eastAsia="Garamond" w:hAnsi="Garamond" w:cs="Garamond"/>
          <w:sz w:val="22"/>
          <w:szCs w:val="22"/>
        </w:rPr>
        <w:t>BSEd</w:t>
      </w:r>
      <w:proofErr w:type="spellEnd"/>
      <w:r w:rsidR="00C32205">
        <w:rPr>
          <w:rFonts w:ascii="Garamond" w:eastAsia="Garamond" w:hAnsi="Garamond" w:cs="Garamond"/>
          <w:sz w:val="22"/>
          <w:szCs w:val="22"/>
        </w:rPr>
        <w:t xml:space="preserve"> student interns</w:t>
      </w:r>
      <w:r>
        <w:rPr>
          <w:rFonts w:ascii="Garamond" w:eastAsia="Garamond" w:hAnsi="Garamond" w:cs="Garamond"/>
          <w:sz w:val="22"/>
          <w:szCs w:val="22"/>
        </w:rPr>
        <w:t xml:space="preserve">. Specifically, it </w:t>
      </w:r>
      <w:r w:rsidR="00C32205">
        <w:rPr>
          <w:rFonts w:ascii="Garamond" w:eastAsia="Garamond" w:hAnsi="Garamond" w:cs="Garamond"/>
          <w:sz w:val="22"/>
          <w:szCs w:val="22"/>
        </w:rPr>
        <w:t xml:space="preserve">intended </w:t>
      </w:r>
      <w:r>
        <w:rPr>
          <w:rFonts w:ascii="Garamond" w:eastAsia="Garamond" w:hAnsi="Garamond" w:cs="Garamond"/>
          <w:sz w:val="22"/>
          <w:szCs w:val="22"/>
        </w:rPr>
        <w:t>to answer the following questions:</w:t>
      </w:r>
    </w:p>
    <w:p w14:paraId="12013B1D" w14:textId="5DB2F912" w:rsidR="00A541D1" w:rsidRDefault="003E7DBF">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What is the level of </w:t>
      </w:r>
      <w:r w:rsidR="00C32205">
        <w:rPr>
          <w:rFonts w:ascii="Garamond" w:eastAsia="Garamond" w:hAnsi="Garamond" w:cs="Garamond"/>
          <w:sz w:val="22"/>
          <w:szCs w:val="22"/>
        </w:rPr>
        <w:t>internship</w:t>
      </w:r>
      <w:r>
        <w:rPr>
          <w:rFonts w:ascii="Garamond" w:eastAsia="Garamond" w:hAnsi="Garamond" w:cs="Garamond"/>
          <w:sz w:val="22"/>
          <w:szCs w:val="22"/>
        </w:rPr>
        <w:t xml:space="preserve"> in terms of:</w:t>
      </w:r>
    </w:p>
    <w:p w14:paraId="0825786C" w14:textId="7E0070E6" w:rsidR="00A541D1" w:rsidRPr="00C32205" w:rsidRDefault="00C32205" w:rsidP="00C32205">
      <w:pPr>
        <w:pStyle w:val="ListParagraph"/>
        <w:numPr>
          <w:ilvl w:val="1"/>
          <w:numId w:val="4"/>
        </w:numPr>
        <w:spacing w:after="0"/>
        <w:jc w:val="both"/>
        <w:rPr>
          <w:rFonts w:ascii="Garamond" w:eastAsia="Garamond" w:hAnsi="Garamond" w:cs="Garamond"/>
          <w:sz w:val="22"/>
          <w:szCs w:val="22"/>
        </w:rPr>
      </w:pPr>
      <w:r w:rsidRPr="00C32205">
        <w:rPr>
          <w:rFonts w:ascii="Garamond" w:eastAsia="Garamond" w:hAnsi="Garamond" w:cs="Garamond"/>
          <w:sz w:val="22"/>
          <w:szCs w:val="22"/>
        </w:rPr>
        <w:t>internship program;</w:t>
      </w:r>
    </w:p>
    <w:p w14:paraId="56BF2522" w14:textId="030D1C6A" w:rsidR="00C32205" w:rsidRDefault="00C32205" w:rsidP="00C32205">
      <w:pPr>
        <w:pStyle w:val="ListParagraph"/>
        <w:numPr>
          <w:ilvl w:val="1"/>
          <w:numId w:val="4"/>
        </w:numPr>
        <w:spacing w:after="0"/>
        <w:jc w:val="both"/>
        <w:rPr>
          <w:rFonts w:ascii="Garamond" w:eastAsia="Garamond" w:hAnsi="Garamond" w:cs="Garamond"/>
          <w:sz w:val="22"/>
          <w:szCs w:val="22"/>
        </w:rPr>
      </w:pPr>
      <w:r>
        <w:rPr>
          <w:rFonts w:ascii="Garamond" w:eastAsia="Garamond" w:hAnsi="Garamond" w:cs="Garamond"/>
          <w:sz w:val="22"/>
          <w:szCs w:val="22"/>
        </w:rPr>
        <w:t>pre-internship;</w:t>
      </w:r>
    </w:p>
    <w:p w14:paraId="2902F9B9" w14:textId="5AACE429" w:rsidR="00C32205" w:rsidRDefault="00C32205" w:rsidP="00C32205">
      <w:pPr>
        <w:pStyle w:val="ListParagraph"/>
        <w:numPr>
          <w:ilvl w:val="1"/>
          <w:numId w:val="4"/>
        </w:numPr>
        <w:spacing w:after="0"/>
        <w:jc w:val="both"/>
        <w:rPr>
          <w:rFonts w:ascii="Garamond" w:eastAsia="Garamond" w:hAnsi="Garamond" w:cs="Garamond"/>
          <w:sz w:val="22"/>
          <w:szCs w:val="22"/>
        </w:rPr>
      </w:pPr>
      <w:r>
        <w:rPr>
          <w:rFonts w:ascii="Garamond" w:eastAsia="Garamond" w:hAnsi="Garamond" w:cs="Garamond"/>
          <w:sz w:val="22"/>
          <w:szCs w:val="22"/>
        </w:rPr>
        <w:t xml:space="preserve">during internship; and </w:t>
      </w:r>
    </w:p>
    <w:p w14:paraId="357180FC" w14:textId="4ED69801" w:rsidR="00C32205" w:rsidRPr="00C32205" w:rsidRDefault="00C32205" w:rsidP="00C32205">
      <w:pPr>
        <w:pStyle w:val="ListParagraph"/>
        <w:numPr>
          <w:ilvl w:val="1"/>
          <w:numId w:val="4"/>
        </w:numPr>
        <w:spacing w:after="0"/>
        <w:jc w:val="both"/>
        <w:rPr>
          <w:rFonts w:ascii="Garamond" w:eastAsia="Garamond" w:hAnsi="Garamond" w:cs="Garamond"/>
          <w:sz w:val="22"/>
          <w:szCs w:val="22"/>
        </w:rPr>
      </w:pPr>
      <w:r>
        <w:rPr>
          <w:rFonts w:ascii="Garamond" w:eastAsia="Garamond" w:hAnsi="Garamond" w:cs="Garamond"/>
          <w:sz w:val="22"/>
          <w:szCs w:val="22"/>
        </w:rPr>
        <w:t>post0internship?</w:t>
      </w:r>
    </w:p>
    <w:p w14:paraId="2089752B" w14:textId="3043CA14" w:rsidR="00A541D1" w:rsidRDefault="003E7DBF">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What is the level of </w:t>
      </w:r>
      <w:r w:rsidR="00C32205">
        <w:rPr>
          <w:rFonts w:ascii="Garamond" w:eastAsia="Garamond" w:hAnsi="Garamond" w:cs="Garamond"/>
          <w:sz w:val="22"/>
          <w:szCs w:val="22"/>
        </w:rPr>
        <w:t>career readiness</w:t>
      </w:r>
      <w:r>
        <w:rPr>
          <w:rFonts w:ascii="Garamond" w:eastAsia="Garamond" w:hAnsi="Garamond" w:cs="Garamond"/>
          <w:sz w:val="22"/>
          <w:szCs w:val="22"/>
        </w:rPr>
        <w:t xml:space="preserve"> in terms of:</w:t>
      </w:r>
    </w:p>
    <w:p w14:paraId="583275FA" w14:textId="41C9234E" w:rsidR="00A541D1" w:rsidRDefault="003E7DBF"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 xml:space="preserve">2.1. </w:t>
      </w:r>
      <w:r w:rsidR="00C32205">
        <w:rPr>
          <w:rFonts w:ascii="Garamond" w:eastAsia="Garamond" w:hAnsi="Garamond" w:cs="Garamond"/>
          <w:sz w:val="22"/>
          <w:szCs w:val="22"/>
        </w:rPr>
        <w:t xml:space="preserve">      career management;</w:t>
      </w:r>
    </w:p>
    <w:p w14:paraId="3CF51668" w14:textId="70FBD4E4" w:rsidR="00C32205" w:rsidRDefault="00C32205"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2.2        communication;</w:t>
      </w:r>
    </w:p>
    <w:p w14:paraId="49C46C96" w14:textId="319DEDF8" w:rsidR="00C32205" w:rsidRDefault="00C32205"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2.3        critical thinking</w:t>
      </w:r>
      <w:r w:rsidR="004E05A3">
        <w:rPr>
          <w:rFonts w:ascii="Garamond" w:eastAsia="Garamond" w:hAnsi="Garamond" w:cs="Garamond"/>
          <w:sz w:val="22"/>
          <w:szCs w:val="22"/>
        </w:rPr>
        <w:t>,</w:t>
      </w:r>
      <w:r>
        <w:rPr>
          <w:rFonts w:ascii="Garamond" w:eastAsia="Garamond" w:hAnsi="Garamond" w:cs="Garamond"/>
          <w:sz w:val="22"/>
          <w:szCs w:val="22"/>
        </w:rPr>
        <w:t xml:space="preserve"> problem solving;</w:t>
      </w:r>
    </w:p>
    <w:p w14:paraId="308F29D0" w14:textId="34F76331" w:rsidR="00C32205" w:rsidRDefault="00C32205"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2.4        digital technology;</w:t>
      </w:r>
    </w:p>
    <w:p w14:paraId="54DEA6C1" w14:textId="0FB4C4B5" w:rsidR="00C32205" w:rsidRDefault="00C32205"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2.5        global and cultural fluency?</w:t>
      </w:r>
    </w:p>
    <w:p w14:paraId="22E4E06C" w14:textId="021A9D33" w:rsidR="00A541D1" w:rsidRDefault="003E7DBF">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Is there a significant relationship between </w:t>
      </w:r>
      <w:r w:rsidR="00C32205">
        <w:rPr>
          <w:rFonts w:ascii="Garamond" w:eastAsia="Garamond" w:hAnsi="Garamond" w:cs="Garamond"/>
          <w:sz w:val="22"/>
          <w:szCs w:val="22"/>
        </w:rPr>
        <w:t xml:space="preserve">student internship and career readiness </w:t>
      </w:r>
      <w:r w:rsidR="004E05A3">
        <w:rPr>
          <w:rFonts w:ascii="Garamond" w:eastAsia="Garamond" w:hAnsi="Garamond" w:cs="Garamond"/>
          <w:sz w:val="22"/>
          <w:szCs w:val="22"/>
        </w:rPr>
        <w:t>skills</w:t>
      </w:r>
      <w:r w:rsidR="00C32205">
        <w:rPr>
          <w:rFonts w:ascii="Garamond" w:eastAsia="Garamond" w:hAnsi="Garamond" w:cs="Garamond"/>
          <w:sz w:val="22"/>
          <w:szCs w:val="22"/>
        </w:rPr>
        <w:t>?</w:t>
      </w:r>
    </w:p>
    <w:p w14:paraId="41825897" w14:textId="20A1149C" w:rsidR="00A541D1" w:rsidRDefault="003E7DBF">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Does </w:t>
      </w:r>
      <w:r w:rsidR="00C32205">
        <w:rPr>
          <w:rFonts w:ascii="Garamond" w:eastAsia="Garamond" w:hAnsi="Garamond" w:cs="Garamond"/>
          <w:sz w:val="22"/>
          <w:szCs w:val="22"/>
        </w:rPr>
        <w:t xml:space="preserve">student internship </w:t>
      </w:r>
      <w:r>
        <w:rPr>
          <w:rFonts w:ascii="Garamond" w:eastAsia="Garamond" w:hAnsi="Garamond" w:cs="Garamond"/>
          <w:sz w:val="22"/>
          <w:szCs w:val="22"/>
        </w:rPr>
        <w:t xml:space="preserve">significantly influence </w:t>
      </w:r>
      <w:r w:rsidR="00C32205">
        <w:rPr>
          <w:rFonts w:ascii="Garamond" w:eastAsia="Garamond" w:hAnsi="Garamond" w:cs="Garamond"/>
          <w:sz w:val="22"/>
          <w:szCs w:val="22"/>
        </w:rPr>
        <w:t xml:space="preserve">career readiness </w:t>
      </w:r>
      <w:r w:rsidR="004E05A3">
        <w:rPr>
          <w:rFonts w:ascii="Garamond" w:eastAsia="Garamond" w:hAnsi="Garamond" w:cs="Garamond"/>
          <w:sz w:val="22"/>
          <w:szCs w:val="22"/>
        </w:rPr>
        <w:t>skills</w:t>
      </w:r>
      <w:r w:rsidR="00C32205">
        <w:rPr>
          <w:rFonts w:ascii="Garamond" w:eastAsia="Garamond" w:hAnsi="Garamond" w:cs="Garamond"/>
          <w:sz w:val="22"/>
          <w:szCs w:val="22"/>
        </w:rPr>
        <w:t>?</w:t>
      </w:r>
    </w:p>
    <w:p w14:paraId="408D6C07" w14:textId="77777777" w:rsidR="00A541D1" w:rsidRDefault="00A541D1">
      <w:pPr>
        <w:tabs>
          <w:tab w:val="left" w:pos="720"/>
        </w:tabs>
        <w:spacing w:after="0"/>
        <w:jc w:val="both"/>
        <w:rPr>
          <w:rFonts w:ascii="Garamond" w:eastAsia="Garamond" w:hAnsi="Garamond" w:cs="Garamond"/>
          <w:sz w:val="22"/>
          <w:szCs w:val="22"/>
        </w:rPr>
      </w:pPr>
    </w:p>
    <w:p w14:paraId="0C7613D9" w14:textId="77777777" w:rsidR="00A541D1" w:rsidRDefault="003E7DBF">
      <w:pPr>
        <w:jc w:val="both"/>
        <w:rPr>
          <w:rFonts w:ascii="Garamond" w:eastAsia="Garamond" w:hAnsi="Garamond" w:cs="Garamond"/>
          <w:i/>
          <w:sz w:val="22"/>
          <w:szCs w:val="22"/>
        </w:rPr>
      </w:pPr>
      <w:r>
        <w:rPr>
          <w:rFonts w:ascii="Garamond" w:eastAsia="Garamond" w:hAnsi="Garamond" w:cs="Garamond"/>
          <w:b/>
          <w:i/>
          <w:sz w:val="22"/>
          <w:szCs w:val="22"/>
        </w:rPr>
        <w:t>Null Hypotheses</w:t>
      </w:r>
    </w:p>
    <w:p w14:paraId="28E4345D" w14:textId="5CDC0760" w:rsidR="00A541D1" w:rsidRDefault="003E7DBF">
      <w:pPr>
        <w:ind w:left="720"/>
        <w:rPr>
          <w:rFonts w:ascii="Garamond" w:eastAsia="Garamond" w:hAnsi="Garamond" w:cs="Garamond"/>
          <w:sz w:val="22"/>
          <w:szCs w:val="22"/>
        </w:rPr>
      </w:pPr>
      <w:r>
        <w:rPr>
          <w:rFonts w:ascii="Garamond" w:eastAsia="Garamond" w:hAnsi="Garamond" w:cs="Garamond"/>
          <w:sz w:val="22"/>
          <w:szCs w:val="22"/>
        </w:rPr>
        <w:t xml:space="preserve">Ho1: There is no significant relationship between </w:t>
      </w:r>
      <w:r w:rsidR="00E63509">
        <w:rPr>
          <w:rFonts w:ascii="Garamond" w:eastAsia="Garamond" w:hAnsi="Garamond" w:cs="Garamond"/>
          <w:sz w:val="22"/>
          <w:szCs w:val="22"/>
        </w:rPr>
        <w:t>student internship and career readiness skill.</w:t>
      </w:r>
      <w:r>
        <w:rPr>
          <w:rFonts w:ascii="Garamond" w:eastAsia="Garamond" w:hAnsi="Garamond" w:cs="Garamond"/>
          <w:sz w:val="22"/>
          <w:szCs w:val="22"/>
        </w:rPr>
        <w:br/>
        <w:t xml:space="preserve">Ho2: There is no significant influence of </w:t>
      </w:r>
      <w:r w:rsidR="00E63509">
        <w:rPr>
          <w:rFonts w:ascii="Garamond" w:eastAsia="Garamond" w:hAnsi="Garamond" w:cs="Garamond"/>
          <w:sz w:val="22"/>
          <w:szCs w:val="22"/>
        </w:rPr>
        <w:t>student internship on career readiness skill.</w:t>
      </w:r>
    </w:p>
    <w:p w14:paraId="55B9A708" w14:textId="77777777" w:rsidR="00A541D1" w:rsidRDefault="003E7DBF">
      <w:pPr>
        <w:jc w:val="both"/>
        <w:rPr>
          <w:rFonts w:ascii="Garamond" w:eastAsia="Garamond" w:hAnsi="Garamond" w:cs="Garamond"/>
          <w:b/>
          <w:i/>
          <w:sz w:val="22"/>
          <w:szCs w:val="22"/>
        </w:rPr>
      </w:pPr>
      <w:r>
        <w:rPr>
          <w:rFonts w:ascii="Garamond" w:eastAsia="Garamond" w:hAnsi="Garamond" w:cs="Garamond"/>
          <w:b/>
          <w:i/>
          <w:sz w:val="22"/>
          <w:szCs w:val="22"/>
        </w:rPr>
        <w:t>Theoretical/Conceptual Framework</w:t>
      </w:r>
    </w:p>
    <w:p w14:paraId="4E49B02D" w14:textId="6B4BCAE8" w:rsidR="00A541D1" w:rsidRPr="00B337BF" w:rsidRDefault="00C32205" w:rsidP="00C32205">
      <w:pPr>
        <w:jc w:val="both"/>
        <w:rPr>
          <w:rFonts w:ascii="Garamond" w:eastAsia="Garamond" w:hAnsi="Garamond" w:cs="Garamond"/>
          <w:bCs/>
          <w:iCs/>
          <w:sz w:val="22"/>
          <w:szCs w:val="22"/>
        </w:rPr>
      </w:pPr>
      <w:r>
        <w:rPr>
          <w:rFonts w:ascii="Garamond" w:eastAsia="Garamond" w:hAnsi="Garamond" w:cs="Garamond"/>
          <w:b/>
          <w:i/>
          <w:sz w:val="22"/>
          <w:szCs w:val="22"/>
        </w:rPr>
        <w:tab/>
      </w:r>
      <w:r w:rsidRPr="006B54CD">
        <w:rPr>
          <w:rFonts w:ascii="Garamond" w:eastAsia="Garamond" w:hAnsi="Garamond" w:cs="Garamond"/>
          <w:bCs/>
          <w:iCs/>
          <w:sz w:val="22"/>
          <w:szCs w:val="22"/>
        </w:rPr>
        <w:t>This study is anchored in David Kolb’s (1976) Experiential Learning Theory, which views learning as a cycle involving Concrete Experience, Reflective Observation, Abstract Conceptualization, and Active Experimentation. In student internships, interns gain hands-on teaching experience (CE), reflect on their practices (RO), develop new strategies (AC), and apply them in future classroom settings (AE). This process plays a crucial role in building career readiness by linking experience with continuous professional growth.</w:t>
      </w:r>
    </w:p>
    <w:tbl>
      <w:tblPr>
        <w:tblStyle w:val="Style11"/>
        <w:tblpPr w:leftFromText="180" w:rightFromText="180" w:topFromText="180" w:bottomFromText="180" w:vertAnchor="text" w:horzAnchor="page" w:tblpX="2221" w:tblpY="344"/>
        <w:tblW w:w="3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92"/>
      </w:tblGrid>
      <w:tr w:rsidR="00A541D1" w14:paraId="4D04EF47" w14:textId="77777777" w:rsidTr="00163B58">
        <w:trPr>
          <w:trHeight w:val="3736"/>
        </w:trPr>
        <w:tc>
          <w:tcPr>
            <w:tcW w:w="3592" w:type="dxa"/>
          </w:tcPr>
          <w:p w14:paraId="7BF8991E" w14:textId="1B245F05" w:rsidR="00A541D1" w:rsidRDefault="00C21D01" w:rsidP="00C21D01">
            <w:pPr>
              <w:widowControl w:val="0"/>
              <w:spacing w:line="276" w:lineRule="auto"/>
              <w:jc w:val="center"/>
              <w:rPr>
                <w:rFonts w:ascii="Garamond" w:eastAsia="Garamond" w:hAnsi="Garamond" w:cs="Garamond"/>
                <w:b/>
                <w:sz w:val="22"/>
                <w:szCs w:val="22"/>
              </w:rPr>
            </w:pPr>
            <w:r>
              <w:rPr>
                <w:rFonts w:ascii="Garamond" w:eastAsia="Garamond" w:hAnsi="Garamond" w:cs="Garamond"/>
                <w:b/>
                <w:sz w:val="22"/>
                <w:szCs w:val="22"/>
              </w:rPr>
              <w:lastRenderedPageBreak/>
              <w:t>Student Internship</w:t>
            </w:r>
          </w:p>
          <w:p w14:paraId="0B170DE3" w14:textId="624E0DA6" w:rsidR="00A541D1" w:rsidRDefault="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Internship program</w:t>
            </w:r>
          </w:p>
          <w:p w14:paraId="13E23D01" w14:textId="0461FEF3" w:rsidR="00C21D01" w:rsidRDefault="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Pre-internship</w:t>
            </w:r>
          </w:p>
          <w:p w14:paraId="0F758F6E" w14:textId="45A6FA9F" w:rsidR="00C21D01" w:rsidRDefault="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During internship</w:t>
            </w:r>
          </w:p>
          <w:p w14:paraId="64D13420" w14:textId="060E3EEB" w:rsidR="00C21D01" w:rsidRDefault="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b/>
                <w:noProof/>
                <w:sz w:val="22"/>
                <w:szCs w:val="22"/>
              </w:rPr>
              <mc:AlternateContent>
                <mc:Choice Requires="wps">
                  <w:drawing>
                    <wp:anchor distT="0" distB="0" distL="114300" distR="114300" simplePos="0" relativeHeight="251659264" behindDoc="0" locked="0" layoutInCell="1" allowOverlap="1" wp14:anchorId="77F969E2" wp14:editId="6D8F5BBA">
                      <wp:simplePos x="0" y="0"/>
                      <wp:positionH relativeFrom="column">
                        <wp:posOffset>2189666</wp:posOffset>
                      </wp:positionH>
                      <wp:positionV relativeFrom="paragraph">
                        <wp:posOffset>130462</wp:posOffset>
                      </wp:positionV>
                      <wp:extent cx="584479" cy="45719"/>
                      <wp:effectExtent l="0" t="38100" r="44450" b="88265"/>
                      <wp:wrapNone/>
                      <wp:docPr id="1147352052" name="Straight Arrow Connector 3"/>
                      <wp:cNvGraphicFramePr/>
                      <a:graphic xmlns:a="http://schemas.openxmlformats.org/drawingml/2006/main">
                        <a:graphicData uri="http://schemas.microsoft.com/office/word/2010/wordprocessingShape">
                          <wps:wsp>
                            <wps:cNvCnPr/>
                            <wps:spPr>
                              <a:xfrm>
                                <a:off x="0" y="0"/>
                                <a:ext cx="58447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EF7D4D" id="_x0000_t32" coordsize="21600,21600" o:spt="32" o:oned="t" path="m,l21600,21600e" filled="f">
                      <v:path arrowok="t" fillok="f" o:connecttype="none"/>
                      <o:lock v:ext="edit" shapetype="t"/>
                    </v:shapetype>
                    <v:shape id="Straight Arrow Connector 3" o:spid="_x0000_s1026" type="#_x0000_t32" style="position:absolute;margin-left:172.4pt;margin-top:10.25pt;width:4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" strokecolor="black [3040]">
                      <v:stroke endarrow="block"/>
                    </v:shape>
                  </w:pict>
                </mc:Fallback>
              </mc:AlternateContent>
            </w:r>
            <w:r>
              <w:rPr>
                <w:rFonts w:ascii="Garamond" w:eastAsia="Garamond" w:hAnsi="Garamond" w:cs="Garamond"/>
                <w:sz w:val="22"/>
                <w:szCs w:val="22"/>
              </w:rPr>
              <w:t>Post-internship</w:t>
            </w:r>
          </w:p>
          <w:p w14:paraId="0E7C65DB" w14:textId="77777777" w:rsidR="00A541D1" w:rsidRDefault="00A541D1">
            <w:pPr>
              <w:pStyle w:val="ListParagraph"/>
              <w:widowControl w:val="0"/>
              <w:spacing w:after="0" w:line="276" w:lineRule="auto"/>
              <w:rPr>
                <w:rFonts w:ascii="Garamond" w:eastAsia="Garamond" w:hAnsi="Garamond" w:cs="Garamond"/>
                <w:sz w:val="22"/>
                <w:szCs w:val="22"/>
              </w:rPr>
            </w:pPr>
          </w:p>
          <w:p w14:paraId="555C325D" w14:textId="3B4DEA61" w:rsidR="00A541D1" w:rsidRDefault="00A541D1" w:rsidP="00C21D01">
            <w:pPr>
              <w:pStyle w:val="ListParagraph"/>
              <w:widowControl w:val="0"/>
              <w:spacing w:after="0" w:line="276" w:lineRule="auto"/>
              <w:rPr>
                <w:rFonts w:ascii="Garamond" w:eastAsia="Garamond" w:hAnsi="Garamond" w:cs="Garamond"/>
                <w:b/>
                <w:sz w:val="22"/>
                <w:szCs w:val="22"/>
              </w:rPr>
            </w:pPr>
          </w:p>
        </w:tc>
      </w:tr>
    </w:tbl>
    <w:tbl>
      <w:tblPr>
        <w:tblStyle w:val="Style11"/>
        <w:tblpPr w:leftFromText="180" w:rightFromText="180" w:topFromText="180" w:bottomFromText="180" w:vertAnchor="text" w:horzAnchor="page" w:tblpX="6654" w:tblpY="264"/>
        <w:tblW w:w="3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13"/>
      </w:tblGrid>
      <w:tr w:rsidR="00C21D01" w14:paraId="16CA3A6B" w14:textId="77777777" w:rsidTr="00C21D01">
        <w:trPr>
          <w:trHeight w:val="3384"/>
        </w:trPr>
        <w:tc>
          <w:tcPr>
            <w:tcW w:w="3513" w:type="dxa"/>
          </w:tcPr>
          <w:p w14:paraId="03BE48DB" w14:textId="6F24EE0A" w:rsidR="00C21D01" w:rsidRDefault="00163B58" w:rsidP="00C21D01">
            <w:pPr>
              <w:widowControl w:val="0"/>
              <w:spacing w:line="276" w:lineRule="auto"/>
              <w:jc w:val="center"/>
              <w:rPr>
                <w:rFonts w:ascii="Garamond" w:eastAsia="Garamond" w:hAnsi="Garamond" w:cs="Garamond"/>
                <w:b/>
                <w:sz w:val="22"/>
                <w:szCs w:val="22"/>
              </w:rPr>
            </w:pPr>
            <w:r>
              <w:rPr>
                <w:rFonts w:ascii="Garamond" w:eastAsia="Garamond" w:hAnsi="Garamond" w:cs="Garamond"/>
                <w:b/>
                <w:sz w:val="22"/>
                <w:szCs w:val="22"/>
              </w:rPr>
              <w:t>Career Readiness Skill</w:t>
            </w:r>
          </w:p>
          <w:p w14:paraId="7C954A15" w14:textId="3CE451A8" w:rsidR="00C21D01"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Career Management</w:t>
            </w:r>
          </w:p>
          <w:p w14:paraId="6C5A5384" w14:textId="14891A1D"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Communication</w:t>
            </w:r>
          </w:p>
          <w:p w14:paraId="68E87383" w14:textId="74518CEB"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Critical thinking problem solving</w:t>
            </w:r>
          </w:p>
          <w:p w14:paraId="1D65207C" w14:textId="0F47EE34"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Digital technology</w:t>
            </w:r>
          </w:p>
          <w:p w14:paraId="28314EAB" w14:textId="4DD92DCE"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Global and cultural fluency</w:t>
            </w:r>
          </w:p>
          <w:p w14:paraId="02A26E2B" w14:textId="03F6144E"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Leadership</w:t>
            </w:r>
          </w:p>
          <w:p w14:paraId="10ED22DD" w14:textId="0E866F8E"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Professional and Work Ethics</w:t>
            </w:r>
          </w:p>
          <w:p w14:paraId="7C00F846" w14:textId="7FFA6877"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Teamwork and Collaboration</w:t>
            </w:r>
          </w:p>
          <w:p w14:paraId="0647FDF2" w14:textId="77777777" w:rsidR="00C21D01" w:rsidRDefault="00C21D01" w:rsidP="00C21D01">
            <w:pPr>
              <w:pStyle w:val="ListParagraph"/>
              <w:widowControl w:val="0"/>
              <w:spacing w:after="0" w:line="276" w:lineRule="auto"/>
              <w:rPr>
                <w:rFonts w:ascii="Garamond" w:eastAsia="Garamond" w:hAnsi="Garamond" w:cs="Garamond"/>
                <w:sz w:val="22"/>
                <w:szCs w:val="22"/>
              </w:rPr>
            </w:pPr>
          </w:p>
          <w:p w14:paraId="12E5D933" w14:textId="77777777" w:rsidR="00C21D01" w:rsidRDefault="00C21D01" w:rsidP="00C21D01">
            <w:pPr>
              <w:pStyle w:val="ListParagraph"/>
              <w:widowControl w:val="0"/>
              <w:spacing w:after="0" w:line="276" w:lineRule="auto"/>
              <w:rPr>
                <w:rFonts w:ascii="Garamond" w:eastAsia="Garamond" w:hAnsi="Garamond" w:cs="Garamond"/>
                <w:b/>
                <w:sz w:val="22"/>
                <w:szCs w:val="22"/>
              </w:rPr>
            </w:pPr>
          </w:p>
        </w:tc>
      </w:tr>
    </w:tbl>
    <w:p w14:paraId="515C5A4C" w14:textId="77777777" w:rsidR="00A541D1" w:rsidRDefault="00A541D1">
      <w:pPr>
        <w:spacing w:line="276" w:lineRule="auto"/>
        <w:rPr>
          <w:rFonts w:ascii="Garamond" w:eastAsia="Garamond" w:hAnsi="Garamond" w:cs="Garamond"/>
          <w:b/>
          <w:sz w:val="22"/>
          <w:szCs w:val="22"/>
        </w:rPr>
      </w:pPr>
    </w:p>
    <w:p w14:paraId="1519129E" w14:textId="77777777" w:rsidR="00C21D01" w:rsidRDefault="00C21D01">
      <w:pPr>
        <w:spacing w:line="276" w:lineRule="auto"/>
        <w:rPr>
          <w:rFonts w:ascii="Garamond" w:eastAsia="Garamond" w:hAnsi="Garamond" w:cs="Garamond"/>
          <w:b/>
          <w:sz w:val="22"/>
          <w:szCs w:val="22"/>
        </w:rPr>
      </w:pPr>
      <w:r>
        <w:rPr>
          <w:rFonts w:ascii="Garamond" w:eastAsia="Garamond" w:hAnsi="Garamond" w:cs="Garamond"/>
          <w:b/>
          <w:sz w:val="22"/>
          <w:szCs w:val="22"/>
        </w:rPr>
        <w:t xml:space="preserve">                                                                                                </w:t>
      </w:r>
    </w:p>
    <w:p w14:paraId="4B19FD13" w14:textId="769D8C37" w:rsidR="00A541D1" w:rsidRDefault="00A541D1">
      <w:pPr>
        <w:spacing w:line="276" w:lineRule="auto"/>
        <w:rPr>
          <w:rFonts w:ascii="Garamond" w:eastAsia="Garamond" w:hAnsi="Garamond" w:cs="Garamond"/>
          <w:b/>
          <w:sz w:val="22"/>
          <w:szCs w:val="22"/>
        </w:rPr>
      </w:pPr>
    </w:p>
    <w:p w14:paraId="3F0E9AB1" w14:textId="77777777" w:rsidR="00A541D1" w:rsidRDefault="00A541D1">
      <w:pPr>
        <w:jc w:val="both"/>
        <w:rPr>
          <w:rFonts w:ascii="Garamond" w:eastAsia="Garamond" w:hAnsi="Garamond" w:cs="Garamond"/>
          <w:sz w:val="22"/>
          <w:szCs w:val="22"/>
        </w:rPr>
      </w:pPr>
    </w:p>
    <w:p w14:paraId="2E515B82" w14:textId="77777777" w:rsidR="00A541D1" w:rsidRDefault="00A541D1">
      <w:pPr>
        <w:jc w:val="both"/>
        <w:rPr>
          <w:rFonts w:ascii="Garamond" w:eastAsia="Garamond" w:hAnsi="Garamond" w:cs="Garamond"/>
          <w:b/>
          <w:sz w:val="22"/>
          <w:szCs w:val="22"/>
        </w:rPr>
      </w:pPr>
    </w:p>
    <w:p w14:paraId="02305097" w14:textId="1CBC7CD8" w:rsidR="00A541D1" w:rsidRDefault="00A541D1">
      <w:pPr>
        <w:jc w:val="both"/>
        <w:rPr>
          <w:rFonts w:ascii="Garamond" w:eastAsia="Garamond" w:hAnsi="Garamond" w:cs="Garamond"/>
          <w:b/>
          <w:sz w:val="22"/>
          <w:szCs w:val="22"/>
        </w:rPr>
      </w:pPr>
    </w:p>
    <w:p w14:paraId="1290537A" w14:textId="1F0272AE" w:rsidR="00A541D1" w:rsidRDefault="00A541D1">
      <w:pPr>
        <w:jc w:val="both"/>
        <w:rPr>
          <w:rFonts w:ascii="Garamond" w:eastAsia="Garamond" w:hAnsi="Garamond" w:cs="Garamond"/>
          <w:b/>
          <w:sz w:val="22"/>
          <w:szCs w:val="22"/>
        </w:rPr>
      </w:pPr>
    </w:p>
    <w:p w14:paraId="45DF1FA7" w14:textId="16D9F017" w:rsidR="00A541D1" w:rsidRDefault="00A541D1">
      <w:pPr>
        <w:jc w:val="both"/>
        <w:rPr>
          <w:rFonts w:ascii="Garamond" w:eastAsia="Garamond" w:hAnsi="Garamond" w:cs="Garamond"/>
          <w:b/>
          <w:sz w:val="22"/>
          <w:szCs w:val="22"/>
        </w:rPr>
      </w:pPr>
    </w:p>
    <w:p w14:paraId="1BCE1A38" w14:textId="77777777" w:rsidR="00A541D1" w:rsidRDefault="00A541D1">
      <w:pPr>
        <w:spacing w:after="0"/>
        <w:jc w:val="both"/>
        <w:rPr>
          <w:rFonts w:ascii="Garamond" w:eastAsia="Garamond" w:hAnsi="Garamond" w:cs="Garamond"/>
          <w:b/>
          <w:sz w:val="22"/>
          <w:szCs w:val="22"/>
        </w:rPr>
      </w:pPr>
    </w:p>
    <w:p w14:paraId="4CD093EF" w14:textId="77777777" w:rsidR="00A541D1" w:rsidRDefault="00A541D1">
      <w:pPr>
        <w:spacing w:after="0"/>
        <w:jc w:val="both"/>
        <w:rPr>
          <w:rFonts w:ascii="Garamond" w:eastAsia="Garamond" w:hAnsi="Garamond" w:cs="Garamond"/>
          <w:b/>
          <w:sz w:val="22"/>
          <w:szCs w:val="22"/>
        </w:rPr>
      </w:pPr>
    </w:p>
    <w:p w14:paraId="78C81D80" w14:textId="77777777" w:rsidR="00A541D1" w:rsidRDefault="00A541D1">
      <w:pPr>
        <w:spacing w:after="0"/>
        <w:jc w:val="both"/>
        <w:rPr>
          <w:rFonts w:ascii="Garamond" w:eastAsia="Garamond" w:hAnsi="Garamond" w:cs="Garamond"/>
          <w:b/>
          <w:sz w:val="22"/>
          <w:szCs w:val="22"/>
        </w:rPr>
      </w:pPr>
    </w:p>
    <w:p w14:paraId="6F404813" w14:textId="22491745" w:rsidR="00A541D1" w:rsidRPr="00C04BE2" w:rsidRDefault="003E7DBF">
      <w:pPr>
        <w:spacing w:after="0"/>
        <w:jc w:val="both"/>
        <w:rPr>
          <w:rFonts w:ascii="Garamond" w:eastAsia="Garamond" w:hAnsi="Garamond" w:cs="Garamond"/>
          <w:b/>
          <w:i/>
          <w:sz w:val="22"/>
          <w:szCs w:val="22"/>
        </w:rPr>
      </w:pPr>
      <w:r>
        <w:rPr>
          <w:rFonts w:ascii="Garamond" w:eastAsia="Garamond" w:hAnsi="Garamond" w:cs="Garamond"/>
          <w:b/>
          <w:i/>
          <w:sz w:val="22"/>
          <w:szCs w:val="22"/>
        </w:rPr>
        <w:t>Figure 1. Conceptual Framework</w:t>
      </w:r>
    </w:p>
    <w:p w14:paraId="7B275EEF" w14:textId="77777777" w:rsidR="00163B58" w:rsidRDefault="00163B58">
      <w:pPr>
        <w:jc w:val="both"/>
        <w:rPr>
          <w:rFonts w:ascii="Garamond" w:eastAsia="Garamond" w:hAnsi="Garamond" w:cs="Garamond"/>
          <w:b/>
          <w:i/>
          <w:sz w:val="22"/>
          <w:szCs w:val="22"/>
        </w:rPr>
      </w:pPr>
    </w:p>
    <w:p w14:paraId="1019E3F6" w14:textId="44869C4F" w:rsidR="00A541D1" w:rsidRDefault="003E7DBF">
      <w:pPr>
        <w:jc w:val="both"/>
        <w:rPr>
          <w:rFonts w:ascii="Garamond" w:eastAsia="Garamond" w:hAnsi="Garamond" w:cs="Garamond"/>
          <w:i/>
          <w:sz w:val="22"/>
          <w:szCs w:val="22"/>
        </w:rPr>
      </w:pPr>
      <w:r>
        <w:rPr>
          <w:rFonts w:ascii="Garamond" w:eastAsia="Garamond" w:hAnsi="Garamond" w:cs="Garamond"/>
          <w:b/>
          <w:i/>
          <w:sz w:val="22"/>
          <w:szCs w:val="22"/>
        </w:rPr>
        <w:t>Methodology</w:t>
      </w:r>
    </w:p>
    <w:p w14:paraId="4C4B0CF0" w14:textId="1E283E84" w:rsidR="00A541D1" w:rsidRDefault="003E7DBF">
      <w:pPr>
        <w:ind w:firstLine="720"/>
        <w:jc w:val="both"/>
        <w:rPr>
          <w:rFonts w:ascii="Garamond" w:eastAsia="Garamond" w:hAnsi="Garamond" w:cs="Garamond"/>
          <w:sz w:val="22"/>
          <w:szCs w:val="22"/>
        </w:rPr>
      </w:pPr>
      <w:r>
        <w:rPr>
          <w:rFonts w:ascii="Garamond" w:eastAsia="Garamond" w:hAnsi="Garamond" w:cs="Garamond"/>
          <w:sz w:val="22"/>
          <w:szCs w:val="22"/>
        </w:rPr>
        <w:t xml:space="preserve">This study </w:t>
      </w:r>
      <w:r w:rsidR="00FB7A40">
        <w:rPr>
          <w:rFonts w:ascii="Garamond" w:eastAsia="Garamond" w:hAnsi="Garamond" w:cs="Garamond"/>
          <w:sz w:val="22"/>
          <w:szCs w:val="22"/>
        </w:rPr>
        <w:t>employed</w:t>
      </w:r>
      <w:r>
        <w:rPr>
          <w:rFonts w:ascii="Garamond" w:eastAsia="Garamond" w:hAnsi="Garamond" w:cs="Garamond"/>
          <w:sz w:val="22"/>
          <w:szCs w:val="22"/>
        </w:rPr>
        <w:t xml:space="preserve"> a descriptive-correlational research design to ex</w:t>
      </w:r>
      <w:r w:rsidR="00573272">
        <w:rPr>
          <w:rFonts w:ascii="Garamond" w:eastAsia="Garamond" w:hAnsi="Garamond" w:cs="Garamond"/>
          <w:sz w:val="22"/>
          <w:szCs w:val="22"/>
        </w:rPr>
        <w:t>amine</w:t>
      </w:r>
      <w:r>
        <w:rPr>
          <w:rFonts w:ascii="Garamond" w:eastAsia="Garamond" w:hAnsi="Garamond" w:cs="Garamond"/>
          <w:sz w:val="22"/>
          <w:szCs w:val="22"/>
        </w:rPr>
        <w:t xml:space="preserve"> the relationship and influence of </w:t>
      </w:r>
      <w:r w:rsidR="00163B58">
        <w:rPr>
          <w:rFonts w:ascii="Garamond" w:eastAsia="Garamond" w:hAnsi="Garamond" w:cs="Garamond"/>
          <w:sz w:val="22"/>
          <w:szCs w:val="22"/>
        </w:rPr>
        <w:t>student internship on career readiness skill</w:t>
      </w:r>
      <w:r w:rsidR="00573272">
        <w:rPr>
          <w:rFonts w:ascii="Garamond" w:eastAsia="Garamond" w:hAnsi="Garamond" w:cs="Garamond"/>
          <w:sz w:val="22"/>
          <w:szCs w:val="22"/>
        </w:rPr>
        <w:t>s</w:t>
      </w:r>
      <w:r w:rsidR="00163B58">
        <w:rPr>
          <w:rFonts w:ascii="Garamond" w:eastAsia="Garamond" w:hAnsi="Garamond" w:cs="Garamond"/>
          <w:sz w:val="22"/>
          <w:szCs w:val="22"/>
        </w:rPr>
        <w:t xml:space="preserve">. </w:t>
      </w:r>
      <w:r w:rsidR="00573272">
        <w:rPr>
          <w:rFonts w:ascii="Garamond" w:eastAsia="Garamond" w:hAnsi="Garamond" w:cs="Garamond"/>
          <w:sz w:val="22"/>
          <w:szCs w:val="22"/>
        </w:rPr>
        <w:t xml:space="preserve">The research </w:t>
      </w:r>
      <w:r>
        <w:rPr>
          <w:rFonts w:ascii="Garamond" w:eastAsia="Garamond" w:hAnsi="Garamond" w:cs="Garamond"/>
          <w:sz w:val="22"/>
          <w:szCs w:val="22"/>
        </w:rPr>
        <w:t xml:space="preserve">was conducted at </w:t>
      </w:r>
      <w:r w:rsidR="00163B58">
        <w:rPr>
          <w:rFonts w:ascii="Garamond" w:eastAsia="Garamond" w:hAnsi="Garamond" w:cs="Garamond"/>
          <w:sz w:val="22"/>
          <w:szCs w:val="22"/>
        </w:rPr>
        <w:t xml:space="preserve">St. Francis Xavier </w:t>
      </w:r>
      <w:r>
        <w:rPr>
          <w:rFonts w:ascii="Garamond" w:eastAsia="Garamond" w:hAnsi="Garamond" w:cs="Garamond"/>
          <w:sz w:val="22"/>
          <w:szCs w:val="22"/>
        </w:rPr>
        <w:t xml:space="preserve">College, located in </w:t>
      </w:r>
      <w:r w:rsidR="00163B58">
        <w:rPr>
          <w:rFonts w:ascii="Garamond" w:eastAsia="Garamond" w:hAnsi="Garamond" w:cs="Garamond"/>
          <w:sz w:val="22"/>
          <w:szCs w:val="22"/>
        </w:rPr>
        <w:t>San Francsico</w:t>
      </w:r>
      <w:r>
        <w:rPr>
          <w:rFonts w:ascii="Garamond" w:eastAsia="Garamond" w:hAnsi="Garamond" w:cs="Garamond"/>
          <w:sz w:val="22"/>
          <w:szCs w:val="22"/>
        </w:rPr>
        <w:t xml:space="preserve">, </w:t>
      </w:r>
      <w:r w:rsidR="00163B58">
        <w:rPr>
          <w:rFonts w:ascii="Garamond" w:eastAsia="Garamond" w:hAnsi="Garamond" w:cs="Garamond"/>
          <w:sz w:val="22"/>
          <w:szCs w:val="22"/>
        </w:rPr>
        <w:t>Agusan del Sur</w:t>
      </w:r>
      <w:r>
        <w:rPr>
          <w:rFonts w:ascii="Garamond" w:eastAsia="Garamond" w:hAnsi="Garamond" w:cs="Garamond"/>
          <w:sz w:val="22"/>
          <w:szCs w:val="22"/>
        </w:rPr>
        <w:t>, Philippines, during the academic year 202</w:t>
      </w:r>
      <w:r w:rsidR="00163B58">
        <w:rPr>
          <w:rFonts w:ascii="Garamond" w:eastAsia="Garamond" w:hAnsi="Garamond" w:cs="Garamond"/>
          <w:sz w:val="22"/>
          <w:szCs w:val="22"/>
        </w:rPr>
        <w:t>3-2024</w:t>
      </w:r>
      <w:r>
        <w:rPr>
          <w:rFonts w:ascii="Garamond" w:eastAsia="Garamond" w:hAnsi="Garamond" w:cs="Garamond"/>
          <w:sz w:val="22"/>
          <w:szCs w:val="22"/>
        </w:rPr>
        <w:t>.</w:t>
      </w:r>
    </w:p>
    <w:p w14:paraId="4B8DB51B" w14:textId="77777777" w:rsidR="00841D72" w:rsidRPr="00841D72" w:rsidRDefault="00841D72">
      <w:pPr>
        <w:ind w:firstLine="720"/>
        <w:jc w:val="both"/>
        <w:rPr>
          <w:rFonts w:ascii="Garamond" w:eastAsia="Garamond" w:hAnsi="Garamond" w:cs="Garamond"/>
          <w:sz w:val="22"/>
          <w:szCs w:val="22"/>
        </w:rPr>
      </w:pPr>
      <w:r w:rsidRPr="00841D72">
        <w:rPr>
          <w:rFonts w:ascii="Garamond" w:eastAsia="Garamond" w:hAnsi="Garamond" w:cs="Garamond"/>
          <w:sz w:val="22"/>
          <w:szCs w:val="22"/>
        </w:rPr>
        <w:t>The study participants included 105 Bachelor of Elementary Education (</w:t>
      </w:r>
      <w:proofErr w:type="spellStart"/>
      <w:r w:rsidRPr="00841D72">
        <w:rPr>
          <w:rFonts w:ascii="Garamond" w:eastAsia="Garamond" w:hAnsi="Garamond" w:cs="Garamond"/>
          <w:sz w:val="22"/>
          <w:szCs w:val="22"/>
        </w:rPr>
        <w:t>BEEd</w:t>
      </w:r>
      <w:proofErr w:type="spellEnd"/>
      <w:r w:rsidRPr="00841D72">
        <w:rPr>
          <w:rFonts w:ascii="Garamond" w:eastAsia="Garamond" w:hAnsi="Garamond" w:cs="Garamond"/>
          <w:sz w:val="22"/>
          <w:szCs w:val="22"/>
        </w:rPr>
        <w:t>) and 63 Bachelor of Secondary Education (</w:t>
      </w:r>
      <w:proofErr w:type="spellStart"/>
      <w:r w:rsidRPr="00841D72">
        <w:rPr>
          <w:rFonts w:ascii="Garamond" w:eastAsia="Garamond" w:hAnsi="Garamond" w:cs="Garamond"/>
          <w:sz w:val="22"/>
          <w:szCs w:val="22"/>
        </w:rPr>
        <w:t>BSEd</w:t>
      </w:r>
      <w:proofErr w:type="spellEnd"/>
      <w:r w:rsidRPr="00841D72">
        <w:rPr>
          <w:rFonts w:ascii="Garamond" w:eastAsia="Garamond" w:hAnsi="Garamond" w:cs="Garamond"/>
          <w:sz w:val="22"/>
          <w:szCs w:val="22"/>
        </w:rPr>
        <w:t>) student interns, selected using the universal sampling method. Only students who were officially enrolled during the academic year were included in the sample.</w:t>
      </w:r>
    </w:p>
    <w:p w14:paraId="7E644E07" w14:textId="536B0438" w:rsidR="00A541D1" w:rsidRDefault="003E7DBF">
      <w:pPr>
        <w:ind w:firstLine="720"/>
        <w:jc w:val="both"/>
        <w:rPr>
          <w:rFonts w:ascii="Garamond" w:eastAsia="Garamond" w:hAnsi="Garamond" w:cs="Garamond"/>
          <w:sz w:val="22"/>
          <w:szCs w:val="22"/>
        </w:rPr>
      </w:pPr>
      <w:r w:rsidRPr="006B54CD">
        <w:rPr>
          <w:rFonts w:ascii="Garamond" w:eastAsia="Garamond" w:hAnsi="Garamond" w:cs="Garamond"/>
          <w:sz w:val="22"/>
          <w:szCs w:val="22"/>
        </w:rPr>
        <w:t xml:space="preserve">To gather the necessary data, two main instruments were used: the </w:t>
      </w:r>
      <w:r w:rsidR="00116EF5" w:rsidRPr="006B54CD">
        <w:rPr>
          <w:rFonts w:ascii="Garamond" w:eastAsia="Garamond" w:hAnsi="Garamond" w:cs="Garamond"/>
          <w:sz w:val="22"/>
          <w:szCs w:val="22"/>
        </w:rPr>
        <w:t xml:space="preserve">student internship questionnaire </w:t>
      </w:r>
      <w:r w:rsidRPr="006B54CD">
        <w:rPr>
          <w:rFonts w:ascii="Garamond" w:eastAsia="Garamond" w:hAnsi="Garamond" w:cs="Garamond"/>
          <w:sz w:val="22"/>
          <w:szCs w:val="22"/>
        </w:rPr>
        <w:t>developed</w:t>
      </w:r>
      <w:r w:rsidR="00116EF5" w:rsidRPr="006B54CD">
        <w:rPr>
          <w:rFonts w:ascii="Garamond" w:eastAsia="Garamond" w:hAnsi="Garamond" w:cs="Garamond"/>
          <w:sz w:val="22"/>
          <w:szCs w:val="22"/>
        </w:rPr>
        <w:t xml:space="preserve"> by Plaza et al. (2017) </w:t>
      </w:r>
      <w:r w:rsidRPr="006B54CD">
        <w:rPr>
          <w:rFonts w:ascii="Garamond" w:eastAsia="Garamond" w:hAnsi="Garamond" w:cs="Garamond"/>
          <w:sz w:val="22"/>
          <w:szCs w:val="22"/>
        </w:rPr>
        <w:t xml:space="preserve">which includes </w:t>
      </w:r>
      <w:r w:rsidR="00116EF5" w:rsidRPr="006B54CD">
        <w:rPr>
          <w:rFonts w:ascii="Garamond" w:eastAsia="Garamond" w:hAnsi="Garamond" w:cs="Garamond"/>
          <w:sz w:val="22"/>
          <w:szCs w:val="22"/>
        </w:rPr>
        <w:t>27</w:t>
      </w:r>
      <w:r w:rsidRPr="006B54CD">
        <w:rPr>
          <w:rFonts w:ascii="Garamond" w:eastAsia="Garamond" w:hAnsi="Garamond" w:cs="Garamond"/>
          <w:sz w:val="22"/>
          <w:szCs w:val="22"/>
        </w:rPr>
        <w:t xml:space="preserve"> items rated on a 5-point Likert scale, and the </w:t>
      </w:r>
      <w:r w:rsidR="00116EF5" w:rsidRPr="006B54CD">
        <w:rPr>
          <w:rFonts w:ascii="Garamond" w:eastAsia="Garamond" w:hAnsi="Garamond" w:cs="Garamond"/>
          <w:sz w:val="22"/>
          <w:szCs w:val="22"/>
        </w:rPr>
        <w:t>career readiness skill</w:t>
      </w:r>
      <w:r w:rsidRPr="006B54CD">
        <w:rPr>
          <w:rFonts w:ascii="Garamond" w:eastAsia="Garamond" w:hAnsi="Garamond" w:cs="Garamond"/>
          <w:sz w:val="22"/>
          <w:szCs w:val="22"/>
        </w:rPr>
        <w:t xml:space="preserve"> ad</w:t>
      </w:r>
      <w:r w:rsidR="00116EF5" w:rsidRPr="006B54CD">
        <w:rPr>
          <w:rFonts w:ascii="Garamond" w:eastAsia="Garamond" w:hAnsi="Garamond" w:cs="Garamond"/>
          <w:sz w:val="22"/>
          <w:szCs w:val="22"/>
        </w:rPr>
        <w:t>a</w:t>
      </w:r>
      <w:r w:rsidRPr="006B54CD">
        <w:rPr>
          <w:rFonts w:ascii="Garamond" w:eastAsia="Garamond" w:hAnsi="Garamond" w:cs="Garamond"/>
          <w:sz w:val="22"/>
          <w:szCs w:val="22"/>
        </w:rPr>
        <w:t xml:space="preserve">pted from </w:t>
      </w:r>
      <w:bookmarkStart w:id="1" w:name="_Hlk199676768"/>
      <w:r w:rsidR="00116EF5" w:rsidRPr="006B54CD">
        <w:rPr>
          <w:rFonts w:ascii="Garamond" w:eastAsia="Garamond" w:hAnsi="Garamond" w:cs="Garamond"/>
          <w:sz w:val="22"/>
          <w:szCs w:val="22"/>
        </w:rPr>
        <w:t>Miller (2019)</w:t>
      </w:r>
      <w:r w:rsidRPr="006B54CD">
        <w:rPr>
          <w:rFonts w:ascii="Garamond" w:eastAsia="Garamond" w:hAnsi="Garamond" w:cs="Garamond"/>
          <w:sz w:val="22"/>
          <w:szCs w:val="22"/>
        </w:rPr>
        <w:t xml:space="preserve">, </w:t>
      </w:r>
      <w:bookmarkEnd w:id="1"/>
      <w:r w:rsidRPr="006B54CD">
        <w:rPr>
          <w:rFonts w:ascii="Garamond" w:eastAsia="Garamond" w:hAnsi="Garamond" w:cs="Garamond"/>
          <w:sz w:val="22"/>
          <w:szCs w:val="22"/>
        </w:rPr>
        <w:t xml:space="preserve">composed of </w:t>
      </w:r>
      <w:r w:rsidR="00116EF5" w:rsidRPr="006B54CD">
        <w:rPr>
          <w:rFonts w:ascii="Garamond" w:eastAsia="Garamond" w:hAnsi="Garamond" w:cs="Garamond"/>
          <w:sz w:val="22"/>
          <w:szCs w:val="22"/>
        </w:rPr>
        <w:t>35</w:t>
      </w:r>
      <w:r w:rsidRPr="006B54CD">
        <w:rPr>
          <w:rFonts w:ascii="Garamond" w:eastAsia="Garamond" w:hAnsi="Garamond" w:cs="Garamond"/>
          <w:sz w:val="22"/>
          <w:szCs w:val="22"/>
        </w:rPr>
        <w:t xml:space="preserve"> items</w:t>
      </w:r>
      <w:r w:rsidR="00116EF5" w:rsidRPr="006B54CD">
        <w:rPr>
          <w:rFonts w:ascii="Garamond" w:eastAsia="Garamond" w:hAnsi="Garamond" w:cs="Garamond"/>
          <w:sz w:val="22"/>
          <w:szCs w:val="22"/>
        </w:rPr>
        <w:t xml:space="preserve"> distributed unequally to eight indicators</w:t>
      </w:r>
      <w:r w:rsidR="00116EF5">
        <w:rPr>
          <w:rFonts w:ascii="Garamond" w:eastAsia="Garamond" w:hAnsi="Garamond" w:cs="Garamond"/>
          <w:sz w:val="22"/>
          <w:szCs w:val="22"/>
        </w:rPr>
        <w:t>.</w:t>
      </w:r>
    </w:p>
    <w:p w14:paraId="471B2F4E" w14:textId="3F17642A" w:rsidR="00116EF5" w:rsidRDefault="00116EF5">
      <w:pPr>
        <w:ind w:firstLine="720"/>
        <w:jc w:val="both"/>
        <w:rPr>
          <w:rFonts w:ascii="Garamond" w:eastAsia="Garamond" w:hAnsi="Garamond" w:cs="Garamond"/>
          <w:sz w:val="22"/>
          <w:szCs w:val="22"/>
        </w:rPr>
      </w:pPr>
      <w:r w:rsidRPr="00116EF5">
        <w:rPr>
          <w:rFonts w:ascii="Garamond" w:eastAsia="Garamond" w:hAnsi="Garamond" w:cs="Garamond"/>
          <w:sz w:val="22"/>
          <w:szCs w:val="22"/>
        </w:rPr>
        <w:t xml:space="preserve">The data gathering procedure </w:t>
      </w:r>
      <w:r w:rsidR="00484AF5">
        <w:rPr>
          <w:rFonts w:ascii="Garamond" w:eastAsia="Garamond" w:hAnsi="Garamond" w:cs="Garamond"/>
          <w:sz w:val="22"/>
          <w:szCs w:val="22"/>
        </w:rPr>
        <w:t xml:space="preserve">involved </w:t>
      </w:r>
      <w:r w:rsidRPr="00116EF5">
        <w:rPr>
          <w:rFonts w:ascii="Garamond" w:eastAsia="Garamond" w:hAnsi="Garamond" w:cs="Garamond"/>
          <w:sz w:val="22"/>
          <w:szCs w:val="22"/>
        </w:rPr>
        <w:t xml:space="preserve">securing approval from the Executive Vice-President of </w:t>
      </w:r>
      <w:r w:rsidR="00484AF5">
        <w:rPr>
          <w:rFonts w:ascii="Garamond" w:eastAsia="Garamond" w:hAnsi="Garamond" w:cs="Garamond"/>
          <w:sz w:val="22"/>
          <w:szCs w:val="22"/>
        </w:rPr>
        <w:t>the school</w:t>
      </w:r>
      <w:r w:rsidRPr="00116EF5">
        <w:rPr>
          <w:rFonts w:ascii="Garamond" w:eastAsia="Garamond" w:hAnsi="Garamond" w:cs="Garamond"/>
          <w:sz w:val="22"/>
          <w:szCs w:val="22"/>
        </w:rPr>
        <w:t xml:space="preserve"> and the Dean of the College of Teacher Education. </w:t>
      </w:r>
      <w:r w:rsidR="00484AF5">
        <w:rPr>
          <w:rFonts w:ascii="Garamond" w:eastAsia="Garamond" w:hAnsi="Garamond" w:cs="Garamond"/>
          <w:sz w:val="22"/>
          <w:szCs w:val="22"/>
        </w:rPr>
        <w:t>A</w:t>
      </w:r>
      <w:r w:rsidRPr="00116EF5">
        <w:rPr>
          <w:rFonts w:ascii="Garamond" w:eastAsia="Garamond" w:hAnsi="Garamond" w:cs="Garamond"/>
          <w:sz w:val="22"/>
          <w:szCs w:val="22"/>
        </w:rPr>
        <w:t xml:space="preserve"> formal request was made to the Registrar’s Office for </w:t>
      </w:r>
      <w:r w:rsidR="00484AF5">
        <w:rPr>
          <w:rFonts w:ascii="Garamond" w:eastAsia="Garamond" w:hAnsi="Garamond" w:cs="Garamond"/>
          <w:sz w:val="22"/>
          <w:szCs w:val="22"/>
        </w:rPr>
        <w:t>the</w:t>
      </w:r>
      <w:r w:rsidRPr="00116EF5">
        <w:rPr>
          <w:rFonts w:ascii="Garamond" w:eastAsia="Garamond" w:hAnsi="Garamond" w:cs="Garamond"/>
          <w:sz w:val="22"/>
          <w:szCs w:val="22"/>
        </w:rPr>
        <w:t xml:space="preserve"> official list of student interns enrolled during the academic year 2023–2024. Upon approval, informed consent was obtained from the respondents before distributing the research instruments. The collected data were then encoded and subjected to analysis.</w:t>
      </w:r>
    </w:p>
    <w:p w14:paraId="45E3EB8A" w14:textId="77777777" w:rsidR="004D29FA" w:rsidRPr="004D29FA" w:rsidRDefault="004D29FA" w:rsidP="004D29FA">
      <w:pPr>
        <w:ind w:firstLine="720"/>
        <w:jc w:val="both"/>
        <w:rPr>
          <w:rFonts w:ascii="Garamond" w:eastAsia="Garamond" w:hAnsi="Garamond" w:cs="Garamond"/>
          <w:sz w:val="22"/>
          <w:szCs w:val="22"/>
        </w:rPr>
      </w:pPr>
      <w:r w:rsidRPr="004D29FA">
        <w:rPr>
          <w:rFonts w:ascii="Garamond" w:eastAsia="Garamond" w:hAnsi="Garamond" w:cs="Garamond"/>
          <w:sz w:val="22"/>
          <w:szCs w:val="22"/>
        </w:rPr>
        <w:t>Descriptive statistics, including the mean and standard deviation, were utilized to assess the levels of student internship experience and career readiness skills. To determine the relationship between the two variables, Pearson’s correlation coefficient was applied. Furthermore, multiple regression analysis was conducted to evaluate the extent to which student internship experiences predict or influence career readiness skills.</w:t>
      </w:r>
    </w:p>
    <w:p w14:paraId="1E0A7651" w14:textId="3944EA43" w:rsidR="00484AF5" w:rsidRDefault="006B09C2" w:rsidP="00AA58B4">
      <w:pPr>
        <w:ind w:firstLine="720"/>
        <w:jc w:val="both"/>
        <w:rPr>
          <w:rFonts w:ascii="Garamond" w:eastAsia="Garamond" w:hAnsi="Garamond" w:cs="Garamond"/>
          <w:sz w:val="22"/>
          <w:szCs w:val="22"/>
        </w:rPr>
      </w:pPr>
      <w:r w:rsidRPr="006B09C2">
        <w:rPr>
          <w:rFonts w:ascii="Garamond" w:eastAsia="Garamond" w:hAnsi="Garamond" w:cs="Garamond"/>
          <w:sz w:val="22"/>
          <w:szCs w:val="22"/>
        </w:rPr>
        <w:t xml:space="preserve">Ethical </w:t>
      </w:r>
      <w:r>
        <w:rPr>
          <w:rFonts w:ascii="Garamond" w:eastAsia="Garamond" w:hAnsi="Garamond" w:cs="Garamond"/>
          <w:sz w:val="22"/>
          <w:szCs w:val="22"/>
        </w:rPr>
        <w:t>considerations</w:t>
      </w:r>
      <w:r w:rsidRPr="006B09C2">
        <w:rPr>
          <w:rFonts w:ascii="Garamond" w:eastAsia="Garamond" w:hAnsi="Garamond" w:cs="Garamond"/>
          <w:sz w:val="22"/>
          <w:szCs w:val="22"/>
        </w:rPr>
        <w:t xml:space="preserve"> were diligently followed throughout the study. The confidentiality of participants' responses was safeguarded, and participation was voluntary, with respondents given the freedom to withdraw from the study at any time without facing any repercussions.</w:t>
      </w:r>
    </w:p>
    <w:p w14:paraId="61A7F7BD" w14:textId="25EC9DE2" w:rsidR="00A541D1" w:rsidRDefault="003E7DBF">
      <w:pPr>
        <w:jc w:val="both"/>
        <w:rPr>
          <w:rFonts w:ascii="Garamond" w:eastAsia="Garamond" w:hAnsi="Garamond" w:cs="Garamond"/>
          <w:b/>
          <w:sz w:val="22"/>
          <w:szCs w:val="22"/>
        </w:rPr>
      </w:pPr>
      <w:r>
        <w:rPr>
          <w:rFonts w:ascii="Garamond" w:eastAsia="Garamond" w:hAnsi="Garamond" w:cs="Garamond"/>
          <w:b/>
          <w:sz w:val="22"/>
          <w:szCs w:val="22"/>
        </w:rPr>
        <w:lastRenderedPageBreak/>
        <w:t>Results</w:t>
      </w:r>
    </w:p>
    <w:p w14:paraId="03D8064C" w14:textId="77777777" w:rsidR="00A541D1" w:rsidRDefault="003E7DBF">
      <w:pPr>
        <w:jc w:val="both"/>
        <w:rPr>
          <w:rFonts w:ascii="Garamond" w:eastAsia="Garamond" w:hAnsi="Garamond" w:cs="Garamond"/>
          <w:b/>
          <w:sz w:val="22"/>
          <w:szCs w:val="22"/>
        </w:rPr>
      </w:pPr>
      <w:r>
        <w:rPr>
          <w:rFonts w:ascii="Garamond" w:eastAsia="Garamond" w:hAnsi="Garamond" w:cs="Garamond"/>
          <w:b/>
          <w:sz w:val="22"/>
          <w:szCs w:val="22"/>
        </w:rPr>
        <w:t>Table 1. Descriptive Table</w:t>
      </w:r>
    </w:p>
    <w:tbl>
      <w:tblPr>
        <w:tblStyle w:val="Style13"/>
        <w:tblW w:w="9644" w:type="dxa"/>
        <w:jc w:val="center"/>
        <w:tblLayout w:type="fixed"/>
        <w:tblLook w:val="04A0" w:firstRow="1" w:lastRow="0" w:firstColumn="1" w:lastColumn="0" w:noHBand="0" w:noVBand="1"/>
      </w:tblPr>
      <w:tblGrid>
        <w:gridCol w:w="4116"/>
        <w:gridCol w:w="1845"/>
        <w:gridCol w:w="1560"/>
        <w:gridCol w:w="2123"/>
      </w:tblGrid>
      <w:tr w:rsidR="00A541D1" w:rsidRPr="005B1635" w14:paraId="0F6CB10E" w14:textId="77777777" w:rsidTr="009E5558">
        <w:trPr>
          <w:trHeight w:val="400"/>
          <w:jc w:val="center"/>
        </w:trPr>
        <w:tc>
          <w:tcPr>
            <w:tcW w:w="4116" w:type="dxa"/>
            <w:tcBorders>
              <w:top w:val="double" w:sz="4" w:space="0" w:color="000000"/>
              <w:bottom w:val="single" w:sz="4" w:space="0" w:color="auto"/>
            </w:tcBorders>
            <w:tcMar>
              <w:top w:w="0" w:type="dxa"/>
              <w:left w:w="108" w:type="dxa"/>
              <w:bottom w:w="0" w:type="dxa"/>
              <w:right w:w="108" w:type="dxa"/>
            </w:tcMar>
          </w:tcPr>
          <w:p w14:paraId="11765606" w14:textId="36DCC3C0" w:rsidR="00A541D1" w:rsidRPr="005B1635" w:rsidRDefault="003E7DBF">
            <w:pPr>
              <w:pStyle w:val="NoSpacing"/>
              <w:jc w:val="center"/>
              <w:rPr>
                <w:rFonts w:ascii="Garamond" w:hAnsi="Garamond"/>
                <w:b/>
                <w:bCs/>
                <w:sz w:val="22"/>
                <w:szCs w:val="22"/>
                <w:highlight w:val="white"/>
              </w:rPr>
            </w:pPr>
            <w:r w:rsidRPr="005B1635">
              <w:rPr>
                <w:rFonts w:ascii="Garamond" w:hAnsi="Garamond"/>
                <w:b/>
                <w:bCs/>
                <w:sz w:val="22"/>
                <w:szCs w:val="22"/>
                <w:highlight w:val="white"/>
              </w:rPr>
              <w:t xml:space="preserve">Variables and </w:t>
            </w:r>
            <w:r w:rsidR="00B14FB4">
              <w:rPr>
                <w:rFonts w:ascii="Garamond" w:hAnsi="Garamond"/>
                <w:b/>
                <w:bCs/>
                <w:sz w:val="22"/>
                <w:szCs w:val="22"/>
                <w:highlight w:val="white"/>
              </w:rPr>
              <w:t>Their</w:t>
            </w:r>
            <w:r w:rsidRPr="005B1635">
              <w:rPr>
                <w:rFonts w:ascii="Garamond" w:hAnsi="Garamond"/>
                <w:b/>
                <w:bCs/>
                <w:sz w:val="22"/>
                <w:szCs w:val="22"/>
                <w:highlight w:val="white"/>
              </w:rPr>
              <w:t xml:space="preserve"> Indicators</w:t>
            </w:r>
          </w:p>
        </w:tc>
        <w:tc>
          <w:tcPr>
            <w:tcW w:w="1845" w:type="dxa"/>
            <w:tcBorders>
              <w:top w:val="double" w:sz="4" w:space="0" w:color="000000"/>
              <w:bottom w:val="single" w:sz="4" w:space="0" w:color="auto"/>
            </w:tcBorders>
            <w:tcMar>
              <w:top w:w="0" w:type="dxa"/>
              <w:left w:w="108" w:type="dxa"/>
              <w:bottom w:w="0" w:type="dxa"/>
              <w:right w:w="108" w:type="dxa"/>
            </w:tcMar>
          </w:tcPr>
          <w:p w14:paraId="03CED171" w14:textId="77777777" w:rsidR="00A541D1" w:rsidRPr="005B1635" w:rsidRDefault="003E7DBF">
            <w:pPr>
              <w:pStyle w:val="NoSpacing"/>
              <w:jc w:val="center"/>
              <w:rPr>
                <w:rFonts w:ascii="Garamond" w:hAnsi="Garamond"/>
                <w:sz w:val="22"/>
                <w:szCs w:val="22"/>
                <w:highlight w:val="white"/>
              </w:rPr>
            </w:pPr>
            <w:r w:rsidRPr="005B1635">
              <w:rPr>
                <w:rFonts w:ascii="Garamond" w:hAnsi="Garamond"/>
                <w:b/>
                <w:color w:val="000000"/>
                <w:sz w:val="22"/>
                <w:szCs w:val="22"/>
              </w:rPr>
              <w:t>Standard Deviation</w:t>
            </w:r>
          </w:p>
        </w:tc>
        <w:tc>
          <w:tcPr>
            <w:tcW w:w="1560" w:type="dxa"/>
            <w:tcBorders>
              <w:top w:val="double" w:sz="4" w:space="0" w:color="000000"/>
              <w:bottom w:val="single" w:sz="4" w:space="0" w:color="auto"/>
            </w:tcBorders>
            <w:tcMar>
              <w:top w:w="0" w:type="dxa"/>
              <w:left w:w="108" w:type="dxa"/>
              <w:bottom w:w="0" w:type="dxa"/>
              <w:right w:w="108" w:type="dxa"/>
            </w:tcMar>
          </w:tcPr>
          <w:p w14:paraId="30458470" w14:textId="77777777" w:rsidR="00A541D1" w:rsidRPr="005B1635" w:rsidRDefault="003E7DBF">
            <w:pPr>
              <w:pStyle w:val="NoSpacing"/>
              <w:jc w:val="center"/>
              <w:rPr>
                <w:rFonts w:ascii="Garamond" w:hAnsi="Garamond"/>
                <w:sz w:val="22"/>
                <w:szCs w:val="22"/>
                <w:highlight w:val="white"/>
              </w:rPr>
            </w:pPr>
            <w:r w:rsidRPr="005B1635">
              <w:rPr>
                <w:rFonts w:ascii="Garamond" w:hAnsi="Garamond"/>
                <w:b/>
                <w:color w:val="000000"/>
                <w:sz w:val="22"/>
                <w:szCs w:val="22"/>
              </w:rPr>
              <w:t>Mean</w:t>
            </w:r>
          </w:p>
        </w:tc>
        <w:tc>
          <w:tcPr>
            <w:tcW w:w="2123" w:type="dxa"/>
            <w:tcBorders>
              <w:top w:val="double" w:sz="4" w:space="0" w:color="000000"/>
              <w:bottom w:val="single" w:sz="4" w:space="0" w:color="auto"/>
            </w:tcBorders>
            <w:tcMar>
              <w:top w:w="0" w:type="dxa"/>
              <w:left w:w="108" w:type="dxa"/>
              <w:bottom w:w="0" w:type="dxa"/>
              <w:right w:w="108" w:type="dxa"/>
            </w:tcMar>
          </w:tcPr>
          <w:p w14:paraId="75F692DA" w14:textId="77777777" w:rsidR="00A541D1" w:rsidRPr="005B1635" w:rsidRDefault="003E7DBF">
            <w:pPr>
              <w:pStyle w:val="NoSpacing"/>
              <w:jc w:val="center"/>
              <w:rPr>
                <w:rFonts w:ascii="Garamond" w:hAnsi="Garamond"/>
                <w:sz w:val="22"/>
                <w:szCs w:val="22"/>
                <w:highlight w:val="white"/>
              </w:rPr>
            </w:pPr>
            <w:r w:rsidRPr="005B1635">
              <w:rPr>
                <w:rFonts w:ascii="Garamond" w:hAnsi="Garamond"/>
                <w:b/>
                <w:color w:val="000000"/>
                <w:sz w:val="22"/>
                <w:szCs w:val="22"/>
              </w:rPr>
              <w:t>Verbal Description</w:t>
            </w:r>
          </w:p>
        </w:tc>
      </w:tr>
      <w:tr w:rsidR="00A541D1" w:rsidRPr="005B1635" w14:paraId="4B007B3B" w14:textId="77777777" w:rsidTr="009E5558">
        <w:trPr>
          <w:trHeight w:val="190"/>
          <w:jc w:val="center"/>
        </w:trPr>
        <w:tc>
          <w:tcPr>
            <w:tcW w:w="4116" w:type="dxa"/>
            <w:tcBorders>
              <w:top w:val="single" w:sz="4" w:space="0" w:color="auto"/>
            </w:tcBorders>
            <w:tcMar>
              <w:top w:w="0" w:type="dxa"/>
              <w:left w:w="108" w:type="dxa"/>
              <w:bottom w:w="0" w:type="dxa"/>
              <w:right w:w="108" w:type="dxa"/>
            </w:tcMar>
          </w:tcPr>
          <w:p w14:paraId="57D1234D" w14:textId="7FDC30AF" w:rsidR="00A541D1" w:rsidRPr="005B1635" w:rsidRDefault="00484AF5">
            <w:pPr>
              <w:pStyle w:val="NoSpacing"/>
              <w:rPr>
                <w:rFonts w:ascii="Garamond" w:hAnsi="Garamond"/>
                <w:b/>
                <w:bCs/>
                <w:color w:val="000000"/>
                <w:sz w:val="22"/>
                <w:szCs w:val="22"/>
              </w:rPr>
            </w:pPr>
            <w:r>
              <w:rPr>
                <w:rFonts w:ascii="Garamond" w:hAnsi="Garamond"/>
                <w:b/>
                <w:bCs/>
                <w:color w:val="000000"/>
                <w:sz w:val="22"/>
                <w:szCs w:val="22"/>
              </w:rPr>
              <w:t>Student Internship</w:t>
            </w:r>
          </w:p>
        </w:tc>
        <w:tc>
          <w:tcPr>
            <w:tcW w:w="1845" w:type="dxa"/>
            <w:tcBorders>
              <w:top w:val="single" w:sz="4" w:space="0" w:color="auto"/>
            </w:tcBorders>
            <w:tcMar>
              <w:top w:w="0" w:type="dxa"/>
              <w:left w:w="108" w:type="dxa"/>
              <w:bottom w:w="0" w:type="dxa"/>
              <w:right w:w="108" w:type="dxa"/>
            </w:tcMar>
          </w:tcPr>
          <w:p w14:paraId="0D442A2D" w14:textId="061C9BA6" w:rsidR="00A541D1" w:rsidRPr="005B1635" w:rsidRDefault="003E7DBF">
            <w:pPr>
              <w:pStyle w:val="NoSpacing"/>
              <w:jc w:val="center"/>
              <w:rPr>
                <w:rFonts w:ascii="Garamond" w:hAnsi="Garamond"/>
                <w:color w:val="000000"/>
                <w:sz w:val="22"/>
                <w:szCs w:val="22"/>
              </w:rPr>
            </w:pPr>
            <w:r w:rsidRPr="005B1635">
              <w:rPr>
                <w:rFonts w:ascii="Garamond" w:hAnsi="Garamond"/>
                <w:b/>
                <w:color w:val="000000"/>
                <w:sz w:val="22"/>
                <w:szCs w:val="22"/>
              </w:rPr>
              <w:t>.3</w:t>
            </w:r>
            <w:r w:rsidR="00484AF5">
              <w:rPr>
                <w:rFonts w:ascii="Garamond" w:hAnsi="Garamond"/>
                <w:b/>
                <w:color w:val="000000"/>
                <w:sz w:val="22"/>
                <w:szCs w:val="22"/>
              </w:rPr>
              <w:t>9</w:t>
            </w:r>
          </w:p>
        </w:tc>
        <w:tc>
          <w:tcPr>
            <w:tcW w:w="1560" w:type="dxa"/>
            <w:tcBorders>
              <w:top w:val="single" w:sz="4" w:space="0" w:color="auto"/>
            </w:tcBorders>
            <w:tcMar>
              <w:top w:w="0" w:type="dxa"/>
              <w:left w:w="108" w:type="dxa"/>
              <w:bottom w:w="0" w:type="dxa"/>
              <w:right w:w="108" w:type="dxa"/>
            </w:tcMar>
          </w:tcPr>
          <w:p w14:paraId="0B12B4BA" w14:textId="01DA5780" w:rsidR="00A541D1" w:rsidRPr="005B1635" w:rsidRDefault="00484AF5">
            <w:pPr>
              <w:pStyle w:val="NoSpacing"/>
              <w:jc w:val="center"/>
              <w:rPr>
                <w:rFonts w:ascii="Garamond" w:hAnsi="Garamond"/>
                <w:color w:val="000000"/>
                <w:sz w:val="22"/>
                <w:szCs w:val="22"/>
              </w:rPr>
            </w:pPr>
            <w:r>
              <w:rPr>
                <w:rFonts w:ascii="Garamond" w:hAnsi="Garamond"/>
                <w:b/>
                <w:color w:val="000000"/>
                <w:sz w:val="22"/>
                <w:szCs w:val="22"/>
              </w:rPr>
              <w:t>3.55</w:t>
            </w:r>
          </w:p>
        </w:tc>
        <w:tc>
          <w:tcPr>
            <w:tcW w:w="2123" w:type="dxa"/>
            <w:tcBorders>
              <w:top w:val="single" w:sz="4" w:space="0" w:color="auto"/>
            </w:tcBorders>
            <w:tcMar>
              <w:top w:w="0" w:type="dxa"/>
              <w:left w:w="108" w:type="dxa"/>
              <w:bottom w:w="0" w:type="dxa"/>
              <w:right w:w="108" w:type="dxa"/>
            </w:tcMar>
          </w:tcPr>
          <w:p w14:paraId="67ABF5C5" w14:textId="77777777" w:rsidR="00A541D1" w:rsidRPr="005B1635" w:rsidRDefault="003E7DBF">
            <w:pPr>
              <w:pStyle w:val="NoSpacing"/>
              <w:jc w:val="center"/>
              <w:rPr>
                <w:rFonts w:ascii="Garamond" w:hAnsi="Garamond"/>
                <w:color w:val="000000"/>
                <w:sz w:val="22"/>
                <w:szCs w:val="22"/>
              </w:rPr>
            </w:pPr>
            <w:r w:rsidRPr="005B1635">
              <w:rPr>
                <w:rFonts w:ascii="Garamond" w:hAnsi="Garamond"/>
                <w:b/>
                <w:color w:val="000000"/>
                <w:sz w:val="22"/>
                <w:szCs w:val="22"/>
              </w:rPr>
              <w:t>Very High</w:t>
            </w:r>
          </w:p>
        </w:tc>
      </w:tr>
      <w:tr w:rsidR="00A541D1" w:rsidRPr="005B1635" w14:paraId="2F798FAF" w14:textId="77777777" w:rsidTr="009E5558">
        <w:trPr>
          <w:trHeight w:val="199"/>
          <w:jc w:val="center"/>
        </w:trPr>
        <w:tc>
          <w:tcPr>
            <w:tcW w:w="4116" w:type="dxa"/>
            <w:tcMar>
              <w:top w:w="0" w:type="dxa"/>
              <w:left w:w="108" w:type="dxa"/>
              <w:bottom w:w="0" w:type="dxa"/>
              <w:right w:w="108" w:type="dxa"/>
            </w:tcMar>
          </w:tcPr>
          <w:p w14:paraId="6C845927" w14:textId="7A8D3EF2" w:rsidR="00A541D1" w:rsidRPr="005B1635" w:rsidRDefault="003E7DBF">
            <w:pPr>
              <w:pStyle w:val="NoSpacing"/>
              <w:rPr>
                <w:rFonts w:ascii="Garamond" w:hAnsi="Garamond"/>
                <w:sz w:val="22"/>
                <w:szCs w:val="22"/>
                <w:highlight w:val="white"/>
              </w:rPr>
            </w:pPr>
            <w:r w:rsidRPr="005B1635">
              <w:rPr>
                <w:rFonts w:ascii="Garamond" w:hAnsi="Garamond"/>
                <w:color w:val="000000"/>
                <w:sz w:val="22"/>
                <w:szCs w:val="22"/>
              </w:rPr>
              <w:t xml:space="preserve">      </w:t>
            </w:r>
            <w:r w:rsidR="00484AF5">
              <w:rPr>
                <w:rFonts w:ascii="Garamond" w:hAnsi="Garamond"/>
                <w:color w:val="000000"/>
                <w:sz w:val="22"/>
                <w:szCs w:val="22"/>
              </w:rPr>
              <w:t>Internship Program</w:t>
            </w:r>
          </w:p>
        </w:tc>
        <w:tc>
          <w:tcPr>
            <w:tcW w:w="1845" w:type="dxa"/>
            <w:tcMar>
              <w:top w:w="0" w:type="dxa"/>
              <w:left w:w="108" w:type="dxa"/>
              <w:bottom w:w="0" w:type="dxa"/>
              <w:right w:w="108" w:type="dxa"/>
            </w:tcMar>
          </w:tcPr>
          <w:p w14:paraId="2C5D1B64" w14:textId="2C5C28EB" w:rsidR="00A541D1" w:rsidRPr="005B1635" w:rsidRDefault="00484AF5">
            <w:pPr>
              <w:pStyle w:val="NoSpacing"/>
              <w:jc w:val="center"/>
              <w:rPr>
                <w:rFonts w:ascii="Garamond" w:hAnsi="Garamond"/>
                <w:sz w:val="22"/>
                <w:szCs w:val="22"/>
                <w:highlight w:val="white"/>
              </w:rPr>
            </w:pPr>
            <w:r>
              <w:rPr>
                <w:rFonts w:ascii="Garamond" w:hAnsi="Garamond"/>
                <w:color w:val="000000"/>
                <w:sz w:val="22"/>
                <w:szCs w:val="22"/>
              </w:rPr>
              <w:t>.45</w:t>
            </w:r>
          </w:p>
        </w:tc>
        <w:tc>
          <w:tcPr>
            <w:tcW w:w="1560" w:type="dxa"/>
            <w:tcMar>
              <w:top w:w="0" w:type="dxa"/>
              <w:left w:w="108" w:type="dxa"/>
              <w:bottom w:w="0" w:type="dxa"/>
              <w:right w:w="108" w:type="dxa"/>
            </w:tcMar>
          </w:tcPr>
          <w:p w14:paraId="0AF0864D" w14:textId="1D36E345" w:rsidR="00A541D1" w:rsidRPr="005B1635" w:rsidRDefault="00484AF5">
            <w:pPr>
              <w:pStyle w:val="NoSpacing"/>
              <w:jc w:val="center"/>
              <w:rPr>
                <w:rFonts w:ascii="Garamond" w:hAnsi="Garamond"/>
                <w:sz w:val="22"/>
                <w:szCs w:val="22"/>
                <w:highlight w:val="white"/>
              </w:rPr>
            </w:pPr>
            <w:r>
              <w:rPr>
                <w:rFonts w:ascii="Garamond" w:hAnsi="Garamond"/>
                <w:color w:val="000000"/>
                <w:sz w:val="22"/>
                <w:szCs w:val="22"/>
              </w:rPr>
              <w:t>3.42</w:t>
            </w:r>
          </w:p>
        </w:tc>
        <w:tc>
          <w:tcPr>
            <w:tcW w:w="2123" w:type="dxa"/>
            <w:tcMar>
              <w:top w:w="0" w:type="dxa"/>
              <w:left w:w="108" w:type="dxa"/>
              <w:bottom w:w="0" w:type="dxa"/>
              <w:right w:w="108" w:type="dxa"/>
            </w:tcMar>
          </w:tcPr>
          <w:p w14:paraId="485CE993" w14:textId="77777777" w:rsidR="00A541D1" w:rsidRPr="005B1635" w:rsidRDefault="003E7DBF">
            <w:pPr>
              <w:pStyle w:val="NoSpacing"/>
              <w:jc w:val="center"/>
              <w:rPr>
                <w:rFonts w:ascii="Garamond" w:hAnsi="Garamond"/>
                <w:sz w:val="22"/>
                <w:szCs w:val="22"/>
                <w:highlight w:val="white"/>
              </w:rPr>
            </w:pPr>
            <w:r w:rsidRPr="005B1635">
              <w:rPr>
                <w:rFonts w:ascii="Garamond" w:hAnsi="Garamond"/>
                <w:color w:val="000000"/>
                <w:sz w:val="22"/>
                <w:szCs w:val="22"/>
              </w:rPr>
              <w:t>Very High</w:t>
            </w:r>
          </w:p>
        </w:tc>
      </w:tr>
      <w:tr w:rsidR="00A541D1" w:rsidRPr="005B1635" w14:paraId="2DF1725B" w14:textId="77777777" w:rsidTr="009E5558">
        <w:trPr>
          <w:trHeight w:val="790"/>
          <w:jc w:val="center"/>
        </w:trPr>
        <w:tc>
          <w:tcPr>
            <w:tcW w:w="4116" w:type="dxa"/>
            <w:tcMar>
              <w:top w:w="0" w:type="dxa"/>
              <w:left w:w="108" w:type="dxa"/>
              <w:bottom w:w="0" w:type="dxa"/>
              <w:right w:w="108" w:type="dxa"/>
            </w:tcMar>
          </w:tcPr>
          <w:p w14:paraId="0B19C8FF" w14:textId="77777777" w:rsidR="00A541D1" w:rsidRDefault="003E7DBF">
            <w:pPr>
              <w:pStyle w:val="NoSpacing"/>
              <w:rPr>
                <w:rFonts w:ascii="Garamond" w:hAnsi="Garamond"/>
                <w:color w:val="000000"/>
                <w:sz w:val="22"/>
                <w:szCs w:val="22"/>
              </w:rPr>
            </w:pPr>
            <w:r w:rsidRPr="005B1635">
              <w:rPr>
                <w:rFonts w:ascii="Garamond" w:hAnsi="Garamond"/>
                <w:color w:val="000000"/>
                <w:sz w:val="22"/>
                <w:szCs w:val="22"/>
              </w:rPr>
              <w:t xml:space="preserve">      </w:t>
            </w:r>
            <w:r w:rsidR="00484AF5">
              <w:rPr>
                <w:rFonts w:ascii="Garamond" w:hAnsi="Garamond"/>
                <w:color w:val="000000"/>
                <w:sz w:val="22"/>
                <w:szCs w:val="22"/>
              </w:rPr>
              <w:t>Pre-internship</w:t>
            </w:r>
          </w:p>
          <w:p w14:paraId="02605DA7" w14:textId="6C04E9B5" w:rsidR="00484AF5" w:rsidRDefault="00484AF5">
            <w:pPr>
              <w:pStyle w:val="NoSpacing"/>
              <w:rPr>
                <w:rFonts w:ascii="Garamond" w:hAnsi="Garamond"/>
                <w:color w:val="000000"/>
                <w:sz w:val="22"/>
                <w:szCs w:val="22"/>
              </w:rPr>
            </w:pPr>
            <w:r>
              <w:rPr>
                <w:rFonts w:ascii="Garamond" w:hAnsi="Garamond"/>
                <w:color w:val="000000"/>
                <w:sz w:val="22"/>
                <w:szCs w:val="22"/>
              </w:rPr>
              <w:t xml:space="preserve">      During Internship</w:t>
            </w:r>
          </w:p>
          <w:p w14:paraId="6589F9E6" w14:textId="0171B734" w:rsidR="00484AF5" w:rsidRPr="004E05A3" w:rsidRDefault="00484AF5">
            <w:pPr>
              <w:pStyle w:val="NoSpacing"/>
              <w:rPr>
                <w:rFonts w:ascii="Garamond" w:hAnsi="Garamond"/>
                <w:color w:val="000000"/>
                <w:sz w:val="22"/>
                <w:szCs w:val="22"/>
              </w:rPr>
            </w:pPr>
            <w:r>
              <w:rPr>
                <w:rFonts w:ascii="Garamond" w:hAnsi="Garamond"/>
                <w:color w:val="000000"/>
                <w:sz w:val="22"/>
                <w:szCs w:val="22"/>
              </w:rPr>
              <w:t xml:space="preserve">      Post-internship</w:t>
            </w:r>
          </w:p>
        </w:tc>
        <w:tc>
          <w:tcPr>
            <w:tcW w:w="1845" w:type="dxa"/>
            <w:tcMar>
              <w:top w:w="0" w:type="dxa"/>
              <w:left w:w="108" w:type="dxa"/>
              <w:bottom w:w="0" w:type="dxa"/>
              <w:right w:w="108" w:type="dxa"/>
            </w:tcMar>
          </w:tcPr>
          <w:p w14:paraId="245A94CA" w14:textId="77777777" w:rsidR="00A541D1" w:rsidRDefault="003E7DBF" w:rsidP="004E05A3">
            <w:pPr>
              <w:pStyle w:val="NoSpacing"/>
              <w:jc w:val="center"/>
              <w:rPr>
                <w:rFonts w:ascii="Garamond" w:hAnsi="Garamond"/>
                <w:color w:val="000000"/>
                <w:sz w:val="22"/>
                <w:szCs w:val="22"/>
              </w:rPr>
            </w:pPr>
            <w:r w:rsidRPr="005B1635">
              <w:rPr>
                <w:rFonts w:ascii="Garamond" w:hAnsi="Garamond"/>
                <w:color w:val="000000"/>
                <w:sz w:val="22"/>
                <w:szCs w:val="22"/>
              </w:rPr>
              <w:t>.</w:t>
            </w:r>
            <w:r w:rsidR="00484AF5">
              <w:rPr>
                <w:rFonts w:ascii="Garamond" w:hAnsi="Garamond"/>
                <w:color w:val="000000"/>
                <w:sz w:val="22"/>
                <w:szCs w:val="22"/>
              </w:rPr>
              <w:t>43</w:t>
            </w:r>
          </w:p>
          <w:p w14:paraId="54A3D72B" w14:textId="77777777" w:rsidR="00484AF5" w:rsidRDefault="00484AF5" w:rsidP="004E05A3">
            <w:pPr>
              <w:pStyle w:val="NoSpacing"/>
              <w:jc w:val="center"/>
              <w:rPr>
                <w:rFonts w:ascii="Garamond" w:hAnsi="Garamond"/>
                <w:color w:val="000000"/>
                <w:sz w:val="22"/>
                <w:szCs w:val="22"/>
              </w:rPr>
            </w:pPr>
            <w:r>
              <w:rPr>
                <w:rFonts w:ascii="Garamond" w:hAnsi="Garamond"/>
                <w:color w:val="000000"/>
                <w:sz w:val="22"/>
                <w:szCs w:val="22"/>
              </w:rPr>
              <w:t>.53</w:t>
            </w:r>
          </w:p>
          <w:p w14:paraId="7944D7C6" w14:textId="717866D8" w:rsidR="00484AF5" w:rsidRPr="005B1635" w:rsidRDefault="00484AF5" w:rsidP="004E05A3">
            <w:pPr>
              <w:pStyle w:val="NoSpacing"/>
              <w:jc w:val="center"/>
              <w:rPr>
                <w:rFonts w:ascii="Garamond" w:hAnsi="Garamond"/>
                <w:sz w:val="22"/>
                <w:szCs w:val="22"/>
                <w:highlight w:val="white"/>
              </w:rPr>
            </w:pPr>
            <w:r>
              <w:rPr>
                <w:rFonts w:ascii="Garamond" w:hAnsi="Garamond"/>
                <w:color w:val="000000"/>
                <w:sz w:val="22"/>
                <w:szCs w:val="22"/>
              </w:rPr>
              <w:t>.43</w:t>
            </w:r>
          </w:p>
        </w:tc>
        <w:tc>
          <w:tcPr>
            <w:tcW w:w="1560" w:type="dxa"/>
            <w:tcMar>
              <w:top w:w="0" w:type="dxa"/>
              <w:left w:w="108" w:type="dxa"/>
              <w:bottom w:w="0" w:type="dxa"/>
              <w:right w:w="108" w:type="dxa"/>
            </w:tcMar>
          </w:tcPr>
          <w:p w14:paraId="6382B71E" w14:textId="77777777" w:rsidR="00A541D1" w:rsidRDefault="00484AF5" w:rsidP="004E05A3">
            <w:pPr>
              <w:pStyle w:val="NoSpacing"/>
              <w:jc w:val="center"/>
              <w:rPr>
                <w:rFonts w:ascii="Garamond" w:hAnsi="Garamond"/>
                <w:color w:val="000000"/>
                <w:sz w:val="22"/>
                <w:szCs w:val="22"/>
              </w:rPr>
            </w:pPr>
            <w:r>
              <w:rPr>
                <w:rFonts w:ascii="Garamond" w:hAnsi="Garamond"/>
                <w:color w:val="000000"/>
                <w:sz w:val="22"/>
                <w:szCs w:val="22"/>
              </w:rPr>
              <w:t>3.60</w:t>
            </w:r>
          </w:p>
          <w:p w14:paraId="17309215" w14:textId="77777777" w:rsidR="00484AF5" w:rsidRDefault="00484AF5" w:rsidP="004E05A3">
            <w:pPr>
              <w:pStyle w:val="NoSpacing"/>
              <w:jc w:val="center"/>
              <w:rPr>
                <w:rFonts w:ascii="Garamond" w:hAnsi="Garamond"/>
                <w:color w:val="000000"/>
                <w:sz w:val="22"/>
                <w:szCs w:val="22"/>
              </w:rPr>
            </w:pPr>
            <w:r>
              <w:rPr>
                <w:rFonts w:ascii="Garamond" w:hAnsi="Garamond"/>
                <w:color w:val="000000"/>
                <w:sz w:val="22"/>
                <w:szCs w:val="22"/>
              </w:rPr>
              <w:t>3.50</w:t>
            </w:r>
          </w:p>
          <w:p w14:paraId="6116C45C" w14:textId="7CE747FE" w:rsidR="00484AF5" w:rsidRPr="005B1635" w:rsidRDefault="00484AF5" w:rsidP="004E05A3">
            <w:pPr>
              <w:pStyle w:val="NoSpacing"/>
              <w:jc w:val="center"/>
              <w:rPr>
                <w:rFonts w:ascii="Garamond" w:hAnsi="Garamond"/>
                <w:sz w:val="22"/>
                <w:szCs w:val="22"/>
                <w:highlight w:val="white"/>
              </w:rPr>
            </w:pPr>
            <w:r>
              <w:rPr>
                <w:rFonts w:ascii="Garamond" w:hAnsi="Garamond"/>
                <w:color w:val="000000"/>
                <w:sz w:val="22"/>
                <w:szCs w:val="22"/>
              </w:rPr>
              <w:t>3.67</w:t>
            </w:r>
          </w:p>
        </w:tc>
        <w:tc>
          <w:tcPr>
            <w:tcW w:w="2123" w:type="dxa"/>
            <w:tcMar>
              <w:top w:w="0" w:type="dxa"/>
              <w:left w:w="108" w:type="dxa"/>
              <w:bottom w:w="0" w:type="dxa"/>
              <w:right w:w="108" w:type="dxa"/>
            </w:tcMar>
          </w:tcPr>
          <w:p w14:paraId="57C64ED4" w14:textId="77777777" w:rsidR="00A541D1" w:rsidRDefault="003E7DBF">
            <w:pPr>
              <w:pStyle w:val="NoSpacing"/>
              <w:jc w:val="center"/>
              <w:rPr>
                <w:rFonts w:ascii="Garamond" w:hAnsi="Garamond"/>
                <w:color w:val="000000"/>
                <w:sz w:val="22"/>
                <w:szCs w:val="22"/>
              </w:rPr>
            </w:pPr>
            <w:r w:rsidRPr="005B1635">
              <w:rPr>
                <w:rFonts w:ascii="Garamond" w:hAnsi="Garamond"/>
                <w:color w:val="000000"/>
                <w:sz w:val="22"/>
                <w:szCs w:val="22"/>
              </w:rPr>
              <w:t>Very High</w:t>
            </w:r>
          </w:p>
          <w:p w14:paraId="21E2F601" w14:textId="77777777" w:rsidR="00484AF5" w:rsidRDefault="00484AF5">
            <w:pPr>
              <w:pStyle w:val="NoSpacing"/>
              <w:jc w:val="center"/>
              <w:rPr>
                <w:rFonts w:ascii="Garamond" w:hAnsi="Garamond"/>
                <w:color w:val="000000"/>
                <w:sz w:val="22"/>
                <w:szCs w:val="22"/>
              </w:rPr>
            </w:pPr>
            <w:r>
              <w:rPr>
                <w:rFonts w:ascii="Garamond" w:hAnsi="Garamond"/>
                <w:color w:val="000000"/>
                <w:sz w:val="22"/>
                <w:szCs w:val="22"/>
              </w:rPr>
              <w:t>Very High</w:t>
            </w:r>
          </w:p>
          <w:p w14:paraId="4177D9F5" w14:textId="04E4DCDC" w:rsidR="00484AF5" w:rsidRPr="005B1635" w:rsidRDefault="00484AF5">
            <w:pPr>
              <w:pStyle w:val="NoSpacing"/>
              <w:jc w:val="center"/>
              <w:rPr>
                <w:rFonts w:ascii="Garamond" w:hAnsi="Garamond"/>
                <w:sz w:val="22"/>
                <w:szCs w:val="22"/>
                <w:highlight w:val="white"/>
              </w:rPr>
            </w:pPr>
            <w:r>
              <w:rPr>
                <w:rFonts w:ascii="Garamond" w:hAnsi="Garamond"/>
                <w:color w:val="000000"/>
                <w:sz w:val="22"/>
                <w:szCs w:val="22"/>
              </w:rPr>
              <w:t>Very High</w:t>
            </w:r>
          </w:p>
        </w:tc>
      </w:tr>
      <w:tr w:rsidR="00A541D1" w:rsidRPr="005B1635" w14:paraId="63C54344" w14:textId="77777777" w:rsidTr="004E05A3">
        <w:trPr>
          <w:trHeight w:val="255"/>
          <w:jc w:val="center"/>
        </w:trPr>
        <w:tc>
          <w:tcPr>
            <w:tcW w:w="4116" w:type="dxa"/>
            <w:tcBorders>
              <w:top w:val="single" w:sz="4" w:space="0" w:color="000000"/>
              <w:bottom w:val="single" w:sz="4" w:space="0" w:color="000000"/>
            </w:tcBorders>
            <w:tcMar>
              <w:top w:w="0" w:type="dxa"/>
              <w:left w:w="108" w:type="dxa"/>
              <w:bottom w:w="0" w:type="dxa"/>
              <w:right w:w="108" w:type="dxa"/>
            </w:tcMar>
          </w:tcPr>
          <w:p w14:paraId="22BCEB8C" w14:textId="168717BD" w:rsidR="00484AF5" w:rsidRPr="005B1635" w:rsidRDefault="00484AF5">
            <w:pPr>
              <w:pStyle w:val="NoSpacing"/>
              <w:rPr>
                <w:rFonts w:ascii="Garamond" w:hAnsi="Garamond"/>
                <w:b/>
                <w:sz w:val="22"/>
                <w:szCs w:val="22"/>
                <w:highlight w:val="white"/>
              </w:rPr>
            </w:pPr>
            <w:r>
              <w:rPr>
                <w:rFonts w:ascii="Garamond" w:hAnsi="Garamond"/>
                <w:b/>
                <w:sz w:val="22"/>
                <w:szCs w:val="22"/>
                <w:highlight w:val="white"/>
              </w:rPr>
              <w:t>Career Readiness Skill</w:t>
            </w:r>
          </w:p>
        </w:tc>
        <w:tc>
          <w:tcPr>
            <w:tcW w:w="1845" w:type="dxa"/>
            <w:tcBorders>
              <w:top w:val="single" w:sz="4" w:space="0" w:color="000000"/>
              <w:bottom w:val="single" w:sz="4" w:space="0" w:color="000000"/>
            </w:tcBorders>
            <w:tcMar>
              <w:top w:w="0" w:type="dxa"/>
              <w:left w:w="108" w:type="dxa"/>
              <w:bottom w:w="0" w:type="dxa"/>
              <w:right w:w="108" w:type="dxa"/>
            </w:tcMar>
          </w:tcPr>
          <w:p w14:paraId="0B454AAF" w14:textId="67C7A721" w:rsidR="00A541D1" w:rsidRPr="005B1635" w:rsidRDefault="003E7DBF" w:rsidP="004E05A3">
            <w:pPr>
              <w:pStyle w:val="NoSpacing"/>
              <w:jc w:val="center"/>
              <w:rPr>
                <w:rFonts w:ascii="Garamond" w:hAnsi="Garamond"/>
                <w:b/>
                <w:sz w:val="22"/>
                <w:szCs w:val="22"/>
                <w:highlight w:val="white"/>
              </w:rPr>
            </w:pPr>
            <w:r w:rsidRPr="005B1635">
              <w:rPr>
                <w:rFonts w:ascii="Garamond" w:hAnsi="Garamond"/>
                <w:b/>
                <w:sz w:val="22"/>
                <w:szCs w:val="22"/>
                <w:highlight w:val="white"/>
              </w:rPr>
              <w:t>.4</w:t>
            </w:r>
            <w:r w:rsidR="00484AF5">
              <w:rPr>
                <w:rFonts w:ascii="Garamond" w:hAnsi="Garamond"/>
                <w:b/>
                <w:sz w:val="22"/>
                <w:szCs w:val="22"/>
                <w:highlight w:val="white"/>
              </w:rPr>
              <w:t>4</w:t>
            </w:r>
          </w:p>
        </w:tc>
        <w:tc>
          <w:tcPr>
            <w:tcW w:w="1560" w:type="dxa"/>
            <w:tcBorders>
              <w:top w:val="single" w:sz="4" w:space="0" w:color="000000"/>
              <w:bottom w:val="single" w:sz="4" w:space="0" w:color="000000"/>
            </w:tcBorders>
            <w:tcMar>
              <w:top w:w="0" w:type="dxa"/>
              <w:left w:w="108" w:type="dxa"/>
              <w:bottom w:w="0" w:type="dxa"/>
              <w:right w:w="108" w:type="dxa"/>
            </w:tcMar>
          </w:tcPr>
          <w:p w14:paraId="78278359" w14:textId="71A3E0D2" w:rsidR="00A541D1" w:rsidRPr="005B1635" w:rsidRDefault="009E5558" w:rsidP="004E05A3">
            <w:pPr>
              <w:pStyle w:val="NoSpacing"/>
              <w:jc w:val="center"/>
              <w:rPr>
                <w:rFonts w:ascii="Garamond" w:hAnsi="Garamond"/>
                <w:b/>
                <w:sz w:val="22"/>
                <w:szCs w:val="22"/>
                <w:highlight w:val="white"/>
              </w:rPr>
            </w:pPr>
            <w:r>
              <w:rPr>
                <w:rFonts w:ascii="Garamond" w:hAnsi="Garamond"/>
                <w:b/>
                <w:sz w:val="22"/>
                <w:szCs w:val="22"/>
                <w:highlight w:val="white"/>
              </w:rPr>
              <w:t>3.51</w:t>
            </w:r>
          </w:p>
        </w:tc>
        <w:tc>
          <w:tcPr>
            <w:tcW w:w="2123" w:type="dxa"/>
            <w:tcBorders>
              <w:top w:val="single" w:sz="4" w:space="0" w:color="000000"/>
              <w:bottom w:val="single" w:sz="4" w:space="0" w:color="000000"/>
            </w:tcBorders>
            <w:tcMar>
              <w:top w:w="0" w:type="dxa"/>
              <w:left w:w="108" w:type="dxa"/>
              <w:bottom w:w="0" w:type="dxa"/>
              <w:right w:w="108" w:type="dxa"/>
            </w:tcMar>
          </w:tcPr>
          <w:p w14:paraId="1867DE3B" w14:textId="3884B299" w:rsidR="00A541D1" w:rsidRPr="005B1635" w:rsidRDefault="009E5558" w:rsidP="004E05A3">
            <w:pPr>
              <w:pStyle w:val="NoSpacing"/>
              <w:jc w:val="center"/>
              <w:rPr>
                <w:rFonts w:ascii="Garamond" w:hAnsi="Garamond"/>
                <w:b/>
                <w:sz w:val="22"/>
                <w:szCs w:val="22"/>
                <w:highlight w:val="white"/>
              </w:rPr>
            </w:pPr>
            <w:r>
              <w:rPr>
                <w:rFonts w:ascii="Garamond" w:hAnsi="Garamond"/>
                <w:b/>
                <w:sz w:val="22"/>
                <w:szCs w:val="22"/>
                <w:highlight w:val="white"/>
              </w:rPr>
              <w:t>Very High</w:t>
            </w:r>
          </w:p>
        </w:tc>
      </w:tr>
      <w:tr w:rsidR="009E5558" w:rsidRPr="005B1635" w14:paraId="3C1160CA" w14:textId="77777777" w:rsidTr="004E05A3">
        <w:trPr>
          <w:trHeight w:val="1832"/>
          <w:jc w:val="center"/>
        </w:trPr>
        <w:tc>
          <w:tcPr>
            <w:tcW w:w="4116" w:type="dxa"/>
            <w:tcBorders>
              <w:top w:val="single" w:sz="4" w:space="0" w:color="000000"/>
              <w:bottom w:val="single" w:sz="4" w:space="0" w:color="000000"/>
            </w:tcBorders>
            <w:tcMar>
              <w:top w:w="0" w:type="dxa"/>
              <w:left w:w="108" w:type="dxa"/>
              <w:bottom w:w="0" w:type="dxa"/>
              <w:right w:w="108" w:type="dxa"/>
            </w:tcMar>
          </w:tcPr>
          <w:p w14:paraId="24837EDA" w14:textId="77777777" w:rsidR="009E5558" w:rsidRDefault="009E5558" w:rsidP="009E5558">
            <w:pPr>
              <w:pStyle w:val="NoSpacing"/>
              <w:rPr>
                <w:rFonts w:ascii="Garamond" w:hAnsi="Garamond"/>
                <w:sz w:val="22"/>
                <w:szCs w:val="22"/>
              </w:rPr>
            </w:pPr>
            <w:r>
              <w:rPr>
                <w:rFonts w:ascii="Garamond" w:hAnsi="Garamond"/>
                <w:sz w:val="22"/>
                <w:szCs w:val="22"/>
              </w:rPr>
              <w:t xml:space="preserve">      Career Management</w:t>
            </w:r>
          </w:p>
          <w:p w14:paraId="48D9E0AF" w14:textId="77777777" w:rsidR="009E5558" w:rsidRDefault="009E5558" w:rsidP="009E5558">
            <w:pPr>
              <w:pStyle w:val="NoSpacing"/>
              <w:rPr>
                <w:rFonts w:ascii="Garamond" w:hAnsi="Garamond"/>
                <w:sz w:val="22"/>
                <w:szCs w:val="22"/>
              </w:rPr>
            </w:pPr>
            <w:r>
              <w:rPr>
                <w:rFonts w:ascii="Garamond" w:hAnsi="Garamond"/>
                <w:sz w:val="22"/>
                <w:szCs w:val="22"/>
              </w:rPr>
              <w:t xml:space="preserve">      Communication</w:t>
            </w:r>
          </w:p>
          <w:p w14:paraId="72543E70" w14:textId="707008C8" w:rsidR="009E5558" w:rsidRDefault="009E5558" w:rsidP="009E5558">
            <w:pPr>
              <w:pStyle w:val="NoSpacing"/>
              <w:rPr>
                <w:rFonts w:ascii="Garamond" w:hAnsi="Garamond"/>
                <w:sz w:val="22"/>
                <w:szCs w:val="22"/>
              </w:rPr>
            </w:pPr>
            <w:r>
              <w:rPr>
                <w:rFonts w:ascii="Garamond" w:hAnsi="Garamond"/>
                <w:sz w:val="22"/>
                <w:szCs w:val="22"/>
              </w:rPr>
              <w:t xml:space="preserve">      Critical Thinking</w:t>
            </w:r>
          </w:p>
          <w:p w14:paraId="4FC8D1A2" w14:textId="64AD6C21" w:rsidR="009E5558" w:rsidRDefault="009E5558" w:rsidP="009E5558">
            <w:pPr>
              <w:pStyle w:val="NoSpacing"/>
              <w:rPr>
                <w:rFonts w:ascii="Garamond" w:hAnsi="Garamond"/>
                <w:sz w:val="22"/>
                <w:szCs w:val="22"/>
              </w:rPr>
            </w:pPr>
            <w:r>
              <w:rPr>
                <w:rFonts w:ascii="Garamond" w:hAnsi="Garamond"/>
                <w:sz w:val="22"/>
                <w:szCs w:val="22"/>
              </w:rPr>
              <w:t xml:space="preserve">      Digital Technology</w:t>
            </w:r>
          </w:p>
          <w:p w14:paraId="41D591B5" w14:textId="31405453" w:rsidR="009E5558" w:rsidRDefault="009E5558" w:rsidP="009E5558">
            <w:pPr>
              <w:pStyle w:val="NoSpacing"/>
              <w:rPr>
                <w:rFonts w:ascii="Garamond" w:hAnsi="Garamond"/>
                <w:sz w:val="22"/>
                <w:szCs w:val="22"/>
              </w:rPr>
            </w:pPr>
            <w:r>
              <w:rPr>
                <w:rFonts w:ascii="Garamond" w:hAnsi="Garamond"/>
                <w:sz w:val="22"/>
                <w:szCs w:val="22"/>
              </w:rPr>
              <w:t xml:space="preserve">      Global and Cultural Fluency</w:t>
            </w:r>
          </w:p>
          <w:p w14:paraId="074BB724" w14:textId="7F443BF8" w:rsidR="009E5558" w:rsidRDefault="009E5558" w:rsidP="009E5558">
            <w:pPr>
              <w:pStyle w:val="NoSpacing"/>
              <w:rPr>
                <w:rFonts w:ascii="Garamond" w:hAnsi="Garamond"/>
                <w:sz w:val="22"/>
                <w:szCs w:val="22"/>
              </w:rPr>
            </w:pPr>
            <w:r>
              <w:rPr>
                <w:rFonts w:ascii="Garamond" w:hAnsi="Garamond"/>
                <w:sz w:val="22"/>
                <w:szCs w:val="22"/>
              </w:rPr>
              <w:t xml:space="preserve">      Leadership</w:t>
            </w:r>
          </w:p>
          <w:p w14:paraId="21B26CA2" w14:textId="020CA8BB" w:rsidR="009E5558" w:rsidRPr="00484AF5" w:rsidRDefault="009E5558" w:rsidP="009E5558">
            <w:pPr>
              <w:pStyle w:val="NoSpacing"/>
              <w:rPr>
                <w:rFonts w:ascii="Garamond" w:hAnsi="Garamond"/>
                <w:sz w:val="22"/>
                <w:szCs w:val="22"/>
              </w:rPr>
            </w:pPr>
            <w:r>
              <w:rPr>
                <w:rFonts w:ascii="Garamond" w:hAnsi="Garamond"/>
                <w:sz w:val="22"/>
                <w:szCs w:val="22"/>
              </w:rPr>
              <w:t xml:space="preserve">      Teamwork and Collaboration</w:t>
            </w:r>
          </w:p>
        </w:tc>
        <w:tc>
          <w:tcPr>
            <w:tcW w:w="1845" w:type="dxa"/>
            <w:tcBorders>
              <w:top w:val="single" w:sz="4" w:space="0" w:color="000000"/>
              <w:bottom w:val="single" w:sz="4" w:space="0" w:color="000000"/>
            </w:tcBorders>
            <w:tcMar>
              <w:top w:w="0" w:type="dxa"/>
              <w:left w:w="108" w:type="dxa"/>
              <w:bottom w:w="0" w:type="dxa"/>
              <w:right w:w="108" w:type="dxa"/>
            </w:tcMar>
          </w:tcPr>
          <w:p w14:paraId="4A7EAB7E" w14:textId="77777777" w:rsidR="009E5558" w:rsidRDefault="009E5558" w:rsidP="009E5558">
            <w:pPr>
              <w:pStyle w:val="NoSpacing"/>
              <w:jc w:val="center"/>
              <w:rPr>
                <w:rFonts w:ascii="Garamond" w:hAnsi="Garamond"/>
                <w:sz w:val="22"/>
                <w:szCs w:val="22"/>
                <w:highlight w:val="white"/>
              </w:rPr>
            </w:pPr>
            <w:r w:rsidRPr="005B1635">
              <w:rPr>
                <w:rFonts w:ascii="Garamond" w:hAnsi="Garamond"/>
                <w:sz w:val="22"/>
                <w:szCs w:val="22"/>
                <w:highlight w:val="white"/>
              </w:rPr>
              <w:t>.</w:t>
            </w:r>
            <w:r>
              <w:rPr>
                <w:rFonts w:ascii="Garamond" w:hAnsi="Garamond"/>
                <w:sz w:val="22"/>
                <w:szCs w:val="22"/>
                <w:highlight w:val="white"/>
              </w:rPr>
              <w:t>54</w:t>
            </w:r>
          </w:p>
          <w:p w14:paraId="35871646"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.52</w:t>
            </w:r>
          </w:p>
          <w:p w14:paraId="34826E38"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.51</w:t>
            </w:r>
          </w:p>
          <w:p w14:paraId="5BFB7829"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.51</w:t>
            </w:r>
          </w:p>
          <w:p w14:paraId="313E03CC"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.56</w:t>
            </w:r>
          </w:p>
          <w:p w14:paraId="215BBD89"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.77</w:t>
            </w:r>
          </w:p>
          <w:p w14:paraId="54FE5007" w14:textId="26B682BC" w:rsidR="009E5558" w:rsidRPr="00484AF5" w:rsidRDefault="009E5558" w:rsidP="009E5558">
            <w:pPr>
              <w:pStyle w:val="NoSpacing"/>
              <w:jc w:val="center"/>
              <w:rPr>
                <w:rFonts w:ascii="Garamond" w:hAnsi="Garamond"/>
                <w:sz w:val="22"/>
                <w:szCs w:val="22"/>
                <w:highlight w:val="white"/>
              </w:rPr>
            </w:pPr>
            <w:r>
              <w:rPr>
                <w:rFonts w:ascii="Garamond" w:hAnsi="Garamond"/>
                <w:sz w:val="22"/>
                <w:szCs w:val="22"/>
                <w:highlight w:val="white"/>
              </w:rPr>
              <w:t>.49</w:t>
            </w:r>
          </w:p>
        </w:tc>
        <w:tc>
          <w:tcPr>
            <w:tcW w:w="1560" w:type="dxa"/>
            <w:tcBorders>
              <w:top w:val="single" w:sz="4" w:space="0" w:color="000000"/>
              <w:bottom w:val="single" w:sz="4" w:space="0" w:color="000000"/>
            </w:tcBorders>
            <w:tcMar>
              <w:top w:w="0" w:type="dxa"/>
              <w:left w:w="108" w:type="dxa"/>
              <w:bottom w:w="0" w:type="dxa"/>
              <w:right w:w="108" w:type="dxa"/>
            </w:tcMar>
          </w:tcPr>
          <w:p w14:paraId="22E46993"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3.44</w:t>
            </w:r>
          </w:p>
          <w:p w14:paraId="0C851E9B"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3.56</w:t>
            </w:r>
          </w:p>
          <w:p w14:paraId="7AF0B6F4"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3.51</w:t>
            </w:r>
          </w:p>
          <w:p w14:paraId="3CB88DB9"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3.59</w:t>
            </w:r>
          </w:p>
          <w:p w14:paraId="6CA83AB1"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3.45</w:t>
            </w:r>
          </w:p>
          <w:p w14:paraId="6E28D4E5"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3.28</w:t>
            </w:r>
          </w:p>
          <w:p w14:paraId="3B50F9D4" w14:textId="0C28EDA8" w:rsidR="009E5558" w:rsidRPr="005B1635" w:rsidRDefault="009E5558" w:rsidP="009E5558">
            <w:pPr>
              <w:pStyle w:val="NoSpacing"/>
              <w:jc w:val="center"/>
              <w:rPr>
                <w:rFonts w:ascii="Garamond" w:hAnsi="Garamond"/>
                <w:b/>
                <w:sz w:val="22"/>
                <w:szCs w:val="22"/>
                <w:highlight w:val="white"/>
              </w:rPr>
            </w:pPr>
            <w:r>
              <w:rPr>
                <w:rFonts w:ascii="Garamond" w:hAnsi="Garamond"/>
                <w:sz w:val="22"/>
                <w:szCs w:val="22"/>
                <w:highlight w:val="white"/>
              </w:rPr>
              <w:t>3.68</w:t>
            </w:r>
          </w:p>
        </w:tc>
        <w:tc>
          <w:tcPr>
            <w:tcW w:w="2123" w:type="dxa"/>
            <w:tcBorders>
              <w:top w:val="single" w:sz="4" w:space="0" w:color="000000"/>
              <w:bottom w:val="single" w:sz="4" w:space="0" w:color="000000"/>
            </w:tcBorders>
            <w:tcMar>
              <w:top w:w="0" w:type="dxa"/>
              <w:left w:w="108" w:type="dxa"/>
              <w:bottom w:w="0" w:type="dxa"/>
              <w:right w:w="108" w:type="dxa"/>
            </w:tcMar>
          </w:tcPr>
          <w:p w14:paraId="39C1F0CD"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78427DFB"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3D14FBE7"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06E9765B"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507B9A2C"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7F18AB2C"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2C8D1953" w14:textId="5423501E" w:rsidR="009E5558" w:rsidRPr="004E05A3" w:rsidRDefault="009E5558" w:rsidP="004E05A3">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tc>
      </w:tr>
    </w:tbl>
    <w:p w14:paraId="0F975DA1" w14:textId="77777777" w:rsidR="00A541D1" w:rsidRDefault="00A541D1">
      <w:pPr>
        <w:ind w:firstLine="720"/>
        <w:jc w:val="both"/>
        <w:rPr>
          <w:rFonts w:ascii="Garamond" w:eastAsia="Garamond" w:hAnsi="Garamond" w:cs="Garamond"/>
          <w:sz w:val="22"/>
          <w:szCs w:val="22"/>
        </w:rPr>
      </w:pPr>
    </w:p>
    <w:p w14:paraId="3F15B506" w14:textId="1F968AC9" w:rsidR="009E5558" w:rsidRDefault="009E5558">
      <w:pPr>
        <w:ind w:firstLine="720"/>
        <w:jc w:val="both"/>
        <w:rPr>
          <w:rFonts w:ascii="Garamond" w:eastAsia="Garamond" w:hAnsi="Garamond" w:cs="Garamond"/>
          <w:sz w:val="22"/>
          <w:szCs w:val="22"/>
        </w:rPr>
      </w:pPr>
      <w:r>
        <w:rPr>
          <w:rFonts w:ascii="Garamond" w:eastAsia="Garamond" w:hAnsi="Garamond" w:cs="Garamond"/>
          <w:sz w:val="22"/>
          <w:szCs w:val="22"/>
        </w:rPr>
        <w:t xml:space="preserve">Table 1 shows high mean scores for both student internship and career readiness skill. </w:t>
      </w:r>
      <w:r w:rsidRPr="009E5558">
        <w:rPr>
          <w:rFonts w:ascii="Garamond" w:eastAsia="Garamond" w:hAnsi="Garamond" w:cs="Garamond"/>
          <w:sz w:val="22"/>
          <w:szCs w:val="22"/>
        </w:rPr>
        <w:t xml:space="preserve">Post-internship had the highest mean </w:t>
      </w:r>
      <w:r w:rsidR="006A4FE1">
        <w:rPr>
          <w:rFonts w:ascii="Garamond" w:eastAsia="Garamond" w:hAnsi="Garamond" w:cs="Garamond"/>
          <w:sz w:val="22"/>
          <w:szCs w:val="22"/>
        </w:rPr>
        <w:t>of</w:t>
      </w:r>
      <w:r w:rsidRPr="009E5558">
        <w:rPr>
          <w:rFonts w:ascii="Garamond" w:eastAsia="Garamond" w:hAnsi="Garamond" w:cs="Garamond"/>
          <w:sz w:val="22"/>
          <w:szCs w:val="22"/>
        </w:rPr>
        <w:t xml:space="preserve"> 3.67, while the internship program scored the lowest at 3.42, yet all indicators remain within the </w:t>
      </w:r>
      <w:r>
        <w:rPr>
          <w:rFonts w:ascii="Garamond" w:eastAsia="Garamond" w:hAnsi="Garamond" w:cs="Garamond"/>
          <w:sz w:val="22"/>
          <w:szCs w:val="22"/>
        </w:rPr>
        <w:t>Very High</w:t>
      </w:r>
      <w:r w:rsidRPr="009E5558">
        <w:rPr>
          <w:rFonts w:ascii="Garamond" w:eastAsia="Garamond" w:hAnsi="Garamond" w:cs="Garamond"/>
          <w:sz w:val="22"/>
          <w:szCs w:val="22"/>
        </w:rPr>
        <w:t xml:space="preserve"> range. The low standard deviations (0.39 to 0.53) reflect consistent responses among students, indicating strong performance and positive outcomes throughout the internship experience. These results highlight the effectiveness of the program in preparing students, supporting their development, and enhancing career readiness.</w:t>
      </w:r>
    </w:p>
    <w:p w14:paraId="153BD827" w14:textId="2317266B" w:rsidR="006A4FE1" w:rsidRDefault="003E7DBF" w:rsidP="004E05A3">
      <w:pPr>
        <w:ind w:firstLine="720"/>
        <w:jc w:val="both"/>
        <w:rPr>
          <w:rFonts w:ascii="Garamond" w:eastAsia="Garamond" w:hAnsi="Garamond" w:cs="Garamond"/>
          <w:sz w:val="22"/>
          <w:szCs w:val="22"/>
        </w:rPr>
      </w:pPr>
      <w:r>
        <w:rPr>
          <w:rFonts w:ascii="Garamond" w:eastAsia="Garamond" w:hAnsi="Garamond" w:cs="Garamond"/>
          <w:sz w:val="22"/>
          <w:szCs w:val="22"/>
        </w:rPr>
        <w:t xml:space="preserve">On the other hand, students demonstrate a </w:t>
      </w:r>
      <w:r w:rsidR="000572F9">
        <w:rPr>
          <w:rFonts w:ascii="Garamond" w:eastAsia="Garamond" w:hAnsi="Garamond" w:cs="Garamond"/>
          <w:sz w:val="22"/>
          <w:szCs w:val="22"/>
        </w:rPr>
        <w:t xml:space="preserve">very </w:t>
      </w:r>
      <w:r>
        <w:rPr>
          <w:rFonts w:ascii="Garamond" w:eastAsia="Garamond" w:hAnsi="Garamond" w:cs="Garamond"/>
          <w:sz w:val="22"/>
          <w:szCs w:val="22"/>
        </w:rPr>
        <w:t xml:space="preserve">high degree of </w:t>
      </w:r>
      <w:r w:rsidR="000572F9">
        <w:rPr>
          <w:rFonts w:ascii="Garamond" w:eastAsia="Garamond" w:hAnsi="Garamond" w:cs="Garamond"/>
          <w:sz w:val="22"/>
          <w:szCs w:val="22"/>
        </w:rPr>
        <w:t>career readiness skill among ei</w:t>
      </w:r>
      <w:r w:rsidR="00986A14">
        <w:rPr>
          <w:rFonts w:ascii="Garamond" w:eastAsia="Garamond" w:hAnsi="Garamond" w:cs="Garamond"/>
          <w:sz w:val="22"/>
          <w:szCs w:val="22"/>
        </w:rPr>
        <w:t xml:space="preserve">ght </w:t>
      </w:r>
      <w:r w:rsidR="000572F9">
        <w:rPr>
          <w:rFonts w:ascii="Garamond" w:eastAsia="Garamond" w:hAnsi="Garamond" w:cs="Garamond"/>
          <w:sz w:val="22"/>
          <w:szCs w:val="22"/>
        </w:rPr>
        <w:t xml:space="preserve">indicators. Results </w:t>
      </w:r>
      <w:r w:rsidR="000572F9" w:rsidRPr="000572F9">
        <w:rPr>
          <w:rFonts w:ascii="Garamond" w:eastAsia="Garamond" w:hAnsi="Garamond" w:cs="Garamond"/>
          <w:sz w:val="22"/>
          <w:szCs w:val="22"/>
        </w:rPr>
        <w:t xml:space="preserve">show high mean scores across eight indicators of career readiness skills, ranging from 3.28 to 3.68, with an overall mean of 3.51, all rated as </w:t>
      </w:r>
      <w:r w:rsidR="000572F9" w:rsidRPr="006B09C2">
        <w:rPr>
          <w:rFonts w:ascii="Garamond" w:eastAsia="Garamond" w:hAnsi="Garamond" w:cs="Garamond"/>
          <w:sz w:val="22"/>
          <w:szCs w:val="22"/>
        </w:rPr>
        <w:t>Very High.</w:t>
      </w:r>
      <w:r w:rsidR="000572F9" w:rsidRPr="000572F9">
        <w:rPr>
          <w:rFonts w:ascii="Garamond" w:eastAsia="Garamond" w:hAnsi="Garamond" w:cs="Garamond"/>
          <w:sz w:val="22"/>
          <w:szCs w:val="22"/>
        </w:rPr>
        <w:t xml:space="preserve"> This suggests that respondents consistently demonstrate strong readiness for professional environments. Communication scored 3.56, emphasizing its vital role in workplace interaction. Critical thinking and problem-solving, both essential for handling job-related challenges, recorded a mean of 3.51. The integration of digital technology also ranked high, with a mean of 3.59, highlighting the importance of tech proficiency in today’s careers. These consistently high scores reflect well-developed competencies essential for workforce success.</w:t>
      </w:r>
    </w:p>
    <w:p w14:paraId="641177DA" w14:textId="77777777" w:rsidR="00A541D1" w:rsidRDefault="003E7DBF">
      <w:pPr>
        <w:tabs>
          <w:tab w:val="center" w:pos="4680"/>
          <w:tab w:val="right" w:pos="9360"/>
        </w:tabs>
        <w:spacing w:line="240" w:lineRule="auto"/>
        <w:rPr>
          <w:rFonts w:ascii="Garamond" w:eastAsia="Garamond" w:hAnsi="Garamond" w:cs="Garamond"/>
          <w:b/>
          <w:sz w:val="22"/>
          <w:szCs w:val="22"/>
        </w:rPr>
      </w:pPr>
      <w:r>
        <w:rPr>
          <w:rFonts w:ascii="Garamond" w:eastAsia="Garamond" w:hAnsi="Garamond" w:cs="Garamond"/>
          <w:b/>
          <w:sz w:val="22"/>
          <w:szCs w:val="22"/>
        </w:rPr>
        <w:t>Table 2.  Test of Relationship</w:t>
      </w:r>
      <w:bookmarkStart w:id="2" w:name="_Hlk198583133"/>
    </w:p>
    <w:tbl>
      <w:tblPr>
        <w:tblStyle w:val="TableGrid"/>
        <w:tblW w:w="9351" w:type="dxa"/>
        <w:tblLook w:val="04A0" w:firstRow="1" w:lastRow="0" w:firstColumn="1" w:lastColumn="0" w:noHBand="0" w:noVBand="1"/>
      </w:tblPr>
      <w:tblGrid>
        <w:gridCol w:w="3114"/>
        <w:gridCol w:w="1559"/>
        <w:gridCol w:w="1559"/>
        <w:gridCol w:w="1701"/>
        <w:gridCol w:w="1418"/>
      </w:tblGrid>
      <w:tr w:rsidR="00A541D1" w14:paraId="71C2DE10" w14:textId="77777777">
        <w:tc>
          <w:tcPr>
            <w:tcW w:w="3114" w:type="dxa"/>
            <w:vMerge w:val="restart"/>
            <w:tcBorders>
              <w:top w:val="double" w:sz="4" w:space="0" w:color="auto"/>
              <w:left w:val="nil"/>
              <w:bottom w:val="nil"/>
              <w:right w:val="nil"/>
            </w:tcBorders>
          </w:tcPr>
          <w:bookmarkEnd w:id="2"/>
          <w:p w14:paraId="0D2FE188"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Independent Variable</w:t>
            </w:r>
          </w:p>
        </w:tc>
        <w:tc>
          <w:tcPr>
            <w:tcW w:w="6237" w:type="dxa"/>
            <w:gridSpan w:val="4"/>
            <w:tcBorders>
              <w:top w:val="double" w:sz="4" w:space="0" w:color="auto"/>
              <w:left w:val="nil"/>
              <w:bottom w:val="single" w:sz="4" w:space="0" w:color="auto"/>
              <w:right w:val="nil"/>
            </w:tcBorders>
          </w:tcPr>
          <w:p w14:paraId="00EBD123" w14:textId="4A2997D5" w:rsidR="00A541D1" w:rsidRDefault="000572F9">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Career Readiness Skill</w:t>
            </w:r>
            <w:r w:rsidR="004E05A3">
              <w:rPr>
                <w:rFonts w:ascii="Garamond" w:eastAsia="Garamond" w:hAnsi="Garamond" w:cs="Garamond"/>
                <w:b/>
                <w:bCs/>
                <w:sz w:val="22"/>
                <w:szCs w:val="22"/>
                <w:highlight w:val="white"/>
              </w:rPr>
              <w:t>s</w:t>
            </w:r>
          </w:p>
        </w:tc>
      </w:tr>
      <w:tr w:rsidR="00A541D1" w14:paraId="6AD2C7E8" w14:textId="77777777">
        <w:tc>
          <w:tcPr>
            <w:tcW w:w="3114" w:type="dxa"/>
            <w:vMerge/>
            <w:tcBorders>
              <w:top w:val="nil"/>
              <w:left w:val="nil"/>
              <w:bottom w:val="nil"/>
              <w:right w:val="nil"/>
            </w:tcBorders>
          </w:tcPr>
          <w:p w14:paraId="5BCE0E6A" w14:textId="77777777" w:rsidR="00A541D1" w:rsidRDefault="00A541D1">
            <w:pPr>
              <w:tabs>
                <w:tab w:val="center" w:pos="4680"/>
                <w:tab w:val="right" w:pos="9360"/>
              </w:tabs>
              <w:spacing w:after="0" w:line="276" w:lineRule="auto"/>
              <w:jc w:val="both"/>
              <w:rPr>
                <w:rFonts w:ascii="Garamond" w:eastAsia="Garamond" w:hAnsi="Garamond" w:cs="Garamond"/>
                <w:sz w:val="22"/>
                <w:szCs w:val="22"/>
                <w:highlight w:val="white"/>
              </w:rPr>
            </w:pPr>
          </w:p>
        </w:tc>
        <w:tc>
          <w:tcPr>
            <w:tcW w:w="1559" w:type="dxa"/>
            <w:tcBorders>
              <w:top w:val="single" w:sz="4" w:space="0" w:color="auto"/>
              <w:left w:val="nil"/>
              <w:bottom w:val="nil"/>
              <w:right w:val="nil"/>
            </w:tcBorders>
          </w:tcPr>
          <w:p w14:paraId="0B0BCE9B"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R-value</w:t>
            </w:r>
          </w:p>
        </w:tc>
        <w:tc>
          <w:tcPr>
            <w:tcW w:w="1559" w:type="dxa"/>
            <w:tcBorders>
              <w:top w:val="single" w:sz="4" w:space="0" w:color="auto"/>
              <w:left w:val="nil"/>
              <w:bottom w:val="nil"/>
              <w:right w:val="nil"/>
            </w:tcBorders>
          </w:tcPr>
          <w:p w14:paraId="5F01B878"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p-value</w:t>
            </w:r>
          </w:p>
        </w:tc>
        <w:tc>
          <w:tcPr>
            <w:tcW w:w="1701" w:type="dxa"/>
            <w:tcBorders>
              <w:top w:val="single" w:sz="4" w:space="0" w:color="auto"/>
              <w:left w:val="nil"/>
              <w:bottom w:val="nil"/>
              <w:right w:val="nil"/>
            </w:tcBorders>
          </w:tcPr>
          <w:p w14:paraId="600EBB38"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Decision on Ho</w:t>
            </w:r>
          </w:p>
        </w:tc>
        <w:tc>
          <w:tcPr>
            <w:tcW w:w="1418" w:type="dxa"/>
            <w:tcBorders>
              <w:top w:val="single" w:sz="4" w:space="0" w:color="auto"/>
              <w:left w:val="nil"/>
              <w:bottom w:val="nil"/>
              <w:right w:val="nil"/>
            </w:tcBorders>
          </w:tcPr>
          <w:p w14:paraId="30313534"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Remarks</w:t>
            </w:r>
          </w:p>
        </w:tc>
      </w:tr>
      <w:tr w:rsidR="00A541D1" w14:paraId="78F7AA08" w14:textId="77777777">
        <w:tc>
          <w:tcPr>
            <w:tcW w:w="3114" w:type="dxa"/>
            <w:tcBorders>
              <w:top w:val="nil"/>
              <w:left w:val="nil"/>
              <w:bottom w:val="single" w:sz="4" w:space="0" w:color="auto"/>
              <w:right w:val="nil"/>
            </w:tcBorders>
          </w:tcPr>
          <w:p w14:paraId="334BFC14" w14:textId="7F046684" w:rsidR="00A541D1" w:rsidRDefault="000572F9">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Student Internship</w:t>
            </w:r>
          </w:p>
        </w:tc>
        <w:tc>
          <w:tcPr>
            <w:tcW w:w="1559" w:type="dxa"/>
            <w:tcBorders>
              <w:top w:val="nil"/>
              <w:left w:val="nil"/>
              <w:bottom w:val="single" w:sz="4" w:space="0" w:color="auto"/>
              <w:right w:val="nil"/>
            </w:tcBorders>
          </w:tcPr>
          <w:p w14:paraId="05125B38" w14:textId="3098C690" w:rsidR="00A541D1" w:rsidRDefault="003E7DBF">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.5</w:t>
            </w:r>
            <w:r w:rsidR="000572F9">
              <w:rPr>
                <w:rFonts w:ascii="Garamond" w:eastAsia="Garamond" w:hAnsi="Garamond" w:cs="Garamond"/>
                <w:bCs/>
                <w:sz w:val="22"/>
                <w:szCs w:val="22"/>
                <w:highlight w:val="white"/>
              </w:rPr>
              <w:t>5</w:t>
            </w:r>
          </w:p>
        </w:tc>
        <w:tc>
          <w:tcPr>
            <w:tcW w:w="1559" w:type="dxa"/>
            <w:tcBorders>
              <w:top w:val="nil"/>
              <w:left w:val="nil"/>
              <w:bottom w:val="single" w:sz="4" w:space="0" w:color="auto"/>
              <w:right w:val="nil"/>
            </w:tcBorders>
          </w:tcPr>
          <w:p w14:paraId="2C421F8E" w14:textId="77777777" w:rsidR="00A541D1" w:rsidRDefault="003E7DBF">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.000</w:t>
            </w:r>
          </w:p>
        </w:tc>
        <w:tc>
          <w:tcPr>
            <w:tcW w:w="1701" w:type="dxa"/>
            <w:tcBorders>
              <w:top w:val="nil"/>
              <w:left w:val="nil"/>
              <w:bottom w:val="single" w:sz="4" w:space="0" w:color="auto"/>
              <w:right w:val="nil"/>
            </w:tcBorders>
          </w:tcPr>
          <w:p w14:paraId="7FC14480" w14:textId="77777777" w:rsidR="00A541D1" w:rsidRDefault="003E7DBF">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Rejected</w:t>
            </w:r>
          </w:p>
        </w:tc>
        <w:tc>
          <w:tcPr>
            <w:tcW w:w="1418" w:type="dxa"/>
            <w:tcBorders>
              <w:top w:val="nil"/>
              <w:left w:val="nil"/>
              <w:bottom w:val="single" w:sz="4" w:space="0" w:color="auto"/>
              <w:right w:val="nil"/>
            </w:tcBorders>
          </w:tcPr>
          <w:p w14:paraId="346DF25D" w14:textId="77777777" w:rsidR="00A541D1" w:rsidRDefault="003E7DBF">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Significant</w:t>
            </w:r>
          </w:p>
        </w:tc>
      </w:tr>
    </w:tbl>
    <w:p w14:paraId="5042E35A" w14:textId="77777777" w:rsidR="00A541D1" w:rsidRDefault="00A541D1">
      <w:pPr>
        <w:tabs>
          <w:tab w:val="center" w:pos="4680"/>
          <w:tab w:val="right" w:pos="9360"/>
        </w:tabs>
        <w:spacing w:line="276" w:lineRule="auto"/>
        <w:jc w:val="both"/>
        <w:rPr>
          <w:rFonts w:ascii="Garamond" w:eastAsia="Garamond" w:hAnsi="Garamond" w:cs="Garamond"/>
          <w:sz w:val="22"/>
          <w:szCs w:val="22"/>
        </w:rPr>
      </w:pPr>
    </w:p>
    <w:p w14:paraId="1E166384" w14:textId="1E5A2017" w:rsidR="00A541D1" w:rsidRPr="00AA58B4" w:rsidRDefault="003E7DBF">
      <w:pPr>
        <w:tabs>
          <w:tab w:val="center" w:pos="4680"/>
          <w:tab w:val="right" w:pos="9360"/>
        </w:tabs>
        <w:spacing w:line="276" w:lineRule="auto"/>
        <w:jc w:val="both"/>
        <w:rPr>
          <w:rFonts w:ascii="Garamond" w:eastAsia="Garamond" w:hAnsi="Garamond" w:cs="Garamond"/>
          <w:sz w:val="22"/>
          <w:szCs w:val="22"/>
          <w:highlight w:val="white"/>
        </w:rPr>
      </w:pPr>
      <w:r>
        <w:rPr>
          <w:rFonts w:ascii="Garamond" w:eastAsia="Garamond" w:hAnsi="Garamond" w:cs="Garamond"/>
          <w:sz w:val="22"/>
          <w:szCs w:val="22"/>
        </w:rPr>
        <w:tab/>
        <w:t xml:space="preserve">        Table 2 shows the </w:t>
      </w:r>
      <w:r>
        <w:rPr>
          <w:rFonts w:ascii="Garamond" w:eastAsia="Garamond" w:hAnsi="Garamond" w:cs="Garamond"/>
          <w:sz w:val="22"/>
          <w:szCs w:val="22"/>
          <w:lang w:val="en-US"/>
        </w:rPr>
        <w:t xml:space="preserve">statistical </w:t>
      </w:r>
      <w:r>
        <w:rPr>
          <w:rFonts w:ascii="Garamond" w:eastAsia="Garamond" w:hAnsi="Garamond" w:cs="Garamond"/>
          <w:sz w:val="22"/>
          <w:szCs w:val="22"/>
        </w:rPr>
        <w:t xml:space="preserve">correlation </w:t>
      </w:r>
      <w:r>
        <w:rPr>
          <w:rFonts w:ascii="Garamond" w:eastAsia="Garamond" w:hAnsi="Garamond" w:cs="Garamond"/>
          <w:sz w:val="22"/>
          <w:szCs w:val="22"/>
          <w:lang w:val="en-US"/>
        </w:rPr>
        <w:t>between</w:t>
      </w:r>
      <w:r>
        <w:rPr>
          <w:rFonts w:ascii="Garamond" w:eastAsia="Garamond" w:hAnsi="Garamond" w:cs="Garamond"/>
          <w:sz w:val="22"/>
          <w:szCs w:val="22"/>
        </w:rPr>
        <w:t xml:space="preserve"> </w:t>
      </w:r>
      <w:r w:rsidR="000572F9">
        <w:rPr>
          <w:rFonts w:ascii="Garamond" w:eastAsia="Garamond" w:hAnsi="Garamond" w:cs="Garamond"/>
          <w:sz w:val="22"/>
          <w:szCs w:val="22"/>
        </w:rPr>
        <w:t xml:space="preserve">student internship and career readiness </w:t>
      </w:r>
      <w:r w:rsidR="004E05A3">
        <w:rPr>
          <w:rFonts w:ascii="Garamond" w:eastAsia="Garamond" w:hAnsi="Garamond" w:cs="Garamond"/>
          <w:sz w:val="22"/>
          <w:szCs w:val="22"/>
        </w:rPr>
        <w:t>skills</w:t>
      </w:r>
      <w:r w:rsidR="000572F9">
        <w:rPr>
          <w:rFonts w:ascii="Garamond" w:eastAsia="Garamond" w:hAnsi="Garamond" w:cs="Garamond"/>
          <w:sz w:val="22"/>
          <w:szCs w:val="22"/>
        </w:rPr>
        <w:t xml:space="preserve">. </w:t>
      </w:r>
      <w:r>
        <w:rPr>
          <w:rFonts w:ascii="Garamond" w:eastAsia="Garamond" w:hAnsi="Garamond" w:cs="Garamond"/>
          <w:sz w:val="22"/>
          <w:szCs w:val="22"/>
        </w:rPr>
        <w:t>The results show a significant positive relationship, with a computed Pearson correlation coefficient (R-value) of .5</w:t>
      </w:r>
      <w:r w:rsidR="000572F9">
        <w:rPr>
          <w:rFonts w:ascii="Garamond" w:eastAsia="Garamond" w:hAnsi="Garamond" w:cs="Garamond"/>
          <w:sz w:val="22"/>
          <w:szCs w:val="22"/>
        </w:rPr>
        <w:t>5</w:t>
      </w:r>
      <w:r>
        <w:rPr>
          <w:rFonts w:ascii="Garamond" w:eastAsia="Garamond" w:hAnsi="Garamond" w:cs="Garamond"/>
          <w:sz w:val="22"/>
          <w:szCs w:val="22"/>
        </w:rPr>
        <w:t xml:space="preserve"> and a p-value of .000. Since the p-value is less than the standard significance l</w:t>
      </w:r>
      <w:r>
        <w:rPr>
          <w:rFonts w:ascii="Garamond" w:eastAsia="Garamond" w:hAnsi="Garamond" w:cs="Garamond"/>
          <w:sz w:val="22"/>
          <w:szCs w:val="22"/>
        </w:rPr>
        <w:t xml:space="preserve">evel of 0.05, the null hypothesis is rejected, indicating that </w:t>
      </w:r>
      <w:r w:rsidR="000572F9">
        <w:rPr>
          <w:rFonts w:ascii="Garamond" w:eastAsia="Garamond" w:hAnsi="Garamond" w:cs="Garamond"/>
          <w:sz w:val="22"/>
          <w:szCs w:val="22"/>
        </w:rPr>
        <w:t>student internship</w:t>
      </w:r>
      <w:r>
        <w:rPr>
          <w:rFonts w:ascii="Garamond" w:eastAsia="Garamond" w:hAnsi="Garamond" w:cs="Garamond"/>
          <w:sz w:val="22"/>
          <w:szCs w:val="22"/>
        </w:rPr>
        <w:t xml:space="preserve"> has a statistically significant </w:t>
      </w:r>
      <w:r w:rsidR="00B14FB4">
        <w:rPr>
          <w:rFonts w:ascii="Garamond" w:eastAsia="Garamond" w:hAnsi="Garamond" w:cs="Garamond"/>
          <w:sz w:val="22"/>
          <w:szCs w:val="22"/>
        </w:rPr>
        <w:t>relationship</w:t>
      </w:r>
      <w:r>
        <w:rPr>
          <w:rFonts w:ascii="Garamond" w:eastAsia="Garamond" w:hAnsi="Garamond" w:cs="Garamond"/>
          <w:sz w:val="22"/>
          <w:szCs w:val="22"/>
        </w:rPr>
        <w:t xml:space="preserve"> </w:t>
      </w:r>
      <w:r w:rsidR="004E05A3">
        <w:rPr>
          <w:rFonts w:ascii="Garamond" w:eastAsia="Garamond" w:hAnsi="Garamond" w:cs="Garamond"/>
          <w:sz w:val="22"/>
          <w:szCs w:val="22"/>
        </w:rPr>
        <w:t>with</w:t>
      </w:r>
      <w:r>
        <w:rPr>
          <w:rFonts w:ascii="Garamond" w:eastAsia="Garamond" w:hAnsi="Garamond" w:cs="Garamond"/>
          <w:sz w:val="22"/>
          <w:szCs w:val="22"/>
        </w:rPr>
        <w:t xml:space="preserve"> students' </w:t>
      </w:r>
      <w:r w:rsidR="000572F9">
        <w:rPr>
          <w:rFonts w:ascii="Garamond" w:eastAsia="Garamond" w:hAnsi="Garamond" w:cs="Garamond"/>
          <w:sz w:val="22"/>
          <w:szCs w:val="22"/>
        </w:rPr>
        <w:t>career readiness skill.</w:t>
      </w:r>
    </w:p>
    <w:p w14:paraId="5BF478DF" w14:textId="77777777" w:rsidR="00A541D1" w:rsidRDefault="003E7DBF">
      <w:pPr>
        <w:tabs>
          <w:tab w:val="center" w:pos="4680"/>
          <w:tab w:val="right" w:pos="9360"/>
        </w:tabs>
        <w:spacing w:line="240" w:lineRule="auto"/>
        <w:rPr>
          <w:rFonts w:ascii="Garamond" w:eastAsia="Garamond" w:hAnsi="Garamond" w:cs="Garamond"/>
          <w:b/>
          <w:sz w:val="22"/>
          <w:szCs w:val="22"/>
          <w:highlight w:val="white"/>
        </w:rPr>
      </w:pPr>
      <w:r>
        <w:rPr>
          <w:rFonts w:ascii="Garamond" w:eastAsia="Garamond" w:hAnsi="Garamond" w:cs="Garamond"/>
          <w:b/>
          <w:color w:val="000000"/>
          <w:sz w:val="22"/>
          <w:szCs w:val="22"/>
        </w:rPr>
        <w:lastRenderedPageBreak/>
        <w:t>Table 3. Regression Table</w:t>
      </w:r>
    </w:p>
    <w:tbl>
      <w:tblPr>
        <w:tblStyle w:val="Style16"/>
        <w:tblW w:w="9498" w:type="dxa"/>
        <w:tblLayout w:type="fixed"/>
        <w:tblLook w:val="04A0" w:firstRow="1" w:lastRow="0" w:firstColumn="1" w:lastColumn="0" w:noHBand="0" w:noVBand="1"/>
      </w:tblPr>
      <w:tblGrid>
        <w:gridCol w:w="2970"/>
        <w:gridCol w:w="1141"/>
        <w:gridCol w:w="1134"/>
        <w:gridCol w:w="1134"/>
        <w:gridCol w:w="1559"/>
        <w:gridCol w:w="1560"/>
      </w:tblGrid>
      <w:tr w:rsidR="00A541D1" w14:paraId="1BB8563D" w14:textId="77777777" w:rsidTr="004E05A3">
        <w:tc>
          <w:tcPr>
            <w:tcW w:w="2970" w:type="dxa"/>
            <w:vMerge w:val="restart"/>
            <w:tcBorders>
              <w:top w:val="double" w:sz="4" w:space="0" w:color="auto"/>
            </w:tcBorders>
            <w:tcMar>
              <w:top w:w="0" w:type="dxa"/>
              <w:left w:w="108" w:type="dxa"/>
              <w:bottom w:w="0" w:type="dxa"/>
              <w:right w:w="108" w:type="dxa"/>
            </w:tcMar>
          </w:tcPr>
          <w:p w14:paraId="4CCDEC83" w14:textId="77777777" w:rsidR="00A541D1" w:rsidRDefault="00A541D1">
            <w:pPr>
              <w:pStyle w:val="NoSpacing"/>
              <w:rPr>
                <w:rFonts w:ascii="Garamond" w:hAnsi="Garamond"/>
                <w:sz w:val="22"/>
                <w:szCs w:val="22"/>
              </w:rPr>
            </w:pPr>
          </w:p>
          <w:p w14:paraId="12F72DD7" w14:textId="77777777" w:rsidR="00A541D1" w:rsidRDefault="003E7DBF">
            <w:pPr>
              <w:pStyle w:val="NoSpacing"/>
              <w:jc w:val="center"/>
              <w:rPr>
                <w:rFonts w:ascii="Garamond" w:hAnsi="Garamond"/>
                <w:b/>
                <w:bCs/>
                <w:sz w:val="22"/>
                <w:szCs w:val="22"/>
              </w:rPr>
            </w:pPr>
            <w:r>
              <w:rPr>
                <w:rFonts w:ascii="Garamond" w:hAnsi="Garamond"/>
                <w:b/>
                <w:bCs/>
                <w:sz w:val="22"/>
                <w:szCs w:val="22"/>
              </w:rPr>
              <w:t>Independent Variable</w:t>
            </w:r>
          </w:p>
        </w:tc>
        <w:tc>
          <w:tcPr>
            <w:tcW w:w="6528" w:type="dxa"/>
            <w:gridSpan w:val="5"/>
            <w:tcBorders>
              <w:top w:val="double" w:sz="4" w:space="0" w:color="auto"/>
              <w:bottom w:val="single" w:sz="4" w:space="0" w:color="auto"/>
            </w:tcBorders>
            <w:tcMar>
              <w:top w:w="0" w:type="dxa"/>
              <w:left w:w="108" w:type="dxa"/>
              <w:bottom w:w="0" w:type="dxa"/>
              <w:right w:w="108" w:type="dxa"/>
            </w:tcMar>
          </w:tcPr>
          <w:p w14:paraId="2FA65930" w14:textId="3E63E590" w:rsidR="00A541D1" w:rsidRDefault="000572F9">
            <w:pPr>
              <w:pStyle w:val="NoSpacing"/>
              <w:jc w:val="center"/>
              <w:rPr>
                <w:rFonts w:ascii="Garamond" w:eastAsia="Garamond" w:hAnsi="Garamond" w:cs="Garamond"/>
                <w:b/>
                <w:bCs/>
                <w:sz w:val="22"/>
                <w:szCs w:val="22"/>
              </w:rPr>
            </w:pPr>
            <w:r>
              <w:rPr>
                <w:rFonts w:ascii="Garamond" w:eastAsia="Garamond" w:hAnsi="Garamond" w:cs="Garamond"/>
                <w:b/>
                <w:bCs/>
                <w:sz w:val="22"/>
                <w:szCs w:val="22"/>
              </w:rPr>
              <w:t>Career Readiness Skill</w:t>
            </w:r>
          </w:p>
        </w:tc>
      </w:tr>
      <w:tr w:rsidR="00A541D1" w14:paraId="3E11789C" w14:textId="77777777" w:rsidTr="004E05A3">
        <w:trPr>
          <w:trHeight w:val="298"/>
        </w:trPr>
        <w:tc>
          <w:tcPr>
            <w:tcW w:w="2970" w:type="dxa"/>
            <w:vMerge/>
            <w:tcBorders>
              <w:bottom w:val="single" w:sz="4" w:space="0" w:color="000000"/>
            </w:tcBorders>
            <w:tcMar>
              <w:top w:w="0" w:type="dxa"/>
              <w:left w:w="108" w:type="dxa"/>
              <w:bottom w:w="0" w:type="dxa"/>
              <w:right w:w="108" w:type="dxa"/>
            </w:tcMar>
          </w:tcPr>
          <w:p w14:paraId="09D126CC" w14:textId="77777777" w:rsidR="00A541D1" w:rsidRDefault="00A541D1">
            <w:pPr>
              <w:pStyle w:val="NoSpacing"/>
              <w:rPr>
                <w:rFonts w:ascii="Garamond" w:eastAsia="Garamond" w:hAnsi="Garamond" w:cs="Garamond"/>
                <w:sz w:val="22"/>
                <w:szCs w:val="22"/>
                <w:highlight w:val="white"/>
              </w:rPr>
            </w:pPr>
          </w:p>
        </w:tc>
        <w:tc>
          <w:tcPr>
            <w:tcW w:w="1141" w:type="dxa"/>
            <w:tcBorders>
              <w:top w:val="single" w:sz="4" w:space="0" w:color="auto"/>
              <w:bottom w:val="single" w:sz="4" w:space="0" w:color="auto"/>
            </w:tcBorders>
            <w:tcMar>
              <w:top w:w="0" w:type="dxa"/>
              <w:left w:w="108" w:type="dxa"/>
              <w:bottom w:w="0" w:type="dxa"/>
              <w:right w:w="108" w:type="dxa"/>
            </w:tcMar>
          </w:tcPr>
          <w:p w14:paraId="37CA2246" w14:textId="72561C73" w:rsidR="00A541D1" w:rsidRPr="00B14FB4" w:rsidRDefault="003E7DBF">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R</w:t>
            </w:r>
            <w:r>
              <w:rPr>
                <w:rFonts w:ascii="Garamond" w:eastAsia="Garamond" w:hAnsi="Garamond" w:cs="Garamond"/>
                <w:b/>
                <w:bCs/>
                <w:sz w:val="22"/>
                <w:szCs w:val="22"/>
                <w:vertAlign w:val="superscript"/>
              </w:rPr>
              <w:t>2</w:t>
            </w:r>
            <w:r w:rsidR="00B14FB4">
              <w:rPr>
                <w:rFonts w:ascii="Garamond" w:eastAsia="Garamond" w:hAnsi="Garamond" w:cs="Garamond"/>
                <w:b/>
                <w:bCs/>
                <w:sz w:val="22"/>
                <w:szCs w:val="22"/>
              </w:rPr>
              <w:t>-value</w:t>
            </w:r>
          </w:p>
        </w:tc>
        <w:tc>
          <w:tcPr>
            <w:tcW w:w="1134" w:type="dxa"/>
            <w:tcBorders>
              <w:top w:val="single" w:sz="4" w:space="0" w:color="auto"/>
              <w:bottom w:val="single" w:sz="4" w:space="0" w:color="auto"/>
            </w:tcBorders>
            <w:tcMar>
              <w:top w:w="0" w:type="dxa"/>
              <w:left w:w="108" w:type="dxa"/>
              <w:bottom w:w="0" w:type="dxa"/>
              <w:right w:w="108" w:type="dxa"/>
            </w:tcMar>
          </w:tcPr>
          <w:p w14:paraId="609199D1" w14:textId="77777777" w:rsidR="00A541D1" w:rsidRDefault="003E7DBF">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F-Value</w:t>
            </w:r>
          </w:p>
        </w:tc>
        <w:tc>
          <w:tcPr>
            <w:tcW w:w="1134" w:type="dxa"/>
            <w:tcBorders>
              <w:top w:val="single" w:sz="4" w:space="0" w:color="auto"/>
              <w:bottom w:val="single" w:sz="4" w:space="0" w:color="auto"/>
            </w:tcBorders>
            <w:tcMar>
              <w:top w:w="0" w:type="dxa"/>
              <w:left w:w="108" w:type="dxa"/>
              <w:bottom w:w="0" w:type="dxa"/>
              <w:right w:w="108" w:type="dxa"/>
            </w:tcMar>
          </w:tcPr>
          <w:p w14:paraId="4CC6BE37" w14:textId="77777777" w:rsidR="00A541D1" w:rsidRDefault="003E7DBF">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p-value</w:t>
            </w:r>
          </w:p>
        </w:tc>
        <w:tc>
          <w:tcPr>
            <w:tcW w:w="1559" w:type="dxa"/>
            <w:tcBorders>
              <w:top w:val="single" w:sz="4" w:space="0" w:color="auto"/>
              <w:bottom w:val="single" w:sz="4" w:space="0" w:color="auto"/>
            </w:tcBorders>
            <w:tcMar>
              <w:top w:w="0" w:type="dxa"/>
              <w:left w:w="108" w:type="dxa"/>
              <w:bottom w:w="0" w:type="dxa"/>
              <w:right w:w="108" w:type="dxa"/>
            </w:tcMar>
          </w:tcPr>
          <w:p w14:paraId="7F7C3545" w14:textId="77777777" w:rsidR="00A541D1" w:rsidRDefault="003E7DBF">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Decision on Ho</w:t>
            </w:r>
          </w:p>
        </w:tc>
        <w:tc>
          <w:tcPr>
            <w:tcW w:w="1560" w:type="dxa"/>
            <w:tcBorders>
              <w:top w:val="single" w:sz="4" w:space="0" w:color="auto"/>
              <w:bottom w:val="single" w:sz="4" w:space="0" w:color="auto"/>
            </w:tcBorders>
          </w:tcPr>
          <w:p w14:paraId="5B148A7B" w14:textId="15F5CEFB" w:rsidR="00A541D1" w:rsidRDefault="004E05A3" w:rsidP="004E05A3">
            <w:pPr>
              <w:pStyle w:val="NoSpacing"/>
              <w:rPr>
                <w:rFonts w:ascii="Garamond" w:eastAsia="Garamond" w:hAnsi="Garamond" w:cs="Garamond"/>
                <w:b/>
                <w:bCs/>
                <w:sz w:val="22"/>
                <w:szCs w:val="22"/>
                <w:highlight w:val="white"/>
              </w:rPr>
            </w:pPr>
            <w:r>
              <w:rPr>
                <w:rFonts w:ascii="Garamond" w:eastAsia="Garamond" w:hAnsi="Garamond" w:cs="Garamond"/>
                <w:b/>
                <w:bCs/>
                <w:sz w:val="22"/>
                <w:szCs w:val="22"/>
                <w:highlight w:val="white"/>
              </w:rPr>
              <w:t>Interpretation</w:t>
            </w:r>
          </w:p>
        </w:tc>
      </w:tr>
      <w:tr w:rsidR="00A541D1" w14:paraId="28EEDD6F" w14:textId="77777777" w:rsidTr="004E05A3">
        <w:tc>
          <w:tcPr>
            <w:tcW w:w="2970" w:type="dxa"/>
            <w:tcBorders>
              <w:top w:val="single" w:sz="4" w:space="0" w:color="000000"/>
              <w:bottom w:val="single" w:sz="4" w:space="0" w:color="000000"/>
            </w:tcBorders>
            <w:tcMar>
              <w:top w:w="0" w:type="dxa"/>
              <w:left w:w="108" w:type="dxa"/>
              <w:bottom w:w="0" w:type="dxa"/>
              <w:right w:w="108" w:type="dxa"/>
            </w:tcMar>
          </w:tcPr>
          <w:p w14:paraId="3F4CD00A" w14:textId="7C905E7D" w:rsidR="00A541D1" w:rsidRPr="00B14FB4" w:rsidRDefault="000572F9" w:rsidP="004E05A3">
            <w:pPr>
              <w:pStyle w:val="NoSpacing"/>
              <w:rPr>
                <w:rFonts w:ascii="Garamond" w:eastAsia="Garamond" w:hAnsi="Garamond" w:cs="Garamond"/>
                <w:b/>
                <w:bCs/>
                <w:sz w:val="22"/>
                <w:szCs w:val="22"/>
                <w:highlight w:val="white"/>
              </w:rPr>
            </w:pPr>
            <w:r>
              <w:rPr>
                <w:rFonts w:ascii="Garamond" w:eastAsia="Garamond" w:hAnsi="Garamond" w:cs="Garamond"/>
                <w:b/>
                <w:bCs/>
                <w:sz w:val="22"/>
                <w:szCs w:val="22"/>
              </w:rPr>
              <w:t>Student Internship</w:t>
            </w:r>
          </w:p>
        </w:tc>
        <w:tc>
          <w:tcPr>
            <w:tcW w:w="1141" w:type="dxa"/>
            <w:tcBorders>
              <w:top w:val="single" w:sz="4" w:space="0" w:color="auto"/>
              <w:bottom w:val="single" w:sz="4" w:space="0" w:color="000000"/>
            </w:tcBorders>
            <w:tcMar>
              <w:top w:w="0" w:type="dxa"/>
              <w:left w:w="108" w:type="dxa"/>
              <w:bottom w:w="0" w:type="dxa"/>
              <w:right w:w="108" w:type="dxa"/>
            </w:tcMar>
          </w:tcPr>
          <w:p w14:paraId="2839E657" w14:textId="69050FE7" w:rsidR="00A541D1" w:rsidRDefault="000572F9"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30.0%</w:t>
            </w:r>
          </w:p>
        </w:tc>
        <w:tc>
          <w:tcPr>
            <w:tcW w:w="1134" w:type="dxa"/>
            <w:tcBorders>
              <w:top w:val="single" w:sz="4" w:space="0" w:color="auto"/>
              <w:bottom w:val="single" w:sz="4" w:space="0" w:color="000000"/>
            </w:tcBorders>
            <w:tcMar>
              <w:top w:w="0" w:type="dxa"/>
              <w:left w:w="108" w:type="dxa"/>
              <w:bottom w:w="0" w:type="dxa"/>
              <w:right w:w="108" w:type="dxa"/>
            </w:tcMar>
          </w:tcPr>
          <w:p w14:paraId="35E328F9" w14:textId="112DCABF" w:rsidR="00A541D1" w:rsidRDefault="000572F9"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71.232</w:t>
            </w:r>
          </w:p>
        </w:tc>
        <w:tc>
          <w:tcPr>
            <w:tcW w:w="1134" w:type="dxa"/>
            <w:tcBorders>
              <w:top w:val="single" w:sz="4" w:space="0" w:color="auto"/>
              <w:bottom w:val="single" w:sz="4" w:space="0" w:color="000000"/>
            </w:tcBorders>
            <w:tcMar>
              <w:top w:w="0" w:type="dxa"/>
              <w:left w:w="108" w:type="dxa"/>
              <w:bottom w:w="0" w:type="dxa"/>
              <w:right w:w="108" w:type="dxa"/>
            </w:tcMar>
          </w:tcPr>
          <w:p w14:paraId="48F75039" w14:textId="77777777" w:rsidR="00A541D1" w:rsidRDefault="003E7DBF"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.000</w:t>
            </w:r>
          </w:p>
        </w:tc>
        <w:tc>
          <w:tcPr>
            <w:tcW w:w="1559" w:type="dxa"/>
            <w:tcBorders>
              <w:top w:val="single" w:sz="4" w:space="0" w:color="auto"/>
              <w:bottom w:val="single" w:sz="4" w:space="0" w:color="000000"/>
            </w:tcBorders>
            <w:tcMar>
              <w:top w:w="0" w:type="dxa"/>
              <w:left w:w="108" w:type="dxa"/>
              <w:bottom w:w="0" w:type="dxa"/>
              <w:right w:w="108" w:type="dxa"/>
            </w:tcMar>
          </w:tcPr>
          <w:p w14:paraId="2F560C86" w14:textId="77777777" w:rsidR="00A541D1" w:rsidRDefault="003E7DBF"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Rejected</w:t>
            </w:r>
          </w:p>
        </w:tc>
        <w:tc>
          <w:tcPr>
            <w:tcW w:w="1560" w:type="dxa"/>
            <w:tcBorders>
              <w:top w:val="single" w:sz="4" w:space="0" w:color="auto"/>
              <w:bottom w:val="single" w:sz="4" w:space="0" w:color="000000"/>
            </w:tcBorders>
          </w:tcPr>
          <w:p w14:paraId="7CDF989E" w14:textId="77777777" w:rsidR="00A541D1" w:rsidRDefault="003E7DBF"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Significant</w:t>
            </w:r>
          </w:p>
        </w:tc>
      </w:tr>
    </w:tbl>
    <w:p w14:paraId="04FFCD23" w14:textId="77777777" w:rsidR="00077922" w:rsidRDefault="00077922" w:rsidP="00077922">
      <w:pPr>
        <w:spacing w:before="240" w:after="240"/>
        <w:ind w:firstLine="720"/>
        <w:jc w:val="both"/>
        <w:rPr>
          <w:rFonts w:ascii="Garamond" w:eastAsia="Garamond" w:hAnsi="Garamond" w:cs="Garamond"/>
          <w:sz w:val="22"/>
          <w:szCs w:val="22"/>
        </w:rPr>
      </w:pPr>
      <w:r w:rsidRPr="00077922">
        <w:rPr>
          <w:rFonts w:ascii="Garamond" w:eastAsia="Garamond" w:hAnsi="Garamond" w:cs="Garamond"/>
          <w:sz w:val="22"/>
          <w:szCs w:val="22"/>
        </w:rPr>
        <w:t>Table 3 illustrates the findings of the regression analysis, showing that student internship significantly predicts career readiness skill. The R² value of 30.0% indicates that student internships account for a substantial portion of the variance in students' career readiness</w:t>
      </w:r>
      <w:r>
        <w:rPr>
          <w:rFonts w:ascii="Garamond" w:eastAsia="Garamond" w:hAnsi="Garamond" w:cs="Garamond"/>
          <w:sz w:val="22"/>
          <w:szCs w:val="22"/>
        </w:rPr>
        <w:t xml:space="preserve">. </w:t>
      </w:r>
      <w:r w:rsidRPr="00077922">
        <w:rPr>
          <w:rFonts w:ascii="Garamond" w:eastAsia="Garamond" w:hAnsi="Garamond" w:cs="Garamond"/>
          <w:sz w:val="22"/>
          <w:szCs w:val="22"/>
        </w:rPr>
        <w:t>With an F-value of 71.232 and a p-value of .000, the</w:t>
      </w:r>
      <w:r>
        <w:rPr>
          <w:rFonts w:ascii="Garamond" w:eastAsia="Garamond" w:hAnsi="Garamond" w:cs="Garamond"/>
          <w:sz w:val="22"/>
          <w:szCs w:val="22"/>
        </w:rPr>
        <w:t xml:space="preserve"> result </w:t>
      </w:r>
      <w:r w:rsidRPr="00077922">
        <w:rPr>
          <w:rFonts w:ascii="Garamond" w:eastAsia="Garamond" w:hAnsi="Garamond" w:cs="Garamond"/>
          <w:sz w:val="22"/>
          <w:szCs w:val="22"/>
        </w:rPr>
        <w:t>is statistically significant, prompting the rejection of the null hypothesis (Ho). This outcome implies that students who engage in internships are more likely to develop skills essential for entering the workforce. Despite this significant relationship, 70% of the variance remains unexplained, pointing to the necessity of investigating additional variables that contribute to career readiness. This supports the need for a more comprehensive approach to understanding all factors involved in student career development.</w:t>
      </w:r>
    </w:p>
    <w:p w14:paraId="0592E119" w14:textId="6ED2261D" w:rsidR="00995F8F" w:rsidRDefault="00F26DF3" w:rsidP="00077922">
      <w:pPr>
        <w:spacing w:before="240" w:after="240"/>
        <w:jc w:val="both"/>
        <w:rPr>
          <w:rFonts w:ascii="Garamond" w:eastAsia="Garamond" w:hAnsi="Garamond"/>
          <w:b/>
          <w:bCs/>
          <w:sz w:val="22"/>
          <w:szCs w:val="22"/>
        </w:rPr>
      </w:pPr>
      <w:r w:rsidRPr="00F26DF3">
        <w:rPr>
          <w:rFonts w:ascii="Garamond" w:eastAsia="Garamond" w:hAnsi="Garamond"/>
          <w:b/>
          <w:bCs/>
          <w:sz w:val="22"/>
          <w:szCs w:val="22"/>
        </w:rPr>
        <w:t xml:space="preserve">Discussion </w:t>
      </w:r>
    </w:p>
    <w:p w14:paraId="6B8AE023" w14:textId="12C1889F" w:rsidR="00D30E4A" w:rsidRPr="00144E7B" w:rsidRDefault="00995F8F" w:rsidP="00144E7B">
      <w:pPr>
        <w:spacing w:before="240" w:after="240"/>
        <w:jc w:val="both"/>
        <w:rPr>
          <w:rFonts w:ascii="Garamond" w:eastAsia="Garamond" w:hAnsi="Garamond"/>
          <w:sz w:val="22"/>
          <w:szCs w:val="22"/>
        </w:rPr>
      </w:pPr>
      <w:r>
        <w:rPr>
          <w:rFonts w:ascii="Garamond" w:eastAsia="Garamond" w:hAnsi="Garamond"/>
          <w:b/>
          <w:bCs/>
          <w:sz w:val="22"/>
          <w:szCs w:val="22"/>
        </w:rPr>
        <w:tab/>
      </w:r>
      <w:r>
        <w:rPr>
          <w:rFonts w:ascii="Garamond" w:eastAsia="Garamond" w:hAnsi="Garamond"/>
          <w:sz w:val="22"/>
          <w:szCs w:val="22"/>
        </w:rPr>
        <w:t xml:space="preserve">The study revealed that </w:t>
      </w:r>
      <w:proofErr w:type="spellStart"/>
      <w:r w:rsidR="0058145D">
        <w:rPr>
          <w:rFonts w:ascii="Garamond" w:eastAsia="Garamond" w:hAnsi="Garamond"/>
          <w:sz w:val="22"/>
          <w:szCs w:val="22"/>
        </w:rPr>
        <w:t>BEEd</w:t>
      </w:r>
      <w:proofErr w:type="spellEnd"/>
      <w:r w:rsidR="0058145D">
        <w:rPr>
          <w:rFonts w:ascii="Garamond" w:eastAsia="Garamond" w:hAnsi="Garamond"/>
          <w:sz w:val="22"/>
          <w:szCs w:val="22"/>
        </w:rPr>
        <w:t xml:space="preserve"> and </w:t>
      </w:r>
      <w:proofErr w:type="spellStart"/>
      <w:r w:rsidR="0058145D">
        <w:rPr>
          <w:rFonts w:ascii="Garamond" w:eastAsia="Garamond" w:hAnsi="Garamond"/>
          <w:sz w:val="22"/>
          <w:szCs w:val="22"/>
        </w:rPr>
        <w:t>BSEd</w:t>
      </w:r>
      <w:proofErr w:type="spellEnd"/>
      <w:r w:rsidR="0058145D">
        <w:rPr>
          <w:rFonts w:ascii="Garamond" w:eastAsia="Garamond" w:hAnsi="Garamond"/>
          <w:sz w:val="22"/>
          <w:szCs w:val="22"/>
        </w:rPr>
        <w:t xml:space="preserve"> </w:t>
      </w:r>
      <w:r>
        <w:rPr>
          <w:rFonts w:ascii="Garamond" w:eastAsia="Garamond" w:hAnsi="Garamond"/>
          <w:sz w:val="22"/>
          <w:szCs w:val="22"/>
        </w:rPr>
        <w:t>s</w:t>
      </w:r>
      <w:r w:rsidRPr="00995F8F">
        <w:rPr>
          <w:rFonts w:ascii="Garamond" w:eastAsia="Garamond" w:hAnsi="Garamond"/>
          <w:sz w:val="22"/>
          <w:szCs w:val="22"/>
        </w:rPr>
        <w:t>tudent interns at St</w:t>
      </w:r>
      <w:r>
        <w:rPr>
          <w:rFonts w:ascii="Garamond" w:eastAsia="Garamond" w:hAnsi="Garamond"/>
          <w:sz w:val="22"/>
          <w:szCs w:val="22"/>
        </w:rPr>
        <w:t>.</w:t>
      </w:r>
      <w:r w:rsidRPr="00995F8F">
        <w:rPr>
          <w:rFonts w:ascii="Garamond" w:eastAsia="Garamond" w:hAnsi="Garamond"/>
          <w:sz w:val="22"/>
          <w:szCs w:val="22"/>
        </w:rPr>
        <w:t xml:space="preserve"> Francis Xavier College</w:t>
      </w:r>
      <w:r>
        <w:rPr>
          <w:rFonts w:ascii="Garamond" w:eastAsia="Garamond" w:hAnsi="Garamond"/>
          <w:sz w:val="22"/>
          <w:szCs w:val="22"/>
        </w:rPr>
        <w:t xml:space="preserve"> </w:t>
      </w:r>
      <w:r w:rsidRPr="00995F8F">
        <w:rPr>
          <w:rFonts w:ascii="Garamond" w:eastAsia="Garamond" w:hAnsi="Garamond"/>
          <w:sz w:val="22"/>
          <w:szCs w:val="22"/>
        </w:rPr>
        <w:t>showed excellent performance</w:t>
      </w:r>
      <w:r w:rsidR="006E67EC">
        <w:rPr>
          <w:rFonts w:ascii="Garamond" w:eastAsia="Garamond" w:hAnsi="Garamond"/>
          <w:sz w:val="22"/>
          <w:szCs w:val="22"/>
        </w:rPr>
        <w:t xml:space="preserve"> </w:t>
      </w:r>
      <w:r>
        <w:rPr>
          <w:rFonts w:ascii="Garamond" w:eastAsia="Garamond" w:hAnsi="Garamond"/>
          <w:sz w:val="22"/>
          <w:szCs w:val="22"/>
        </w:rPr>
        <w:t xml:space="preserve">throughout their internship </w:t>
      </w:r>
      <w:r w:rsidR="0036169C">
        <w:rPr>
          <w:rFonts w:ascii="Garamond" w:eastAsia="Garamond" w:hAnsi="Garamond"/>
          <w:sz w:val="22"/>
          <w:szCs w:val="22"/>
        </w:rPr>
        <w:t>supported by the</w:t>
      </w:r>
      <w:r w:rsidRPr="00995F8F">
        <w:rPr>
          <w:rFonts w:ascii="Garamond" w:eastAsia="Garamond" w:hAnsi="Garamond"/>
          <w:sz w:val="22"/>
          <w:szCs w:val="22"/>
        </w:rPr>
        <w:t xml:space="preserve"> findings that strong internships enhance employability and job prospects </w:t>
      </w:r>
      <w:r w:rsidRPr="003A7E8A">
        <w:rPr>
          <w:rFonts w:ascii="Garamond" w:eastAsia="Garamond" w:hAnsi="Garamond"/>
          <w:sz w:val="22"/>
          <w:szCs w:val="22"/>
        </w:rPr>
        <w:t>(Knouse</w:t>
      </w:r>
      <w:r w:rsidR="003A7E8A" w:rsidRPr="003A7E8A">
        <w:rPr>
          <w:rFonts w:ascii="Garamond" w:eastAsia="Garamond" w:hAnsi="Garamond"/>
          <w:sz w:val="22"/>
          <w:szCs w:val="22"/>
        </w:rPr>
        <w:t xml:space="preserve"> et al.</w:t>
      </w:r>
      <w:r w:rsidRPr="003A7E8A">
        <w:rPr>
          <w:rFonts w:ascii="Garamond" w:eastAsia="Garamond" w:hAnsi="Garamond"/>
          <w:sz w:val="22"/>
          <w:szCs w:val="22"/>
        </w:rPr>
        <w:t>, 2016).</w:t>
      </w:r>
      <w:r w:rsidRPr="003A7E8A">
        <w:rPr>
          <w:rFonts w:ascii="Garamond" w:eastAsia="Garamond" w:hAnsi="Garamond"/>
          <w:b/>
          <w:bCs/>
          <w:sz w:val="22"/>
          <w:szCs w:val="22"/>
        </w:rPr>
        <w:t xml:space="preserve"> </w:t>
      </w:r>
      <w:r w:rsidR="00A96CB3">
        <w:rPr>
          <w:rFonts w:ascii="Garamond" w:eastAsia="Garamond" w:hAnsi="Garamond"/>
          <w:sz w:val="22"/>
          <w:szCs w:val="22"/>
        </w:rPr>
        <w:t xml:space="preserve">High level of </w:t>
      </w:r>
      <w:r w:rsidRPr="00995F8F">
        <w:rPr>
          <w:rFonts w:ascii="Garamond" w:eastAsia="Garamond" w:hAnsi="Garamond"/>
          <w:sz w:val="22"/>
          <w:szCs w:val="22"/>
        </w:rPr>
        <w:t xml:space="preserve">pre-internship readiness underscores the importance of preparation </w:t>
      </w:r>
      <w:r w:rsidRPr="00D25080">
        <w:rPr>
          <w:rFonts w:ascii="Garamond" w:eastAsia="Garamond" w:hAnsi="Garamond"/>
          <w:sz w:val="22"/>
          <w:szCs w:val="22"/>
        </w:rPr>
        <w:t xml:space="preserve">(Arias-Aranda et al., 2018), </w:t>
      </w:r>
      <w:r w:rsidRPr="00995F8F">
        <w:rPr>
          <w:rFonts w:ascii="Garamond" w:eastAsia="Garamond" w:hAnsi="Garamond"/>
          <w:sz w:val="22"/>
          <w:szCs w:val="22"/>
        </w:rPr>
        <w:t xml:space="preserve">while post-internship growth in skills and professionalism aligns with research highlighting internships’ role in career development </w:t>
      </w:r>
      <w:r w:rsidRPr="006B54CD">
        <w:rPr>
          <w:rFonts w:ascii="Garamond" w:eastAsia="Garamond" w:hAnsi="Garamond"/>
          <w:sz w:val="22"/>
          <w:szCs w:val="22"/>
        </w:rPr>
        <w:t>(Margaryan et al., 2020). Overall, internships effectively bridge academic learning and practical experience, better preparing</w:t>
      </w:r>
      <w:r w:rsidRPr="00995F8F">
        <w:rPr>
          <w:rFonts w:ascii="Garamond" w:eastAsia="Garamond" w:hAnsi="Garamond"/>
          <w:sz w:val="22"/>
          <w:szCs w:val="22"/>
        </w:rPr>
        <w:t xml:space="preserve"> students for the workforce.</w:t>
      </w:r>
    </w:p>
    <w:p w14:paraId="05CEBDD2" w14:textId="2EA467E2" w:rsidR="0072112D" w:rsidRPr="002C0D88" w:rsidRDefault="002C0D88" w:rsidP="00F26DF3">
      <w:pPr>
        <w:spacing w:after="0"/>
        <w:ind w:firstLine="720"/>
        <w:jc w:val="both"/>
        <w:rPr>
          <w:rFonts w:ascii="Garamond" w:eastAsia="Garamond" w:hAnsi="Garamond" w:cs="Garamond"/>
          <w:color w:val="000000" w:themeColor="text1"/>
          <w:sz w:val="22"/>
          <w:szCs w:val="22"/>
        </w:rPr>
      </w:pPr>
      <w:r w:rsidRPr="002C0D88">
        <w:rPr>
          <w:rFonts w:ascii="Garamond" w:eastAsia="Garamond" w:hAnsi="Garamond" w:cs="Garamond"/>
          <w:color w:val="000000" w:themeColor="text1"/>
          <w:sz w:val="22"/>
          <w:szCs w:val="22"/>
        </w:rPr>
        <w:t xml:space="preserve">Correlation analysis revealed a significant positive relationship between student internships and career readiness skills, suggesting that students who engage in internships develop key professional competencies such as communication, problem-solving, and teamwork </w:t>
      </w:r>
      <w:r w:rsidRPr="00492CDA">
        <w:rPr>
          <w:rFonts w:ascii="Garamond" w:eastAsia="Garamond" w:hAnsi="Garamond" w:cs="Garamond"/>
          <w:sz w:val="22"/>
          <w:szCs w:val="22"/>
        </w:rPr>
        <w:t xml:space="preserve">(Cunningham et al., 2020). </w:t>
      </w:r>
      <w:r w:rsidRPr="002C0D88">
        <w:rPr>
          <w:rFonts w:ascii="Garamond" w:eastAsia="Garamond" w:hAnsi="Garamond" w:cs="Garamond"/>
          <w:color w:val="000000" w:themeColor="text1"/>
          <w:sz w:val="22"/>
          <w:szCs w:val="22"/>
        </w:rPr>
        <w:t xml:space="preserve">These experiences provide students with practical exposure, enhancing their adaptability and confidence in workplace settings </w:t>
      </w:r>
      <w:r w:rsidRPr="005153F0">
        <w:rPr>
          <w:rFonts w:ascii="Garamond" w:eastAsia="Garamond" w:hAnsi="Garamond" w:cs="Garamond"/>
          <w:sz w:val="22"/>
          <w:szCs w:val="22"/>
        </w:rPr>
        <w:t>(</w:t>
      </w:r>
      <w:proofErr w:type="spellStart"/>
      <w:r w:rsidRPr="005153F0">
        <w:rPr>
          <w:rFonts w:ascii="Garamond" w:eastAsia="Garamond" w:hAnsi="Garamond" w:cs="Garamond"/>
          <w:sz w:val="22"/>
          <w:szCs w:val="22"/>
        </w:rPr>
        <w:t>Sisman</w:t>
      </w:r>
      <w:proofErr w:type="spellEnd"/>
      <w:r w:rsidRPr="005153F0">
        <w:rPr>
          <w:rFonts w:ascii="Garamond" w:eastAsia="Garamond" w:hAnsi="Garamond" w:cs="Garamond"/>
          <w:sz w:val="22"/>
          <w:szCs w:val="22"/>
        </w:rPr>
        <w:t xml:space="preserve"> et al., 2016). </w:t>
      </w:r>
      <w:r w:rsidRPr="002C0D88">
        <w:rPr>
          <w:rFonts w:ascii="Garamond" w:eastAsia="Garamond" w:hAnsi="Garamond" w:cs="Garamond"/>
          <w:color w:val="000000" w:themeColor="text1"/>
          <w:sz w:val="22"/>
          <w:szCs w:val="22"/>
        </w:rPr>
        <w:t>High-quality internship programs serve as vital platforms for students to translate academic knowledge into real-world practice. Integrating such opportunities into educational programs strengthens students’ readiness for career success.</w:t>
      </w:r>
    </w:p>
    <w:p w14:paraId="01902D2A" w14:textId="77777777" w:rsidR="000F6185" w:rsidRDefault="000F6185" w:rsidP="00F26DF3">
      <w:pPr>
        <w:spacing w:after="0"/>
        <w:ind w:firstLine="720"/>
        <w:jc w:val="both"/>
        <w:rPr>
          <w:rFonts w:ascii="Garamond" w:eastAsia="Garamond" w:hAnsi="Garamond" w:cs="Garamond"/>
          <w:color w:val="EE0000"/>
          <w:sz w:val="22"/>
          <w:szCs w:val="22"/>
        </w:rPr>
      </w:pPr>
    </w:p>
    <w:p w14:paraId="63471AED" w14:textId="3B8F5815" w:rsidR="00DC3DA9" w:rsidRPr="00DC3DA9" w:rsidRDefault="00DC3DA9" w:rsidP="00DC3DA9">
      <w:pPr>
        <w:spacing w:after="0"/>
        <w:ind w:firstLine="720"/>
        <w:jc w:val="both"/>
        <w:rPr>
          <w:rFonts w:ascii="Garamond" w:eastAsia="Garamond" w:hAnsi="Garamond" w:cs="Garamond"/>
          <w:color w:val="000000" w:themeColor="text1"/>
          <w:sz w:val="22"/>
          <w:szCs w:val="22"/>
        </w:rPr>
      </w:pPr>
      <w:r w:rsidRPr="00DC3DA9">
        <w:rPr>
          <w:rFonts w:ascii="Garamond" w:eastAsia="Garamond" w:hAnsi="Garamond" w:cs="Garamond"/>
          <w:color w:val="000000" w:themeColor="text1"/>
          <w:sz w:val="22"/>
          <w:szCs w:val="22"/>
        </w:rPr>
        <w:t xml:space="preserve">Regression analysis confirmed that internship experiences significantly influence students’ perceived work readiness, supporting previous research that connects internships to </w:t>
      </w:r>
      <w:r w:rsidR="00415FA6">
        <w:rPr>
          <w:rFonts w:ascii="Garamond" w:eastAsia="Garamond" w:hAnsi="Garamond" w:cs="Garamond"/>
          <w:color w:val="000000" w:themeColor="text1"/>
          <w:sz w:val="22"/>
          <w:szCs w:val="22"/>
        </w:rPr>
        <w:t>career readiness skill</w:t>
      </w:r>
      <w:r w:rsidRPr="00DC3DA9">
        <w:rPr>
          <w:rFonts w:ascii="Garamond" w:eastAsia="Garamond" w:hAnsi="Garamond" w:cs="Garamond"/>
          <w:color w:val="000000" w:themeColor="text1"/>
          <w:sz w:val="22"/>
          <w:szCs w:val="22"/>
        </w:rPr>
        <w:t>. Students who engaged in internships reported improved application of academic, higher-order, and professional skills in real-world settings, highlighting personal growth and job satisfaction over external rewards such as salary (</w:t>
      </w:r>
      <w:proofErr w:type="spellStart"/>
      <w:r w:rsidRPr="00DC3DA9">
        <w:rPr>
          <w:rFonts w:ascii="Garamond" w:eastAsia="Garamond" w:hAnsi="Garamond" w:cs="Garamond"/>
          <w:sz w:val="22"/>
          <w:szCs w:val="22"/>
        </w:rPr>
        <w:t>Patsiotis</w:t>
      </w:r>
      <w:proofErr w:type="spellEnd"/>
      <w:r w:rsidRPr="00DC3DA9">
        <w:rPr>
          <w:rFonts w:ascii="Garamond" w:eastAsia="Garamond" w:hAnsi="Garamond" w:cs="Garamond"/>
          <w:sz w:val="22"/>
          <w:szCs w:val="22"/>
        </w:rPr>
        <w:t xml:space="preserve"> et al., 2019)</w:t>
      </w:r>
      <w:r w:rsidRPr="00DC3DA9">
        <w:rPr>
          <w:rFonts w:ascii="Garamond" w:eastAsia="Garamond" w:hAnsi="Garamond" w:cs="Garamond"/>
          <w:color w:val="C00000"/>
          <w:sz w:val="22"/>
          <w:szCs w:val="22"/>
        </w:rPr>
        <w:t xml:space="preserve">. </w:t>
      </w:r>
      <w:r w:rsidRPr="00DC3DA9">
        <w:rPr>
          <w:rFonts w:ascii="Garamond" w:eastAsia="Garamond" w:hAnsi="Garamond" w:cs="Garamond"/>
          <w:color w:val="000000" w:themeColor="text1"/>
          <w:sz w:val="22"/>
          <w:szCs w:val="22"/>
        </w:rPr>
        <w:t>Internship participation also supports digital technology readiness, equipping students with essential competencies for future professional demands (Leonova et al., 2021). These programs serve as a bridge between theoretical knowledge and practical experience, ultimately improving graduates’ employability prospects (Margaryan et al., 2020).</w:t>
      </w:r>
    </w:p>
    <w:p w14:paraId="5C67FA93" w14:textId="77777777" w:rsidR="00F26DF3" w:rsidRPr="00995F8F" w:rsidRDefault="00F26DF3" w:rsidP="00F26DF3">
      <w:pPr>
        <w:spacing w:after="0"/>
        <w:jc w:val="both"/>
        <w:rPr>
          <w:rFonts w:ascii="Garamond" w:eastAsia="Garamond" w:hAnsi="Garamond" w:cs="Garamond"/>
          <w:color w:val="EE0000"/>
          <w:sz w:val="22"/>
          <w:szCs w:val="22"/>
        </w:rPr>
      </w:pPr>
    </w:p>
    <w:p w14:paraId="38CB3A95" w14:textId="67B93B51" w:rsidR="00AF691F" w:rsidRDefault="005B1635" w:rsidP="005B1635">
      <w:pPr>
        <w:spacing w:after="0"/>
        <w:jc w:val="both"/>
        <w:rPr>
          <w:rFonts w:ascii="Garamond" w:eastAsia="Garamond" w:hAnsi="Garamond" w:cs="Garamond"/>
          <w:b/>
          <w:bCs/>
          <w:sz w:val="22"/>
          <w:szCs w:val="22"/>
        </w:rPr>
      </w:pPr>
      <w:r w:rsidRPr="00051873">
        <w:rPr>
          <w:rFonts w:ascii="Garamond" w:eastAsia="Garamond" w:hAnsi="Garamond" w:cs="Garamond"/>
          <w:b/>
          <w:bCs/>
          <w:sz w:val="22"/>
          <w:szCs w:val="22"/>
        </w:rPr>
        <w:t>Conclusion</w:t>
      </w:r>
      <w:r w:rsidR="004E05A3">
        <w:rPr>
          <w:rFonts w:ascii="Garamond" w:eastAsia="Garamond" w:hAnsi="Garamond" w:cs="Garamond"/>
          <w:b/>
          <w:bCs/>
          <w:sz w:val="22"/>
          <w:szCs w:val="22"/>
        </w:rPr>
        <w:t>s</w:t>
      </w:r>
    </w:p>
    <w:p w14:paraId="7F64A8B8" w14:textId="7260F4D6" w:rsidR="005B0780" w:rsidRDefault="00273635" w:rsidP="004C487C">
      <w:pPr>
        <w:spacing w:after="0"/>
        <w:jc w:val="both"/>
        <w:rPr>
          <w:rFonts w:ascii="Garamond" w:eastAsia="Garamond" w:hAnsi="Garamond" w:cs="Garamond"/>
          <w:sz w:val="22"/>
          <w:szCs w:val="22"/>
        </w:rPr>
      </w:pPr>
      <w:r>
        <w:rPr>
          <w:rFonts w:ascii="Garamond" w:eastAsia="Garamond" w:hAnsi="Garamond" w:cs="Garamond"/>
          <w:b/>
          <w:bCs/>
          <w:sz w:val="22"/>
          <w:szCs w:val="22"/>
        </w:rPr>
        <w:tab/>
      </w:r>
      <w:r w:rsidRPr="003E4278">
        <w:rPr>
          <w:rFonts w:ascii="Garamond" w:eastAsia="Garamond" w:hAnsi="Garamond" w:cs="Garamond"/>
          <w:sz w:val="22"/>
          <w:szCs w:val="22"/>
        </w:rPr>
        <w:t xml:space="preserve">Since student internships significantly influence career readiness skills, David Kolb’s (1976) Experiential Learning Theory is affirmed, as it highlights the importance of linking theory to practice. </w:t>
      </w:r>
      <w:r w:rsidRPr="003E4278">
        <w:rPr>
          <w:rFonts w:ascii="Garamond" w:eastAsia="Garamond" w:hAnsi="Garamond" w:cs="Garamond"/>
          <w:sz w:val="22"/>
          <w:szCs w:val="22"/>
        </w:rPr>
        <w:lastRenderedPageBreak/>
        <w:t xml:space="preserve">Internships serve as valuable opportunities for students to apply academic knowledge, cultivate essential skills, and establish professional networks. </w:t>
      </w:r>
      <w:r w:rsidR="004C487C">
        <w:rPr>
          <w:rFonts w:ascii="Garamond" w:eastAsia="Garamond" w:hAnsi="Garamond" w:cs="Garamond"/>
          <w:sz w:val="22"/>
          <w:szCs w:val="22"/>
        </w:rPr>
        <w:t>Students</w:t>
      </w:r>
      <w:r w:rsidRPr="003E4278">
        <w:rPr>
          <w:rFonts w:ascii="Garamond" w:eastAsia="Garamond" w:hAnsi="Garamond" w:cs="Garamond"/>
          <w:sz w:val="22"/>
          <w:szCs w:val="22"/>
        </w:rPr>
        <w:t xml:space="preserve"> who engaged in internship experiences demonstrated greater adaptability, collaboration, and confidence, all of which are key indicators of enhanced career readiness. Statistical analysis revealed that internships accounted for 30% of the variance in career readiness, suggesting that additional contributing factors may exist beyond the scope of this study.</w:t>
      </w:r>
    </w:p>
    <w:p w14:paraId="19E0F0A9" w14:textId="77777777" w:rsidR="004C487C" w:rsidRPr="004C487C" w:rsidRDefault="004C487C" w:rsidP="004C487C">
      <w:pPr>
        <w:spacing w:after="0"/>
        <w:jc w:val="both"/>
        <w:rPr>
          <w:rFonts w:ascii="Garamond" w:eastAsia="Garamond" w:hAnsi="Garamond" w:cs="Garamond"/>
          <w:sz w:val="22"/>
          <w:szCs w:val="22"/>
        </w:rPr>
      </w:pPr>
    </w:p>
    <w:p w14:paraId="33158EE1" w14:textId="482589DC" w:rsidR="005B1635" w:rsidRDefault="005B1635" w:rsidP="005B1635">
      <w:pPr>
        <w:jc w:val="both"/>
        <w:rPr>
          <w:rFonts w:ascii="Garamond" w:eastAsia="Garamond" w:hAnsi="Garamond" w:cs="Garamond"/>
          <w:b/>
          <w:bCs/>
          <w:sz w:val="22"/>
          <w:szCs w:val="22"/>
          <w:highlight w:val="white"/>
          <w:lang w:val="en-US"/>
        </w:rPr>
      </w:pPr>
      <w:r w:rsidRPr="00051873">
        <w:rPr>
          <w:rFonts w:ascii="Garamond" w:eastAsia="Garamond" w:hAnsi="Garamond" w:cs="Garamond"/>
          <w:b/>
          <w:bCs/>
          <w:sz w:val="22"/>
          <w:szCs w:val="22"/>
          <w:highlight w:val="white"/>
          <w:lang w:val="en-US"/>
        </w:rPr>
        <w:t>Recommendation</w:t>
      </w:r>
      <w:r w:rsidR="004E05A3">
        <w:rPr>
          <w:rFonts w:ascii="Garamond" w:eastAsia="Garamond" w:hAnsi="Garamond" w:cs="Garamond"/>
          <w:b/>
          <w:bCs/>
          <w:sz w:val="22"/>
          <w:szCs w:val="22"/>
          <w:highlight w:val="white"/>
          <w:lang w:val="en-US"/>
        </w:rPr>
        <w:t>s</w:t>
      </w:r>
    </w:p>
    <w:p w14:paraId="7EBB9BD8" w14:textId="23160C8A" w:rsidR="009555D5" w:rsidRPr="004E05A3" w:rsidRDefault="0081645A">
      <w:pPr>
        <w:jc w:val="both"/>
        <w:rPr>
          <w:rFonts w:ascii="Garamond" w:eastAsia="Garamond" w:hAnsi="Garamond" w:cs="Garamond"/>
          <w:sz w:val="22"/>
          <w:szCs w:val="22"/>
          <w:highlight w:val="white"/>
          <w:lang w:val="en-US"/>
        </w:rPr>
      </w:pPr>
      <w:r>
        <w:rPr>
          <w:rFonts w:ascii="Garamond" w:eastAsia="Garamond" w:hAnsi="Garamond" w:cs="Garamond"/>
          <w:b/>
          <w:bCs/>
          <w:sz w:val="22"/>
          <w:szCs w:val="22"/>
          <w:highlight w:val="white"/>
          <w:lang w:val="en-US"/>
        </w:rPr>
        <w:tab/>
      </w:r>
      <w:r w:rsidRPr="0081645A">
        <w:rPr>
          <w:rFonts w:ascii="Garamond" w:eastAsia="Garamond" w:hAnsi="Garamond" w:cs="Garamond"/>
          <w:sz w:val="22"/>
          <w:szCs w:val="22"/>
          <w:highlight w:val="white"/>
        </w:rPr>
        <w:t xml:space="preserve">Given these findings, higher education institutions are encouraged to enhance internship programs by integrating them into the curriculum, assigning </w:t>
      </w:r>
      <w:r w:rsidR="004E05A3">
        <w:rPr>
          <w:rFonts w:ascii="Garamond" w:eastAsia="Garamond" w:hAnsi="Garamond" w:cs="Garamond"/>
          <w:sz w:val="22"/>
          <w:szCs w:val="22"/>
          <w:highlight w:val="white"/>
        </w:rPr>
        <w:t xml:space="preserve">a </w:t>
      </w:r>
      <w:r w:rsidRPr="0081645A">
        <w:rPr>
          <w:rFonts w:ascii="Garamond" w:eastAsia="Garamond" w:hAnsi="Garamond" w:cs="Garamond"/>
          <w:sz w:val="22"/>
          <w:szCs w:val="22"/>
          <w:highlight w:val="white"/>
        </w:rPr>
        <w:t xml:space="preserve">dedicated </w:t>
      </w:r>
      <w:r w:rsidR="008832F0">
        <w:rPr>
          <w:rFonts w:ascii="Garamond" w:eastAsia="Garamond" w:hAnsi="Garamond" w:cs="Garamond"/>
          <w:sz w:val="22"/>
          <w:szCs w:val="22"/>
          <w:highlight w:val="white"/>
        </w:rPr>
        <w:t>Cooperating Teacher</w:t>
      </w:r>
      <w:r w:rsidRPr="0081645A">
        <w:rPr>
          <w:rFonts w:ascii="Garamond" w:eastAsia="Garamond" w:hAnsi="Garamond" w:cs="Garamond"/>
          <w:sz w:val="22"/>
          <w:szCs w:val="22"/>
          <w:highlight w:val="white"/>
        </w:rPr>
        <w:t xml:space="preserve"> for consistent mentorship, and providing structured feedback and reflection opportunities. Establishing strong partnerships with cooperating </w:t>
      </w:r>
      <w:r w:rsidR="00FD5E85">
        <w:rPr>
          <w:rFonts w:ascii="Garamond" w:eastAsia="Garamond" w:hAnsi="Garamond" w:cs="Garamond"/>
          <w:sz w:val="22"/>
          <w:szCs w:val="22"/>
          <w:highlight w:val="white"/>
        </w:rPr>
        <w:t>schools</w:t>
      </w:r>
      <w:r w:rsidRPr="0081645A">
        <w:rPr>
          <w:rFonts w:ascii="Garamond" w:eastAsia="Garamond" w:hAnsi="Garamond" w:cs="Garamond"/>
          <w:sz w:val="22"/>
          <w:szCs w:val="22"/>
          <w:highlight w:val="white"/>
        </w:rPr>
        <w:t xml:space="preserve"> and offering professional development workshops, career counseling, and experiential learning can further support students’ career readiness. Future research </w:t>
      </w:r>
      <w:r w:rsidR="00FD5E85">
        <w:rPr>
          <w:rFonts w:ascii="Garamond" w:eastAsia="Garamond" w:hAnsi="Garamond" w:cs="Garamond"/>
          <w:sz w:val="22"/>
          <w:szCs w:val="22"/>
          <w:highlight w:val="white"/>
        </w:rPr>
        <w:t>may</w:t>
      </w:r>
      <w:r w:rsidRPr="0081645A">
        <w:rPr>
          <w:rFonts w:ascii="Garamond" w:eastAsia="Garamond" w:hAnsi="Garamond" w:cs="Garamond"/>
          <w:sz w:val="22"/>
          <w:szCs w:val="22"/>
          <w:highlight w:val="white"/>
        </w:rPr>
        <w:t xml:space="preserve"> investigate additional influencing factors, such as motivation and industry engagement, and replicate the study across diverse academic contexts to validate and extend its findings.</w:t>
      </w:r>
    </w:p>
    <w:p w14:paraId="262AAB42" w14:textId="77777777" w:rsidR="00D25080" w:rsidRDefault="003E7DBF" w:rsidP="00D25080">
      <w:pPr>
        <w:jc w:val="both"/>
        <w:rPr>
          <w:rFonts w:ascii="Garamond" w:eastAsia="Garamond" w:hAnsi="Garamond" w:cs="Garamond"/>
          <w:b/>
          <w:sz w:val="22"/>
          <w:szCs w:val="22"/>
        </w:rPr>
      </w:pPr>
      <w:r>
        <w:rPr>
          <w:rFonts w:ascii="Garamond" w:eastAsia="Garamond" w:hAnsi="Garamond" w:cs="Garamond"/>
          <w:b/>
          <w:sz w:val="22"/>
          <w:szCs w:val="22"/>
        </w:rPr>
        <w:t>References</w:t>
      </w:r>
    </w:p>
    <w:p w14:paraId="7C4B2062" w14:textId="77777777" w:rsidR="00F17A1A" w:rsidRPr="00F17A1A" w:rsidRDefault="00D25080" w:rsidP="00F17A1A">
      <w:pPr>
        <w:spacing w:after="0" w:line="240" w:lineRule="auto"/>
        <w:jc w:val="both"/>
        <w:rPr>
          <w:rFonts w:ascii="Garamond" w:eastAsia="Garamond" w:hAnsi="Garamond" w:cs="Garamond"/>
          <w:bCs/>
          <w:sz w:val="22"/>
          <w:szCs w:val="22"/>
        </w:rPr>
      </w:pPr>
      <w:r w:rsidRPr="00F17A1A">
        <w:rPr>
          <w:rFonts w:ascii="Garamond" w:eastAsia="Garamond" w:hAnsi="Garamond" w:cs="Garamond"/>
          <w:bCs/>
          <w:sz w:val="22"/>
          <w:szCs w:val="22"/>
        </w:rPr>
        <w:t>Arias-Aranda, D., Bustinza, O. F., &amp; Barrales-Molina, V. (2018).</w:t>
      </w:r>
      <w:r w:rsidR="00F17A1A" w:rsidRPr="00F17A1A">
        <w:rPr>
          <w:rFonts w:ascii="Garamond" w:eastAsia="Garamond" w:hAnsi="Garamond" w:cs="Garamond"/>
          <w:bCs/>
          <w:sz w:val="22"/>
          <w:szCs w:val="22"/>
        </w:rPr>
        <w:t xml:space="preserve"> </w:t>
      </w:r>
      <w:r w:rsidRPr="00F17A1A">
        <w:rPr>
          <w:rFonts w:ascii="Garamond" w:eastAsia="Garamond" w:hAnsi="Garamond" w:cs="Garamond"/>
          <w:bCs/>
          <w:sz w:val="22"/>
          <w:szCs w:val="22"/>
        </w:rPr>
        <w:t xml:space="preserve">Creating isolating mechanisms through digital </w:t>
      </w:r>
    </w:p>
    <w:p w14:paraId="6BE7446C" w14:textId="292E9D09" w:rsidR="00D57537" w:rsidRPr="00F17A1A" w:rsidRDefault="00D25080" w:rsidP="00F17A1A">
      <w:pPr>
        <w:spacing w:after="0" w:line="240" w:lineRule="auto"/>
        <w:ind w:firstLine="720"/>
        <w:jc w:val="both"/>
        <w:rPr>
          <w:rFonts w:ascii="Garamond" w:eastAsia="Garamond" w:hAnsi="Garamond" w:cs="Garamond"/>
          <w:bCs/>
          <w:sz w:val="22"/>
          <w:szCs w:val="22"/>
        </w:rPr>
      </w:pPr>
      <w:proofErr w:type="spellStart"/>
      <w:r w:rsidRPr="00F17A1A">
        <w:rPr>
          <w:rFonts w:ascii="Garamond" w:eastAsia="Garamond" w:hAnsi="Garamond" w:cs="Garamond"/>
          <w:bCs/>
          <w:sz w:val="22"/>
          <w:szCs w:val="22"/>
        </w:rPr>
        <w:t>servitization</w:t>
      </w:r>
      <w:proofErr w:type="spellEnd"/>
      <w:r w:rsidRPr="00F17A1A">
        <w:rPr>
          <w:rFonts w:ascii="Garamond" w:eastAsia="Garamond" w:hAnsi="Garamond" w:cs="Garamond"/>
          <w:bCs/>
          <w:sz w:val="22"/>
          <w:szCs w:val="22"/>
        </w:rPr>
        <w:t xml:space="preserve">: The case of </w:t>
      </w:r>
      <w:proofErr w:type="spellStart"/>
      <w:r w:rsidRPr="00F17A1A">
        <w:rPr>
          <w:rFonts w:ascii="Garamond" w:eastAsia="Garamond" w:hAnsi="Garamond" w:cs="Garamond"/>
          <w:bCs/>
          <w:sz w:val="22"/>
          <w:szCs w:val="22"/>
        </w:rPr>
        <w:t>Covirán</w:t>
      </w:r>
      <w:proofErr w:type="spellEnd"/>
      <w:r w:rsidRPr="00F17A1A">
        <w:rPr>
          <w:rFonts w:ascii="Garamond" w:eastAsia="Garamond" w:hAnsi="Garamond" w:cs="Garamond"/>
          <w:bCs/>
          <w:sz w:val="22"/>
          <w:szCs w:val="22"/>
        </w:rPr>
        <w:t xml:space="preserve">. </w:t>
      </w:r>
      <w:r w:rsidRPr="00F17A1A">
        <w:rPr>
          <w:rFonts w:ascii="Garamond" w:eastAsia="Garamond" w:hAnsi="Garamond" w:cs="Garamond"/>
          <w:bCs/>
          <w:i/>
          <w:iCs/>
          <w:sz w:val="22"/>
          <w:szCs w:val="22"/>
        </w:rPr>
        <w:t>Strategic Change, 27</w:t>
      </w:r>
      <w:r w:rsidRPr="00F17A1A">
        <w:rPr>
          <w:rFonts w:ascii="Garamond" w:eastAsia="Garamond" w:hAnsi="Garamond" w:cs="Garamond"/>
          <w:bCs/>
          <w:sz w:val="22"/>
          <w:szCs w:val="22"/>
        </w:rPr>
        <w:t xml:space="preserve">(5), 399–409. </w:t>
      </w:r>
      <w:hyperlink r:id="rId8" w:history="1">
        <w:r w:rsidR="00D57537" w:rsidRPr="00F17A1A">
          <w:rPr>
            <w:rStyle w:val="Hyperlink"/>
            <w:rFonts w:ascii="Garamond" w:eastAsia="Garamond" w:hAnsi="Garamond" w:cs="Garamond"/>
            <w:bCs/>
            <w:color w:val="auto"/>
            <w:sz w:val="22"/>
            <w:szCs w:val="22"/>
          </w:rPr>
          <w:t>https://doi.org/10.1002/jsc.2213</w:t>
        </w:r>
      </w:hyperlink>
    </w:p>
    <w:p w14:paraId="7B665F4F" w14:textId="77777777" w:rsidR="00F17A1A" w:rsidRPr="00F17A1A" w:rsidRDefault="00F17A1A" w:rsidP="00F17A1A">
      <w:pPr>
        <w:spacing w:after="0" w:line="240" w:lineRule="auto"/>
        <w:ind w:firstLine="720"/>
        <w:jc w:val="both"/>
        <w:rPr>
          <w:rFonts w:ascii="Garamond" w:eastAsia="Garamond" w:hAnsi="Garamond" w:cs="Garamond"/>
          <w:bCs/>
          <w:sz w:val="22"/>
          <w:szCs w:val="22"/>
        </w:rPr>
      </w:pPr>
    </w:p>
    <w:p w14:paraId="7BF85F2D" w14:textId="77777777" w:rsidR="00F17A1A" w:rsidRPr="00F17A1A" w:rsidRDefault="00D57537" w:rsidP="00F17A1A">
      <w:pPr>
        <w:spacing w:after="0" w:line="240" w:lineRule="auto"/>
        <w:jc w:val="both"/>
        <w:rPr>
          <w:rFonts w:ascii="Garamond" w:eastAsia="Garamond" w:hAnsi="Garamond" w:cs="Garamond"/>
          <w:bCs/>
          <w:sz w:val="22"/>
          <w:szCs w:val="22"/>
        </w:rPr>
      </w:pPr>
      <w:r w:rsidRPr="00F17A1A">
        <w:rPr>
          <w:rFonts w:ascii="Garamond" w:eastAsia="Garamond" w:hAnsi="Garamond" w:cs="Garamond"/>
          <w:bCs/>
          <w:sz w:val="22"/>
          <w:szCs w:val="22"/>
        </w:rPr>
        <w:t xml:space="preserve">Cunningham, T. R., </w:t>
      </w:r>
      <w:proofErr w:type="spellStart"/>
      <w:r w:rsidRPr="00F17A1A">
        <w:rPr>
          <w:rFonts w:ascii="Garamond" w:eastAsia="Garamond" w:hAnsi="Garamond" w:cs="Garamond"/>
          <w:bCs/>
          <w:sz w:val="22"/>
          <w:szCs w:val="22"/>
        </w:rPr>
        <w:t>Tinc</w:t>
      </w:r>
      <w:proofErr w:type="spellEnd"/>
      <w:r w:rsidRPr="00F17A1A">
        <w:rPr>
          <w:rFonts w:ascii="Garamond" w:eastAsia="Garamond" w:hAnsi="Garamond" w:cs="Garamond"/>
          <w:bCs/>
          <w:sz w:val="22"/>
          <w:szCs w:val="22"/>
        </w:rPr>
        <w:t xml:space="preserve">, P. J., Guerin, R. J., &amp; Schulte, P. A. (2020). Translation research in occupational </w:t>
      </w:r>
    </w:p>
    <w:p w14:paraId="46B2350F" w14:textId="4C37E99E" w:rsidR="00D57537" w:rsidRPr="00F17A1A" w:rsidRDefault="00D57537" w:rsidP="00F17A1A">
      <w:pPr>
        <w:spacing w:after="0" w:line="240" w:lineRule="auto"/>
        <w:ind w:left="720"/>
        <w:jc w:val="both"/>
        <w:rPr>
          <w:rFonts w:ascii="Garamond" w:eastAsia="Garamond" w:hAnsi="Garamond" w:cs="Garamond"/>
          <w:bCs/>
          <w:sz w:val="22"/>
          <w:szCs w:val="22"/>
        </w:rPr>
      </w:pPr>
      <w:r w:rsidRPr="00F17A1A">
        <w:rPr>
          <w:rFonts w:ascii="Garamond" w:eastAsia="Garamond" w:hAnsi="Garamond" w:cs="Garamond"/>
          <w:bCs/>
          <w:sz w:val="22"/>
          <w:szCs w:val="22"/>
        </w:rPr>
        <w:t xml:space="preserve">health and safety settings: Common ground and future directions. </w:t>
      </w:r>
      <w:r w:rsidRPr="00F17A1A">
        <w:rPr>
          <w:rFonts w:ascii="Garamond" w:eastAsia="Garamond" w:hAnsi="Garamond" w:cs="Garamond"/>
          <w:bCs/>
          <w:i/>
          <w:iCs/>
          <w:sz w:val="22"/>
          <w:szCs w:val="22"/>
        </w:rPr>
        <w:t>Journal of Safety Research, 74</w:t>
      </w:r>
      <w:r w:rsidRPr="00F17A1A">
        <w:rPr>
          <w:rFonts w:ascii="Garamond" w:eastAsia="Garamond" w:hAnsi="Garamond" w:cs="Garamond"/>
          <w:bCs/>
          <w:sz w:val="22"/>
          <w:szCs w:val="22"/>
        </w:rPr>
        <w:t xml:space="preserve">, 161–167. </w:t>
      </w:r>
      <w:hyperlink r:id="rId9" w:history="1">
        <w:r w:rsidR="00F17A1A" w:rsidRPr="00F17A1A">
          <w:rPr>
            <w:rStyle w:val="Hyperlink"/>
            <w:rFonts w:ascii="Garamond" w:eastAsia="Garamond" w:hAnsi="Garamond" w:cs="Garamond"/>
            <w:bCs/>
            <w:color w:val="auto"/>
            <w:sz w:val="22"/>
            <w:szCs w:val="22"/>
          </w:rPr>
          <w:t>https://doi.org/10.1016/j.jsr.2020.06.015</w:t>
        </w:r>
      </w:hyperlink>
    </w:p>
    <w:p w14:paraId="19A46058" w14:textId="77777777" w:rsidR="00D25080" w:rsidRDefault="00D25080" w:rsidP="00F17A1A">
      <w:pPr>
        <w:spacing w:after="0" w:line="240" w:lineRule="auto"/>
        <w:jc w:val="both"/>
        <w:rPr>
          <w:rFonts w:ascii="Garamond" w:eastAsia="Garamond" w:hAnsi="Garamond" w:cs="Garamond"/>
          <w:b/>
          <w:sz w:val="22"/>
          <w:szCs w:val="22"/>
        </w:rPr>
      </w:pPr>
    </w:p>
    <w:p w14:paraId="4ED289E8" w14:textId="77777777" w:rsidR="00F17A1A" w:rsidRDefault="00501365" w:rsidP="00F17A1A">
      <w:pPr>
        <w:spacing w:after="0" w:line="240" w:lineRule="auto"/>
        <w:jc w:val="both"/>
        <w:rPr>
          <w:rFonts w:ascii="Garamond" w:hAnsi="Garamond" w:cs="Arial"/>
          <w:sz w:val="22"/>
          <w:szCs w:val="22"/>
        </w:rPr>
      </w:pPr>
      <w:r w:rsidRPr="004435D9">
        <w:rPr>
          <w:rFonts w:ascii="Garamond" w:hAnsi="Garamond" w:cs="Arial"/>
          <w:sz w:val="22"/>
          <w:szCs w:val="22"/>
        </w:rPr>
        <w:t xml:space="preserve">Evans, D., &amp; Chen, E. (2020). Enhancing Career Readiness Through Internships: A Mixed Methods Study of </w:t>
      </w:r>
    </w:p>
    <w:p w14:paraId="10E82918" w14:textId="73F666CC" w:rsidR="00501365" w:rsidRDefault="00501365" w:rsidP="00F17A1A">
      <w:pPr>
        <w:spacing w:after="0" w:line="240" w:lineRule="auto"/>
        <w:ind w:firstLine="720"/>
        <w:jc w:val="both"/>
        <w:rPr>
          <w:rFonts w:ascii="Garamond" w:hAnsi="Garamond" w:cs="Arial"/>
          <w:sz w:val="22"/>
          <w:szCs w:val="22"/>
        </w:rPr>
      </w:pPr>
      <w:r w:rsidRPr="004435D9">
        <w:rPr>
          <w:rFonts w:ascii="Garamond" w:hAnsi="Garamond" w:cs="Arial"/>
          <w:sz w:val="22"/>
          <w:szCs w:val="22"/>
        </w:rPr>
        <w:t>Business Administration Students. Journal of Business Education Research, 25(1), 78-94.</w:t>
      </w:r>
    </w:p>
    <w:p w14:paraId="2570C09C" w14:textId="77777777" w:rsidR="00F17A1A" w:rsidRDefault="00F17A1A" w:rsidP="00F17A1A">
      <w:pPr>
        <w:spacing w:after="0" w:line="240" w:lineRule="auto"/>
        <w:ind w:firstLine="720"/>
        <w:jc w:val="both"/>
        <w:rPr>
          <w:rFonts w:ascii="Garamond" w:hAnsi="Garamond" w:cs="Arial"/>
          <w:sz w:val="22"/>
          <w:szCs w:val="22"/>
        </w:rPr>
      </w:pPr>
    </w:p>
    <w:p w14:paraId="1901CE61" w14:textId="1791CDFA" w:rsidR="00F17A1A" w:rsidRDefault="003A7E8A" w:rsidP="00F17A1A">
      <w:pPr>
        <w:spacing w:after="0" w:line="240" w:lineRule="auto"/>
        <w:jc w:val="both"/>
        <w:rPr>
          <w:rFonts w:ascii="Garamond" w:hAnsi="Garamond" w:cs="Arial"/>
          <w:sz w:val="22"/>
          <w:szCs w:val="22"/>
        </w:rPr>
      </w:pPr>
      <w:r w:rsidRPr="003A7E8A">
        <w:rPr>
          <w:rFonts w:ascii="Garamond" w:hAnsi="Garamond" w:cs="Arial"/>
          <w:sz w:val="22"/>
          <w:szCs w:val="22"/>
        </w:rPr>
        <w:t>Knouse, S.B., Tanner, J.R. and Harris, E.W. (1999), “The relation of college internships, college</w:t>
      </w:r>
    </w:p>
    <w:p w14:paraId="56B01AEC" w14:textId="7E017566" w:rsidR="003A7E8A" w:rsidRPr="003A7E8A" w:rsidRDefault="003A7E8A" w:rsidP="00F17A1A">
      <w:pPr>
        <w:spacing w:after="0" w:line="240" w:lineRule="auto"/>
        <w:ind w:firstLine="720"/>
        <w:jc w:val="both"/>
        <w:rPr>
          <w:rFonts w:ascii="Garamond" w:hAnsi="Garamond" w:cs="Arial"/>
          <w:sz w:val="22"/>
          <w:szCs w:val="22"/>
        </w:rPr>
      </w:pPr>
      <w:r w:rsidRPr="003A7E8A">
        <w:rPr>
          <w:rFonts w:ascii="Garamond" w:hAnsi="Garamond" w:cs="Arial"/>
          <w:sz w:val="22"/>
          <w:szCs w:val="22"/>
        </w:rPr>
        <w:t xml:space="preserve">performance, and subsequent job </w:t>
      </w:r>
      <w:proofErr w:type="spellStart"/>
      <w:r w:rsidRPr="003A7E8A">
        <w:rPr>
          <w:rFonts w:ascii="Garamond" w:hAnsi="Garamond" w:cs="Arial"/>
          <w:sz w:val="22"/>
          <w:szCs w:val="22"/>
        </w:rPr>
        <w:t>opportunity</w:t>
      </w:r>
      <w:proofErr w:type="gramStart"/>
      <w:r w:rsidRPr="003A7E8A">
        <w:rPr>
          <w:rFonts w:ascii="Garamond" w:hAnsi="Garamond" w:cs="Arial"/>
          <w:sz w:val="22"/>
          <w:szCs w:val="22"/>
        </w:rPr>
        <w:t>”,Journal</w:t>
      </w:r>
      <w:proofErr w:type="spellEnd"/>
      <w:proofErr w:type="gramEnd"/>
      <w:r w:rsidRPr="003A7E8A">
        <w:rPr>
          <w:rFonts w:ascii="Garamond" w:hAnsi="Garamond" w:cs="Arial"/>
          <w:sz w:val="22"/>
          <w:szCs w:val="22"/>
        </w:rPr>
        <w:t xml:space="preserve"> of Employment Counseling, Vol. 36 No. 1,</w:t>
      </w:r>
    </w:p>
    <w:p w14:paraId="3D05B32A" w14:textId="77777777" w:rsidR="003A7E8A" w:rsidRPr="003A7E8A" w:rsidRDefault="003A7E8A" w:rsidP="00F17A1A">
      <w:pPr>
        <w:spacing w:after="0" w:line="240" w:lineRule="auto"/>
        <w:ind w:firstLine="720"/>
        <w:jc w:val="both"/>
        <w:rPr>
          <w:rFonts w:ascii="Garamond" w:hAnsi="Garamond" w:cs="Arial"/>
          <w:sz w:val="22"/>
          <w:szCs w:val="22"/>
        </w:rPr>
      </w:pPr>
      <w:r w:rsidRPr="003A7E8A">
        <w:rPr>
          <w:rFonts w:ascii="Garamond" w:hAnsi="Garamond" w:cs="Arial"/>
          <w:sz w:val="22"/>
          <w:szCs w:val="22"/>
        </w:rPr>
        <w:t>pp. 35-43.</w:t>
      </w:r>
    </w:p>
    <w:p w14:paraId="08569831" w14:textId="77777777" w:rsidR="003A7E8A" w:rsidRPr="004435D9" w:rsidRDefault="003A7E8A" w:rsidP="00F17A1A">
      <w:pPr>
        <w:spacing w:after="0" w:line="240" w:lineRule="auto"/>
        <w:jc w:val="both"/>
        <w:rPr>
          <w:rFonts w:ascii="Garamond" w:hAnsi="Garamond" w:cs="Arial"/>
          <w:sz w:val="22"/>
          <w:szCs w:val="22"/>
        </w:rPr>
      </w:pPr>
    </w:p>
    <w:p w14:paraId="072F8E7C" w14:textId="77777777" w:rsidR="00F17A1A" w:rsidRDefault="00501365" w:rsidP="00F17A1A">
      <w:pPr>
        <w:spacing w:after="0" w:line="240" w:lineRule="auto"/>
        <w:jc w:val="both"/>
        <w:rPr>
          <w:rFonts w:ascii="Garamond" w:hAnsi="Garamond" w:cs="Arial"/>
          <w:sz w:val="22"/>
          <w:szCs w:val="22"/>
        </w:rPr>
      </w:pPr>
      <w:proofErr w:type="spellStart"/>
      <w:r w:rsidRPr="004435D9">
        <w:rPr>
          <w:rFonts w:ascii="Garamond" w:hAnsi="Garamond" w:cs="Arial"/>
          <w:sz w:val="22"/>
          <w:szCs w:val="22"/>
        </w:rPr>
        <w:t>Kuttappan</w:t>
      </w:r>
      <w:proofErr w:type="spellEnd"/>
      <w:r w:rsidRPr="004435D9">
        <w:rPr>
          <w:rFonts w:ascii="Garamond" w:hAnsi="Garamond" w:cs="Arial"/>
          <w:sz w:val="22"/>
          <w:szCs w:val="22"/>
        </w:rPr>
        <w:t xml:space="preserve">, R. (2023, May 22). Career readiness: Building a strong foundation for professional success. </w:t>
      </w:r>
    </w:p>
    <w:p w14:paraId="357D2BF3" w14:textId="382ACFE7" w:rsidR="00501365" w:rsidRDefault="003E7DBF" w:rsidP="00F17A1A">
      <w:pPr>
        <w:spacing w:after="0" w:line="240" w:lineRule="auto"/>
        <w:ind w:left="720"/>
        <w:jc w:val="both"/>
        <w:rPr>
          <w:rFonts w:ascii="Garamond" w:hAnsi="Garamond" w:cs="Arial"/>
          <w:sz w:val="22"/>
          <w:szCs w:val="22"/>
        </w:rPr>
      </w:pPr>
      <w:hyperlink r:id="rId10" w:history="1">
        <w:r w:rsidR="00F17A1A" w:rsidRPr="004435D9">
          <w:rPr>
            <w:rStyle w:val="Hyperlink"/>
            <w:rFonts w:ascii="Garamond" w:hAnsi="Garamond" w:cs="Arial"/>
            <w:color w:val="auto"/>
            <w:sz w:val="22"/>
            <w:szCs w:val="22"/>
          </w:rPr>
          <w:t>https://www.linkedin.com/pulse/career-readiness-building-strong-foundation-success-rohit-kuttappan</w:t>
        </w:r>
      </w:hyperlink>
    </w:p>
    <w:p w14:paraId="38DEA3CD" w14:textId="77777777" w:rsidR="00F17A1A" w:rsidRPr="00F17A1A" w:rsidRDefault="00F17A1A" w:rsidP="00F17A1A">
      <w:pPr>
        <w:spacing w:after="0" w:line="240" w:lineRule="auto"/>
        <w:ind w:left="720"/>
        <w:jc w:val="both"/>
        <w:rPr>
          <w:rFonts w:ascii="Garamond" w:hAnsi="Garamond" w:cs="Arial"/>
          <w:sz w:val="22"/>
          <w:szCs w:val="22"/>
        </w:rPr>
      </w:pPr>
    </w:p>
    <w:p w14:paraId="12C6B5FC" w14:textId="77777777" w:rsidR="00F17A1A" w:rsidRDefault="00501365" w:rsidP="00F17A1A">
      <w:pPr>
        <w:spacing w:after="0" w:line="240" w:lineRule="auto"/>
        <w:jc w:val="both"/>
        <w:rPr>
          <w:rFonts w:ascii="Garamond" w:hAnsi="Garamond" w:cs="Arial"/>
          <w:sz w:val="22"/>
          <w:szCs w:val="22"/>
        </w:rPr>
      </w:pPr>
      <w:r w:rsidRPr="00501365">
        <w:rPr>
          <w:rFonts w:ascii="Garamond" w:hAnsi="Garamond" w:cs="Arial"/>
          <w:sz w:val="22"/>
          <w:szCs w:val="22"/>
        </w:rPr>
        <w:t xml:space="preserve">Leonova, et al. (2021). The readiness of future specialists for the application of digital technologies in </w:t>
      </w:r>
    </w:p>
    <w:p w14:paraId="1E0BE5E4" w14:textId="7869ED6F" w:rsidR="00501365" w:rsidRDefault="00501365" w:rsidP="00F17A1A">
      <w:pPr>
        <w:spacing w:after="0" w:line="240" w:lineRule="auto"/>
        <w:ind w:firstLine="720"/>
        <w:jc w:val="both"/>
        <w:rPr>
          <w:rFonts w:ascii="Garamond" w:hAnsi="Garamond" w:cs="Arial"/>
          <w:sz w:val="22"/>
          <w:szCs w:val="22"/>
        </w:rPr>
      </w:pPr>
      <w:r w:rsidRPr="00501365">
        <w:rPr>
          <w:rFonts w:ascii="Garamond" w:hAnsi="Garamond" w:cs="Arial"/>
          <w:sz w:val="22"/>
          <w:szCs w:val="22"/>
        </w:rPr>
        <w:t>professional activities.</w:t>
      </w:r>
    </w:p>
    <w:p w14:paraId="1122F1BE" w14:textId="77777777" w:rsidR="00F17A1A" w:rsidRPr="00501365" w:rsidRDefault="00F17A1A" w:rsidP="00F17A1A">
      <w:pPr>
        <w:spacing w:after="0" w:line="240" w:lineRule="auto"/>
        <w:ind w:firstLine="720"/>
        <w:jc w:val="both"/>
        <w:rPr>
          <w:rFonts w:ascii="Garamond" w:hAnsi="Garamond" w:cs="Arial"/>
          <w:sz w:val="22"/>
          <w:szCs w:val="22"/>
        </w:rPr>
      </w:pPr>
    </w:p>
    <w:p w14:paraId="78B1B8D4" w14:textId="77777777" w:rsidR="00F17A1A" w:rsidRDefault="00501365" w:rsidP="00F17A1A">
      <w:pPr>
        <w:spacing w:after="0" w:line="240" w:lineRule="auto"/>
        <w:jc w:val="both"/>
        <w:rPr>
          <w:rFonts w:ascii="Garamond" w:hAnsi="Garamond" w:cs="Arial"/>
          <w:sz w:val="22"/>
          <w:szCs w:val="22"/>
        </w:rPr>
      </w:pPr>
      <w:r w:rsidRPr="004435D9">
        <w:rPr>
          <w:rFonts w:ascii="Garamond" w:hAnsi="Garamond" w:cs="Arial"/>
          <w:sz w:val="22"/>
          <w:szCs w:val="22"/>
        </w:rPr>
        <w:t xml:space="preserve">Lopez, M. (2019). Exploring Internship Experiences and Career Readiness Among Social Work Students: A </w:t>
      </w:r>
    </w:p>
    <w:p w14:paraId="497F22C9" w14:textId="6C40455C" w:rsidR="00501365" w:rsidRDefault="00501365" w:rsidP="00F17A1A">
      <w:pPr>
        <w:spacing w:after="0" w:line="240" w:lineRule="auto"/>
        <w:ind w:firstLine="720"/>
        <w:jc w:val="both"/>
        <w:rPr>
          <w:rFonts w:ascii="Garamond" w:hAnsi="Garamond" w:cs="Arial"/>
          <w:sz w:val="22"/>
          <w:szCs w:val="22"/>
        </w:rPr>
      </w:pPr>
      <w:r w:rsidRPr="004435D9">
        <w:rPr>
          <w:rFonts w:ascii="Garamond" w:hAnsi="Garamond" w:cs="Arial"/>
          <w:sz w:val="22"/>
          <w:szCs w:val="22"/>
        </w:rPr>
        <w:t>Qualitative Analysis. Australian Social Work, 72(3), 212-230.</w:t>
      </w:r>
    </w:p>
    <w:p w14:paraId="2474FB1F" w14:textId="77777777" w:rsidR="00F17A1A" w:rsidRPr="00501365" w:rsidRDefault="00F17A1A" w:rsidP="00F17A1A">
      <w:pPr>
        <w:spacing w:after="0" w:line="240" w:lineRule="auto"/>
        <w:ind w:firstLine="720"/>
        <w:jc w:val="both"/>
        <w:rPr>
          <w:rFonts w:ascii="Garamond" w:hAnsi="Garamond" w:cs="Arial"/>
          <w:sz w:val="22"/>
          <w:szCs w:val="22"/>
        </w:rPr>
      </w:pPr>
    </w:p>
    <w:p w14:paraId="5F34C7E2" w14:textId="77777777" w:rsidR="00F17A1A" w:rsidRDefault="00501365" w:rsidP="00F17A1A">
      <w:pPr>
        <w:spacing w:after="0" w:line="240" w:lineRule="auto"/>
        <w:jc w:val="both"/>
        <w:rPr>
          <w:rFonts w:ascii="Garamond" w:hAnsi="Garamond" w:cs="Arial"/>
          <w:sz w:val="22"/>
          <w:szCs w:val="22"/>
        </w:rPr>
      </w:pPr>
      <w:r w:rsidRPr="004435D9">
        <w:rPr>
          <w:rFonts w:ascii="Garamond" w:hAnsi="Garamond" w:cs="Arial"/>
          <w:sz w:val="22"/>
          <w:szCs w:val="22"/>
        </w:rPr>
        <w:t xml:space="preserve">Margaryan, A., Saniter, N., Schumann, M., &amp; Siedler, T. (2020). Student internships and employment </w:t>
      </w:r>
    </w:p>
    <w:p w14:paraId="2868ECD8" w14:textId="02C97DFA" w:rsidR="00501365" w:rsidRPr="00501365" w:rsidRDefault="00501365" w:rsidP="00F17A1A">
      <w:pPr>
        <w:spacing w:after="0" w:line="240" w:lineRule="auto"/>
        <w:ind w:firstLine="720"/>
        <w:jc w:val="both"/>
        <w:rPr>
          <w:rFonts w:ascii="Garamond" w:hAnsi="Garamond" w:cs="Arial"/>
          <w:sz w:val="22"/>
          <w:szCs w:val="22"/>
        </w:rPr>
      </w:pPr>
      <w:r w:rsidRPr="004435D9">
        <w:rPr>
          <w:rFonts w:ascii="Garamond" w:hAnsi="Garamond" w:cs="Arial"/>
          <w:sz w:val="22"/>
          <w:szCs w:val="22"/>
        </w:rPr>
        <w:t>opportunities after graduation.</w:t>
      </w:r>
    </w:p>
    <w:p w14:paraId="5C52EB51" w14:textId="77777777" w:rsidR="00501365" w:rsidRPr="00501365" w:rsidRDefault="00501365" w:rsidP="00F17A1A">
      <w:pPr>
        <w:spacing w:after="0" w:line="240" w:lineRule="auto"/>
        <w:jc w:val="both"/>
        <w:rPr>
          <w:rFonts w:ascii="Garamond" w:hAnsi="Garamond" w:cs="Arial"/>
          <w:sz w:val="22"/>
          <w:szCs w:val="22"/>
        </w:rPr>
      </w:pPr>
    </w:p>
    <w:p w14:paraId="1D6929CD" w14:textId="77777777" w:rsidR="00F17A1A" w:rsidRPr="00F17A1A" w:rsidRDefault="00501365" w:rsidP="00F17A1A">
      <w:pPr>
        <w:spacing w:after="0" w:line="240" w:lineRule="auto"/>
        <w:jc w:val="both"/>
        <w:rPr>
          <w:rFonts w:ascii="Garamond" w:hAnsi="Garamond" w:cs="Arial"/>
          <w:sz w:val="22"/>
          <w:szCs w:val="22"/>
        </w:rPr>
      </w:pPr>
      <w:r w:rsidRPr="00F17A1A">
        <w:rPr>
          <w:rFonts w:ascii="Garamond" w:hAnsi="Garamond" w:cs="Arial"/>
          <w:sz w:val="22"/>
          <w:szCs w:val="22"/>
        </w:rPr>
        <w:t xml:space="preserve">Miller (2019). The perception of career readiness skill development in college seniors. 44(1-5). </w:t>
      </w:r>
    </w:p>
    <w:p w14:paraId="741A5BE3" w14:textId="572DEE02" w:rsidR="00501365" w:rsidRDefault="003E7DBF" w:rsidP="00F17A1A">
      <w:pPr>
        <w:spacing w:after="0" w:line="240" w:lineRule="auto"/>
        <w:ind w:left="720"/>
        <w:jc w:val="both"/>
        <w:rPr>
          <w:rFonts w:ascii="Garamond" w:hAnsi="Garamond" w:cs="Arial"/>
          <w:sz w:val="22"/>
          <w:szCs w:val="22"/>
        </w:rPr>
      </w:pPr>
      <w:hyperlink r:id="rId11" w:history="1">
        <w:r w:rsidR="00F17A1A" w:rsidRPr="00F17A1A">
          <w:rPr>
            <w:rStyle w:val="Hyperlink"/>
            <w:rFonts w:ascii="Garamond" w:hAnsi="Garamond" w:cs="Arial"/>
            <w:color w:val="auto"/>
            <w:sz w:val="22"/>
            <w:szCs w:val="22"/>
          </w:rPr>
          <w:t>file:///C:/Users/Admin/Downloads/The-perception-of-career-readiness-skill-development-in-college-s.pdf</w:t>
        </w:r>
      </w:hyperlink>
    </w:p>
    <w:p w14:paraId="4B0671C6" w14:textId="77777777" w:rsidR="00F17A1A" w:rsidRPr="00F17A1A" w:rsidRDefault="00F17A1A" w:rsidP="00F17A1A">
      <w:pPr>
        <w:spacing w:after="0" w:line="240" w:lineRule="auto"/>
        <w:ind w:left="720"/>
        <w:jc w:val="both"/>
        <w:rPr>
          <w:rFonts w:ascii="Garamond" w:hAnsi="Garamond" w:cs="Arial"/>
          <w:sz w:val="22"/>
          <w:szCs w:val="22"/>
        </w:rPr>
      </w:pPr>
    </w:p>
    <w:p w14:paraId="5EF95C1F" w14:textId="77777777" w:rsidR="00F17A1A" w:rsidRDefault="00F17A1A" w:rsidP="00F17A1A">
      <w:pPr>
        <w:spacing w:after="0" w:line="240" w:lineRule="auto"/>
        <w:jc w:val="both"/>
        <w:rPr>
          <w:rFonts w:ascii="Garamond" w:hAnsi="Garamond" w:cs="Arial"/>
          <w:sz w:val="22"/>
          <w:szCs w:val="22"/>
        </w:rPr>
      </w:pPr>
      <w:proofErr w:type="spellStart"/>
      <w:r w:rsidRPr="00F17A1A">
        <w:rPr>
          <w:rFonts w:ascii="Garamond" w:hAnsi="Garamond" w:cs="Arial"/>
          <w:sz w:val="22"/>
          <w:szCs w:val="22"/>
        </w:rPr>
        <w:t>Patsiotis</w:t>
      </w:r>
      <w:proofErr w:type="spellEnd"/>
      <w:r w:rsidRPr="00F17A1A">
        <w:rPr>
          <w:rFonts w:ascii="Garamond" w:hAnsi="Garamond" w:cs="Arial"/>
          <w:sz w:val="22"/>
          <w:szCs w:val="22"/>
        </w:rPr>
        <w:t xml:space="preserve">, A., Georgiadis, C., &amp; </w:t>
      </w:r>
      <w:proofErr w:type="spellStart"/>
      <w:r w:rsidRPr="00F17A1A">
        <w:rPr>
          <w:rFonts w:ascii="Garamond" w:hAnsi="Garamond" w:cs="Arial"/>
          <w:sz w:val="22"/>
          <w:szCs w:val="22"/>
        </w:rPr>
        <w:t>Koniordos</w:t>
      </w:r>
      <w:proofErr w:type="spellEnd"/>
      <w:r w:rsidRPr="00F17A1A">
        <w:rPr>
          <w:rFonts w:ascii="Garamond" w:hAnsi="Garamond" w:cs="Arial"/>
          <w:sz w:val="22"/>
          <w:szCs w:val="22"/>
        </w:rPr>
        <w:t xml:space="preserve">, M. (2019). The impact of internships on students’ professional skills </w:t>
      </w:r>
    </w:p>
    <w:p w14:paraId="6AE50190" w14:textId="5E98B131" w:rsidR="00F17A1A" w:rsidRPr="00F17A1A" w:rsidRDefault="00F17A1A" w:rsidP="00F17A1A">
      <w:pPr>
        <w:spacing w:after="0" w:line="240" w:lineRule="auto"/>
        <w:ind w:left="720"/>
        <w:jc w:val="both"/>
        <w:rPr>
          <w:rFonts w:ascii="Garamond" w:hAnsi="Garamond" w:cs="Arial"/>
          <w:sz w:val="22"/>
          <w:szCs w:val="22"/>
        </w:rPr>
      </w:pPr>
      <w:r w:rsidRPr="00F17A1A">
        <w:rPr>
          <w:rFonts w:ascii="Garamond" w:hAnsi="Garamond" w:cs="Arial"/>
          <w:sz w:val="22"/>
          <w:szCs w:val="22"/>
        </w:rPr>
        <w:lastRenderedPageBreak/>
        <w:t xml:space="preserve">and job satisfaction: Evidence from a Greek university. </w:t>
      </w:r>
      <w:r w:rsidRPr="00F17A1A">
        <w:rPr>
          <w:rFonts w:ascii="Garamond" w:hAnsi="Garamond" w:cs="Arial"/>
          <w:i/>
          <w:iCs/>
          <w:sz w:val="22"/>
          <w:szCs w:val="22"/>
        </w:rPr>
        <w:t>Journal of Education and Work, 32</w:t>
      </w:r>
      <w:r w:rsidRPr="00F17A1A">
        <w:rPr>
          <w:rFonts w:ascii="Garamond" w:hAnsi="Garamond" w:cs="Arial"/>
          <w:sz w:val="22"/>
          <w:szCs w:val="22"/>
        </w:rPr>
        <w:t xml:space="preserve">(4), 356–373. </w:t>
      </w:r>
      <w:hyperlink r:id="rId12" w:history="1">
        <w:r w:rsidRPr="00F17A1A">
          <w:rPr>
            <w:rStyle w:val="Hyperlink"/>
            <w:rFonts w:ascii="Garamond" w:hAnsi="Garamond" w:cs="Arial"/>
            <w:color w:val="auto"/>
            <w:sz w:val="22"/>
            <w:szCs w:val="22"/>
          </w:rPr>
          <w:t>https://doi.org/10.1080/13639080.2019.1604395</w:t>
        </w:r>
      </w:hyperlink>
    </w:p>
    <w:p w14:paraId="4101AACF" w14:textId="77777777" w:rsidR="00F17A1A" w:rsidRPr="00501365" w:rsidRDefault="00F17A1A" w:rsidP="00F17A1A">
      <w:pPr>
        <w:spacing w:after="0" w:line="240" w:lineRule="auto"/>
        <w:ind w:left="720"/>
        <w:jc w:val="both"/>
        <w:rPr>
          <w:rFonts w:ascii="Garamond" w:hAnsi="Garamond" w:cs="Arial"/>
          <w:sz w:val="22"/>
          <w:szCs w:val="22"/>
        </w:rPr>
      </w:pPr>
    </w:p>
    <w:p w14:paraId="06F427DF" w14:textId="77777777" w:rsidR="00F17A1A" w:rsidRDefault="00501365" w:rsidP="00F17A1A">
      <w:pPr>
        <w:spacing w:after="0" w:line="240" w:lineRule="auto"/>
        <w:jc w:val="both"/>
        <w:rPr>
          <w:rFonts w:ascii="Garamond" w:hAnsi="Garamond" w:cs="Arial"/>
          <w:sz w:val="22"/>
          <w:szCs w:val="22"/>
        </w:rPr>
      </w:pPr>
      <w:r w:rsidRPr="004435D9">
        <w:rPr>
          <w:rFonts w:ascii="Garamond" w:hAnsi="Garamond" w:cs="Arial"/>
          <w:sz w:val="22"/>
          <w:szCs w:val="22"/>
        </w:rPr>
        <w:t>Plaza, O., Sual, R. (2017). Student Internship Program of the Philippines and</w:t>
      </w:r>
      <w:r w:rsidR="00F17A1A">
        <w:rPr>
          <w:rFonts w:ascii="Garamond" w:hAnsi="Garamond" w:cs="Arial"/>
          <w:sz w:val="22"/>
          <w:szCs w:val="22"/>
        </w:rPr>
        <w:t xml:space="preserve"> </w:t>
      </w:r>
      <w:r w:rsidRPr="004435D9">
        <w:rPr>
          <w:rFonts w:ascii="Garamond" w:hAnsi="Garamond" w:cs="Arial"/>
          <w:sz w:val="22"/>
          <w:szCs w:val="22"/>
        </w:rPr>
        <w:t xml:space="preserve">21st Century Competencies: Basis </w:t>
      </w:r>
    </w:p>
    <w:p w14:paraId="780120E2" w14:textId="50206CA0" w:rsidR="00501365" w:rsidRPr="004435D9" w:rsidRDefault="00501365" w:rsidP="00F17A1A">
      <w:pPr>
        <w:spacing w:after="0" w:line="240" w:lineRule="auto"/>
        <w:ind w:left="720"/>
        <w:jc w:val="both"/>
        <w:rPr>
          <w:rFonts w:ascii="Garamond" w:hAnsi="Garamond" w:cs="Arial"/>
          <w:sz w:val="22"/>
          <w:szCs w:val="22"/>
        </w:rPr>
      </w:pPr>
      <w:r w:rsidRPr="004435D9">
        <w:rPr>
          <w:rFonts w:ascii="Garamond" w:hAnsi="Garamond" w:cs="Arial"/>
          <w:sz w:val="22"/>
          <w:szCs w:val="22"/>
        </w:rPr>
        <w:t>for the Improvement of On-the-Job Training.https://www.researchgate.net/publication/360743124_Student_Internship_Program_of_the_Philippines_and_21st_Century_Competencies_Basis_for_the_Improvement_of_On-the-Job_Training</w:t>
      </w:r>
    </w:p>
    <w:p w14:paraId="5E5777C9" w14:textId="77777777" w:rsidR="00501365" w:rsidRPr="00501365" w:rsidRDefault="00501365" w:rsidP="00F17A1A">
      <w:pPr>
        <w:spacing w:after="0" w:line="240" w:lineRule="auto"/>
        <w:jc w:val="both"/>
        <w:rPr>
          <w:rFonts w:ascii="Garamond" w:hAnsi="Garamond" w:cs="Arial"/>
          <w:sz w:val="22"/>
          <w:szCs w:val="22"/>
        </w:rPr>
      </w:pPr>
    </w:p>
    <w:p w14:paraId="214563EE" w14:textId="77777777" w:rsidR="00F17A1A" w:rsidRDefault="00501365" w:rsidP="00F17A1A">
      <w:pPr>
        <w:spacing w:after="0" w:line="240" w:lineRule="auto"/>
        <w:jc w:val="both"/>
        <w:rPr>
          <w:rFonts w:ascii="Garamond" w:hAnsi="Garamond" w:cs="Arial"/>
          <w:sz w:val="22"/>
          <w:szCs w:val="22"/>
        </w:rPr>
      </w:pPr>
      <w:r w:rsidRPr="004435D9">
        <w:rPr>
          <w:rFonts w:ascii="Garamond" w:hAnsi="Garamond" w:cs="Arial"/>
          <w:sz w:val="22"/>
          <w:szCs w:val="22"/>
        </w:rPr>
        <w:t xml:space="preserve">Rahman, A. (2021). Exploring the Impact of Internship Experiences on Career Readiness Among Engineering </w:t>
      </w:r>
    </w:p>
    <w:p w14:paraId="5C9B3342" w14:textId="5FAA3F25" w:rsidR="00501365" w:rsidRPr="004435D9" w:rsidRDefault="00501365" w:rsidP="00F17A1A">
      <w:pPr>
        <w:spacing w:after="0" w:line="240" w:lineRule="auto"/>
        <w:ind w:firstLine="720"/>
        <w:jc w:val="both"/>
        <w:rPr>
          <w:rFonts w:ascii="Garamond" w:hAnsi="Garamond" w:cs="Arial"/>
          <w:sz w:val="22"/>
          <w:szCs w:val="22"/>
        </w:rPr>
      </w:pPr>
      <w:r w:rsidRPr="004435D9">
        <w:rPr>
          <w:rFonts w:ascii="Garamond" w:hAnsi="Garamond" w:cs="Arial"/>
          <w:sz w:val="22"/>
          <w:szCs w:val="22"/>
        </w:rPr>
        <w:t>Students: A Qualitative Study. Journal of Engineering Education, 38(2), 145-163.</w:t>
      </w:r>
    </w:p>
    <w:p w14:paraId="2BEA617C" w14:textId="77777777" w:rsidR="00501365" w:rsidRPr="00501365" w:rsidRDefault="00501365" w:rsidP="00F17A1A">
      <w:pPr>
        <w:spacing w:after="0" w:line="240" w:lineRule="auto"/>
        <w:jc w:val="both"/>
        <w:rPr>
          <w:rFonts w:ascii="Garamond" w:hAnsi="Garamond" w:cs="Arial"/>
          <w:sz w:val="22"/>
          <w:szCs w:val="22"/>
        </w:rPr>
      </w:pPr>
    </w:p>
    <w:p w14:paraId="64CE170F" w14:textId="77777777" w:rsidR="00F17A1A" w:rsidRDefault="00501365" w:rsidP="00F17A1A">
      <w:pPr>
        <w:spacing w:after="0" w:line="240" w:lineRule="auto"/>
        <w:jc w:val="both"/>
        <w:rPr>
          <w:rFonts w:ascii="Garamond" w:hAnsi="Garamond" w:cs="Arial"/>
          <w:sz w:val="22"/>
          <w:szCs w:val="22"/>
        </w:rPr>
      </w:pPr>
      <w:r w:rsidRPr="004435D9">
        <w:rPr>
          <w:rFonts w:ascii="Garamond" w:hAnsi="Garamond" w:cs="Arial"/>
          <w:sz w:val="22"/>
          <w:szCs w:val="22"/>
        </w:rPr>
        <w:t xml:space="preserve">Schlager, M. D. (2016). "The Role of Internships in College Students' Post-Graduation Employment </w:t>
      </w:r>
    </w:p>
    <w:p w14:paraId="01606E5C" w14:textId="7E17741A" w:rsidR="00501365" w:rsidRDefault="00501365" w:rsidP="00F17A1A">
      <w:pPr>
        <w:spacing w:after="0" w:line="240" w:lineRule="auto"/>
        <w:ind w:firstLine="720"/>
        <w:jc w:val="both"/>
        <w:rPr>
          <w:rFonts w:ascii="Garamond" w:hAnsi="Garamond" w:cs="Arial"/>
          <w:sz w:val="22"/>
          <w:szCs w:val="22"/>
        </w:rPr>
      </w:pPr>
      <w:r w:rsidRPr="004435D9">
        <w:rPr>
          <w:rFonts w:ascii="Garamond" w:hAnsi="Garamond" w:cs="Arial"/>
          <w:sz w:val="22"/>
          <w:szCs w:val="22"/>
        </w:rPr>
        <w:t>Opportunities." Journal of Education and Work, 29(5), 615-638.</w:t>
      </w:r>
    </w:p>
    <w:p w14:paraId="101C13B5" w14:textId="77777777" w:rsidR="00F17A1A" w:rsidRDefault="00F17A1A" w:rsidP="00F17A1A">
      <w:pPr>
        <w:spacing w:after="0" w:line="240" w:lineRule="auto"/>
        <w:ind w:firstLine="720"/>
        <w:jc w:val="both"/>
        <w:rPr>
          <w:rFonts w:ascii="Garamond" w:hAnsi="Garamond" w:cs="Arial"/>
          <w:sz w:val="22"/>
          <w:szCs w:val="22"/>
        </w:rPr>
      </w:pPr>
    </w:p>
    <w:p w14:paraId="24D57862" w14:textId="77777777" w:rsidR="00F17A1A" w:rsidRDefault="005153F0" w:rsidP="00F17A1A">
      <w:pPr>
        <w:spacing w:after="0" w:line="240" w:lineRule="auto"/>
        <w:jc w:val="both"/>
        <w:rPr>
          <w:rFonts w:ascii="Garamond" w:hAnsi="Garamond" w:cs="Arial"/>
          <w:sz w:val="22"/>
          <w:szCs w:val="22"/>
        </w:rPr>
      </w:pPr>
      <w:proofErr w:type="spellStart"/>
      <w:r w:rsidRPr="005153F0">
        <w:rPr>
          <w:rFonts w:ascii="Garamond" w:hAnsi="Garamond" w:cs="Arial"/>
          <w:sz w:val="22"/>
          <w:szCs w:val="22"/>
        </w:rPr>
        <w:t>Sisman</w:t>
      </w:r>
      <w:proofErr w:type="spellEnd"/>
      <w:r w:rsidRPr="005153F0">
        <w:rPr>
          <w:rFonts w:ascii="Garamond" w:hAnsi="Garamond" w:cs="Arial"/>
          <w:sz w:val="22"/>
          <w:szCs w:val="22"/>
        </w:rPr>
        <w:t xml:space="preserve">, F., Yildirim, S., &amp; Turker, H. (2016). The impact of practical experiences on students' workplace </w:t>
      </w:r>
    </w:p>
    <w:p w14:paraId="36D93172" w14:textId="51577FFA" w:rsidR="005153F0" w:rsidRPr="004435D9" w:rsidRDefault="005153F0" w:rsidP="00F17A1A">
      <w:pPr>
        <w:spacing w:after="0" w:line="240" w:lineRule="auto"/>
        <w:ind w:left="720"/>
        <w:jc w:val="both"/>
        <w:rPr>
          <w:rFonts w:ascii="Garamond" w:hAnsi="Garamond" w:cs="Arial"/>
          <w:sz w:val="22"/>
          <w:szCs w:val="22"/>
        </w:rPr>
      </w:pPr>
      <w:r w:rsidRPr="005153F0">
        <w:rPr>
          <w:rFonts w:ascii="Garamond" w:hAnsi="Garamond" w:cs="Arial"/>
          <w:sz w:val="22"/>
          <w:szCs w:val="22"/>
        </w:rPr>
        <w:t xml:space="preserve">adaptability and confidence. </w:t>
      </w:r>
      <w:r w:rsidRPr="005153F0">
        <w:rPr>
          <w:rFonts w:ascii="Garamond" w:hAnsi="Garamond" w:cs="Arial"/>
          <w:i/>
          <w:iCs/>
          <w:sz w:val="22"/>
          <w:szCs w:val="22"/>
        </w:rPr>
        <w:t>Journal of Vocational Education &amp; Training, 68</w:t>
      </w:r>
      <w:r w:rsidRPr="005153F0">
        <w:rPr>
          <w:rFonts w:ascii="Garamond" w:hAnsi="Garamond" w:cs="Arial"/>
          <w:sz w:val="22"/>
          <w:szCs w:val="22"/>
        </w:rPr>
        <w:t>(3), 345–360. https://doi.org/10.1080/13636820.2016.1165667</w:t>
      </w:r>
    </w:p>
    <w:p w14:paraId="60F0CCA8" w14:textId="77777777" w:rsidR="00501365" w:rsidRPr="00501365" w:rsidRDefault="00501365" w:rsidP="003A7E8A">
      <w:pPr>
        <w:spacing w:line="240" w:lineRule="auto"/>
        <w:jc w:val="both"/>
        <w:rPr>
          <w:rFonts w:ascii="Garamond" w:eastAsia="Garamond" w:hAnsi="Garamond" w:cs="Garamond"/>
          <w:b/>
          <w:sz w:val="20"/>
          <w:szCs w:val="20"/>
        </w:rPr>
      </w:pPr>
    </w:p>
    <w:p w14:paraId="3840147B" w14:textId="77777777" w:rsidR="008A0CFE" w:rsidRPr="00501365" w:rsidRDefault="008A0CFE" w:rsidP="003A7E8A">
      <w:pPr>
        <w:spacing w:line="240" w:lineRule="auto"/>
        <w:jc w:val="both"/>
        <w:rPr>
          <w:rFonts w:ascii="Garamond" w:eastAsia="Garamond" w:hAnsi="Garamond" w:cs="Garamond"/>
          <w:b/>
          <w:sz w:val="20"/>
          <w:szCs w:val="20"/>
        </w:rPr>
      </w:pPr>
    </w:p>
    <w:sectPr w:rsidR="008A0CFE" w:rsidRPr="0050136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F816A" w14:textId="77777777" w:rsidR="003E7DBF" w:rsidRDefault="003E7DBF">
      <w:pPr>
        <w:spacing w:line="240" w:lineRule="auto"/>
      </w:pPr>
      <w:r>
        <w:separator/>
      </w:r>
    </w:p>
  </w:endnote>
  <w:endnote w:type="continuationSeparator" w:id="0">
    <w:p w14:paraId="5D8C1406" w14:textId="77777777" w:rsidR="003E7DBF" w:rsidRDefault="003E7D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ptos">
    <w:charset w:val="00"/>
    <w:family w:val="swiss"/>
    <w:pitch w:val="variable"/>
    <w:sig w:usb0="20000287" w:usb1="00000003" w:usb2="00000000" w:usb3="00000000" w:csb0="0000019F" w:csb1="00000000"/>
    <w:embedRegular r:id="rId1" w:fontKey="{792E9C95-6AF3-4EE0-A0D1-DE1B8955A7C4}"/>
    <w:embedBold r:id="rId2" w:fontKey="{04F84B23-80E7-4DA2-99FE-7BDF33E3FCB4}"/>
    <w:embedItalic r:id="rId3" w:fontKey="{1379EB3A-6388-49F5-BADB-8A7390E8A11F}"/>
  </w:font>
  <w:font w:name="Play">
    <w:altName w:val="Calibri"/>
    <w:charset w:val="00"/>
    <w:family w:val="auto"/>
    <w:pitch w:val="default"/>
  </w:font>
  <w:font w:name="Calibri">
    <w:panose1 w:val="020F0502020204030204"/>
    <w:charset w:val="00"/>
    <w:family w:val="swiss"/>
    <w:pitch w:val="variable"/>
    <w:sig w:usb0="E10002FF" w:usb1="4000ACFF" w:usb2="00000009" w:usb3="00000000" w:csb0="0000019F" w:csb1="00000000"/>
    <w:embedRegular r:id="rId4" w:fontKey="{949FFD3E-02E6-4175-B515-13FC4C54C968}"/>
  </w:font>
  <w:font w:name="Garamond">
    <w:panose1 w:val="02020404030301010803"/>
    <w:charset w:val="00"/>
    <w:family w:val="roman"/>
    <w:pitch w:val="variable"/>
    <w:sig w:usb0="00000287" w:usb1="00000000" w:usb2="00000000" w:usb3="00000000" w:csb0="0000009F" w:csb1="00000000"/>
    <w:embedRegular r:id="rId5" w:fontKey="{4A21B1FA-5A9E-48A8-BFBB-3AD5E5739415}"/>
    <w:embedBold r:id="rId6" w:fontKey="{304E6881-446E-4FA3-84A7-63C95B07C2F1}"/>
    <w:embedItalic r:id="rId7" w:fontKey="{A0289D07-E535-4019-9D54-E0293FC2CBE6}"/>
    <w:embedBoldItalic r:id="rId8" w:fontKey="{80D0D75D-80D1-4154-A69C-BE1B8A8F0E5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985D272-2E5D-4E57-8E1A-EE37006F7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7DC7" w14:textId="77777777" w:rsidR="00F917C2" w:rsidRDefault="00F91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D3D33" w14:textId="77777777" w:rsidR="00F917C2" w:rsidRDefault="00F917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CB62F" w14:textId="77777777" w:rsidR="00F917C2" w:rsidRDefault="00F91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20CB6" w14:textId="77777777" w:rsidR="003E7DBF" w:rsidRDefault="003E7DBF">
      <w:pPr>
        <w:spacing w:after="0"/>
      </w:pPr>
      <w:r>
        <w:separator/>
      </w:r>
    </w:p>
  </w:footnote>
  <w:footnote w:type="continuationSeparator" w:id="0">
    <w:p w14:paraId="250F179B" w14:textId="77777777" w:rsidR="003E7DBF" w:rsidRDefault="003E7D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8623" w14:textId="1A19610D" w:rsidR="00F917C2" w:rsidRDefault="00F917C2">
    <w:pPr>
      <w:pStyle w:val="Header"/>
    </w:pPr>
    <w:r>
      <w:rPr>
        <w:noProof/>
      </w:rPr>
      <w:pict w14:anchorId="2E5F5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05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1092" w14:textId="09F4DD97" w:rsidR="00F917C2" w:rsidRDefault="00F917C2">
    <w:pPr>
      <w:pStyle w:val="Header"/>
    </w:pPr>
    <w:r>
      <w:rPr>
        <w:noProof/>
      </w:rPr>
      <w:pict w14:anchorId="2C7B1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05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6656" w14:textId="761A233A" w:rsidR="00F917C2" w:rsidRDefault="00F917C2">
    <w:pPr>
      <w:pStyle w:val="Header"/>
    </w:pPr>
    <w:r>
      <w:rPr>
        <w:noProof/>
      </w:rPr>
      <w:pict w14:anchorId="20A50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05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AC25757"/>
    <w:multiLevelType w:val="multilevel"/>
    <w:tmpl w:val="B9AA621C"/>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52EA2"/>
    <w:rsid w:val="000572F9"/>
    <w:rsid w:val="00077922"/>
    <w:rsid w:val="000C3ADC"/>
    <w:rsid w:val="000D55E4"/>
    <w:rsid w:val="000E62AE"/>
    <w:rsid w:val="000F6185"/>
    <w:rsid w:val="00105495"/>
    <w:rsid w:val="00116EF5"/>
    <w:rsid w:val="001221A9"/>
    <w:rsid w:val="00140E6D"/>
    <w:rsid w:val="00144E7B"/>
    <w:rsid w:val="00152583"/>
    <w:rsid w:val="00163B58"/>
    <w:rsid w:val="001658CA"/>
    <w:rsid w:val="0019334E"/>
    <w:rsid w:val="001E1BF5"/>
    <w:rsid w:val="001F092B"/>
    <w:rsid w:val="001F5A1B"/>
    <w:rsid w:val="001F67F8"/>
    <w:rsid w:val="00232953"/>
    <w:rsid w:val="00273635"/>
    <w:rsid w:val="002A0861"/>
    <w:rsid w:val="002C0D88"/>
    <w:rsid w:val="002C6145"/>
    <w:rsid w:val="002D60FC"/>
    <w:rsid w:val="00316447"/>
    <w:rsid w:val="003215E0"/>
    <w:rsid w:val="0032715D"/>
    <w:rsid w:val="00330B8E"/>
    <w:rsid w:val="003440B1"/>
    <w:rsid w:val="0036169C"/>
    <w:rsid w:val="00363366"/>
    <w:rsid w:val="00373593"/>
    <w:rsid w:val="003A5ACB"/>
    <w:rsid w:val="003A7E8A"/>
    <w:rsid w:val="003C5581"/>
    <w:rsid w:val="003C5FE2"/>
    <w:rsid w:val="003E4278"/>
    <w:rsid w:val="003E7DBF"/>
    <w:rsid w:val="00415FA6"/>
    <w:rsid w:val="004212D0"/>
    <w:rsid w:val="00443A1D"/>
    <w:rsid w:val="0045452F"/>
    <w:rsid w:val="00476453"/>
    <w:rsid w:val="00484AF5"/>
    <w:rsid w:val="00484C6C"/>
    <w:rsid w:val="00492CDA"/>
    <w:rsid w:val="004B4489"/>
    <w:rsid w:val="004C487C"/>
    <w:rsid w:val="004D29FA"/>
    <w:rsid w:val="004E05A3"/>
    <w:rsid w:val="00501365"/>
    <w:rsid w:val="005153F0"/>
    <w:rsid w:val="00556886"/>
    <w:rsid w:val="00565B49"/>
    <w:rsid w:val="00566F86"/>
    <w:rsid w:val="00572F69"/>
    <w:rsid w:val="00573272"/>
    <w:rsid w:val="0058145D"/>
    <w:rsid w:val="00593C33"/>
    <w:rsid w:val="005B0780"/>
    <w:rsid w:val="005B1635"/>
    <w:rsid w:val="005B7B6D"/>
    <w:rsid w:val="005C702F"/>
    <w:rsid w:val="00631303"/>
    <w:rsid w:val="006626FB"/>
    <w:rsid w:val="0066292F"/>
    <w:rsid w:val="00666580"/>
    <w:rsid w:val="0067447D"/>
    <w:rsid w:val="006A4FE1"/>
    <w:rsid w:val="006B09C2"/>
    <w:rsid w:val="006B384A"/>
    <w:rsid w:val="006B54CD"/>
    <w:rsid w:val="006E67EC"/>
    <w:rsid w:val="006E793F"/>
    <w:rsid w:val="006F1478"/>
    <w:rsid w:val="0072112D"/>
    <w:rsid w:val="00731833"/>
    <w:rsid w:val="007A7B0B"/>
    <w:rsid w:val="007E3B95"/>
    <w:rsid w:val="0081645A"/>
    <w:rsid w:val="00823224"/>
    <w:rsid w:val="00841D72"/>
    <w:rsid w:val="0085423A"/>
    <w:rsid w:val="008832F0"/>
    <w:rsid w:val="0088683D"/>
    <w:rsid w:val="008A0CFE"/>
    <w:rsid w:val="008A1B37"/>
    <w:rsid w:val="008A7C31"/>
    <w:rsid w:val="008B1482"/>
    <w:rsid w:val="008B1DFC"/>
    <w:rsid w:val="008B235B"/>
    <w:rsid w:val="008B39D0"/>
    <w:rsid w:val="008E6B65"/>
    <w:rsid w:val="008F5AE7"/>
    <w:rsid w:val="00905B90"/>
    <w:rsid w:val="00930ED6"/>
    <w:rsid w:val="009555D5"/>
    <w:rsid w:val="00961875"/>
    <w:rsid w:val="009778FD"/>
    <w:rsid w:val="00986A14"/>
    <w:rsid w:val="00995742"/>
    <w:rsid w:val="00995F8F"/>
    <w:rsid w:val="009A12B2"/>
    <w:rsid w:val="009D71AE"/>
    <w:rsid w:val="009E0FC0"/>
    <w:rsid w:val="009E5558"/>
    <w:rsid w:val="009F6073"/>
    <w:rsid w:val="009F6352"/>
    <w:rsid w:val="00A162E8"/>
    <w:rsid w:val="00A24273"/>
    <w:rsid w:val="00A47C00"/>
    <w:rsid w:val="00A541D1"/>
    <w:rsid w:val="00A61A03"/>
    <w:rsid w:val="00A636E3"/>
    <w:rsid w:val="00A778A8"/>
    <w:rsid w:val="00A96CB3"/>
    <w:rsid w:val="00AA58B4"/>
    <w:rsid w:val="00AB3FE2"/>
    <w:rsid w:val="00AB7CA1"/>
    <w:rsid w:val="00AC0C24"/>
    <w:rsid w:val="00AD27DA"/>
    <w:rsid w:val="00AE7DE8"/>
    <w:rsid w:val="00AF691F"/>
    <w:rsid w:val="00B045FD"/>
    <w:rsid w:val="00B14FB4"/>
    <w:rsid w:val="00B24323"/>
    <w:rsid w:val="00B337BF"/>
    <w:rsid w:val="00B4154E"/>
    <w:rsid w:val="00B80FA5"/>
    <w:rsid w:val="00B93204"/>
    <w:rsid w:val="00BA169D"/>
    <w:rsid w:val="00BA4219"/>
    <w:rsid w:val="00BB7BCF"/>
    <w:rsid w:val="00BC3116"/>
    <w:rsid w:val="00BF00F8"/>
    <w:rsid w:val="00C04BE2"/>
    <w:rsid w:val="00C16D39"/>
    <w:rsid w:val="00C21D01"/>
    <w:rsid w:val="00C32205"/>
    <w:rsid w:val="00C36A0B"/>
    <w:rsid w:val="00C420EE"/>
    <w:rsid w:val="00C426B9"/>
    <w:rsid w:val="00C524B7"/>
    <w:rsid w:val="00C80B22"/>
    <w:rsid w:val="00C8429C"/>
    <w:rsid w:val="00C93C8B"/>
    <w:rsid w:val="00CC03F0"/>
    <w:rsid w:val="00CE52D8"/>
    <w:rsid w:val="00CE7236"/>
    <w:rsid w:val="00D25080"/>
    <w:rsid w:val="00D26A05"/>
    <w:rsid w:val="00D30E4A"/>
    <w:rsid w:val="00D57537"/>
    <w:rsid w:val="00D622B6"/>
    <w:rsid w:val="00D878FD"/>
    <w:rsid w:val="00D94496"/>
    <w:rsid w:val="00DA1495"/>
    <w:rsid w:val="00DB0EEE"/>
    <w:rsid w:val="00DC2D2A"/>
    <w:rsid w:val="00DC3DA9"/>
    <w:rsid w:val="00DD5181"/>
    <w:rsid w:val="00E14614"/>
    <w:rsid w:val="00E20A6F"/>
    <w:rsid w:val="00E4188B"/>
    <w:rsid w:val="00E63509"/>
    <w:rsid w:val="00E731A3"/>
    <w:rsid w:val="00EE0367"/>
    <w:rsid w:val="00EF5F16"/>
    <w:rsid w:val="00F146D0"/>
    <w:rsid w:val="00F1599F"/>
    <w:rsid w:val="00F17A1A"/>
    <w:rsid w:val="00F26DF3"/>
    <w:rsid w:val="00F30137"/>
    <w:rsid w:val="00F40F0B"/>
    <w:rsid w:val="00F52700"/>
    <w:rsid w:val="00F66BA8"/>
    <w:rsid w:val="00F71910"/>
    <w:rsid w:val="00F73FF5"/>
    <w:rsid w:val="00F917C2"/>
    <w:rsid w:val="00FB7A40"/>
    <w:rsid w:val="00FC187D"/>
    <w:rsid w:val="00FD5E85"/>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styleId="UnresolvedMention">
    <w:name w:val="Unresolved Mention"/>
    <w:basedOn w:val="DefaultParagraphFont"/>
    <w:uiPriority w:val="99"/>
    <w:semiHidden/>
    <w:unhideWhenUsed/>
    <w:rsid w:val="000E62AE"/>
    <w:rPr>
      <w:color w:val="605E5C"/>
      <w:shd w:val="clear" w:color="auto" w:fill="E1DFDD"/>
    </w:rPr>
  </w:style>
  <w:style w:type="paragraph" w:styleId="NormalWeb">
    <w:name w:val="Normal (Web)"/>
    <w:basedOn w:val="Normal"/>
    <w:uiPriority w:val="99"/>
    <w:semiHidden/>
    <w:unhideWhenUsed/>
    <w:rsid w:val="008E6B65"/>
    <w:rPr>
      <w:rFonts w:ascii="Times New Roman" w:hAnsi="Times New Roman" w:cs="Times New Roman"/>
    </w:rPr>
  </w:style>
  <w:style w:type="character" w:styleId="FollowedHyperlink">
    <w:name w:val="FollowedHyperlink"/>
    <w:basedOn w:val="DefaultParagraphFont"/>
    <w:uiPriority w:val="99"/>
    <w:semiHidden/>
    <w:unhideWhenUsed/>
    <w:rsid w:val="00F17A1A"/>
    <w:rPr>
      <w:color w:val="800080" w:themeColor="followedHyperlink"/>
      <w:u w:val="single"/>
    </w:rPr>
  </w:style>
  <w:style w:type="table" w:customStyle="1" w:styleId="TableGrid1">
    <w:name w:val="Table Grid1"/>
    <w:basedOn w:val="TableNormal"/>
    <w:next w:val="TableGrid"/>
    <w:uiPriority w:val="59"/>
    <w:rsid w:val="00C16D3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1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7C2"/>
    <w:rPr>
      <w:rFonts w:ascii="Aptos" w:eastAsia="Aptos" w:hAnsi="Aptos" w:cs="Aptos"/>
      <w:sz w:val="24"/>
      <w:szCs w:val="24"/>
      <w:lang w:eastAsia="en-US"/>
    </w:rPr>
  </w:style>
  <w:style w:type="paragraph" w:styleId="Footer">
    <w:name w:val="footer"/>
    <w:basedOn w:val="Normal"/>
    <w:link w:val="FooterChar"/>
    <w:uiPriority w:val="99"/>
    <w:unhideWhenUsed/>
    <w:rsid w:val="00F91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7C2"/>
    <w:rPr>
      <w:rFonts w:ascii="Aptos" w:eastAsia="Aptos" w:hAnsi="Aptos" w:cs="Apto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95755">
      <w:bodyDiv w:val="1"/>
      <w:marLeft w:val="0"/>
      <w:marRight w:val="0"/>
      <w:marTop w:val="0"/>
      <w:marBottom w:val="0"/>
      <w:divBdr>
        <w:top w:val="none" w:sz="0" w:space="0" w:color="auto"/>
        <w:left w:val="none" w:sz="0" w:space="0" w:color="auto"/>
        <w:bottom w:val="none" w:sz="0" w:space="0" w:color="auto"/>
        <w:right w:val="none" w:sz="0" w:space="0" w:color="auto"/>
      </w:divBdr>
    </w:div>
    <w:div w:id="112408319">
      <w:bodyDiv w:val="1"/>
      <w:marLeft w:val="0"/>
      <w:marRight w:val="0"/>
      <w:marTop w:val="0"/>
      <w:marBottom w:val="0"/>
      <w:divBdr>
        <w:top w:val="none" w:sz="0" w:space="0" w:color="auto"/>
        <w:left w:val="none" w:sz="0" w:space="0" w:color="auto"/>
        <w:bottom w:val="none" w:sz="0" w:space="0" w:color="auto"/>
        <w:right w:val="none" w:sz="0" w:space="0" w:color="auto"/>
      </w:divBdr>
    </w:div>
    <w:div w:id="179122146">
      <w:bodyDiv w:val="1"/>
      <w:marLeft w:val="0"/>
      <w:marRight w:val="0"/>
      <w:marTop w:val="0"/>
      <w:marBottom w:val="0"/>
      <w:divBdr>
        <w:top w:val="none" w:sz="0" w:space="0" w:color="auto"/>
        <w:left w:val="none" w:sz="0" w:space="0" w:color="auto"/>
        <w:bottom w:val="none" w:sz="0" w:space="0" w:color="auto"/>
        <w:right w:val="none" w:sz="0" w:space="0" w:color="auto"/>
      </w:divBdr>
    </w:div>
    <w:div w:id="310260172">
      <w:bodyDiv w:val="1"/>
      <w:marLeft w:val="0"/>
      <w:marRight w:val="0"/>
      <w:marTop w:val="0"/>
      <w:marBottom w:val="0"/>
      <w:divBdr>
        <w:top w:val="none" w:sz="0" w:space="0" w:color="auto"/>
        <w:left w:val="none" w:sz="0" w:space="0" w:color="auto"/>
        <w:bottom w:val="none" w:sz="0" w:space="0" w:color="auto"/>
        <w:right w:val="none" w:sz="0" w:space="0" w:color="auto"/>
      </w:divBdr>
    </w:div>
    <w:div w:id="408506739">
      <w:bodyDiv w:val="1"/>
      <w:marLeft w:val="0"/>
      <w:marRight w:val="0"/>
      <w:marTop w:val="0"/>
      <w:marBottom w:val="0"/>
      <w:divBdr>
        <w:top w:val="none" w:sz="0" w:space="0" w:color="auto"/>
        <w:left w:val="none" w:sz="0" w:space="0" w:color="auto"/>
        <w:bottom w:val="none" w:sz="0" w:space="0" w:color="auto"/>
        <w:right w:val="none" w:sz="0" w:space="0" w:color="auto"/>
      </w:divBdr>
    </w:div>
    <w:div w:id="494803915">
      <w:bodyDiv w:val="1"/>
      <w:marLeft w:val="0"/>
      <w:marRight w:val="0"/>
      <w:marTop w:val="0"/>
      <w:marBottom w:val="0"/>
      <w:divBdr>
        <w:top w:val="none" w:sz="0" w:space="0" w:color="auto"/>
        <w:left w:val="none" w:sz="0" w:space="0" w:color="auto"/>
        <w:bottom w:val="none" w:sz="0" w:space="0" w:color="auto"/>
        <w:right w:val="none" w:sz="0" w:space="0" w:color="auto"/>
      </w:divBdr>
    </w:div>
    <w:div w:id="566035726">
      <w:bodyDiv w:val="1"/>
      <w:marLeft w:val="0"/>
      <w:marRight w:val="0"/>
      <w:marTop w:val="0"/>
      <w:marBottom w:val="0"/>
      <w:divBdr>
        <w:top w:val="none" w:sz="0" w:space="0" w:color="auto"/>
        <w:left w:val="none" w:sz="0" w:space="0" w:color="auto"/>
        <w:bottom w:val="none" w:sz="0" w:space="0" w:color="auto"/>
        <w:right w:val="none" w:sz="0" w:space="0" w:color="auto"/>
      </w:divBdr>
    </w:div>
    <w:div w:id="596520391">
      <w:bodyDiv w:val="1"/>
      <w:marLeft w:val="0"/>
      <w:marRight w:val="0"/>
      <w:marTop w:val="0"/>
      <w:marBottom w:val="0"/>
      <w:divBdr>
        <w:top w:val="none" w:sz="0" w:space="0" w:color="auto"/>
        <w:left w:val="none" w:sz="0" w:space="0" w:color="auto"/>
        <w:bottom w:val="none" w:sz="0" w:space="0" w:color="auto"/>
        <w:right w:val="none" w:sz="0" w:space="0" w:color="auto"/>
      </w:divBdr>
    </w:div>
    <w:div w:id="895436429">
      <w:bodyDiv w:val="1"/>
      <w:marLeft w:val="0"/>
      <w:marRight w:val="0"/>
      <w:marTop w:val="0"/>
      <w:marBottom w:val="0"/>
      <w:divBdr>
        <w:top w:val="none" w:sz="0" w:space="0" w:color="auto"/>
        <w:left w:val="none" w:sz="0" w:space="0" w:color="auto"/>
        <w:bottom w:val="none" w:sz="0" w:space="0" w:color="auto"/>
        <w:right w:val="none" w:sz="0" w:space="0" w:color="auto"/>
      </w:divBdr>
    </w:div>
    <w:div w:id="965698499">
      <w:bodyDiv w:val="1"/>
      <w:marLeft w:val="0"/>
      <w:marRight w:val="0"/>
      <w:marTop w:val="0"/>
      <w:marBottom w:val="0"/>
      <w:divBdr>
        <w:top w:val="none" w:sz="0" w:space="0" w:color="auto"/>
        <w:left w:val="none" w:sz="0" w:space="0" w:color="auto"/>
        <w:bottom w:val="none" w:sz="0" w:space="0" w:color="auto"/>
        <w:right w:val="none" w:sz="0" w:space="0" w:color="auto"/>
      </w:divBdr>
    </w:div>
    <w:div w:id="976766942">
      <w:bodyDiv w:val="1"/>
      <w:marLeft w:val="0"/>
      <w:marRight w:val="0"/>
      <w:marTop w:val="0"/>
      <w:marBottom w:val="0"/>
      <w:divBdr>
        <w:top w:val="none" w:sz="0" w:space="0" w:color="auto"/>
        <w:left w:val="none" w:sz="0" w:space="0" w:color="auto"/>
        <w:bottom w:val="none" w:sz="0" w:space="0" w:color="auto"/>
        <w:right w:val="none" w:sz="0" w:space="0" w:color="auto"/>
      </w:divBdr>
    </w:div>
    <w:div w:id="1035695036">
      <w:bodyDiv w:val="1"/>
      <w:marLeft w:val="0"/>
      <w:marRight w:val="0"/>
      <w:marTop w:val="0"/>
      <w:marBottom w:val="0"/>
      <w:divBdr>
        <w:top w:val="none" w:sz="0" w:space="0" w:color="auto"/>
        <w:left w:val="none" w:sz="0" w:space="0" w:color="auto"/>
        <w:bottom w:val="none" w:sz="0" w:space="0" w:color="auto"/>
        <w:right w:val="none" w:sz="0" w:space="0" w:color="auto"/>
      </w:divBdr>
    </w:div>
    <w:div w:id="1147625818">
      <w:bodyDiv w:val="1"/>
      <w:marLeft w:val="0"/>
      <w:marRight w:val="0"/>
      <w:marTop w:val="0"/>
      <w:marBottom w:val="0"/>
      <w:divBdr>
        <w:top w:val="none" w:sz="0" w:space="0" w:color="auto"/>
        <w:left w:val="none" w:sz="0" w:space="0" w:color="auto"/>
        <w:bottom w:val="none" w:sz="0" w:space="0" w:color="auto"/>
        <w:right w:val="none" w:sz="0" w:space="0" w:color="auto"/>
      </w:divBdr>
    </w:div>
    <w:div w:id="1321814194">
      <w:bodyDiv w:val="1"/>
      <w:marLeft w:val="0"/>
      <w:marRight w:val="0"/>
      <w:marTop w:val="0"/>
      <w:marBottom w:val="0"/>
      <w:divBdr>
        <w:top w:val="none" w:sz="0" w:space="0" w:color="auto"/>
        <w:left w:val="none" w:sz="0" w:space="0" w:color="auto"/>
        <w:bottom w:val="none" w:sz="0" w:space="0" w:color="auto"/>
        <w:right w:val="none" w:sz="0" w:space="0" w:color="auto"/>
      </w:divBdr>
    </w:div>
    <w:div w:id="1408842812">
      <w:bodyDiv w:val="1"/>
      <w:marLeft w:val="0"/>
      <w:marRight w:val="0"/>
      <w:marTop w:val="0"/>
      <w:marBottom w:val="0"/>
      <w:divBdr>
        <w:top w:val="none" w:sz="0" w:space="0" w:color="auto"/>
        <w:left w:val="none" w:sz="0" w:space="0" w:color="auto"/>
        <w:bottom w:val="none" w:sz="0" w:space="0" w:color="auto"/>
        <w:right w:val="none" w:sz="0" w:space="0" w:color="auto"/>
      </w:divBdr>
    </w:div>
    <w:div w:id="1410350503">
      <w:bodyDiv w:val="1"/>
      <w:marLeft w:val="0"/>
      <w:marRight w:val="0"/>
      <w:marTop w:val="0"/>
      <w:marBottom w:val="0"/>
      <w:divBdr>
        <w:top w:val="none" w:sz="0" w:space="0" w:color="auto"/>
        <w:left w:val="none" w:sz="0" w:space="0" w:color="auto"/>
        <w:bottom w:val="none" w:sz="0" w:space="0" w:color="auto"/>
        <w:right w:val="none" w:sz="0" w:space="0" w:color="auto"/>
      </w:divBdr>
    </w:div>
    <w:div w:id="1598439361">
      <w:bodyDiv w:val="1"/>
      <w:marLeft w:val="0"/>
      <w:marRight w:val="0"/>
      <w:marTop w:val="0"/>
      <w:marBottom w:val="0"/>
      <w:divBdr>
        <w:top w:val="none" w:sz="0" w:space="0" w:color="auto"/>
        <w:left w:val="none" w:sz="0" w:space="0" w:color="auto"/>
        <w:bottom w:val="none" w:sz="0" w:space="0" w:color="auto"/>
        <w:right w:val="none" w:sz="0" w:space="0" w:color="auto"/>
      </w:divBdr>
    </w:div>
    <w:div w:id="1718511088">
      <w:bodyDiv w:val="1"/>
      <w:marLeft w:val="0"/>
      <w:marRight w:val="0"/>
      <w:marTop w:val="0"/>
      <w:marBottom w:val="0"/>
      <w:divBdr>
        <w:top w:val="none" w:sz="0" w:space="0" w:color="auto"/>
        <w:left w:val="none" w:sz="0" w:space="0" w:color="auto"/>
        <w:bottom w:val="none" w:sz="0" w:space="0" w:color="auto"/>
        <w:right w:val="none" w:sz="0" w:space="0" w:color="auto"/>
      </w:divBdr>
    </w:div>
    <w:div w:id="1848011129">
      <w:bodyDiv w:val="1"/>
      <w:marLeft w:val="0"/>
      <w:marRight w:val="0"/>
      <w:marTop w:val="0"/>
      <w:marBottom w:val="0"/>
      <w:divBdr>
        <w:top w:val="none" w:sz="0" w:space="0" w:color="auto"/>
        <w:left w:val="none" w:sz="0" w:space="0" w:color="auto"/>
        <w:bottom w:val="none" w:sz="0" w:space="0" w:color="auto"/>
        <w:right w:val="none" w:sz="0" w:space="0" w:color="auto"/>
      </w:divBdr>
    </w:div>
    <w:div w:id="1954314919">
      <w:bodyDiv w:val="1"/>
      <w:marLeft w:val="0"/>
      <w:marRight w:val="0"/>
      <w:marTop w:val="0"/>
      <w:marBottom w:val="0"/>
      <w:divBdr>
        <w:top w:val="none" w:sz="0" w:space="0" w:color="auto"/>
        <w:left w:val="none" w:sz="0" w:space="0" w:color="auto"/>
        <w:bottom w:val="none" w:sz="0" w:space="0" w:color="auto"/>
        <w:right w:val="none" w:sz="0" w:space="0" w:color="auto"/>
      </w:divBdr>
    </w:div>
    <w:div w:id="1958637882">
      <w:bodyDiv w:val="1"/>
      <w:marLeft w:val="0"/>
      <w:marRight w:val="0"/>
      <w:marTop w:val="0"/>
      <w:marBottom w:val="0"/>
      <w:divBdr>
        <w:top w:val="none" w:sz="0" w:space="0" w:color="auto"/>
        <w:left w:val="none" w:sz="0" w:space="0" w:color="auto"/>
        <w:bottom w:val="none" w:sz="0" w:space="0" w:color="auto"/>
        <w:right w:val="none" w:sz="0" w:space="0" w:color="auto"/>
      </w:divBdr>
    </w:div>
    <w:div w:id="2013138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jsc.221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13639080.2019.1604395"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Downloads/The-perception-of-career-readiness-skill-development-in-college-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inkedin.com/pulse/career-readiness-building-strong-foundation-success-rohit-kuttappa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16/j.jsr.2020.06.015"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7</Pages>
  <Words>2794</Words>
  <Characters>15930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94</cp:revision>
  <dcterms:created xsi:type="dcterms:W3CDTF">2025-06-01T05:39:00Z</dcterms:created>
  <dcterms:modified xsi:type="dcterms:W3CDTF">2025-08-04T08:19:00Z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